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72386A">
      <w:pPr>
        <w:rPr>
          <w:rFonts w:hint="default"/>
          <w:lang w:val="en-US"/>
        </w:rPr>
      </w:pPr>
      <w:r>
        <w:rPr>
          <w:rFonts w:hint="default"/>
          <w:lang w:val="en-US"/>
        </w:rPr>
        <w:t xml:space="preserve">                                    </w:t>
      </w:r>
      <w:r>
        <w:rPr>
          <w:rFonts w:hint="default"/>
          <w:lang w:val="en-US"/>
        </w:rPr>
        <w:drawing>
          <wp:inline distT="0" distB="0" distL="114300" distR="114300">
            <wp:extent cx="3181350" cy="1306195"/>
            <wp:effectExtent l="0" t="0" r="0" b="8255"/>
            <wp:docPr id="1" name="Picture 1" descr="Screenshot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8)"/>
                    <pic:cNvPicPr>
                      <a:picLocks noChangeAspect="1"/>
                    </pic:cNvPicPr>
                  </pic:nvPicPr>
                  <pic:blipFill>
                    <a:blip r:embed="rId4"/>
                    <a:srcRect l="19318" t="27690" r="20306" b="28225"/>
                    <a:stretch>
                      <a:fillRect/>
                    </a:stretch>
                  </pic:blipFill>
                  <pic:spPr>
                    <a:xfrm>
                      <a:off x="0" y="0"/>
                      <a:ext cx="3181350" cy="1306195"/>
                    </a:xfrm>
                    <a:prstGeom prst="rect">
                      <a:avLst/>
                    </a:prstGeom>
                  </pic:spPr>
                </pic:pic>
              </a:graphicData>
            </a:graphic>
          </wp:inline>
        </w:drawing>
      </w:r>
    </w:p>
    <w:p w14:paraId="61707A0B">
      <w:pPr>
        <w:spacing w:line="480" w:lineRule="auto"/>
        <w:jc w:val="center"/>
        <w:rPr>
          <w:rFonts w:hint="default" w:ascii="Arial" w:hAnsi="Arial" w:eastAsia="TimesNewRomanPS-BoldMT" w:cs="Arial"/>
          <w:b/>
          <w:bCs/>
          <w:color w:val="000000"/>
          <w:kern w:val="0"/>
          <w:sz w:val="24"/>
          <w:szCs w:val="24"/>
          <w:lang w:val="en-US" w:eastAsia="zh-CN" w:bidi="ar"/>
        </w:rPr>
      </w:pPr>
    </w:p>
    <w:p w14:paraId="3D995EFC">
      <w:pPr>
        <w:spacing w:line="480" w:lineRule="auto"/>
        <w:jc w:val="both"/>
        <w:rPr>
          <w:rFonts w:hint="default" w:ascii="Arial" w:hAnsi="Arial" w:eastAsia="TimesNewRomanPS-BoldMT" w:cs="Arial"/>
          <w:b/>
          <w:bCs/>
          <w:color w:val="000000"/>
          <w:kern w:val="0"/>
          <w:sz w:val="24"/>
          <w:szCs w:val="24"/>
          <w:lang w:val="en-US" w:eastAsia="zh-CN" w:bidi="ar"/>
        </w:rPr>
      </w:pPr>
    </w:p>
    <w:p w14:paraId="606CC592">
      <w:pPr>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Program: Master of Business Administration</w:t>
      </w:r>
    </w:p>
    <w:p w14:paraId="0B66D579">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Module: Marketing Management</w:t>
      </w:r>
    </w:p>
    <w:p w14:paraId="00AAE4C8">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Module code: LCMB7024</w:t>
      </w:r>
    </w:p>
    <w:p w14:paraId="711C489A">
      <w:pPr>
        <w:keepNext w:val="0"/>
        <w:keepLines w:val="0"/>
        <w:widowControl/>
        <w:suppressLineNumbers w:val="0"/>
        <w:spacing w:line="600" w:lineRule="auto"/>
        <w:jc w:val="center"/>
        <w:rPr>
          <w:rFonts w:ascii="Arial" w:hAnsi="Arial" w:cs="Arial"/>
          <w:b/>
          <w:sz w:val="22"/>
          <w:szCs w:val="22"/>
        </w:rPr>
      </w:pPr>
      <w:r>
        <w:rPr>
          <w:rFonts w:hint="default" w:ascii="Arial" w:hAnsi="Arial" w:eastAsia="TimesNewRomanPS-BoldMT" w:cs="Arial"/>
          <w:b/>
          <w:bCs/>
          <w:color w:val="000000"/>
          <w:kern w:val="0"/>
          <w:sz w:val="24"/>
          <w:szCs w:val="24"/>
          <w:lang w:val="en-US" w:eastAsia="zh-CN" w:bidi="ar"/>
        </w:rPr>
        <w:t xml:space="preserve">Title: </w:t>
      </w:r>
      <w:r>
        <w:rPr>
          <w:rFonts w:ascii="Arial" w:hAnsi="Arial" w:cs="Arial"/>
          <w:b/>
          <w:bCs/>
          <w:sz w:val="22"/>
          <w:szCs w:val="22"/>
        </w:rPr>
        <w:t>Marketing Environment Analysis</w:t>
      </w:r>
    </w:p>
    <w:p w14:paraId="239BB14F">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Word count: 2804</w:t>
      </w:r>
    </w:p>
    <w:p w14:paraId="6B9EE897">
      <w:pPr>
        <w:keepNext w:val="0"/>
        <w:keepLines w:val="0"/>
        <w:widowControl/>
        <w:suppressLineNumbers w:val="0"/>
        <w:spacing w:line="600" w:lineRule="auto"/>
        <w:jc w:val="center"/>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Lecturer: Dian Mayasari</w:t>
      </w:r>
    </w:p>
    <w:p w14:paraId="0BF3E362">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Student Name : Asmat Ullah</w:t>
      </w:r>
      <w:bookmarkStart w:id="36" w:name="_GoBack"/>
      <w:bookmarkEnd w:id="36"/>
    </w:p>
    <w:p w14:paraId="7CC3C232">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Student ID:2439636</w:t>
      </w:r>
    </w:p>
    <w:p w14:paraId="55E09189">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r>
        <w:rPr>
          <w:rFonts w:hint="default" w:ascii="Arial" w:hAnsi="Arial" w:eastAsia="TimesNewRomanPS-BoldMT" w:cs="Arial"/>
          <w:b/>
          <w:bCs/>
          <w:color w:val="000000"/>
          <w:kern w:val="0"/>
          <w:sz w:val="24"/>
          <w:szCs w:val="24"/>
          <w:lang w:val="en-US" w:eastAsia="zh-CN" w:bidi="ar"/>
        </w:rPr>
        <w:t>Submission Date- 24 oct 2025</w:t>
      </w:r>
    </w:p>
    <w:p w14:paraId="2D800F19">
      <w:pPr>
        <w:keepNext w:val="0"/>
        <w:keepLines w:val="0"/>
        <w:widowControl/>
        <w:suppressLineNumbers w:val="0"/>
        <w:spacing w:line="600" w:lineRule="auto"/>
        <w:jc w:val="center"/>
        <w:rPr>
          <w:rFonts w:hint="default" w:ascii="Arial" w:hAnsi="Arial" w:eastAsia="TimesNewRomanPS-BoldMT" w:cs="Arial"/>
          <w:b/>
          <w:bCs/>
          <w:color w:val="000000"/>
          <w:kern w:val="0"/>
          <w:sz w:val="24"/>
          <w:szCs w:val="24"/>
          <w:lang w:val="en-US" w:eastAsia="zh-CN" w:bidi="ar"/>
        </w:rPr>
      </w:pPr>
    </w:p>
    <w:p w14:paraId="7395E2A0">
      <w:pPr>
        <w:rPr>
          <w:rFonts w:hint="default" w:ascii="Arial" w:hAnsi="Arial" w:cs="Arial"/>
          <w:sz w:val="24"/>
          <w:szCs w:val="24"/>
          <w:lang w:val="en-US"/>
        </w:rPr>
      </w:pPr>
    </w:p>
    <w:p w14:paraId="7C2CACCC">
      <w:pPr>
        <w:rPr>
          <w:rFonts w:hint="default" w:ascii="Arial" w:hAnsi="Arial" w:cs="Arial"/>
          <w:sz w:val="24"/>
          <w:szCs w:val="24"/>
          <w:lang w:val="en-US"/>
        </w:rPr>
      </w:pPr>
    </w:p>
    <w:p w14:paraId="2BA3E6FC">
      <w:pPr>
        <w:rPr>
          <w:rFonts w:hint="default" w:ascii="Arial" w:hAnsi="Arial" w:cs="Arial"/>
          <w:sz w:val="24"/>
          <w:szCs w:val="24"/>
          <w:lang w:val="en-US"/>
        </w:rPr>
      </w:pPr>
    </w:p>
    <w:p w14:paraId="005F87DE">
      <w:pPr>
        <w:rPr>
          <w:rFonts w:hint="default" w:ascii="Arial" w:hAnsi="Arial" w:cs="Arial"/>
          <w:sz w:val="24"/>
          <w:szCs w:val="24"/>
          <w:lang w:val="en-US"/>
        </w:rPr>
      </w:pPr>
    </w:p>
    <w:p w14:paraId="19807030">
      <w:pPr>
        <w:rPr>
          <w:rFonts w:hint="default" w:ascii="Arial" w:hAnsi="Arial" w:cs="Arial"/>
          <w:sz w:val="24"/>
          <w:szCs w:val="24"/>
          <w:lang w:val="en-US"/>
        </w:rPr>
      </w:pPr>
    </w:p>
    <w:p w14:paraId="160E7B6C">
      <w:pPr>
        <w:rPr>
          <w:rFonts w:hint="default" w:ascii="Arial" w:hAnsi="Arial" w:cs="Arial"/>
          <w:sz w:val="24"/>
          <w:szCs w:val="24"/>
          <w:lang w:val="en-US"/>
        </w:rPr>
      </w:pPr>
    </w:p>
    <w:p w14:paraId="2C285C15">
      <w:pPr>
        <w:rPr>
          <w:rFonts w:hint="default" w:ascii="Arial" w:hAnsi="Arial" w:cs="Arial"/>
          <w:sz w:val="24"/>
          <w:szCs w:val="24"/>
          <w:lang w:val="en-US"/>
        </w:rPr>
      </w:pPr>
    </w:p>
    <w:p w14:paraId="20B12325">
      <w:pPr>
        <w:rPr>
          <w:rFonts w:hint="default" w:ascii="Arial" w:hAnsi="Arial" w:cs="Arial"/>
          <w:sz w:val="24"/>
          <w:szCs w:val="24"/>
          <w:lang w:val="en-US"/>
        </w:rPr>
      </w:pPr>
    </w:p>
    <w:p w14:paraId="2256E48F">
      <w:pPr>
        <w:rPr>
          <w:rFonts w:hint="default" w:ascii="Arial" w:hAnsi="Arial" w:cs="Arial"/>
          <w:sz w:val="24"/>
          <w:szCs w:val="24"/>
          <w:lang w:val="en-US"/>
        </w:rPr>
      </w:pPr>
    </w:p>
    <w:p w14:paraId="613CE7F9">
      <w:pPr>
        <w:rPr>
          <w:rFonts w:hint="default" w:ascii="Arial" w:hAnsi="Arial" w:cs="Arial"/>
          <w:sz w:val="24"/>
          <w:szCs w:val="24"/>
          <w:lang w:val="en-US"/>
        </w:rPr>
      </w:pPr>
    </w:p>
    <w:p w14:paraId="0CC55F15">
      <w:pPr>
        <w:rPr>
          <w:rFonts w:hint="default" w:ascii="Arial" w:hAnsi="Arial" w:cs="Arial"/>
          <w:sz w:val="24"/>
          <w:szCs w:val="24"/>
          <w:lang w:val="en-US"/>
        </w:rPr>
      </w:pPr>
    </w:p>
    <w:p w14:paraId="524BBC57">
      <w:pPr>
        <w:rPr>
          <w:rFonts w:hint="default" w:ascii="Arial" w:hAnsi="Arial" w:cs="Arial"/>
          <w:sz w:val="24"/>
          <w:szCs w:val="24"/>
          <w:lang w:val="en-US"/>
        </w:rPr>
      </w:pPr>
    </w:p>
    <w:p w14:paraId="099A751D">
      <w:pPr>
        <w:rPr>
          <w:rFonts w:hint="default" w:ascii="Arial" w:hAnsi="Arial" w:cs="Arial"/>
          <w:sz w:val="24"/>
          <w:szCs w:val="24"/>
          <w:lang w:val="en-US"/>
        </w:rPr>
      </w:pPr>
    </w:p>
    <w:p w14:paraId="5AB3FAE8">
      <w:pPr>
        <w:rPr>
          <w:rFonts w:hint="default" w:ascii="Arial" w:hAnsi="Arial" w:cs="Arial"/>
          <w:sz w:val="24"/>
          <w:szCs w:val="24"/>
          <w:lang w:val="en-US"/>
        </w:rPr>
      </w:pPr>
    </w:p>
    <w:p w14:paraId="05FAE880">
      <w:pPr>
        <w:rPr>
          <w:rFonts w:hint="default" w:ascii="Arial" w:hAnsi="Arial" w:cs="Arial"/>
          <w:sz w:val="24"/>
          <w:szCs w:val="24"/>
          <w:lang w:val="en-US"/>
        </w:rPr>
      </w:pPr>
    </w:p>
    <w:sdt>
      <w:sdtPr>
        <w:rPr>
          <w:rFonts w:ascii="SimSun" w:hAnsi="SimSun" w:eastAsia="SimSun" w:cstheme="minorBidi"/>
          <w:sz w:val="21"/>
          <w:lang w:val="en-US" w:eastAsia="zh-CN" w:bidi="ar-SA"/>
        </w:rPr>
        <w:id w:val="147473682"/>
        <w15:color w:val="DBDBDB"/>
        <w:docPartObj>
          <w:docPartGallery w:val="Table of Contents"/>
          <w:docPartUnique/>
        </w:docPartObj>
      </w:sdtPr>
      <w:sdtEndPr>
        <w:rPr>
          <w:rFonts w:hint="default" w:ascii="Arial" w:hAnsi="Arial" w:cs="Arial" w:eastAsiaTheme="minorEastAsia"/>
          <w:szCs w:val="24"/>
          <w:lang w:val="en-US" w:eastAsia="zh-CN" w:bidi="ar-SA"/>
        </w:rPr>
      </w:sdtEndPr>
      <w:sdtContent>
        <w:p w14:paraId="1EAF3FA6">
          <w:pPr>
            <w:spacing w:before="0" w:beforeLines="0" w:after="0" w:afterLines="0" w:line="240" w:lineRule="auto"/>
            <w:ind w:left="0" w:leftChars="0" w:right="0" w:rightChars="0" w:firstLine="0" w:firstLineChars="0"/>
            <w:jc w:val="center"/>
          </w:pPr>
          <w:r>
            <w:rPr>
              <w:rFonts w:ascii="SimSun" w:hAnsi="SimSun" w:eastAsia="SimSun"/>
              <w:sz w:val="21"/>
            </w:rPr>
            <w:t>Catalog</w:t>
          </w:r>
        </w:p>
        <w:p w14:paraId="7FB5D4C3">
          <w:pPr>
            <w:pStyle w:val="13"/>
            <w:tabs>
              <w:tab w:val="right" w:leader="dot" w:pos="8306"/>
            </w:tabs>
          </w:pPr>
          <w:r>
            <w:rPr>
              <w:rFonts w:hint="default" w:ascii="Arial" w:hAnsi="Arial" w:cs="Arial" w:eastAsiaTheme="minorEastAsia"/>
              <w:b/>
              <w:szCs w:val="24"/>
              <w:lang w:val="en-US" w:eastAsia="zh-CN" w:bidi="ar-SA"/>
            </w:rPr>
            <w:fldChar w:fldCharType="begin"/>
          </w:r>
          <w:r>
            <w:rPr>
              <w:rFonts w:hint="default" w:ascii="Arial" w:hAnsi="Arial" w:cs="Arial" w:eastAsiaTheme="minorEastAsia"/>
              <w:b/>
              <w:szCs w:val="24"/>
              <w:lang w:val="en-US" w:eastAsia="zh-CN" w:bidi="ar-SA"/>
            </w:rPr>
            <w:instrText xml:space="preserve">TOC \o "1-3" \h \u </w:instrText>
          </w:r>
          <w:r>
            <w:rPr>
              <w:rFonts w:hint="default" w:ascii="Arial" w:hAnsi="Arial" w:cs="Arial" w:eastAsiaTheme="minorEastAsia"/>
              <w:b/>
              <w:szCs w:val="24"/>
              <w:lang w:val="en-US" w:eastAsia="zh-CN" w:bidi="ar-SA"/>
            </w:rPr>
            <w:fldChar w:fldCharType="separate"/>
          </w: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_Toc17954 </w:instrText>
          </w:r>
          <w:r>
            <w:rPr>
              <w:rFonts w:hint="default" w:ascii="Arial" w:hAnsi="Arial" w:cs="Arial" w:eastAsiaTheme="minorEastAsia"/>
              <w:szCs w:val="24"/>
              <w:lang w:val="en-US" w:eastAsia="zh-CN" w:bidi="ar-SA"/>
            </w:rPr>
            <w:fldChar w:fldCharType="separate"/>
          </w:r>
          <w:r>
            <w:rPr>
              <w:rFonts w:hint="default"/>
              <w:lang w:val="en-US"/>
            </w:rPr>
            <w:t>Introduction</w:t>
          </w:r>
          <w:r>
            <w:tab/>
          </w:r>
          <w:r>
            <w:fldChar w:fldCharType="begin"/>
          </w:r>
          <w:r>
            <w:instrText xml:space="preserve"> PAGEREF _Toc17954 \h </w:instrText>
          </w:r>
          <w:r>
            <w:fldChar w:fldCharType="separate"/>
          </w:r>
          <w:r>
            <w:t>3</w:t>
          </w:r>
          <w:r>
            <w:fldChar w:fldCharType="end"/>
          </w:r>
          <w:r>
            <w:rPr>
              <w:rFonts w:hint="default" w:ascii="Arial" w:hAnsi="Arial" w:cs="Arial" w:eastAsiaTheme="minorEastAsia"/>
              <w:szCs w:val="24"/>
              <w:lang w:val="en-US" w:eastAsia="zh-CN" w:bidi="ar-SA"/>
            </w:rPr>
            <w:fldChar w:fldCharType="end"/>
          </w:r>
        </w:p>
        <w:p w14:paraId="0164F690">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_Toc11012 </w:instrText>
          </w:r>
          <w:r>
            <w:rPr>
              <w:rFonts w:hint="default" w:ascii="Arial" w:hAnsi="Arial" w:cs="Arial" w:eastAsiaTheme="minorEastAsia"/>
              <w:szCs w:val="24"/>
              <w:lang w:val="en-US" w:eastAsia="zh-CN" w:bidi="ar-SA"/>
            </w:rPr>
            <w:fldChar w:fldCharType="separate"/>
          </w:r>
          <w:r>
            <w:rPr>
              <w:rFonts w:hint="default"/>
            </w:rPr>
            <w:t>Task 1:</w:t>
          </w:r>
          <w:r>
            <w:tab/>
          </w:r>
          <w:r>
            <w:fldChar w:fldCharType="begin"/>
          </w:r>
          <w:r>
            <w:instrText xml:space="preserve"> PAGEREF _Toc11012 \h </w:instrText>
          </w:r>
          <w:r>
            <w:fldChar w:fldCharType="separate"/>
          </w:r>
          <w:r>
            <w:t>4</w:t>
          </w:r>
          <w:r>
            <w:fldChar w:fldCharType="end"/>
          </w:r>
          <w:r>
            <w:rPr>
              <w:rFonts w:hint="default" w:ascii="Arial" w:hAnsi="Arial" w:cs="Arial" w:eastAsiaTheme="minorEastAsia"/>
              <w:szCs w:val="24"/>
              <w:lang w:val="en-US" w:eastAsia="zh-CN" w:bidi="ar-SA"/>
            </w:rPr>
            <w:fldChar w:fldCharType="end"/>
          </w:r>
        </w:p>
        <w:p w14:paraId="189C3AE4">
          <w:pPr>
            <w:pStyle w:val="14"/>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_Toc15802 </w:instrText>
          </w:r>
          <w:r>
            <w:rPr>
              <w:rFonts w:hint="default" w:ascii="Arial" w:hAnsi="Arial" w:cs="Arial" w:eastAsiaTheme="minorEastAsia"/>
              <w:szCs w:val="24"/>
              <w:lang w:val="en-US" w:eastAsia="zh-CN" w:bidi="ar-SA"/>
            </w:rPr>
            <w:fldChar w:fldCharType="separate"/>
          </w:r>
          <w:r>
            <w:rPr>
              <w:rFonts w:hint="default" w:ascii="Arial" w:hAnsi="Arial" w:cs="Arial"/>
              <w:szCs w:val="24"/>
            </w:rPr>
            <w:t>Analysis of M</w:t>
          </w:r>
          <w:r>
            <w:rPr>
              <w:rFonts w:hint="default" w:ascii="Arial" w:hAnsi="Arial" w:cs="Arial"/>
              <w:szCs w:val="24"/>
              <w:lang w:val="en-US"/>
            </w:rPr>
            <w:t>a</w:t>
          </w:r>
          <w:r>
            <w:rPr>
              <w:rFonts w:hint="default" w:ascii="Arial" w:hAnsi="Arial" w:cs="Arial"/>
              <w:szCs w:val="24"/>
            </w:rPr>
            <w:t>cro Marketing Actors</w:t>
          </w:r>
          <w:r>
            <w:tab/>
          </w:r>
          <w:r>
            <w:fldChar w:fldCharType="begin"/>
          </w:r>
          <w:r>
            <w:instrText xml:space="preserve"> PAGEREF _Toc15802 \h </w:instrText>
          </w:r>
          <w:r>
            <w:fldChar w:fldCharType="separate"/>
          </w:r>
          <w:r>
            <w:t>5</w:t>
          </w:r>
          <w:r>
            <w:fldChar w:fldCharType="end"/>
          </w:r>
          <w:r>
            <w:rPr>
              <w:rFonts w:hint="default" w:ascii="Arial" w:hAnsi="Arial" w:cs="Arial" w:eastAsiaTheme="minorEastAsia"/>
              <w:szCs w:val="24"/>
              <w:lang w:val="en-US" w:eastAsia="zh-CN" w:bidi="ar-SA"/>
            </w:rPr>
            <w:fldChar w:fldCharType="end"/>
          </w:r>
        </w:p>
        <w:p w14:paraId="19508147">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_Toc19378 </w:instrText>
          </w:r>
          <w:r>
            <w:rPr>
              <w:rFonts w:hint="default" w:ascii="Arial" w:hAnsi="Arial" w:cs="Arial" w:eastAsiaTheme="minorEastAsia"/>
              <w:szCs w:val="24"/>
              <w:lang w:val="en-US" w:eastAsia="zh-CN" w:bidi="ar-SA"/>
            </w:rPr>
            <w:fldChar w:fldCharType="separate"/>
          </w:r>
          <w:r>
            <w:rPr>
              <w:rFonts w:hint="default" w:ascii="Arial" w:hAnsi="Arial" w:cs="Arial"/>
              <w:bCs/>
            </w:rPr>
            <w:t xml:space="preserve">1. </w:t>
          </w:r>
          <w:r>
            <w:rPr>
              <w:rFonts w:hint="default" w:ascii="Arial" w:hAnsi="Arial" w:cs="Arial"/>
              <w:bCs/>
              <w:lang w:val="en-US"/>
            </w:rPr>
            <w:t>Political</w:t>
          </w:r>
          <w:r>
            <w:rPr>
              <w:rFonts w:hint="default" w:ascii="Arial" w:hAnsi="Arial" w:cs="Arial"/>
              <w:bCs/>
            </w:rPr>
            <w:t xml:space="preserve"> Environment</w:t>
          </w:r>
          <w:r>
            <w:rPr>
              <w:rFonts w:hint="default" w:ascii="Arial" w:hAnsi="Arial" w:cs="Arial"/>
              <w:bCs/>
              <w:lang w:val="en-US"/>
            </w:rPr>
            <w:t xml:space="preserve"> factor</w:t>
          </w:r>
          <w:r>
            <w:tab/>
          </w:r>
          <w:r>
            <w:fldChar w:fldCharType="begin"/>
          </w:r>
          <w:r>
            <w:instrText xml:space="preserve"> PAGEREF _Toc19378 \h </w:instrText>
          </w:r>
          <w:r>
            <w:fldChar w:fldCharType="separate"/>
          </w:r>
          <w:r>
            <w:t>5</w:t>
          </w:r>
          <w:r>
            <w:fldChar w:fldCharType="end"/>
          </w:r>
          <w:r>
            <w:rPr>
              <w:rFonts w:hint="default" w:ascii="Arial" w:hAnsi="Arial" w:cs="Arial" w:eastAsiaTheme="minorEastAsia"/>
              <w:szCs w:val="24"/>
              <w:lang w:val="en-US" w:eastAsia="zh-CN" w:bidi="ar-SA"/>
            </w:rPr>
            <w:fldChar w:fldCharType="end"/>
          </w:r>
        </w:p>
        <w:p w14:paraId="0CF303F7">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_Toc28911 </w:instrText>
          </w:r>
          <w:r>
            <w:rPr>
              <w:rFonts w:hint="default" w:ascii="Arial" w:hAnsi="Arial" w:cs="Arial" w:eastAsiaTheme="minorEastAsia"/>
              <w:szCs w:val="24"/>
              <w:lang w:val="en-US" w:eastAsia="zh-CN" w:bidi="ar-SA"/>
            </w:rPr>
            <w:fldChar w:fldCharType="separate"/>
          </w:r>
          <w:r>
            <w:rPr>
              <w:rFonts w:hint="default" w:ascii="Arial" w:hAnsi="Arial" w:cs="Arial"/>
              <w:bCs/>
              <w:szCs w:val="24"/>
            </w:rPr>
            <w:t xml:space="preserve">2. </w:t>
          </w:r>
          <w:r>
            <w:rPr>
              <w:rFonts w:hint="default" w:ascii="Arial" w:hAnsi="Arial" w:cs="Arial"/>
              <w:bCs/>
              <w:szCs w:val="24"/>
            </w:rPr>
            <w:t>Economic Factor</w:t>
          </w:r>
          <w:r>
            <w:tab/>
          </w:r>
          <w:r>
            <w:fldChar w:fldCharType="begin"/>
          </w:r>
          <w:r>
            <w:instrText xml:space="preserve"> PAGEREF _Toc28911 \h </w:instrText>
          </w:r>
          <w:r>
            <w:fldChar w:fldCharType="separate"/>
          </w:r>
          <w:r>
            <w:t>5</w:t>
          </w:r>
          <w:r>
            <w:fldChar w:fldCharType="end"/>
          </w:r>
          <w:r>
            <w:rPr>
              <w:rFonts w:hint="default" w:ascii="Arial" w:hAnsi="Arial" w:cs="Arial" w:eastAsiaTheme="minorEastAsia"/>
              <w:szCs w:val="24"/>
              <w:lang w:val="en-US" w:eastAsia="zh-CN" w:bidi="ar-SA"/>
            </w:rPr>
            <w:fldChar w:fldCharType="end"/>
          </w:r>
        </w:p>
        <w:p w14:paraId="6C0A5355">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_Toc28541 </w:instrText>
          </w:r>
          <w:r>
            <w:rPr>
              <w:rFonts w:hint="default" w:ascii="Arial" w:hAnsi="Arial" w:cs="Arial" w:eastAsiaTheme="minorEastAsia"/>
              <w:szCs w:val="24"/>
              <w:lang w:val="en-US" w:eastAsia="zh-CN" w:bidi="ar-SA"/>
            </w:rPr>
            <w:fldChar w:fldCharType="separate"/>
          </w:r>
          <w:r>
            <w:rPr>
              <w:rFonts w:hint="default" w:ascii="Arial" w:hAnsi="Arial" w:eastAsia="SimSun" w:cs="Arial"/>
              <w:bCs/>
              <w:i w:val="0"/>
              <w:iCs w:val="0"/>
              <w:szCs w:val="24"/>
              <w:shd w:val="clear" w:fill="auto"/>
              <w:lang w:val="en-US"/>
            </w:rPr>
            <w:t xml:space="preserve">5. </w:t>
          </w:r>
          <w:r>
            <w:rPr>
              <w:rFonts w:hint="default" w:ascii="Arial" w:hAnsi="Arial" w:eastAsia="SimSun" w:cs="Arial"/>
              <w:bCs/>
              <w:szCs w:val="24"/>
              <w:shd w:val="clear" w:color="auto" w:fill="auto"/>
              <w:lang w:val="en-US"/>
            </w:rPr>
            <w:t>Envir</w:t>
          </w:r>
          <w:r>
            <w:rPr>
              <w:rFonts w:hint="default" w:ascii="Arial" w:hAnsi="Arial" w:eastAsia="SimSun" w:cs="Arial"/>
              <w:bCs/>
              <w:i w:val="0"/>
              <w:iCs w:val="0"/>
              <w:szCs w:val="24"/>
              <w:shd w:val="clear" w:color="auto" w:fill="auto"/>
              <w:lang w:val="en-US"/>
            </w:rPr>
            <w:t>onmental factor</w:t>
          </w:r>
          <w:r>
            <w:tab/>
          </w:r>
          <w:r>
            <w:fldChar w:fldCharType="begin"/>
          </w:r>
          <w:r>
            <w:instrText xml:space="preserve"> PAGEREF _Toc28541 \h </w:instrText>
          </w:r>
          <w:r>
            <w:fldChar w:fldCharType="separate"/>
          </w:r>
          <w:r>
            <w:t>6</w:t>
          </w:r>
          <w:r>
            <w:fldChar w:fldCharType="end"/>
          </w:r>
          <w:r>
            <w:rPr>
              <w:rFonts w:hint="default" w:ascii="Arial" w:hAnsi="Arial" w:cs="Arial" w:eastAsiaTheme="minorEastAsia"/>
              <w:szCs w:val="24"/>
              <w:lang w:val="en-US" w:eastAsia="zh-CN" w:bidi="ar-SA"/>
            </w:rPr>
            <w:fldChar w:fldCharType="end"/>
          </w:r>
        </w:p>
        <w:p w14:paraId="7F55CB23">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_Toc22000 </w:instrText>
          </w:r>
          <w:r>
            <w:rPr>
              <w:rFonts w:hint="default" w:ascii="Arial" w:hAnsi="Arial" w:cs="Arial" w:eastAsiaTheme="minorEastAsia"/>
              <w:szCs w:val="24"/>
              <w:lang w:val="en-US" w:eastAsia="zh-CN" w:bidi="ar-SA"/>
            </w:rPr>
            <w:fldChar w:fldCharType="separate"/>
          </w:r>
          <w:r>
            <w:rPr>
              <w:rFonts w:hint="default" w:ascii="Arial" w:hAnsi="Arial" w:cs="Arial"/>
              <w:bCs/>
              <w:szCs w:val="24"/>
              <w:lang w:val="en-US"/>
            </w:rPr>
            <w:t xml:space="preserve">6. </w:t>
          </w:r>
          <w:r>
            <w:rPr>
              <w:rFonts w:hint="default" w:ascii="Arial" w:hAnsi="Arial" w:cs="Arial"/>
              <w:bCs/>
              <w:szCs w:val="24"/>
              <w:lang w:val="en-US"/>
            </w:rPr>
            <w:t>Legal factors</w:t>
          </w:r>
          <w:r>
            <w:tab/>
          </w:r>
          <w:r>
            <w:fldChar w:fldCharType="begin"/>
          </w:r>
          <w:r>
            <w:instrText xml:space="preserve"> PAGEREF _Toc22000 \h </w:instrText>
          </w:r>
          <w:r>
            <w:fldChar w:fldCharType="separate"/>
          </w:r>
          <w:r>
            <w:t>6</w:t>
          </w:r>
          <w:r>
            <w:fldChar w:fldCharType="end"/>
          </w:r>
          <w:r>
            <w:rPr>
              <w:rFonts w:hint="default" w:ascii="Arial" w:hAnsi="Arial" w:cs="Arial" w:eastAsiaTheme="minorEastAsia"/>
              <w:szCs w:val="24"/>
              <w:lang w:val="en-US" w:eastAsia="zh-CN" w:bidi="ar-SA"/>
            </w:rPr>
            <w:fldChar w:fldCharType="end"/>
          </w:r>
        </w:p>
        <w:p w14:paraId="0736DE47">
          <w:pPr>
            <w:pStyle w:val="14"/>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_Toc13682 </w:instrText>
          </w:r>
          <w:r>
            <w:rPr>
              <w:rFonts w:hint="default" w:ascii="Arial" w:hAnsi="Arial" w:cs="Arial" w:eastAsiaTheme="minorEastAsia"/>
              <w:szCs w:val="24"/>
              <w:lang w:val="en-US" w:eastAsia="zh-CN" w:bidi="ar-SA"/>
            </w:rPr>
            <w:fldChar w:fldCharType="separate"/>
          </w:r>
          <w:r>
            <w:rPr>
              <w:rFonts w:hint="default" w:ascii="Arial" w:hAnsi="Arial" w:cs="Arial"/>
              <w:i w:val="0"/>
              <w:iCs w:val="0"/>
              <w:szCs w:val="24"/>
            </w:rPr>
            <w:t>B. Political Environment</w:t>
          </w:r>
          <w:r>
            <w:tab/>
          </w:r>
          <w:r>
            <w:fldChar w:fldCharType="begin"/>
          </w:r>
          <w:r>
            <w:instrText xml:space="preserve"> PAGEREF _Toc13682 \h </w:instrText>
          </w:r>
          <w:r>
            <w:fldChar w:fldCharType="separate"/>
          </w:r>
          <w:r>
            <w:t>8</w:t>
          </w:r>
          <w:r>
            <w:fldChar w:fldCharType="end"/>
          </w:r>
          <w:r>
            <w:rPr>
              <w:rFonts w:hint="default" w:ascii="Arial" w:hAnsi="Arial" w:cs="Arial" w:eastAsiaTheme="minorEastAsia"/>
              <w:szCs w:val="24"/>
              <w:lang w:val="en-US" w:eastAsia="zh-CN" w:bidi="ar-SA"/>
            </w:rPr>
            <w:fldChar w:fldCharType="end"/>
          </w:r>
        </w:p>
        <w:p w14:paraId="69233FB5">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_Toc29389 </w:instrText>
          </w:r>
          <w:r>
            <w:rPr>
              <w:rFonts w:hint="default" w:ascii="Arial" w:hAnsi="Arial" w:cs="Arial" w:eastAsiaTheme="minorEastAsia"/>
              <w:szCs w:val="24"/>
              <w:lang w:val="en-US" w:eastAsia="zh-CN" w:bidi="ar-SA"/>
            </w:rPr>
            <w:fldChar w:fldCharType="separate"/>
          </w:r>
          <w:r>
            <w:rPr>
              <w:rFonts w:hint="default"/>
            </w:rPr>
            <w:t>Task 2:</w:t>
          </w:r>
          <w:r>
            <w:tab/>
          </w:r>
          <w:r>
            <w:fldChar w:fldCharType="begin"/>
          </w:r>
          <w:r>
            <w:instrText xml:space="preserve"> PAGEREF _Toc29389 \h </w:instrText>
          </w:r>
          <w:r>
            <w:fldChar w:fldCharType="separate"/>
          </w:r>
          <w:r>
            <w:t>10</w:t>
          </w:r>
          <w:r>
            <w:fldChar w:fldCharType="end"/>
          </w:r>
          <w:r>
            <w:rPr>
              <w:rFonts w:hint="default" w:ascii="Arial" w:hAnsi="Arial" w:cs="Arial" w:eastAsiaTheme="minorEastAsia"/>
              <w:szCs w:val="24"/>
              <w:lang w:val="en-US" w:eastAsia="zh-CN" w:bidi="ar-SA"/>
            </w:rPr>
            <w:fldChar w:fldCharType="end"/>
          </w:r>
        </w:p>
        <w:p w14:paraId="032B35AA">
          <w:pPr>
            <w:pStyle w:val="14"/>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_Toc10696 </w:instrText>
          </w:r>
          <w:r>
            <w:rPr>
              <w:rFonts w:hint="default" w:ascii="Arial" w:hAnsi="Arial" w:cs="Arial" w:eastAsiaTheme="minorEastAsia"/>
              <w:szCs w:val="24"/>
              <w:lang w:val="en-US" w:eastAsia="zh-CN" w:bidi="ar-SA"/>
            </w:rPr>
            <w:fldChar w:fldCharType="separate"/>
          </w:r>
          <w:r>
            <w:rPr>
              <w:rFonts w:hint="default" w:ascii="Arial" w:hAnsi="Arial" w:cs="Arial"/>
              <w:szCs w:val="24"/>
              <w:lang w:val="en-US"/>
            </w:rPr>
            <w:t>conclusion</w:t>
          </w:r>
          <w:r>
            <w:tab/>
          </w:r>
          <w:r>
            <w:fldChar w:fldCharType="begin"/>
          </w:r>
          <w:r>
            <w:instrText xml:space="preserve"> PAGEREF _Toc10696 \h </w:instrText>
          </w:r>
          <w:r>
            <w:fldChar w:fldCharType="separate"/>
          </w:r>
          <w:r>
            <w:t>14</w:t>
          </w:r>
          <w:r>
            <w:fldChar w:fldCharType="end"/>
          </w:r>
          <w:r>
            <w:rPr>
              <w:rFonts w:hint="default" w:ascii="Arial" w:hAnsi="Arial" w:cs="Arial" w:eastAsiaTheme="minorEastAsia"/>
              <w:szCs w:val="24"/>
              <w:lang w:val="en-US" w:eastAsia="zh-CN" w:bidi="ar-SA"/>
            </w:rPr>
            <w:fldChar w:fldCharType="end"/>
          </w:r>
        </w:p>
        <w:p w14:paraId="2427469F">
          <w:pPr>
            <w:pStyle w:val="13"/>
            <w:tabs>
              <w:tab w:val="right" w:leader="dot" w:pos="8306"/>
            </w:tabs>
          </w:pPr>
          <w:r>
            <w:rPr>
              <w:rFonts w:hint="default" w:ascii="Arial" w:hAnsi="Arial" w:cs="Arial" w:eastAsiaTheme="minorEastAsia"/>
              <w:szCs w:val="24"/>
              <w:lang w:val="en-US" w:eastAsia="zh-CN" w:bidi="ar-SA"/>
            </w:rPr>
            <w:fldChar w:fldCharType="begin"/>
          </w:r>
          <w:r>
            <w:rPr>
              <w:rFonts w:hint="default" w:ascii="Arial" w:hAnsi="Arial" w:cs="Arial" w:eastAsiaTheme="minorEastAsia"/>
              <w:szCs w:val="24"/>
              <w:lang w:val="en-US" w:eastAsia="zh-CN" w:bidi="ar-SA"/>
            </w:rPr>
            <w:instrText xml:space="preserve"> HYPERLINK \l _Toc28576 </w:instrText>
          </w:r>
          <w:r>
            <w:rPr>
              <w:rFonts w:hint="default" w:ascii="Arial" w:hAnsi="Arial" w:cs="Arial" w:eastAsiaTheme="minorEastAsia"/>
              <w:szCs w:val="24"/>
              <w:lang w:val="en-US" w:eastAsia="zh-CN" w:bidi="ar-SA"/>
            </w:rPr>
            <w:fldChar w:fldCharType="separate"/>
          </w:r>
          <w:r>
            <w:rPr>
              <w:rFonts w:hint="default"/>
              <w:lang w:val="en-US"/>
            </w:rPr>
            <w:t>References</w:t>
          </w:r>
          <w:r>
            <w:tab/>
          </w:r>
          <w:r>
            <w:fldChar w:fldCharType="begin"/>
          </w:r>
          <w:r>
            <w:instrText xml:space="preserve"> PAGEREF _Toc28576 \h </w:instrText>
          </w:r>
          <w:r>
            <w:fldChar w:fldCharType="separate"/>
          </w:r>
          <w:r>
            <w:t>15</w:t>
          </w:r>
          <w:r>
            <w:fldChar w:fldCharType="end"/>
          </w:r>
          <w:r>
            <w:rPr>
              <w:rFonts w:hint="default" w:ascii="Arial" w:hAnsi="Arial" w:cs="Arial" w:eastAsiaTheme="minorEastAsia"/>
              <w:szCs w:val="24"/>
              <w:lang w:val="en-US" w:eastAsia="zh-CN" w:bidi="ar-SA"/>
            </w:rPr>
            <w:fldChar w:fldCharType="end"/>
          </w:r>
        </w:p>
        <w:p w14:paraId="15E2A7FC">
          <w:pPr>
            <w:rPr>
              <w:rFonts w:hint="default" w:ascii="Arial" w:hAnsi="Arial" w:cs="Arial" w:eastAsiaTheme="minorEastAsia"/>
              <w:szCs w:val="24"/>
              <w:lang w:val="en-US" w:eastAsia="zh-CN" w:bidi="ar-SA"/>
            </w:rPr>
          </w:pPr>
          <w:r>
            <w:rPr>
              <w:rFonts w:hint="default" w:ascii="Arial" w:hAnsi="Arial" w:cs="Arial" w:eastAsiaTheme="minorEastAsia"/>
              <w:szCs w:val="24"/>
              <w:lang w:val="en-US" w:eastAsia="zh-CN" w:bidi="ar-SA"/>
            </w:rPr>
            <w:fldChar w:fldCharType="end"/>
          </w:r>
        </w:p>
      </w:sdtContent>
    </w:sdt>
    <w:p w14:paraId="2B504891">
      <w:pPr>
        <w:rPr>
          <w:rFonts w:hint="default" w:ascii="Arial" w:hAnsi="Arial" w:cs="Arial" w:eastAsiaTheme="minorEastAsia"/>
          <w:szCs w:val="24"/>
          <w:lang w:val="en-US" w:eastAsia="zh-CN" w:bidi="ar-SA"/>
        </w:rPr>
      </w:pPr>
    </w:p>
    <w:p w14:paraId="1C465008">
      <w:pPr>
        <w:rPr>
          <w:rFonts w:hint="default" w:ascii="Arial" w:hAnsi="Arial" w:cs="Arial"/>
          <w:sz w:val="24"/>
          <w:szCs w:val="24"/>
          <w:lang w:val="en-US"/>
        </w:rPr>
      </w:pPr>
    </w:p>
    <w:p w14:paraId="37DD5EC3">
      <w:pPr>
        <w:rPr>
          <w:rFonts w:hint="default" w:ascii="Arial" w:hAnsi="Arial" w:cs="Arial"/>
          <w:sz w:val="24"/>
          <w:szCs w:val="24"/>
          <w:lang w:val="en-US"/>
        </w:rPr>
      </w:pPr>
    </w:p>
    <w:p w14:paraId="36B53554">
      <w:pPr>
        <w:rPr>
          <w:rFonts w:hint="default" w:ascii="Arial" w:hAnsi="Arial" w:cs="Arial"/>
          <w:sz w:val="24"/>
          <w:szCs w:val="24"/>
          <w:lang w:val="en-US"/>
        </w:rPr>
      </w:pPr>
    </w:p>
    <w:p w14:paraId="27093F91">
      <w:pPr>
        <w:rPr>
          <w:rFonts w:hint="default" w:ascii="Arial" w:hAnsi="Arial" w:cs="Arial"/>
          <w:sz w:val="24"/>
          <w:szCs w:val="24"/>
          <w:lang w:val="en-US"/>
        </w:rPr>
      </w:pPr>
    </w:p>
    <w:p w14:paraId="316EB116">
      <w:pPr>
        <w:rPr>
          <w:rFonts w:hint="default" w:ascii="Arial" w:hAnsi="Arial" w:cs="Arial"/>
          <w:sz w:val="24"/>
          <w:szCs w:val="24"/>
          <w:lang w:val="en-US"/>
        </w:rPr>
      </w:pPr>
    </w:p>
    <w:p w14:paraId="0AE2DD0F">
      <w:pPr>
        <w:rPr>
          <w:rFonts w:hint="default" w:ascii="Arial" w:hAnsi="Arial" w:cs="Arial"/>
          <w:sz w:val="24"/>
          <w:szCs w:val="24"/>
          <w:lang w:val="en-US"/>
        </w:rPr>
      </w:pPr>
    </w:p>
    <w:p w14:paraId="23F70710">
      <w:pPr>
        <w:rPr>
          <w:rFonts w:hint="default" w:ascii="Arial" w:hAnsi="Arial" w:cs="Arial"/>
          <w:sz w:val="24"/>
          <w:szCs w:val="24"/>
          <w:lang w:val="en-US"/>
        </w:rPr>
      </w:pPr>
    </w:p>
    <w:p w14:paraId="47C739A6">
      <w:pPr>
        <w:rPr>
          <w:rFonts w:hint="default" w:ascii="Arial" w:hAnsi="Arial" w:cs="Arial"/>
          <w:sz w:val="24"/>
          <w:szCs w:val="24"/>
          <w:lang w:val="en-US"/>
        </w:rPr>
      </w:pPr>
    </w:p>
    <w:p w14:paraId="4B13C0AB">
      <w:pPr>
        <w:rPr>
          <w:rFonts w:hint="default" w:ascii="Arial" w:hAnsi="Arial" w:cs="Arial"/>
          <w:sz w:val="24"/>
          <w:szCs w:val="24"/>
          <w:lang w:val="en-US"/>
        </w:rPr>
      </w:pPr>
    </w:p>
    <w:p w14:paraId="38EEFD9D">
      <w:pPr>
        <w:rPr>
          <w:rFonts w:hint="default" w:ascii="Arial" w:hAnsi="Arial" w:cs="Arial"/>
          <w:sz w:val="24"/>
          <w:szCs w:val="24"/>
          <w:lang w:val="en-US"/>
        </w:rPr>
      </w:pPr>
    </w:p>
    <w:p w14:paraId="2653D1DD">
      <w:pPr>
        <w:rPr>
          <w:rFonts w:hint="default" w:ascii="Arial" w:hAnsi="Arial" w:cs="Arial"/>
          <w:sz w:val="24"/>
          <w:szCs w:val="24"/>
          <w:lang w:val="en-US"/>
        </w:rPr>
      </w:pPr>
    </w:p>
    <w:p w14:paraId="675D632F">
      <w:pPr>
        <w:rPr>
          <w:rFonts w:hint="default" w:ascii="Arial" w:hAnsi="Arial" w:cs="Arial"/>
          <w:sz w:val="24"/>
          <w:szCs w:val="24"/>
          <w:lang w:val="en-US"/>
        </w:rPr>
      </w:pPr>
    </w:p>
    <w:p w14:paraId="22C3D116">
      <w:pPr>
        <w:rPr>
          <w:rFonts w:hint="default" w:ascii="Arial" w:hAnsi="Arial" w:cs="Arial"/>
          <w:sz w:val="24"/>
          <w:szCs w:val="24"/>
          <w:lang w:val="en-US"/>
        </w:rPr>
      </w:pPr>
    </w:p>
    <w:p w14:paraId="266B7D7B">
      <w:pPr>
        <w:rPr>
          <w:rFonts w:hint="default" w:ascii="Arial" w:hAnsi="Arial" w:cs="Arial"/>
          <w:sz w:val="24"/>
          <w:szCs w:val="24"/>
          <w:lang w:val="en-US"/>
        </w:rPr>
      </w:pPr>
    </w:p>
    <w:p w14:paraId="6D53CDA0">
      <w:pPr>
        <w:rPr>
          <w:rFonts w:hint="default" w:ascii="Arial" w:hAnsi="Arial" w:cs="Arial"/>
          <w:sz w:val="24"/>
          <w:szCs w:val="24"/>
          <w:lang w:val="en-US"/>
        </w:rPr>
      </w:pPr>
    </w:p>
    <w:p w14:paraId="7892E5D9">
      <w:pPr>
        <w:rPr>
          <w:rFonts w:hint="default" w:ascii="Arial" w:hAnsi="Arial" w:cs="Arial"/>
          <w:sz w:val="24"/>
          <w:szCs w:val="24"/>
          <w:lang w:val="en-US"/>
        </w:rPr>
      </w:pPr>
    </w:p>
    <w:p w14:paraId="531D551E">
      <w:pPr>
        <w:rPr>
          <w:rFonts w:hint="default" w:ascii="Arial" w:hAnsi="Arial" w:cs="Arial"/>
          <w:sz w:val="24"/>
          <w:szCs w:val="24"/>
          <w:lang w:val="en-US"/>
        </w:rPr>
      </w:pPr>
    </w:p>
    <w:p w14:paraId="69EE6E0C">
      <w:pPr>
        <w:rPr>
          <w:rFonts w:hint="default" w:ascii="Arial" w:hAnsi="Arial" w:cs="Arial"/>
          <w:sz w:val="24"/>
          <w:szCs w:val="24"/>
          <w:lang w:val="en-US"/>
        </w:rPr>
      </w:pPr>
    </w:p>
    <w:p w14:paraId="2E0C00F5">
      <w:pPr>
        <w:rPr>
          <w:rFonts w:hint="default" w:ascii="Arial" w:hAnsi="Arial" w:cs="Arial"/>
          <w:sz w:val="24"/>
          <w:szCs w:val="24"/>
          <w:lang w:val="en-US"/>
        </w:rPr>
      </w:pPr>
    </w:p>
    <w:p w14:paraId="6920782D">
      <w:pPr>
        <w:rPr>
          <w:rFonts w:hint="default" w:ascii="Arial" w:hAnsi="Arial" w:cs="Arial"/>
          <w:sz w:val="24"/>
          <w:szCs w:val="24"/>
          <w:lang w:val="en-US"/>
        </w:rPr>
      </w:pPr>
    </w:p>
    <w:p w14:paraId="78F58299">
      <w:pPr>
        <w:rPr>
          <w:rFonts w:hint="default" w:ascii="Arial" w:hAnsi="Arial" w:cs="Arial"/>
          <w:sz w:val="24"/>
          <w:szCs w:val="24"/>
          <w:lang w:val="en-US"/>
        </w:rPr>
      </w:pPr>
    </w:p>
    <w:p w14:paraId="560ABE9E">
      <w:pPr>
        <w:rPr>
          <w:rFonts w:hint="default" w:ascii="Arial" w:hAnsi="Arial" w:cs="Arial"/>
          <w:sz w:val="24"/>
          <w:szCs w:val="24"/>
          <w:lang w:val="en-US"/>
        </w:rPr>
      </w:pPr>
    </w:p>
    <w:p w14:paraId="06BD729A">
      <w:pPr>
        <w:rPr>
          <w:rFonts w:hint="default" w:ascii="Arial" w:hAnsi="Arial" w:cs="Arial"/>
          <w:sz w:val="24"/>
          <w:szCs w:val="24"/>
          <w:lang w:val="en-US"/>
        </w:rPr>
      </w:pPr>
    </w:p>
    <w:p w14:paraId="36E5CB6D">
      <w:pPr>
        <w:rPr>
          <w:rFonts w:hint="default" w:ascii="Arial" w:hAnsi="Arial" w:cs="Arial"/>
          <w:sz w:val="24"/>
          <w:szCs w:val="24"/>
          <w:lang w:val="en-US"/>
        </w:rPr>
      </w:pPr>
    </w:p>
    <w:p w14:paraId="731E7FC0">
      <w:pPr>
        <w:rPr>
          <w:rFonts w:hint="default" w:ascii="Arial" w:hAnsi="Arial" w:cs="Arial"/>
          <w:sz w:val="24"/>
          <w:szCs w:val="24"/>
          <w:lang w:val="en-US"/>
        </w:rPr>
      </w:pPr>
    </w:p>
    <w:p w14:paraId="7576F311">
      <w:pPr>
        <w:rPr>
          <w:rFonts w:hint="default" w:ascii="Arial" w:hAnsi="Arial" w:cs="Arial"/>
          <w:sz w:val="24"/>
          <w:szCs w:val="24"/>
          <w:lang w:val="en-US"/>
        </w:rPr>
      </w:pPr>
    </w:p>
    <w:p w14:paraId="6F64FAC5">
      <w:pPr>
        <w:rPr>
          <w:rFonts w:hint="default" w:ascii="Arial" w:hAnsi="Arial" w:cs="Arial"/>
          <w:sz w:val="24"/>
          <w:szCs w:val="24"/>
          <w:lang w:val="en-US"/>
        </w:rPr>
      </w:pPr>
    </w:p>
    <w:p w14:paraId="72179FC8">
      <w:pPr>
        <w:rPr>
          <w:rFonts w:hint="default" w:ascii="Arial" w:hAnsi="Arial" w:cs="Arial"/>
          <w:sz w:val="24"/>
          <w:szCs w:val="24"/>
          <w:lang w:val="en-US"/>
        </w:rPr>
      </w:pPr>
    </w:p>
    <w:p w14:paraId="697D4E7B">
      <w:pPr>
        <w:rPr>
          <w:rFonts w:hint="default" w:ascii="Arial" w:hAnsi="Arial" w:cs="Arial"/>
          <w:sz w:val="24"/>
          <w:szCs w:val="24"/>
          <w:lang w:val="en-US"/>
        </w:rPr>
      </w:pPr>
    </w:p>
    <w:p w14:paraId="6A6161DB">
      <w:pPr>
        <w:rPr>
          <w:rFonts w:hint="default" w:ascii="Arial" w:hAnsi="Arial" w:cs="Arial"/>
          <w:sz w:val="24"/>
          <w:szCs w:val="24"/>
          <w:lang w:val="en-US"/>
        </w:rPr>
      </w:pPr>
    </w:p>
    <w:p w14:paraId="6B8006E8">
      <w:pPr>
        <w:rPr>
          <w:rFonts w:hint="default" w:ascii="Arial" w:hAnsi="Arial" w:cs="Arial"/>
          <w:sz w:val="24"/>
          <w:szCs w:val="24"/>
          <w:lang w:val="en-US"/>
        </w:rPr>
      </w:pPr>
    </w:p>
    <w:p w14:paraId="615B77A4">
      <w:pPr>
        <w:rPr>
          <w:rFonts w:hint="default" w:ascii="Arial" w:hAnsi="Arial" w:cs="Arial"/>
          <w:sz w:val="24"/>
          <w:szCs w:val="24"/>
          <w:lang w:val="en-US"/>
        </w:rPr>
      </w:pPr>
    </w:p>
    <w:p w14:paraId="1983D8ED">
      <w:pPr>
        <w:rPr>
          <w:rFonts w:hint="default" w:ascii="Arial" w:hAnsi="Arial" w:cs="Arial"/>
          <w:sz w:val="24"/>
          <w:szCs w:val="24"/>
          <w:lang w:val="en-US"/>
        </w:rPr>
      </w:pPr>
    </w:p>
    <w:p w14:paraId="4FA11F9A">
      <w:pPr>
        <w:rPr>
          <w:rFonts w:hint="default" w:ascii="Arial" w:hAnsi="Arial" w:cs="Arial"/>
          <w:sz w:val="24"/>
          <w:szCs w:val="24"/>
          <w:lang w:val="en-US"/>
        </w:rPr>
      </w:pPr>
    </w:p>
    <w:p w14:paraId="71DB9A93">
      <w:pPr>
        <w:rPr>
          <w:rFonts w:hint="default" w:ascii="Arial" w:hAnsi="Arial" w:cs="Arial"/>
          <w:sz w:val="24"/>
          <w:szCs w:val="24"/>
          <w:lang w:val="en-US"/>
        </w:rPr>
      </w:pPr>
    </w:p>
    <w:p w14:paraId="47C15F15">
      <w:pPr>
        <w:rPr>
          <w:rFonts w:hint="default" w:ascii="Arial" w:hAnsi="Arial" w:cs="Arial"/>
          <w:sz w:val="24"/>
          <w:szCs w:val="24"/>
          <w:lang w:val="en-US"/>
        </w:rPr>
      </w:pPr>
    </w:p>
    <w:p w14:paraId="6738C6AE">
      <w:pPr>
        <w:rPr>
          <w:rFonts w:hint="default" w:ascii="Arial" w:hAnsi="Arial" w:cs="Arial"/>
          <w:sz w:val="24"/>
          <w:szCs w:val="24"/>
          <w:lang w:val="en-US"/>
        </w:rPr>
      </w:pPr>
    </w:p>
    <w:p w14:paraId="0856B002">
      <w:pPr>
        <w:pStyle w:val="2"/>
        <w:bidi w:val="0"/>
        <w:spacing w:line="360" w:lineRule="auto"/>
        <w:rPr>
          <w:rFonts w:hint="default"/>
          <w:lang w:val="en-US"/>
        </w:rPr>
      </w:pPr>
      <w:bookmarkStart w:id="0" w:name="_Toc1313"/>
      <w:bookmarkStart w:id="1" w:name="_Toc4246"/>
      <w:bookmarkStart w:id="2" w:name="_Toc17954"/>
      <w:r>
        <w:rPr>
          <w:rFonts w:hint="default"/>
          <w:lang w:val="en-US"/>
        </w:rPr>
        <w:t>Introduction</w:t>
      </w:r>
      <w:bookmarkEnd w:id="0"/>
      <w:bookmarkEnd w:id="1"/>
      <w:bookmarkEnd w:id="2"/>
      <w:r>
        <w:rPr>
          <w:rFonts w:hint="default"/>
          <w:lang w:val="en-US"/>
        </w:rPr>
        <w:t xml:space="preserve">  </w:t>
      </w:r>
    </w:p>
    <w:p w14:paraId="6AB7E811">
      <w:pPr>
        <w:pStyle w:val="11"/>
        <w:tabs>
          <w:tab w:val="left" w:pos="10065"/>
        </w:tabs>
        <w:spacing w:line="360" w:lineRule="auto"/>
        <w:ind w:left="426"/>
        <w:jc w:val="both"/>
        <w:rPr>
          <w:rFonts w:hint="default" w:ascii="Arial" w:hAnsi="Arial"/>
          <w:b w:val="0"/>
          <w:bCs w:val="0"/>
          <w:sz w:val="24"/>
          <w:szCs w:val="24"/>
          <w:lang w:val="en-US"/>
        </w:rPr>
      </w:pPr>
      <w:r>
        <w:rPr>
          <w:rFonts w:hint="default" w:ascii="Arial" w:hAnsi="Arial"/>
          <w:b w:val="0"/>
          <w:bCs w:val="0"/>
          <w:sz w:val="24"/>
          <w:szCs w:val="24"/>
          <w:lang w:val="en-US"/>
        </w:rPr>
        <w:t>This assignment examines the macro marketing environment in detail, which plays a critical role in strategic marketing management. In today's rapidly changing and highly competitive global marketplace, it is critical for every organization to recognize external variables that impact its performance and ultimately its success over time. I will outline the types of macro marketing factors and critically assess how changes within macro marketing factors can provide both an opportunity and a threat for organizations.</w:t>
      </w:r>
    </w:p>
    <w:p w14:paraId="5E81330A">
      <w:pPr>
        <w:pStyle w:val="11"/>
        <w:tabs>
          <w:tab w:val="left" w:pos="10065"/>
        </w:tabs>
        <w:spacing w:line="360" w:lineRule="auto"/>
        <w:ind w:left="426"/>
        <w:jc w:val="both"/>
        <w:rPr>
          <w:rFonts w:hint="default" w:ascii="Arial" w:hAnsi="Arial"/>
          <w:b w:val="0"/>
          <w:bCs w:val="0"/>
          <w:sz w:val="24"/>
          <w:szCs w:val="24"/>
          <w:lang w:val="en-US"/>
        </w:rPr>
      </w:pPr>
    </w:p>
    <w:p w14:paraId="204628DF">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b w:val="0"/>
          <w:bCs w:val="0"/>
          <w:sz w:val="24"/>
          <w:szCs w:val="24"/>
          <w:lang w:val="en-US"/>
        </w:rPr>
        <w:t>This assignment will focus on changes to both pioneering and follower organizations that operate in the same industry. Pioneering organizations are those that introduce new products or technologies to the market, while follower organizations join the market later, building on the experiences of the pioneers. The assignment also discusses how follower organizations will watch the pioneering organization, endorse their pioneering organization's strategies, and usually modify those strategies to stay relevant and competitive within the industry.</w:t>
      </w:r>
    </w:p>
    <w:p w14:paraId="63706B19">
      <w:pPr>
        <w:pStyle w:val="11"/>
        <w:tabs>
          <w:tab w:val="left" w:pos="10065"/>
        </w:tabs>
        <w:spacing w:line="360" w:lineRule="auto"/>
        <w:ind w:left="426"/>
        <w:jc w:val="both"/>
        <w:rPr>
          <w:rFonts w:hint="default" w:ascii="Arial" w:hAnsi="Arial" w:cs="Arial"/>
          <w:b w:val="0"/>
          <w:bCs w:val="0"/>
          <w:sz w:val="24"/>
          <w:szCs w:val="24"/>
          <w:lang w:val="en-US"/>
        </w:rPr>
      </w:pPr>
    </w:p>
    <w:p w14:paraId="125FF4C5">
      <w:pPr>
        <w:pStyle w:val="11"/>
        <w:tabs>
          <w:tab w:val="left" w:pos="10065"/>
        </w:tabs>
        <w:spacing w:line="360" w:lineRule="auto"/>
        <w:ind w:left="426"/>
        <w:jc w:val="both"/>
        <w:rPr>
          <w:rFonts w:hint="default" w:ascii="Arial" w:hAnsi="Arial" w:cs="Arial"/>
          <w:b w:val="0"/>
          <w:bCs w:val="0"/>
          <w:sz w:val="24"/>
          <w:szCs w:val="24"/>
          <w:lang w:val="en-US"/>
        </w:rPr>
      </w:pPr>
    </w:p>
    <w:p w14:paraId="137CAE31">
      <w:pPr>
        <w:pStyle w:val="11"/>
        <w:tabs>
          <w:tab w:val="left" w:pos="10065"/>
        </w:tabs>
        <w:spacing w:line="360" w:lineRule="auto"/>
        <w:ind w:left="426"/>
        <w:jc w:val="both"/>
        <w:rPr>
          <w:rFonts w:hint="default" w:ascii="Arial" w:hAnsi="Arial" w:cs="Arial"/>
          <w:b w:val="0"/>
          <w:bCs w:val="0"/>
          <w:sz w:val="24"/>
          <w:szCs w:val="24"/>
          <w:lang w:val="en-US"/>
        </w:rPr>
      </w:pPr>
    </w:p>
    <w:p w14:paraId="331D9251">
      <w:pPr>
        <w:pStyle w:val="11"/>
        <w:tabs>
          <w:tab w:val="left" w:pos="10065"/>
        </w:tabs>
        <w:spacing w:line="360" w:lineRule="auto"/>
        <w:jc w:val="both"/>
        <w:rPr>
          <w:rFonts w:hint="default" w:ascii="Arial" w:hAnsi="Arial" w:cs="Arial"/>
          <w:b w:val="0"/>
          <w:bCs w:val="0"/>
          <w:sz w:val="24"/>
          <w:szCs w:val="24"/>
          <w:lang w:val="en-US"/>
        </w:rPr>
      </w:pPr>
    </w:p>
    <w:p w14:paraId="0A53DC0B">
      <w:pPr>
        <w:pStyle w:val="11"/>
        <w:tabs>
          <w:tab w:val="left" w:pos="10065"/>
        </w:tabs>
        <w:spacing w:line="360" w:lineRule="auto"/>
        <w:jc w:val="both"/>
        <w:rPr>
          <w:rFonts w:hint="default" w:ascii="Arial" w:hAnsi="Arial" w:cs="Arial"/>
          <w:b w:val="0"/>
          <w:bCs w:val="0"/>
          <w:sz w:val="24"/>
          <w:szCs w:val="24"/>
          <w:lang w:val="en-US"/>
        </w:rPr>
      </w:pPr>
    </w:p>
    <w:p w14:paraId="230CF8F9">
      <w:pPr>
        <w:tabs>
          <w:tab w:val="left" w:pos="10065"/>
        </w:tabs>
        <w:spacing w:line="360" w:lineRule="auto"/>
        <w:ind w:left="426" w:right="357"/>
        <w:jc w:val="both"/>
        <w:rPr>
          <w:rFonts w:hint="default" w:ascii="Arial" w:hAnsi="Arial" w:cs="Arial"/>
          <w:b/>
          <w:bCs/>
          <w:sz w:val="24"/>
          <w:szCs w:val="24"/>
        </w:rPr>
      </w:pPr>
    </w:p>
    <w:p w14:paraId="0C120B09">
      <w:pPr>
        <w:tabs>
          <w:tab w:val="left" w:pos="10065"/>
        </w:tabs>
        <w:spacing w:line="360" w:lineRule="auto"/>
        <w:ind w:left="426" w:right="357"/>
        <w:jc w:val="both"/>
        <w:rPr>
          <w:rFonts w:hint="default" w:ascii="Arial" w:hAnsi="Arial" w:cs="Arial"/>
          <w:b/>
          <w:bCs/>
          <w:sz w:val="24"/>
          <w:szCs w:val="24"/>
        </w:rPr>
      </w:pPr>
    </w:p>
    <w:p w14:paraId="156921D6">
      <w:pPr>
        <w:tabs>
          <w:tab w:val="left" w:pos="10065"/>
        </w:tabs>
        <w:spacing w:line="360" w:lineRule="auto"/>
        <w:ind w:left="426" w:right="357"/>
        <w:jc w:val="both"/>
        <w:rPr>
          <w:rFonts w:hint="default" w:ascii="Arial" w:hAnsi="Arial" w:cs="Arial"/>
          <w:b/>
          <w:bCs/>
          <w:sz w:val="24"/>
          <w:szCs w:val="24"/>
        </w:rPr>
      </w:pPr>
    </w:p>
    <w:p w14:paraId="3001AFC2">
      <w:pPr>
        <w:tabs>
          <w:tab w:val="left" w:pos="10065"/>
        </w:tabs>
        <w:spacing w:line="360" w:lineRule="auto"/>
        <w:ind w:left="426" w:right="357"/>
        <w:jc w:val="both"/>
        <w:rPr>
          <w:rFonts w:hint="default" w:ascii="Arial" w:hAnsi="Arial" w:cs="Arial"/>
          <w:b/>
          <w:bCs/>
          <w:sz w:val="24"/>
          <w:szCs w:val="24"/>
        </w:rPr>
      </w:pPr>
    </w:p>
    <w:p w14:paraId="75911CEF">
      <w:pPr>
        <w:tabs>
          <w:tab w:val="left" w:pos="10065"/>
        </w:tabs>
        <w:spacing w:line="360" w:lineRule="auto"/>
        <w:ind w:left="426" w:right="357"/>
        <w:jc w:val="both"/>
        <w:rPr>
          <w:rFonts w:hint="default" w:ascii="Arial" w:hAnsi="Arial" w:cs="Arial"/>
          <w:b/>
          <w:bCs/>
          <w:sz w:val="24"/>
          <w:szCs w:val="24"/>
        </w:rPr>
      </w:pPr>
    </w:p>
    <w:p w14:paraId="3219606C">
      <w:pPr>
        <w:tabs>
          <w:tab w:val="left" w:pos="10065"/>
        </w:tabs>
        <w:spacing w:line="360" w:lineRule="auto"/>
        <w:ind w:left="426" w:right="357"/>
        <w:jc w:val="both"/>
        <w:rPr>
          <w:rFonts w:hint="default" w:ascii="Arial" w:hAnsi="Arial" w:cs="Arial"/>
          <w:b/>
          <w:bCs/>
          <w:sz w:val="24"/>
          <w:szCs w:val="24"/>
        </w:rPr>
      </w:pPr>
    </w:p>
    <w:p w14:paraId="6AE40E32">
      <w:pPr>
        <w:tabs>
          <w:tab w:val="left" w:pos="10065"/>
        </w:tabs>
        <w:spacing w:line="360" w:lineRule="auto"/>
        <w:ind w:left="426" w:right="357"/>
        <w:jc w:val="both"/>
        <w:rPr>
          <w:rFonts w:hint="default" w:ascii="Arial" w:hAnsi="Arial" w:cs="Arial"/>
          <w:b/>
          <w:bCs/>
          <w:sz w:val="24"/>
          <w:szCs w:val="24"/>
        </w:rPr>
      </w:pPr>
    </w:p>
    <w:p w14:paraId="07E9397B">
      <w:pPr>
        <w:tabs>
          <w:tab w:val="left" w:pos="10065"/>
        </w:tabs>
        <w:spacing w:line="360" w:lineRule="auto"/>
        <w:ind w:left="426" w:right="357"/>
        <w:jc w:val="both"/>
        <w:rPr>
          <w:rFonts w:hint="default" w:ascii="Arial" w:hAnsi="Arial" w:cs="Arial"/>
          <w:b/>
          <w:bCs/>
          <w:sz w:val="24"/>
          <w:szCs w:val="24"/>
        </w:rPr>
      </w:pPr>
      <w:r>
        <w:rPr>
          <w:rFonts w:hint="default" w:ascii="Arial" w:hAnsi="Arial" w:cs="Arial"/>
          <w:b/>
          <w:bCs/>
          <w:sz w:val="24"/>
          <w:szCs w:val="24"/>
        </w:rPr>
        <w:t>Marketing Environmental Analysis for Pioneers and Followers:</w:t>
      </w:r>
    </w:p>
    <w:p w14:paraId="59B21831">
      <w:pPr>
        <w:pStyle w:val="2"/>
        <w:bidi w:val="0"/>
        <w:rPr>
          <w:rFonts w:hint="default"/>
          <w:lang w:eastAsia="zh-CN"/>
        </w:rPr>
      </w:pPr>
      <w:bookmarkStart w:id="3" w:name="_Toc13907"/>
      <w:bookmarkStart w:id="4" w:name="_Toc7034"/>
      <w:bookmarkStart w:id="5" w:name="_Toc11012"/>
      <w:r>
        <w:rPr>
          <w:rFonts w:hint="default"/>
        </w:rPr>
        <w:t>Task 1:</w:t>
      </w:r>
      <w:bookmarkEnd w:id="3"/>
      <w:bookmarkEnd w:id="4"/>
      <w:bookmarkEnd w:id="5"/>
    </w:p>
    <w:p w14:paraId="719E8B6A">
      <w:pPr>
        <w:pStyle w:val="11"/>
        <w:bidi w:val="0"/>
        <w:spacing w:line="360" w:lineRule="auto"/>
        <w:jc w:val="both"/>
        <w:rPr>
          <w:rFonts w:hint="default" w:ascii="Arial" w:hAnsi="Arial" w:cs="Arial"/>
          <w:b/>
          <w:bCs/>
          <w:sz w:val="24"/>
          <w:szCs w:val="24"/>
        </w:rPr>
      </w:pPr>
      <w:r>
        <w:rPr>
          <w:rFonts w:hint="default" w:ascii="Arial" w:hAnsi="Arial" w:cs="Arial"/>
          <w:b/>
          <w:bCs/>
          <w:sz w:val="24"/>
          <w:szCs w:val="24"/>
        </w:rPr>
        <w:t xml:space="preserve">You are required to </w:t>
      </w:r>
      <w:r>
        <w:rPr>
          <w:rStyle w:val="12"/>
          <w:rFonts w:hint="default" w:ascii="Arial" w:hAnsi="Arial" w:cs="Arial"/>
          <w:b/>
          <w:bCs/>
          <w:sz w:val="24"/>
          <w:szCs w:val="24"/>
        </w:rPr>
        <w:t>critically analyse the macro marketing environment as an integral component of strategic marketing management</w:t>
      </w:r>
      <w:r>
        <w:rPr>
          <w:rFonts w:hint="default" w:ascii="Arial" w:hAnsi="Arial" w:cs="Arial"/>
          <w:b/>
          <w:bCs/>
          <w:sz w:val="24"/>
          <w:szCs w:val="24"/>
        </w:rPr>
        <w:t xml:space="preserve">. Select </w:t>
      </w:r>
      <w:r>
        <w:rPr>
          <w:rStyle w:val="12"/>
          <w:rFonts w:hint="default" w:ascii="Arial" w:hAnsi="Arial" w:cs="Arial"/>
          <w:b/>
          <w:bCs/>
          <w:sz w:val="24"/>
          <w:szCs w:val="24"/>
        </w:rPr>
        <w:t>two external macro marketing actors</w:t>
      </w:r>
      <w:r>
        <w:rPr>
          <w:rFonts w:hint="default" w:ascii="Arial" w:hAnsi="Arial" w:cs="Arial"/>
          <w:b/>
          <w:bCs/>
          <w:color w:val="FF0000"/>
          <w:sz w:val="24"/>
          <w:szCs w:val="24"/>
        </w:rPr>
        <w:t xml:space="preserve"> </w:t>
      </w:r>
      <w:r>
        <w:rPr>
          <w:rFonts w:hint="default" w:ascii="Arial" w:hAnsi="Arial" w:cs="Arial"/>
          <w:b/>
          <w:bCs/>
          <w:sz w:val="24"/>
          <w:szCs w:val="24"/>
        </w:rPr>
        <w:t xml:space="preserve">and conduct an </w:t>
      </w:r>
      <w:r>
        <w:rPr>
          <w:rStyle w:val="12"/>
          <w:rFonts w:hint="default" w:ascii="Arial" w:hAnsi="Arial" w:cs="Arial"/>
          <w:b/>
          <w:bCs/>
          <w:sz w:val="24"/>
          <w:szCs w:val="24"/>
        </w:rPr>
        <w:t>in-depth critical examination</w:t>
      </w:r>
      <w:r>
        <w:rPr>
          <w:rFonts w:hint="default" w:ascii="Arial" w:hAnsi="Arial" w:cs="Arial"/>
          <w:b/>
          <w:bCs/>
          <w:sz w:val="24"/>
          <w:szCs w:val="24"/>
        </w:rPr>
        <w:t xml:space="preserve"> of how changes in these actors can create both opportunities and threats for </w:t>
      </w:r>
      <w:r>
        <w:rPr>
          <w:rStyle w:val="12"/>
          <w:rFonts w:hint="default" w:ascii="Arial" w:hAnsi="Arial" w:cs="Arial"/>
          <w:b/>
          <w:bCs/>
          <w:sz w:val="24"/>
          <w:szCs w:val="24"/>
        </w:rPr>
        <w:t xml:space="preserve">pioneering and follower </w:t>
      </w:r>
      <w:r>
        <w:rPr>
          <w:rStyle w:val="12"/>
          <w:rFonts w:hint="default" w:ascii="Arial" w:hAnsi="Arial" w:cs="Arial"/>
          <w:b/>
          <w:bCs/>
          <w:sz w:val="24"/>
          <w:szCs w:val="24"/>
          <w:lang w:val="en-US"/>
        </w:rPr>
        <w:t>organization</w:t>
      </w:r>
      <w:r>
        <w:rPr>
          <w:rStyle w:val="12"/>
          <w:rFonts w:hint="default" w:ascii="Arial" w:hAnsi="Arial" w:cs="Arial"/>
          <w:b/>
          <w:bCs/>
          <w:sz w:val="24"/>
          <w:szCs w:val="24"/>
        </w:rPr>
        <w:t xml:space="preserve"> operating within the same industry</w:t>
      </w:r>
      <w:r>
        <w:rPr>
          <w:rFonts w:hint="default" w:ascii="Arial" w:hAnsi="Arial" w:cs="Arial"/>
          <w:b/>
          <w:bCs/>
          <w:sz w:val="24"/>
          <w:szCs w:val="24"/>
        </w:rPr>
        <w:t>.</w:t>
      </w:r>
    </w:p>
    <w:p w14:paraId="654375F7">
      <w:pPr>
        <w:pStyle w:val="11"/>
        <w:tabs>
          <w:tab w:val="left" w:pos="10065"/>
        </w:tabs>
        <w:spacing w:line="360" w:lineRule="auto"/>
        <w:ind w:left="426"/>
        <w:jc w:val="both"/>
        <w:rPr>
          <w:rFonts w:hint="default" w:ascii="Arial" w:hAnsi="Arial" w:cs="Arial"/>
          <w:b/>
          <w:bCs/>
          <w:sz w:val="24"/>
          <w:szCs w:val="24"/>
        </w:rPr>
      </w:pPr>
    </w:p>
    <w:p w14:paraId="469E256C">
      <w:pPr>
        <w:pStyle w:val="11"/>
        <w:keepNext w:val="0"/>
        <w:keepLines w:val="0"/>
        <w:widowControl/>
        <w:suppressLineNumbers w:val="0"/>
        <w:spacing w:line="360" w:lineRule="auto"/>
        <w:jc w:val="both"/>
        <w:rPr>
          <w:rFonts w:hint="default" w:ascii="Arial" w:hAnsi="Arial" w:cs="Arial"/>
          <w:sz w:val="24"/>
          <w:szCs w:val="24"/>
        </w:rPr>
      </w:pPr>
      <w:r>
        <w:rPr>
          <w:rFonts w:hint="default" w:ascii="Arial" w:hAnsi="Arial" w:cs="Arial"/>
          <w:sz w:val="24"/>
          <w:szCs w:val="24"/>
        </w:rPr>
        <w:t>For a critical understanding of strategic marketing management, it is first necessary to understand the overall macro marketing actors — what they are and how they perform in this strategic business world. According to Kotler and Keller (2016),</w:t>
      </w:r>
    </w:p>
    <w:p w14:paraId="5E55A553">
      <w:pPr>
        <w:pStyle w:val="11"/>
        <w:keepNext w:val="0"/>
        <w:keepLines w:val="0"/>
        <w:widowControl/>
        <w:suppressLineNumbers w:val="0"/>
        <w:spacing w:line="360" w:lineRule="auto"/>
        <w:ind w:left="720" w:right="720"/>
        <w:jc w:val="both"/>
        <w:rPr>
          <w:rFonts w:hint="default" w:ascii="Arial" w:hAnsi="Arial" w:cs="Arial"/>
          <w:sz w:val="24"/>
          <w:szCs w:val="24"/>
        </w:rPr>
      </w:pPr>
      <w:r>
        <w:rPr>
          <w:rFonts w:hint="default" w:ascii="Arial" w:hAnsi="Arial" w:eastAsia="SimSun" w:cs="Arial"/>
          <w:sz w:val="24"/>
          <w:szCs w:val="24"/>
        </w:rPr>
        <w:t>“The macro environment consists of the larger societal forces that affect the micro environment—demographic, economic, natural, technological, political, and cultural forces.”</w:t>
      </w:r>
      <w:r>
        <w:rPr>
          <w:rFonts w:hint="default" w:ascii="Arial" w:hAnsi="Arial" w:eastAsia="SimSun" w:cs="Arial"/>
          <w:sz w:val="24"/>
          <w:szCs w:val="24"/>
        </w:rPr>
        <w:br w:type="textWrapping"/>
      </w:r>
      <w:r>
        <w:rPr>
          <w:rFonts w:hint="default" w:ascii="Arial" w:hAnsi="Arial" w:eastAsia="SimSun" w:cs="Arial"/>
          <w:sz w:val="24"/>
          <w:szCs w:val="24"/>
        </w:rPr>
        <w:t xml:space="preserve">(Kotler &amp; Keller, 2016, </w:t>
      </w:r>
      <w:r>
        <w:rPr>
          <w:rStyle w:val="9"/>
          <w:rFonts w:hint="default" w:ascii="Arial" w:hAnsi="Arial" w:eastAsia="SimSun" w:cs="Arial"/>
          <w:sz w:val="24"/>
          <w:szCs w:val="24"/>
        </w:rPr>
        <w:t>Marketing Management</w:t>
      </w:r>
      <w:r>
        <w:rPr>
          <w:rFonts w:hint="default" w:ascii="Arial" w:hAnsi="Arial" w:eastAsia="SimSun" w:cs="Arial"/>
          <w:sz w:val="24"/>
          <w:szCs w:val="24"/>
        </w:rPr>
        <w:t>, 15th ed., Pearson Education)</w:t>
      </w:r>
    </w:p>
    <w:p w14:paraId="726C9B00">
      <w:pPr>
        <w:pStyle w:val="11"/>
        <w:keepNext w:val="0"/>
        <w:keepLines w:val="0"/>
        <w:widowControl/>
        <w:suppressLineNumbers w:val="0"/>
        <w:spacing w:line="360" w:lineRule="auto"/>
        <w:jc w:val="both"/>
        <w:rPr>
          <w:rFonts w:hint="default" w:ascii="Arial" w:hAnsi="Arial" w:cs="Arial"/>
          <w:sz w:val="24"/>
          <w:szCs w:val="24"/>
        </w:rPr>
      </w:pPr>
      <w:r>
        <w:rPr>
          <w:rFonts w:hint="default" w:ascii="Arial" w:hAnsi="Arial" w:cs="Arial"/>
          <w:sz w:val="24"/>
          <w:szCs w:val="24"/>
        </w:rPr>
        <w:t>These macro actors are identified through the PESTEL framework, which includes political, economic, social, technological, environmental, and legal factors. This analysis helps an organization or business examine the macro environment to make better strategic decisions and improve their performance in the business field (Chernev, 2022).</w:t>
      </w:r>
    </w:p>
    <w:p w14:paraId="0634E051">
      <w:pPr>
        <w:pStyle w:val="11"/>
        <w:keepNext w:val="0"/>
        <w:keepLines w:val="0"/>
        <w:widowControl/>
        <w:suppressLineNumbers w:val="0"/>
        <w:spacing w:line="360" w:lineRule="auto"/>
        <w:jc w:val="both"/>
        <w:rPr>
          <w:rFonts w:hint="default" w:ascii="Arial" w:hAnsi="Arial" w:cs="Arial"/>
          <w:sz w:val="24"/>
          <w:szCs w:val="24"/>
        </w:rPr>
      </w:pPr>
      <w:r>
        <w:rPr>
          <w:rFonts w:hint="default" w:ascii="Arial" w:hAnsi="Arial" w:cs="Arial"/>
          <w:sz w:val="24"/>
          <w:szCs w:val="24"/>
        </w:rPr>
        <w:t>In marketing theory, pioneering firms are those that enter the market first with new technology and innovative business concepts, allowing them to enjoy first-mover advantages such as brand loyalty, innovation leadership, and higher market visibility (Lieberman &amp; Montgomery, 1998). This means that pioneering companies often face many difficulties due to their new technologies and unique ideas, requiring greater effort and exposing them to higher risks in untested markets. However, follower firms enter the market later, adopting existing systems and benefiting from the experiences of pioneers. Through this approach, they can learn from the mistakes of pioneers and imitate successful strategies. Sometimes, followers even outperform the first movers by offering improved or more affordable alternatives — as many Chinese companies have done by replicating existing models.</w:t>
      </w:r>
    </w:p>
    <w:p w14:paraId="373C24A2">
      <w:pPr>
        <w:pStyle w:val="3"/>
        <w:bidi w:val="0"/>
        <w:spacing w:line="360" w:lineRule="auto"/>
        <w:ind w:left="720" w:leftChars="0" w:firstLine="720" w:firstLineChars="0"/>
        <w:jc w:val="both"/>
        <w:rPr>
          <w:rFonts w:hint="default" w:ascii="Arial" w:hAnsi="Arial" w:cs="Arial"/>
          <w:sz w:val="24"/>
          <w:szCs w:val="24"/>
        </w:rPr>
      </w:pPr>
      <w:bookmarkStart w:id="6" w:name="_Toc10025"/>
      <w:bookmarkStart w:id="7" w:name="_Toc14265"/>
      <w:bookmarkStart w:id="8" w:name="_Toc15802"/>
      <w:r>
        <w:rPr>
          <w:rFonts w:hint="default" w:ascii="Arial" w:hAnsi="Arial" w:cs="Arial"/>
          <w:sz w:val="24"/>
          <w:szCs w:val="24"/>
        </w:rPr>
        <w:t>Analysis of M</w:t>
      </w:r>
      <w:r>
        <w:rPr>
          <w:rFonts w:hint="default" w:ascii="Arial" w:hAnsi="Arial" w:cs="Arial"/>
          <w:sz w:val="24"/>
          <w:szCs w:val="24"/>
          <w:lang w:val="en-US"/>
        </w:rPr>
        <w:t>a</w:t>
      </w:r>
      <w:r>
        <w:rPr>
          <w:rFonts w:hint="default" w:ascii="Arial" w:hAnsi="Arial" w:cs="Arial"/>
          <w:sz w:val="24"/>
          <w:szCs w:val="24"/>
        </w:rPr>
        <w:t>cro Marketing Actors</w:t>
      </w:r>
      <w:bookmarkEnd w:id="6"/>
      <w:bookmarkEnd w:id="7"/>
      <w:bookmarkEnd w:id="8"/>
    </w:p>
    <w:p w14:paraId="397F04AA">
      <w:pPr>
        <w:spacing w:line="360" w:lineRule="auto"/>
        <w:jc w:val="both"/>
        <w:rPr>
          <w:rStyle w:val="12"/>
          <w:rFonts w:hint="default" w:ascii="Arial" w:hAnsi="Arial" w:cs="Arial"/>
          <w:b/>
          <w:bCs/>
          <w:sz w:val="24"/>
          <w:szCs w:val="24"/>
          <w:lang w:val="en-US"/>
        </w:rPr>
      </w:pPr>
      <w:r>
        <w:rPr>
          <w:rFonts w:hint="default" w:ascii="Arial" w:hAnsi="Arial" w:cs="Arial"/>
          <w:sz w:val="24"/>
          <w:szCs w:val="24"/>
          <w:lang w:val="en-US"/>
        </w:rPr>
        <w:t>Here is a quick overview about macro marketing actor are as follows.</w:t>
      </w:r>
    </w:p>
    <w:p w14:paraId="7DAAD88B">
      <w:pPr>
        <w:pStyle w:val="11"/>
        <w:numPr>
          <w:ilvl w:val="0"/>
          <w:numId w:val="1"/>
        </w:numPr>
        <w:bidi w:val="0"/>
        <w:jc w:val="both"/>
        <w:outlineLvl w:val="0"/>
        <w:rPr>
          <w:rFonts w:hint="default" w:ascii="Arial" w:hAnsi="Arial" w:cs="Arial"/>
          <w:b/>
          <w:bCs/>
        </w:rPr>
      </w:pPr>
      <w:bookmarkStart w:id="9" w:name="_Toc16530"/>
      <w:bookmarkStart w:id="10" w:name="_Toc2858"/>
      <w:bookmarkStart w:id="11" w:name="_Toc19378"/>
      <w:r>
        <w:rPr>
          <w:rFonts w:hint="default" w:ascii="Arial" w:hAnsi="Arial" w:cs="Arial"/>
          <w:b/>
          <w:bCs/>
          <w:lang w:val="en-US"/>
        </w:rPr>
        <w:t>Political</w:t>
      </w:r>
      <w:r>
        <w:rPr>
          <w:rFonts w:hint="default" w:ascii="Arial" w:hAnsi="Arial" w:cs="Arial"/>
          <w:b/>
          <w:bCs/>
        </w:rPr>
        <w:t xml:space="preserve"> Environment</w:t>
      </w:r>
      <w:r>
        <w:rPr>
          <w:rFonts w:hint="default" w:ascii="Arial" w:hAnsi="Arial" w:cs="Arial"/>
          <w:b/>
          <w:bCs/>
          <w:lang w:val="en-US"/>
        </w:rPr>
        <w:t xml:space="preserve"> factor</w:t>
      </w:r>
      <w:bookmarkEnd w:id="9"/>
      <w:bookmarkEnd w:id="10"/>
      <w:bookmarkEnd w:id="11"/>
    </w:p>
    <w:p w14:paraId="5B7CEF40">
      <w:pPr>
        <w:pStyle w:val="11"/>
        <w:numPr>
          <w:numId w:val="0"/>
        </w:numPr>
        <w:bidi w:val="0"/>
        <w:rPr>
          <w:rStyle w:val="12"/>
          <w:rFonts w:hint="default" w:ascii="Arial" w:hAnsi="Arial" w:cs="Arial"/>
          <w:b/>
          <w:bCs/>
          <w:sz w:val="24"/>
          <w:szCs w:val="24"/>
        </w:rPr>
      </w:pPr>
    </w:p>
    <w:p w14:paraId="2A8C9A7B">
      <w:pPr>
        <w:pStyle w:val="11"/>
        <w:keepNext w:val="0"/>
        <w:keepLines w:val="0"/>
        <w:widowControl/>
        <w:suppressLineNumbers w:val="0"/>
        <w:spacing w:line="360" w:lineRule="auto"/>
        <w:jc w:val="both"/>
        <w:rPr>
          <w:rFonts w:hint="default" w:ascii="Arial" w:hAnsi="Arial" w:cs="Arial"/>
          <w:sz w:val="24"/>
          <w:szCs w:val="24"/>
        </w:rPr>
      </w:pPr>
      <w:r>
        <w:rPr>
          <w:rFonts w:hint="default" w:ascii="Arial" w:hAnsi="Arial" w:cs="Arial"/>
          <w:sz w:val="24"/>
          <w:szCs w:val="24"/>
        </w:rPr>
        <w:t>The political factor relates to how government policies, political stability, taxation, and trade regulations influence business operations and strategic decisions, helping to analyze whether the business environment is suitable or not (Kotler &amp; Armstrong, 2022).</w:t>
      </w:r>
    </w:p>
    <w:p w14:paraId="111276A7">
      <w:pPr>
        <w:spacing w:line="360" w:lineRule="auto"/>
        <w:jc w:val="both"/>
        <w:rPr>
          <w:rFonts w:hint="default" w:ascii="Arial" w:hAnsi="Arial" w:cs="Arial"/>
          <w:sz w:val="24"/>
          <w:szCs w:val="24"/>
        </w:rPr>
      </w:pPr>
    </w:p>
    <w:p w14:paraId="7C489FB8">
      <w:pPr>
        <w:numPr>
          <w:ilvl w:val="0"/>
          <w:numId w:val="2"/>
        </w:numPr>
        <w:bidi w:val="0"/>
        <w:spacing w:line="360" w:lineRule="auto"/>
        <w:jc w:val="both"/>
        <w:outlineLvl w:val="0"/>
        <w:rPr>
          <w:rFonts w:hint="default" w:ascii="Arial" w:hAnsi="Arial" w:cs="Arial"/>
          <w:b/>
          <w:bCs/>
          <w:sz w:val="24"/>
          <w:szCs w:val="24"/>
        </w:rPr>
      </w:pPr>
      <w:bookmarkStart w:id="12" w:name="_Toc1289"/>
      <w:bookmarkStart w:id="13" w:name="_Toc15225"/>
      <w:bookmarkStart w:id="14" w:name="_Toc28911"/>
      <w:r>
        <w:rPr>
          <w:rFonts w:hint="default" w:ascii="Arial" w:hAnsi="Arial" w:cs="Arial"/>
          <w:b/>
          <w:bCs/>
          <w:sz w:val="24"/>
          <w:szCs w:val="24"/>
        </w:rPr>
        <w:t>Economic Factor</w:t>
      </w:r>
      <w:bookmarkEnd w:id="12"/>
      <w:bookmarkEnd w:id="13"/>
      <w:bookmarkEnd w:id="14"/>
    </w:p>
    <w:p w14:paraId="7B674EFF">
      <w:pPr>
        <w:pStyle w:val="11"/>
        <w:keepNext w:val="0"/>
        <w:keepLines w:val="0"/>
        <w:widowControl/>
        <w:suppressLineNumbers w:val="0"/>
        <w:spacing w:line="360" w:lineRule="auto"/>
        <w:jc w:val="both"/>
        <w:rPr>
          <w:rFonts w:hint="default" w:ascii="Arial" w:hAnsi="Arial" w:cs="Arial"/>
          <w:sz w:val="24"/>
          <w:szCs w:val="24"/>
        </w:rPr>
      </w:pPr>
      <w:r>
        <w:rPr>
          <w:rFonts w:hint="default" w:ascii="Arial" w:hAnsi="Arial" w:cs="Arial"/>
          <w:sz w:val="24"/>
          <w:szCs w:val="24"/>
        </w:rPr>
        <w:t>The economic factor determines the purchasing power of consumers and the overall demand for goods and services in the market. It also determines employment and unemployment trends, economic growth, exchange rates, and changes in inflation (Johnson, Scholes &amp; Whittington, 2020).</w:t>
      </w:r>
    </w:p>
    <w:p w14:paraId="3BBABEA1">
      <w:pPr>
        <w:numPr>
          <w:ilvl w:val="0"/>
          <w:numId w:val="0"/>
        </w:numPr>
        <w:spacing w:line="360" w:lineRule="auto"/>
        <w:jc w:val="both"/>
        <w:rPr>
          <w:rFonts w:hint="default" w:ascii="Arial" w:hAnsi="Arial" w:eastAsia="SimSun" w:cs="Arial"/>
          <w:b w:val="0"/>
          <w:bCs w:val="0"/>
          <w:sz w:val="24"/>
          <w:szCs w:val="24"/>
          <w:lang w:val="en-US"/>
        </w:rPr>
      </w:pPr>
    </w:p>
    <w:p w14:paraId="3FF8DEDF">
      <w:pPr>
        <w:pStyle w:val="11"/>
        <w:bidi w:val="0"/>
        <w:rPr>
          <w:rFonts w:hint="default" w:ascii="Arial" w:hAnsi="Arial" w:cs="Arial"/>
          <w:b/>
          <w:bCs/>
          <w:lang w:val="en-US"/>
        </w:rPr>
      </w:pPr>
      <w:r>
        <w:rPr>
          <w:rFonts w:hint="default" w:ascii="Arial" w:hAnsi="Arial" w:cs="Arial"/>
          <w:b/>
          <w:bCs/>
          <w:lang w:val="en-US"/>
        </w:rPr>
        <w:t>3.Social factors</w:t>
      </w:r>
    </w:p>
    <w:p w14:paraId="1198EDC3">
      <w:pPr>
        <w:pStyle w:val="11"/>
        <w:bidi w:val="0"/>
        <w:spacing w:line="360" w:lineRule="auto"/>
        <w:jc w:val="both"/>
        <w:rPr>
          <w:rFonts w:hint="default" w:ascii="Arial" w:hAnsi="Arial" w:cs="Arial"/>
        </w:rPr>
      </w:pPr>
      <w:r>
        <w:rPr>
          <w:rFonts w:hint="default" w:ascii="Arial" w:hAnsi="Arial" w:cs="Arial"/>
          <w:lang w:val="en-US"/>
        </w:rPr>
        <w:t xml:space="preserve">It focuses on social activities, cultural changes, life changes , and cultural attitude that effect the consumer behaviour and how the consumer need for the product means demand of the products </w:t>
      </w:r>
      <w:r>
        <w:rPr>
          <w:rFonts w:hint="default" w:ascii="Arial" w:hAnsi="Arial" w:cs="Arial"/>
        </w:rPr>
        <w:t>(Kotler and Armstrong, 2022).</w:t>
      </w:r>
    </w:p>
    <w:p w14:paraId="18F77068">
      <w:pPr>
        <w:pStyle w:val="11"/>
        <w:bidi w:val="0"/>
        <w:spacing w:line="360" w:lineRule="auto"/>
        <w:jc w:val="both"/>
        <w:rPr>
          <w:rFonts w:hint="default" w:ascii="Arial" w:hAnsi="Arial" w:cs="Arial"/>
          <w:b/>
          <w:bCs/>
          <w:lang w:val="en-US"/>
        </w:rPr>
      </w:pPr>
      <w:r>
        <w:rPr>
          <w:rFonts w:hint="default" w:ascii="Arial" w:hAnsi="Arial" w:cs="Arial"/>
          <w:b/>
          <w:bCs/>
          <w:lang w:val="en-US"/>
        </w:rPr>
        <w:t xml:space="preserve">4.Technological factors </w:t>
      </w:r>
    </w:p>
    <w:p w14:paraId="20CFFD09">
      <w:pPr>
        <w:pStyle w:val="11"/>
        <w:bidi w:val="0"/>
        <w:spacing w:line="360" w:lineRule="auto"/>
        <w:jc w:val="both"/>
        <w:rPr>
          <w:rFonts w:hint="default" w:ascii="Arial" w:hAnsi="Arial" w:cs="Arial"/>
        </w:rPr>
      </w:pPr>
      <w:r>
        <w:rPr>
          <w:rFonts w:hint="default" w:ascii="Arial" w:hAnsi="Arial" w:cs="Arial"/>
          <w:lang w:val="en-US"/>
        </w:rPr>
        <w:t xml:space="preserve"> </w:t>
      </w:r>
      <w:r>
        <w:rPr>
          <w:rFonts w:hint="default" w:ascii="Arial" w:hAnsi="Arial" w:cs="Arial"/>
        </w:rPr>
        <w:t>his is the most important and widely used macro-environmental factor. It refers to the influence of innovation, research and development (R&amp;D), and technological advancements on industries, firms, and any business aiming to improve efficiency, enhance quality, create new products, or disrupt existing markets (Johnson, Scholes and Whittington, 2020).</w:t>
      </w:r>
    </w:p>
    <w:p w14:paraId="7906830B">
      <w:pPr>
        <w:numPr>
          <w:ilvl w:val="0"/>
          <w:numId w:val="3"/>
        </w:numPr>
        <w:spacing w:line="360" w:lineRule="auto"/>
        <w:ind w:leftChars="0"/>
        <w:jc w:val="both"/>
        <w:outlineLvl w:val="0"/>
        <w:rPr>
          <w:rFonts w:hint="default" w:ascii="Arial" w:hAnsi="Arial" w:eastAsia="SimSun" w:cs="Arial"/>
          <w:b/>
          <w:bCs/>
          <w:i w:val="0"/>
          <w:iCs w:val="0"/>
          <w:sz w:val="24"/>
          <w:szCs w:val="24"/>
          <w:shd w:val="clear" w:color="auto" w:fill="auto"/>
          <w:lang w:val="en-US"/>
        </w:rPr>
      </w:pPr>
      <w:bookmarkStart w:id="15" w:name="_Toc18498"/>
      <w:bookmarkStart w:id="16" w:name="_Toc275"/>
      <w:bookmarkStart w:id="17" w:name="_Toc28541"/>
      <w:r>
        <w:rPr>
          <w:rFonts w:hint="default" w:ascii="Arial" w:hAnsi="Arial" w:eastAsia="SimSun" w:cs="Arial"/>
          <w:b/>
          <w:bCs/>
          <w:sz w:val="24"/>
          <w:szCs w:val="24"/>
          <w:shd w:val="clear" w:color="auto" w:fill="auto"/>
          <w:lang w:val="en-US"/>
        </w:rPr>
        <w:t>Envir</w:t>
      </w:r>
      <w:r>
        <w:rPr>
          <w:rFonts w:hint="default" w:ascii="Arial" w:hAnsi="Arial" w:eastAsia="SimSun" w:cs="Arial"/>
          <w:b/>
          <w:bCs/>
          <w:i w:val="0"/>
          <w:iCs w:val="0"/>
          <w:sz w:val="24"/>
          <w:szCs w:val="24"/>
          <w:shd w:val="clear" w:color="auto" w:fill="auto"/>
          <w:lang w:val="en-US"/>
        </w:rPr>
        <w:t>onmental factor</w:t>
      </w:r>
      <w:bookmarkEnd w:id="15"/>
      <w:bookmarkEnd w:id="16"/>
      <w:bookmarkEnd w:id="17"/>
      <w:r>
        <w:rPr>
          <w:rFonts w:hint="default" w:ascii="Arial" w:hAnsi="Arial" w:eastAsia="SimSun" w:cs="Arial"/>
          <w:b/>
          <w:bCs/>
          <w:i w:val="0"/>
          <w:iCs w:val="0"/>
          <w:sz w:val="24"/>
          <w:szCs w:val="24"/>
          <w:shd w:val="clear" w:color="auto" w:fill="auto"/>
          <w:lang w:val="en-US"/>
        </w:rPr>
        <w:t xml:space="preserve"> </w:t>
      </w:r>
    </w:p>
    <w:p w14:paraId="66BB275F">
      <w:pPr>
        <w:pStyle w:val="11"/>
        <w:bidi w:val="0"/>
        <w:spacing w:line="360" w:lineRule="auto"/>
        <w:jc w:val="both"/>
        <w:rPr>
          <w:rStyle w:val="9"/>
          <w:rFonts w:hint="default" w:ascii="Arial" w:hAnsi="Arial" w:eastAsia="Segoe UI" w:cs="Arial"/>
          <w:b w:val="0"/>
          <w:bCs/>
          <w:i w:val="0"/>
          <w:iCs w:val="0"/>
          <w:caps w:val="0"/>
          <w:color w:val="424242"/>
          <w:spacing w:val="0"/>
          <w:sz w:val="24"/>
          <w:szCs w:val="24"/>
          <w:shd w:val="clear" w:color="auto" w:fill="auto"/>
        </w:rPr>
      </w:pPr>
      <w:r>
        <w:rPr>
          <w:rStyle w:val="9"/>
          <w:rFonts w:hint="default" w:ascii="Arial" w:hAnsi="Arial" w:eastAsia="Segoe UI" w:cs="Arial"/>
          <w:b w:val="0"/>
          <w:bCs/>
          <w:i w:val="0"/>
          <w:iCs w:val="0"/>
          <w:caps w:val="0"/>
          <w:color w:val="424242"/>
          <w:spacing w:val="0"/>
          <w:sz w:val="24"/>
          <w:szCs w:val="24"/>
          <w:shd w:val="clear" w:color="auto" w:fill="auto"/>
        </w:rPr>
        <w:t>It involves ecological and environmental aspects such as climate change, geological changes, environmental rules and regulations, and how these aspects affect whether the business of certain products can thrive. For example, an ice factory in a cold area illustrates how environmental factors determine whether a business will succeed or not.</w:t>
      </w:r>
    </w:p>
    <w:p w14:paraId="7BE0CF19">
      <w:pPr>
        <w:spacing w:line="360" w:lineRule="auto"/>
        <w:jc w:val="both"/>
        <w:rPr>
          <w:rFonts w:hint="default" w:ascii="Arial" w:hAnsi="Arial" w:cs="Arial"/>
          <w:i w:val="0"/>
          <w:iCs w:val="0"/>
          <w:sz w:val="24"/>
          <w:szCs w:val="24"/>
          <w:shd w:val="clear" w:color="auto" w:fill="auto"/>
          <w:lang w:val="en-US"/>
        </w:rPr>
      </w:pPr>
    </w:p>
    <w:p w14:paraId="082B335B">
      <w:pPr>
        <w:numPr>
          <w:ilvl w:val="0"/>
          <w:numId w:val="3"/>
        </w:numPr>
        <w:bidi w:val="0"/>
        <w:spacing w:line="360" w:lineRule="auto"/>
        <w:outlineLvl w:val="0"/>
        <w:rPr>
          <w:rFonts w:hint="default" w:ascii="Arial" w:hAnsi="Arial" w:cs="Arial"/>
          <w:b/>
          <w:bCs/>
          <w:sz w:val="24"/>
          <w:szCs w:val="24"/>
          <w:lang w:val="en-US"/>
        </w:rPr>
      </w:pPr>
      <w:bookmarkStart w:id="18" w:name="_Toc17583"/>
      <w:bookmarkStart w:id="19" w:name="_Toc26976"/>
      <w:bookmarkStart w:id="20" w:name="_Toc22000"/>
      <w:r>
        <w:rPr>
          <w:rFonts w:hint="default" w:ascii="Arial" w:hAnsi="Arial" w:cs="Arial"/>
          <w:b/>
          <w:bCs/>
          <w:sz w:val="24"/>
          <w:szCs w:val="24"/>
          <w:lang w:val="en-US"/>
        </w:rPr>
        <w:t>Legal factors</w:t>
      </w:r>
      <w:bookmarkEnd w:id="18"/>
      <w:bookmarkEnd w:id="19"/>
      <w:bookmarkEnd w:id="20"/>
    </w:p>
    <w:p w14:paraId="0B1F6D68">
      <w:pPr>
        <w:pStyle w:val="11"/>
        <w:bidi w:val="0"/>
        <w:spacing w:line="360" w:lineRule="auto"/>
        <w:jc w:val="both"/>
        <w:rPr>
          <w:rFonts w:hint="default" w:ascii="Arial" w:hAnsi="Arial" w:cs="Arial"/>
        </w:rPr>
      </w:pPr>
      <w:bookmarkStart w:id="21" w:name="_Toc21840"/>
      <w:r>
        <w:rPr>
          <w:rFonts w:hint="default" w:ascii="Arial" w:hAnsi="Arial" w:cs="Arial"/>
        </w:rPr>
        <w:t>The legal factor refers to the influence of laws, regulations, their implementation, and legal systems, procedures, and actions on business operations, such as employment laws regarding wages, employee rights, etc. (Johnson, Scholes and Whittington, 2020).</w:t>
      </w:r>
      <w:bookmarkEnd w:id="21"/>
    </w:p>
    <w:p w14:paraId="5AB647E8">
      <w:pPr>
        <w:pStyle w:val="11"/>
        <w:bidi w:val="0"/>
        <w:spacing w:line="360" w:lineRule="auto"/>
        <w:jc w:val="both"/>
        <w:rPr>
          <w:rFonts w:hint="default" w:ascii="Arial" w:hAnsi="Arial" w:cs="Arial"/>
          <w:b/>
          <w:bCs/>
          <w:lang w:val="en-US"/>
        </w:rPr>
      </w:pPr>
      <w:bookmarkStart w:id="22" w:name="_Toc17266"/>
      <w:bookmarkStart w:id="23" w:name="_Toc18727"/>
      <w:r>
        <w:rPr>
          <w:rFonts w:hint="default" w:ascii="Arial" w:hAnsi="Arial" w:cs="Arial"/>
          <w:b/>
          <w:bCs/>
        </w:rPr>
        <w:t>Critical Analysis of the Macro Marketing Environment: Opportunities and Threats for Pioneering and Follower Firms in the Electric Vehicle Industry</w:t>
      </w:r>
      <w:r>
        <w:rPr>
          <w:rFonts w:hint="default" w:ascii="Arial" w:hAnsi="Arial" w:cs="Arial"/>
          <w:b/>
          <w:bCs/>
          <w:lang w:val="en-US"/>
        </w:rPr>
        <w:t xml:space="preserve"> between Tesla and volkswagan.</w:t>
      </w:r>
      <w:bookmarkEnd w:id="22"/>
      <w:bookmarkEnd w:id="23"/>
    </w:p>
    <w:p w14:paraId="08A16F9C">
      <w:pPr>
        <w:bidi w:val="0"/>
        <w:spacing w:line="360" w:lineRule="auto"/>
        <w:jc w:val="both"/>
        <w:rPr>
          <w:rFonts w:hint="default" w:ascii="Arial" w:hAnsi="Arial" w:cs="Arial"/>
          <w:sz w:val="24"/>
          <w:szCs w:val="24"/>
        </w:rPr>
      </w:pPr>
      <w:r>
        <w:rPr>
          <w:rFonts w:hint="default" w:ascii="Arial" w:hAnsi="Arial" w:cs="Arial"/>
          <w:sz w:val="24"/>
          <w:szCs w:val="24"/>
        </w:rPr>
        <w:t>This era is dominated by technology and is often referred to as a globalized world, where there is intense competition among industries, firms, and organizations. To compete with one another, they utilize the macro marketing environment. Most organizations critically analyse the macro marketing environment to achieve success. It influences an organization's strategic marketing decisions and overall competitiveness. These factors are also beyond the firm's control and play a significant role in shaping marketing opportunities and threats (Kotler et al., 2022).</w:t>
      </w:r>
    </w:p>
    <w:p w14:paraId="731B7CA5">
      <w:pPr>
        <w:bidi w:val="0"/>
        <w:spacing w:line="360" w:lineRule="auto"/>
        <w:jc w:val="both"/>
        <w:rPr>
          <w:rFonts w:hint="default" w:ascii="Arial" w:hAnsi="Arial" w:cs="Arial"/>
          <w:sz w:val="24"/>
          <w:szCs w:val="24"/>
        </w:rPr>
      </w:pPr>
      <w:r>
        <w:rPr>
          <w:rFonts w:hint="default" w:ascii="Arial" w:hAnsi="Arial" w:cs="Arial"/>
          <w:sz w:val="24"/>
          <w:szCs w:val="24"/>
        </w:rPr>
        <w:t>This paper critically analyses two macro-environmental factors—technological and political—within the electric vehicle (EV) industry. Here, I present a critical analysis of two major emerging electric vehicle companies: Tesla, a pioneering company, and Volkswagen, a follower company. This discussion evaluates how technological and political environmental factors create both opportunities and threats for these organizations, and how they adopt macro marketing factors in response. Below are some technological and political opportunities and threats for both follower and pioneering organizations.</w:t>
      </w:r>
    </w:p>
    <w:p w14:paraId="69AFD141">
      <w:pPr>
        <w:spacing w:line="360" w:lineRule="auto"/>
        <w:jc w:val="both"/>
        <w:rPr>
          <w:rFonts w:hint="default" w:ascii="Arial" w:hAnsi="Arial" w:cs="Arial"/>
          <w:i w:val="0"/>
          <w:iCs w:val="0"/>
          <w:sz w:val="24"/>
          <w:szCs w:val="24"/>
          <w:shd w:val="clear" w:color="auto" w:fill="auto"/>
          <w:lang w:val="en-US"/>
        </w:rPr>
      </w:pPr>
    </w:p>
    <w:p w14:paraId="243A3E0F">
      <w:pPr>
        <w:numPr>
          <w:ilvl w:val="0"/>
          <w:numId w:val="4"/>
        </w:numPr>
        <w:spacing w:line="360" w:lineRule="auto"/>
        <w:jc w:val="both"/>
        <w:rPr>
          <w:rFonts w:hint="default" w:ascii="Arial" w:hAnsi="Arial" w:eastAsia="SimSun" w:cs="Arial"/>
          <w:b/>
          <w:bCs/>
          <w:i w:val="0"/>
          <w:iCs w:val="0"/>
          <w:sz w:val="24"/>
          <w:szCs w:val="24"/>
          <w:shd w:val="clear" w:color="auto" w:fill="auto"/>
        </w:rPr>
      </w:pPr>
      <w:r>
        <w:rPr>
          <w:rFonts w:hint="default" w:ascii="Arial" w:hAnsi="Arial" w:eastAsia="SimSun" w:cs="Arial"/>
          <w:b/>
          <w:bCs/>
          <w:i w:val="0"/>
          <w:iCs w:val="0"/>
          <w:sz w:val="24"/>
          <w:szCs w:val="24"/>
          <w:shd w:val="clear" w:color="auto" w:fill="auto"/>
        </w:rPr>
        <w:t>Technological Environment</w:t>
      </w:r>
    </w:p>
    <w:p w14:paraId="39CB72BC">
      <w:pPr>
        <w:numPr>
          <w:ilvl w:val="0"/>
          <w:numId w:val="0"/>
        </w:numPr>
        <w:spacing w:line="360" w:lineRule="auto"/>
        <w:jc w:val="both"/>
        <w:rPr>
          <w:rFonts w:hint="default" w:ascii="Arial" w:hAnsi="Arial" w:eastAsia="Segoe UI" w:cs="Arial"/>
          <w:i w:val="0"/>
          <w:iCs w:val="0"/>
          <w:caps w:val="0"/>
          <w:color w:val="424242"/>
          <w:spacing w:val="0"/>
          <w:sz w:val="24"/>
          <w:szCs w:val="24"/>
          <w:shd w:val="clear" w:color="auto" w:fill="auto"/>
        </w:rPr>
      </w:pPr>
      <w:r>
        <w:rPr>
          <w:rFonts w:hint="default" w:ascii="Arial" w:hAnsi="Arial" w:eastAsia="Segoe UI" w:cs="Arial"/>
          <w:i w:val="0"/>
          <w:iCs w:val="0"/>
          <w:caps w:val="0"/>
          <w:color w:val="424242"/>
          <w:spacing w:val="0"/>
          <w:sz w:val="24"/>
          <w:szCs w:val="24"/>
          <w:shd w:val="clear" w:color="auto" w:fill="auto"/>
        </w:rPr>
        <w:t>In the field of electric vehicles, the main technology involves developing vehicles that run on batteries instead of petrol. Tesla had the opportunity to take the lead in the vehicle industry due to its innovative technology, which includes battery efficiency, autonomous driving systems, artificial intelligence, and charging infrastructure. These technological shifts redefine the competitive landscape for both pioneers and followers.</w:t>
      </w:r>
    </w:p>
    <w:p w14:paraId="3C1FBFBB">
      <w:pPr>
        <w:numPr>
          <w:ilvl w:val="0"/>
          <w:numId w:val="0"/>
        </w:numPr>
        <w:spacing w:line="360" w:lineRule="auto"/>
        <w:jc w:val="both"/>
        <w:rPr>
          <w:rFonts w:hint="default" w:ascii="Arial" w:hAnsi="Arial" w:eastAsia="SimSun" w:cs="Arial"/>
          <w:b/>
          <w:bCs/>
          <w:i w:val="0"/>
          <w:iCs w:val="0"/>
          <w:sz w:val="24"/>
          <w:szCs w:val="24"/>
          <w:shd w:val="clear" w:color="auto" w:fill="auto"/>
          <w:lang w:val="en-US"/>
        </w:rPr>
      </w:pPr>
      <w:r>
        <w:rPr>
          <w:rFonts w:hint="default" w:ascii="Arial" w:hAnsi="Arial" w:eastAsia="SimSun" w:cs="Arial"/>
          <w:b/>
          <w:bCs/>
          <w:i w:val="0"/>
          <w:iCs w:val="0"/>
          <w:sz w:val="24"/>
          <w:szCs w:val="24"/>
          <w:shd w:val="clear" w:color="auto" w:fill="auto"/>
          <w:lang w:val="en-US"/>
        </w:rPr>
        <w:t xml:space="preserve">Opportunities for tesla </w:t>
      </w:r>
    </w:p>
    <w:p w14:paraId="2DCA79A0">
      <w:pPr>
        <w:spacing w:line="360" w:lineRule="auto"/>
        <w:jc w:val="both"/>
        <w:rPr>
          <w:rFonts w:hint="default" w:ascii="Arial" w:hAnsi="Arial" w:eastAsia="SimSun" w:cs="Arial"/>
          <w:b/>
          <w:bCs/>
          <w:i w:val="0"/>
          <w:iCs w:val="0"/>
          <w:sz w:val="24"/>
          <w:szCs w:val="24"/>
          <w:shd w:val="clear" w:color="auto" w:fill="auto"/>
        </w:rPr>
      </w:pPr>
      <w:r>
        <w:rPr>
          <w:rFonts w:hint="default" w:ascii="Arial" w:hAnsi="Arial" w:eastAsia="Segoe UI" w:cs="Arial"/>
          <w:i w:val="0"/>
          <w:iCs w:val="0"/>
          <w:caps w:val="0"/>
          <w:color w:val="424242"/>
          <w:spacing w:val="0"/>
          <w:sz w:val="24"/>
          <w:szCs w:val="24"/>
          <w:shd w:val="clear" w:color="auto" w:fill="auto"/>
        </w:rPr>
        <w:t>Tesla was the first electric car company to use lithium batteries, thanks to its continuous technological innovations. It was the first automaker to develop large-scale lithium-ion battery systems and to integrate over-the-air (OTA) software updates (Mangram, 2012). This technological leadership has allowed Tesla to differentiate its products through superior performance, extended range, and advanced driver assistance systems, which are key capabilities that enable smooth driving and improved efficiency. These innovations have strengthened Tesla’s brand image as a cutting-edge, environmentally responsible company, making it the first choice for many of its fans. Moreover, Tesla’s Supercharger network represents a vertically integrated infrastructure that enhances customer convenience and loyalty.</w:t>
      </w:r>
    </w:p>
    <w:p w14:paraId="70532EC5">
      <w:pPr>
        <w:spacing w:line="360" w:lineRule="auto"/>
        <w:jc w:val="both"/>
        <w:rPr>
          <w:rFonts w:hint="default" w:ascii="Arial" w:hAnsi="Arial" w:eastAsia="SimSun" w:cs="Arial"/>
          <w:b/>
          <w:bCs/>
          <w:i w:val="0"/>
          <w:iCs w:val="0"/>
          <w:sz w:val="24"/>
          <w:szCs w:val="24"/>
          <w:shd w:val="clear" w:color="auto" w:fill="auto"/>
        </w:rPr>
      </w:pPr>
      <w:r>
        <w:rPr>
          <w:rFonts w:hint="default" w:ascii="Arial" w:hAnsi="Arial" w:eastAsia="SimSun" w:cs="Arial"/>
          <w:b/>
          <w:bCs/>
          <w:i w:val="0"/>
          <w:iCs w:val="0"/>
          <w:sz w:val="24"/>
          <w:szCs w:val="24"/>
          <w:shd w:val="clear" w:color="auto" w:fill="auto"/>
        </w:rPr>
        <w:t>Threats for Tesla</w:t>
      </w:r>
    </w:p>
    <w:p w14:paraId="00AD6252">
      <w:pPr>
        <w:spacing w:line="360" w:lineRule="auto"/>
        <w:jc w:val="both"/>
        <w:rPr>
          <w:rFonts w:hint="default" w:ascii="Arial" w:hAnsi="Arial" w:eastAsia="SimSun" w:cs="Arial"/>
          <w:i w:val="0"/>
          <w:iCs w:val="0"/>
          <w:sz w:val="24"/>
          <w:szCs w:val="24"/>
          <w:shd w:val="clear" w:color="auto" w:fill="auto"/>
        </w:rPr>
      </w:pPr>
      <w:r>
        <w:rPr>
          <w:rFonts w:hint="default" w:ascii="Arial" w:hAnsi="Arial" w:eastAsia="Segoe UI" w:cs="Arial"/>
          <w:i w:val="0"/>
          <w:iCs w:val="0"/>
          <w:caps w:val="0"/>
          <w:color w:val="424242"/>
          <w:spacing w:val="0"/>
          <w:sz w:val="24"/>
          <w:szCs w:val="24"/>
          <w:shd w:val="clear" w:color="auto" w:fill="auto"/>
        </w:rPr>
        <w:t>There is a long list of threats that Tesla faced in its early stages, most of which were technological. The pace of innovation in EVs is extremely fast, making it difficult to maintain leadership. However, Tesla overcame these threats and became a leader in the electric vehicle industry. Emerging technologies, such as solid-state batteries, could render Tesla’s current lithium-ion technology obsolete if competitors commercialize them more quickly. According to Hawkins, Tesla’s heavy dependence on software exposes it to cybersecurity risks and system failures, which pose significant threats that could damage its reputation and erode customer trust (Hawkins, 2023).</w:t>
      </w:r>
    </w:p>
    <w:p w14:paraId="5841CA7F">
      <w:pPr>
        <w:spacing w:line="360" w:lineRule="auto"/>
        <w:jc w:val="both"/>
        <w:rPr>
          <w:rFonts w:hint="default" w:ascii="Arial" w:hAnsi="Arial" w:eastAsia="SimSun" w:cs="Arial"/>
          <w:b/>
          <w:bCs/>
          <w:i w:val="0"/>
          <w:iCs w:val="0"/>
          <w:sz w:val="24"/>
          <w:szCs w:val="24"/>
        </w:rPr>
      </w:pPr>
      <w:r>
        <w:rPr>
          <w:rFonts w:hint="default" w:ascii="Arial" w:hAnsi="Arial" w:eastAsia="SimSun" w:cs="Arial"/>
          <w:b/>
          <w:bCs/>
          <w:i w:val="0"/>
          <w:iCs w:val="0"/>
          <w:sz w:val="24"/>
          <w:szCs w:val="24"/>
        </w:rPr>
        <w:t>Opportunities for Volkswagen (Follower)</w:t>
      </w:r>
    </w:p>
    <w:p w14:paraId="170C95BA">
      <w:pPr>
        <w:spacing w:line="360" w:lineRule="auto"/>
        <w:jc w:val="both"/>
        <w:rPr>
          <w:rFonts w:hint="default" w:ascii="Arial" w:hAnsi="Arial" w:eastAsia="Segoe UI" w:cs="Arial"/>
          <w:i w:val="0"/>
          <w:iCs w:val="0"/>
          <w:caps w:val="0"/>
          <w:color w:val="424242"/>
          <w:spacing w:val="0"/>
          <w:sz w:val="24"/>
          <w:szCs w:val="24"/>
          <w:shd w:val="clear" w:fill="FAFAFA"/>
        </w:rPr>
      </w:pPr>
      <w:r>
        <w:rPr>
          <w:rFonts w:hint="default" w:ascii="Arial" w:hAnsi="Arial" w:eastAsia="Segoe UI" w:cs="Arial"/>
          <w:i w:val="0"/>
          <w:iCs w:val="0"/>
          <w:caps w:val="0"/>
          <w:color w:val="424242"/>
          <w:spacing w:val="0"/>
          <w:sz w:val="24"/>
          <w:szCs w:val="24"/>
          <w:shd w:val="clear" w:color="auto" w:fill="auto"/>
        </w:rPr>
        <w:t>Volkswagen followed the existing formula of Tesla and became a strong competitor by leveraging technological diffusion to strategically enter the EV market. Volkswagen learned from Tesla’s early experiments. VW has made significant investments in modular electric platforms (MEB), which help lower manufacturing costs, and in battery production partnerships (Volkswagen Group, 2024). This late entry allowed VW to adopt proven technologies without facing the risks associated with early experimentation.</w:t>
      </w:r>
    </w:p>
    <w:p w14:paraId="6B86429E">
      <w:pPr>
        <w:spacing w:line="360" w:lineRule="auto"/>
        <w:jc w:val="both"/>
        <w:rPr>
          <w:rFonts w:hint="default" w:ascii="Arial" w:hAnsi="Arial" w:eastAsia="SimSun" w:cs="Arial"/>
          <w:b/>
          <w:bCs/>
          <w:i w:val="0"/>
          <w:iCs w:val="0"/>
          <w:sz w:val="24"/>
          <w:szCs w:val="24"/>
        </w:rPr>
      </w:pPr>
      <w:r>
        <w:rPr>
          <w:rFonts w:hint="default" w:ascii="Arial" w:hAnsi="Arial" w:eastAsia="SimSun" w:cs="Arial"/>
          <w:b/>
          <w:bCs/>
          <w:i w:val="0"/>
          <w:iCs w:val="0"/>
          <w:sz w:val="24"/>
          <w:szCs w:val="24"/>
        </w:rPr>
        <w:t>Threats for Volkswagen</w:t>
      </w:r>
    </w:p>
    <w:p w14:paraId="2104E920">
      <w:pPr>
        <w:spacing w:line="360" w:lineRule="auto"/>
        <w:jc w:val="both"/>
        <w:rPr>
          <w:rFonts w:hint="default" w:ascii="Arial" w:hAnsi="Arial" w:cs="Arial"/>
          <w:b w:val="0"/>
          <w:bCs w:val="0"/>
          <w:i w:val="0"/>
          <w:iCs w:val="0"/>
          <w:sz w:val="24"/>
          <w:szCs w:val="24"/>
        </w:rPr>
      </w:pPr>
      <w:r>
        <w:rPr>
          <w:rFonts w:hint="default" w:ascii="Arial" w:hAnsi="Arial" w:cs="Arial"/>
          <w:b w:val="0"/>
          <w:bCs w:val="0"/>
          <w:i w:val="0"/>
          <w:iCs w:val="0"/>
          <w:sz w:val="24"/>
          <w:szCs w:val="24"/>
        </w:rPr>
        <w:t>Volkswagen struggles to compete on a technological level with first movers such as Tesla and focuses its competitive strategy on cost and reliability instead of technological leadership. When a vehicle manufacturer relies on battery suppliers, it further commoditizes the battery and weakens the company’s internal ability to manage the technological landscape (McKinsey &amp; Company, 2023).</w:t>
      </w:r>
    </w:p>
    <w:p w14:paraId="542821F2">
      <w:pPr>
        <w:pStyle w:val="3"/>
        <w:numPr>
          <w:ilvl w:val="0"/>
          <w:numId w:val="0"/>
        </w:numPr>
        <w:bidi w:val="0"/>
        <w:spacing w:line="360" w:lineRule="auto"/>
        <w:ind w:leftChars="0"/>
        <w:jc w:val="both"/>
        <w:outlineLvl w:val="9"/>
        <w:rPr>
          <w:rFonts w:hint="default" w:ascii="Arial" w:hAnsi="Arial" w:cs="Arial"/>
          <w:i w:val="0"/>
          <w:iCs w:val="0"/>
          <w:sz w:val="24"/>
          <w:szCs w:val="24"/>
        </w:rPr>
      </w:pPr>
    </w:p>
    <w:p w14:paraId="5FAE3F83">
      <w:pPr>
        <w:pStyle w:val="3"/>
        <w:numPr>
          <w:ilvl w:val="0"/>
          <w:numId w:val="4"/>
        </w:numPr>
        <w:bidi w:val="0"/>
        <w:spacing w:line="360" w:lineRule="auto"/>
        <w:ind w:left="0" w:leftChars="0" w:firstLine="0" w:firstLineChars="0"/>
        <w:jc w:val="both"/>
        <w:rPr>
          <w:rFonts w:hint="default" w:ascii="Arial" w:hAnsi="Arial" w:cs="Arial"/>
          <w:i w:val="0"/>
          <w:iCs w:val="0"/>
          <w:sz w:val="24"/>
          <w:szCs w:val="24"/>
        </w:rPr>
      </w:pPr>
      <w:bookmarkStart w:id="24" w:name="_Toc5664"/>
      <w:bookmarkStart w:id="25" w:name="_Toc3868"/>
      <w:bookmarkStart w:id="26" w:name="_Toc13682"/>
      <w:r>
        <w:rPr>
          <w:rFonts w:hint="default" w:ascii="Arial" w:hAnsi="Arial" w:cs="Arial"/>
          <w:i w:val="0"/>
          <w:iCs w:val="0"/>
          <w:sz w:val="24"/>
          <w:szCs w:val="24"/>
        </w:rPr>
        <w:t>Political Environment</w:t>
      </w:r>
      <w:bookmarkEnd w:id="24"/>
      <w:bookmarkEnd w:id="25"/>
      <w:bookmarkEnd w:id="26"/>
    </w:p>
    <w:p w14:paraId="6E99AA81">
      <w:pPr>
        <w:numPr>
          <w:ilvl w:val="0"/>
          <w:numId w:val="0"/>
        </w:numPr>
        <w:spacing w:line="360" w:lineRule="auto"/>
        <w:ind w:leftChars="0"/>
        <w:jc w:val="both"/>
        <w:rPr>
          <w:rFonts w:hint="default" w:ascii="Arial" w:hAnsi="Arial" w:eastAsia="Segoe UI" w:cs="Arial"/>
          <w:i w:val="0"/>
          <w:iCs w:val="0"/>
          <w:caps w:val="0"/>
          <w:color w:val="424242"/>
          <w:spacing w:val="0"/>
          <w:sz w:val="24"/>
          <w:szCs w:val="24"/>
          <w:shd w:val="clear" w:color="auto" w:fill="auto"/>
        </w:rPr>
      </w:pPr>
      <w:r>
        <w:rPr>
          <w:rFonts w:hint="default" w:ascii="Arial" w:hAnsi="Arial" w:eastAsia="Segoe UI" w:cs="Arial"/>
          <w:i w:val="0"/>
          <w:iCs w:val="0"/>
          <w:caps w:val="0"/>
          <w:color w:val="424242"/>
          <w:spacing w:val="0"/>
          <w:sz w:val="24"/>
          <w:szCs w:val="24"/>
          <w:shd w:val="clear" w:color="auto" w:fill="auto"/>
        </w:rPr>
        <w:t>According to Johnson, the political environment includes government priorities and policies, regulations, trade, and international relations that affect the strategy of businesses (Johnson et al., 2020). The political environment strongly influences the EV industry, as it relates to climate policy, energy transitions, and regulations regarding industry emissions.</w:t>
      </w:r>
    </w:p>
    <w:p w14:paraId="03E86BFC">
      <w:pPr>
        <w:numPr>
          <w:ilvl w:val="0"/>
          <w:numId w:val="0"/>
        </w:numPr>
        <w:spacing w:line="360" w:lineRule="auto"/>
        <w:ind w:leftChars="0"/>
        <w:jc w:val="both"/>
        <w:rPr>
          <w:rFonts w:hint="default" w:ascii="Arial" w:hAnsi="Arial" w:cs="Arial"/>
          <w:b/>
          <w:bCs/>
          <w:i w:val="0"/>
          <w:iCs w:val="0"/>
          <w:sz w:val="24"/>
          <w:szCs w:val="24"/>
          <w:lang w:val="en-US"/>
        </w:rPr>
      </w:pPr>
      <w:r>
        <w:rPr>
          <w:rFonts w:hint="default" w:ascii="Arial" w:hAnsi="Arial" w:cs="Arial"/>
          <w:b/>
          <w:bCs/>
          <w:i w:val="0"/>
          <w:iCs w:val="0"/>
          <w:sz w:val="24"/>
          <w:szCs w:val="24"/>
          <w:lang w:val="en-US"/>
        </w:rPr>
        <w:t>Opportunities for Tesla (Pioneer)</w:t>
      </w:r>
    </w:p>
    <w:p w14:paraId="1116A61C">
      <w:pPr>
        <w:numPr>
          <w:ilvl w:val="0"/>
          <w:numId w:val="0"/>
        </w:numPr>
        <w:spacing w:line="360" w:lineRule="auto"/>
        <w:ind w:leftChars="0"/>
        <w:jc w:val="both"/>
        <w:rPr>
          <w:rFonts w:hint="default" w:ascii="Arial" w:hAnsi="Arial" w:cs="Arial"/>
          <w:i w:val="0"/>
          <w:iCs w:val="0"/>
          <w:sz w:val="24"/>
          <w:szCs w:val="24"/>
          <w:lang w:val="en-US"/>
        </w:rPr>
      </w:pPr>
    </w:p>
    <w:p w14:paraId="0733B5DC">
      <w:pPr>
        <w:spacing w:line="360" w:lineRule="auto"/>
        <w:jc w:val="both"/>
        <w:rPr>
          <w:rFonts w:hint="default" w:ascii="Arial" w:hAnsi="Arial" w:eastAsia="Segoe UI" w:cs="Arial"/>
          <w:i w:val="0"/>
          <w:iCs w:val="0"/>
          <w:caps w:val="0"/>
          <w:color w:val="424242"/>
          <w:spacing w:val="0"/>
          <w:sz w:val="24"/>
          <w:szCs w:val="24"/>
          <w:shd w:val="clear" w:color="auto" w:fill="auto"/>
        </w:rPr>
      </w:pPr>
      <w:r>
        <w:rPr>
          <w:rFonts w:hint="default" w:ascii="Arial" w:hAnsi="Arial" w:eastAsia="Segoe UI" w:cs="Arial"/>
          <w:i w:val="0"/>
          <w:iCs w:val="0"/>
          <w:caps w:val="0"/>
          <w:color w:val="424242"/>
          <w:spacing w:val="0"/>
          <w:sz w:val="24"/>
          <w:szCs w:val="24"/>
          <w:shd w:val="clear" w:color="auto" w:fill="auto"/>
        </w:rPr>
        <w:t>Tesla has viewed a strong degree of benefit because it’s an electric car, and the government supports green consumption cars, which are highly manageable for the environment. So, Tesla enjoyed the benefits due to its technology and because it is highly preferable for the environment. In the United States, the policy of federal tax credits and California’s Zero-Emission Vehicle (ZEV) programme provided huge benefits. These policies not only boosted consumer demand but also legitimised Tesla’s innovative business model, which is highly recommended by consumers.</w:t>
      </w:r>
    </w:p>
    <w:p w14:paraId="1DF0BA09">
      <w:pPr>
        <w:spacing w:line="360" w:lineRule="auto"/>
        <w:jc w:val="both"/>
        <w:rPr>
          <w:rFonts w:hint="default" w:ascii="Arial" w:hAnsi="Arial" w:eastAsia="Segoe UI" w:cs="Arial"/>
          <w:i w:val="0"/>
          <w:iCs w:val="0"/>
          <w:caps w:val="0"/>
          <w:color w:val="424242"/>
          <w:spacing w:val="0"/>
          <w:sz w:val="24"/>
          <w:szCs w:val="24"/>
          <w:shd w:val="clear" w:color="auto" w:fill="auto"/>
        </w:rPr>
      </w:pPr>
    </w:p>
    <w:p w14:paraId="3A230A40">
      <w:pPr>
        <w:spacing w:line="360" w:lineRule="auto"/>
        <w:jc w:val="both"/>
        <w:rPr>
          <w:rFonts w:hint="default" w:ascii="Arial" w:hAnsi="Arial" w:eastAsia="Segoe UI" w:cs="Arial"/>
          <w:i w:val="0"/>
          <w:iCs w:val="0"/>
          <w:caps w:val="0"/>
          <w:color w:val="424242"/>
          <w:spacing w:val="0"/>
          <w:sz w:val="24"/>
          <w:szCs w:val="24"/>
          <w:shd w:val="clear" w:color="auto" w:fill="auto"/>
          <w:lang w:val="en-US"/>
        </w:rPr>
      </w:pPr>
    </w:p>
    <w:p w14:paraId="54AF79ED">
      <w:pPr>
        <w:pStyle w:val="11"/>
        <w:keepNext w:val="0"/>
        <w:keepLines w:val="0"/>
        <w:widowControl/>
        <w:suppressLineNumbers w:val="0"/>
        <w:spacing w:line="360" w:lineRule="auto"/>
        <w:jc w:val="both"/>
        <w:rPr>
          <w:rFonts w:hint="default" w:ascii="Arial" w:hAnsi="Arial" w:eastAsia="SimSun" w:cs="Arial"/>
          <w:b/>
          <w:bCs/>
          <w:i w:val="0"/>
          <w:iCs w:val="0"/>
          <w:sz w:val="24"/>
          <w:szCs w:val="24"/>
        </w:rPr>
      </w:pPr>
      <w:r>
        <w:rPr>
          <w:rFonts w:hint="default" w:ascii="Arial" w:hAnsi="Arial" w:eastAsia="SimSun" w:cs="Arial"/>
          <w:b/>
          <w:bCs/>
          <w:i w:val="0"/>
          <w:iCs w:val="0"/>
          <w:sz w:val="24"/>
          <w:szCs w:val="24"/>
        </w:rPr>
        <w:t>Threats for Tesla</w:t>
      </w:r>
    </w:p>
    <w:p w14:paraId="614FB74A">
      <w:pPr>
        <w:pStyle w:val="11"/>
        <w:bidi w:val="0"/>
        <w:spacing w:line="360" w:lineRule="auto"/>
        <w:jc w:val="both"/>
        <w:rPr>
          <w:rFonts w:hint="default" w:ascii="Arial" w:hAnsi="Arial" w:cs="Arial"/>
        </w:rPr>
      </w:pPr>
      <w:r>
        <w:rPr>
          <w:rFonts w:hint="default" w:ascii="Arial" w:hAnsi="Arial" w:cs="Arial"/>
        </w:rPr>
        <w:t>Tesla’s global operations expose it to geopolitical risks such as trade disputes, and some companies do not want Tesla to launch in their countries because they have no competitors there. So, it was a threat from companies who pressured their governments not to allow Tesla, as its entry would create direct competition. Other threats include localisation requirements and shifting labour policies.</w:t>
      </w:r>
    </w:p>
    <w:p w14:paraId="3D25B740">
      <w:pPr>
        <w:pStyle w:val="6"/>
        <w:keepNext w:val="0"/>
        <w:keepLines w:val="0"/>
        <w:widowControl/>
        <w:suppressLineNumbers w:val="0"/>
        <w:spacing w:line="360" w:lineRule="auto"/>
        <w:jc w:val="both"/>
        <w:rPr>
          <w:rFonts w:hint="default" w:ascii="Arial" w:hAnsi="Arial" w:cs="Arial"/>
          <w:i w:val="0"/>
          <w:iCs w:val="0"/>
          <w:sz w:val="24"/>
          <w:szCs w:val="24"/>
        </w:rPr>
      </w:pPr>
      <w:r>
        <w:rPr>
          <w:rStyle w:val="12"/>
          <w:rFonts w:hint="default" w:ascii="Arial" w:hAnsi="Arial" w:cs="Arial"/>
          <w:b/>
          <w:bCs/>
          <w:i w:val="0"/>
          <w:iCs w:val="0"/>
          <w:sz w:val="24"/>
          <w:szCs w:val="24"/>
        </w:rPr>
        <w:t>Opportunities for Volkswagen (Follower)</w:t>
      </w:r>
    </w:p>
    <w:p w14:paraId="2AF0BF62">
      <w:pPr>
        <w:pStyle w:val="11"/>
        <w:bidi w:val="0"/>
        <w:spacing w:line="360" w:lineRule="auto"/>
        <w:jc w:val="both"/>
        <w:rPr>
          <w:rFonts w:hint="default" w:ascii="Arial" w:hAnsi="Arial" w:cs="Arial"/>
          <w:lang w:val="en-US"/>
        </w:rPr>
      </w:pPr>
      <w:r>
        <w:rPr>
          <w:rFonts w:hint="default" w:ascii="Arial" w:hAnsi="Arial" w:cs="Arial"/>
          <w:lang w:val="en-US"/>
        </w:rPr>
        <w:t>Once government introduce the policies for electric cars then follower also get benefits through these policies and the emerge in the market just to copy the pioneer company. Moreover Volkswagen enjoy the rights which are introduced due to pioneer company they have to just inter the market cause Tesla already create the pathway for electric vehicle.</w:t>
      </w:r>
      <w:r>
        <w:rPr>
          <w:rFonts w:hint="default" w:ascii="Arial" w:hAnsi="Arial" w:cs="Arial"/>
        </w:rPr>
        <w:t>Moreover, VW’s status as a European manufacturer allows it to benefit from regional industrial support, such as Germany’s subsidies for battery factories and EV R&amp;D (Statista, 2024).</w:t>
      </w:r>
      <w:r>
        <w:rPr>
          <w:rFonts w:hint="default" w:ascii="Arial" w:hAnsi="Arial" w:cs="Arial"/>
          <w:lang w:val="en-US"/>
        </w:rPr>
        <w:t xml:space="preserve"> </w:t>
      </w:r>
    </w:p>
    <w:p w14:paraId="2D3D3831">
      <w:pPr>
        <w:pStyle w:val="11"/>
        <w:keepNext w:val="0"/>
        <w:keepLines w:val="0"/>
        <w:widowControl/>
        <w:suppressLineNumbers w:val="0"/>
        <w:spacing w:line="360" w:lineRule="auto"/>
        <w:jc w:val="both"/>
        <w:rPr>
          <w:rFonts w:hint="default" w:ascii="Arial" w:hAnsi="Arial" w:eastAsia="SimSun" w:cs="Arial"/>
          <w:b/>
          <w:bCs/>
          <w:i w:val="0"/>
          <w:iCs w:val="0"/>
          <w:sz w:val="24"/>
          <w:szCs w:val="24"/>
        </w:rPr>
      </w:pPr>
      <w:r>
        <w:rPr>
          <w:rFonts w:hint="default" w:ascii="Arial" w:hAnsi="Arial" w:eastAsia="SimSun" w:cs="Arial"/>
          <w:b/>
          <w:bCs/>
          <w:i w:val="0"/>
          <w:iCs w:val="0"/>
          <w:sz w:val="24"/>
          <w:szCs w:val="24"/>
        </w:rPr>
        <w:t>Threats for Volkswagen</w:t>
      </w:r>
    </w:p>
    <w:p w14:paraId="1768B1E9">
      <w:pPr>
        <w:pStyle w:val="11"/>
        <w:keepNext w:val="0"/>
        <w:keepLines w:val="0"/>
        <w:widowControl/>
        <w:suppressLineNumbers w:val="0"/>
        <w:spacing w:line="360" w:lineRule="auto"/>
        <w:jc w:val="both"/>
        <w:rPr>
          <w:rFonts w:hint="default" w:ascii="Arial" w:hAnsi="Arial" w:eastAsia="SimSun" w:cs="Arial"/>
          <w:b w:val="0"/>
          <w:bCs w:val="0"/>
          <w:i w:val="0"/>
          <w:iCs w:val="0"/>
          <w:sz w:val="24"/>
          <w:szCs w:val="24"/>
          <w:lang w:val="en-US"/>
        </w:rPr>
      </w:pPr>
      <w:r>
        <w:rPr>
          <w:rFonts w:hint="default" w:ascii="Arial" w:hAnsi="Arial" w:eastAsia="SimSun" w:cs="Arial"/>
          <w:b w:val="0"/>
          <w:bCs w:val="0"/>
          <w:i w:val="0"/>
          <w:iCs w:val="0"/>
          <w:sz w:val="24"/>
          <w:szCs w:val="24"/>
        </w:rPr>
        <w:t>VW faces challenges associated with regulatory complexity and global trade</w:t>
      </w:r>
      <w:r>
        <w:rPr>
          <w:rFonts w:hint="default" w:ascii="Arial" w:hAnsi="Arial" w:eastAsia="SimSun" w:cs="Arial"/>
          <w:b w:val="0"/>
          <w:bCs w:val="0"/>
          <w:i w:val="0"/>
          <w:iCs w:val="0"/>
          <w:sz w:val="24"/>
          <w:szCs w:val="24"/>
          <w:lang w:val="en-US"/>
        </w:rPr>
        <w:t xml:space="preserve"> market. Some of the government hesitate to accept vw and they have though that the vw is the cheap copy of Tesla so through this mentality vw faces global trade market threats.</w:t>
      </w:r>
      <w:r>
        <w:rPr>
          <w:rFonts w:hint="default" w:ascii="Arial" w:hAnsi="Arial" w:eastAsia="SimSun" w:cs="Arial"/>
          <w:b w:val="0"/>
          <w:bCs w:val="0"/>
          <w:i w:val="0"/>
          <w:iCs w:val="0"/>
          <w:sz w:val="24"/>
          <w:szCs w:val="24"/>
        </w:rPr>
        <w:t xml:space="preserve">Furthermore, political scandals such as the </w:t>
      </w:r>
      <w:r>
        <w:rPr>
          <w:rStyle w:val="12"/>
          <w:rFonts w:hint="default" w:ascii="Arial" w:hAnsi="Arial" w:eastAsia="SimSun" w:cs="Arial"/>
          <w:b w:val="0"/>
          <w:bCs w:val="0"/>
          <w:i w:val="0"/>
          <w:iCs w:val="0"/>
          <w:sz w:val="24"/>
          <w:szCs w:val="24"/>
        </w:rPr>
        <w:t>2015 diesel emissions crisis</w:t>
      </w:r>
      <w:r>
        <w:rPr>
          <w:rFonts w:hint="default" w:ascii="Arial" w:hAnsi="Arial" w:eastAsia="SimSun" w:cs="Arial"/>
          <w:b w:val="0"/>
          <w:bCs w:val="0"/>
          <w:i w:val="0"/>
          <w:iCs w:val="0"/>
          <w:sz w:val="24"/>
          <w:szCs w:val="24"/>
        </w:rPr>
        <w:t xml:space="preserve"> continue to affect VW’s credibility, requiring ongoing efforts to rebuild trust and align with stricter ethical standards.</w:t>
      </w:r>
    </w:p>
    <w:p w14:paraId="3F1CF49F">
      <w:pPr>
        <w:pStyle w:val="11"/>
        <w:keepNext w:val="0"/>
        <w:keepLines w:val="0"/>
        <w:widowControl/>
        <w:suppressLineNumbers w:val="0"/>
        <w:spacing w:line="360" w:lineRule="auto"/>
        <w:jc w:val="both"/>
        <w:rPr>
          <w:rFonts w:hint="default" w:ascii="Arial" w:hAnsi="Arial" w:eastAsia="SimSun" w:cs="Arial"/>
          <w:sz w:val="24"/>
          <w:szCs w:val="24"/>
          <w:lang w:val="en-US"/>
        </w:rPr>
      </w:pPr>
    </w:p>
    <w:p w14:paraId="35B1F338">
      <w:pPr>
        <w:pStyle w:val="11"/>
        <w:keepNext w:val="0"/>
        <w:keepLines w:val="0"/>
        <w:widowControl/>
        <w:suppressLineNumbers w:val="0"/>
        <w:spacing w:line="360" w:lineRule="auto"/>
        <w:jc w:val="both"/>
        <w:rPr>
          <w:rFonts w:hint="default" w:ascii="Arial" w:hAnsi="Arial" w:eastAsia="SimSun" w:cs="Arial"/>
          <w:sz w:val="24"/>
          <w:szCs w:val="24"/>
          <w:lang w:val="en-US"/>
        </w:rPr>
      </w:pPr>
    </w:p>
    <w:p w14:paraId="0EA38370">
      <w:pPr>
        <w:pStyle w:val="11"/>
        <w:keepNext w:val="0"/>
        <w:keepLines w:val="0"/>
        <w:widowControl/>
        <w:suppressLineNumbers w:val="0"/>
        <w:spacing w:line="360" w:lineRule="auto"/>
        <w:jc w:val="both"/>
        <w:rPr>
          <w:rFonts w:hint="default" w:ascii="Arial" w:hAnsi="Arial" w:eastAsia="SimSun" w:cs="Arial"/>
          <w:sz w:val="24"/>
          <w:szCs w:val="24"/>
          <w:lang w:val="en-US"/>
        </w:rPr>
      </w:pPr>
    </w:p>
    <w:p w14:paraId="70D7C599">
      <w:pPr>
        <w:numPr>
          <w:ilvl w:val="0"/>
          <w:numId w:val="0"/>
        </w:numPr>
        <w:spacing w:line="360" w:lineRule="auto"/>
        <w:jc w:val="both"/>
        <w:rPr>
          <w:rFonts w:hint="default" w:ascii="Arial" w:hAnsi="Arial" w:eastAsia="SimSun" w:cs="Arial"/>
          <w:b w:val="0"/>
          <w:bCs w:val="0"/>
          <w:sz w:val="24"/>
          <w:szCs w:val="24"/>
          <w:lang w:val="en-US"/>
        </w:rPr>
      </w:pPr>
      <w:r>
        <w:rPr>
          <w:rFonts w:hint="default" w:ascii="Arial" w:hAnsi="Arial" w:eastAsia="SimSun" w:cs="Arial"/>
          <w:b w:val="0"/>
          <w:bCs w:val="0"/>
          <w:sz w:val="24"/>
          <w:szCs w:val="24"/>
          <w:lang w:val="en-US"/>
        </w:rPr>
        <w:t xml:space="preserve"> </w:t>
      </w:r>
    </w:p>
    <w:p w14:paraId="07743BD2">
      <w:pPr>
        <w:numPr>
          <w:ilvl w:val="0"/>
          <w:numId w:val="0"/>
        </w:numPr>
        <w:spacing w:line="360" w:lineRule="auto"/>
        <w:jc w:val="both"/>
        <w:rPr>
          <w:rFonts w:hint="default" w:ascii="Arial" w:hAnsi="Arial" w:eastAsia="SimSun" w:cs="Arial"/>
          <w:sz w:val="24"/>
          <w:szCs w:val="24"/>
          <w:lang w:val="en-US"/>
        </w:rPr>
      </w:pPr>
    </w:p>
    <w:p w14:paraId="204513E2">
      <w:pPr>
        <w:pStyle w:val="11"/>
        <w:keepNext w:val="0"/>
        <w:keepLines w:val="0"/>
        <w:widowControl/>
        <w:suppressLineNumbers w:val="0"/>
        <w:spacing w:line="360" w:lineRule="auto"/>
        <w:jc w:val="both"/>
        <w:rPr>
          <w:rFonts w:hint="default" w:ascii="Arial" w:hAnsi="Arial" w:eastAsia="SimSun" w:cs="Arial"/>
          <w:b w:val="0"/>
          <w:bCs w:val="0"/>
          <w:sz w:val="24"/>
          <w:szCs w:val="24"/>
          <w:lang w:val="en-US"/>
        </w:rPr>
      </w:pPr>
    </w:p>
    <w:p w14:paraId="1E9D663C">
      <w:pPr>
        <w:pStyle w:val="11"/>
        <w:keepNext w:val="0"/>
        <w:keepLines w:val="0"/>
        <w:widowControl/>
        <w:suppressLineNumbers w:val="0"/>
        <w:spacing w:line="360" w:lineRule="auto"/>
        <w:jc w:val="both"/>
        <w:rPr>
          <w:rFonts w:hint="default" w:ascii="Arial" w:hAnsi="Arial" w:eastAsia="SimSun" w:cs="Arial"/>
          <w:sz w:val="24"/>
          <w:szCs w:val="24"/>
          <w:lang w:val="en-US"/>
        </w:rPr>
      </w:pPr>
    </w:p>
    <w:p w14:paraId="0B03896D">
      <w:pPr>
        <w:pStyle w:val="11"/>
        <w:keepNext w:val="0"/>
        <w:keepLines w:val="0"/>
        <w:widowControl/>
        <w:suppressLineNumbers w:val="0"/>
        <w:spacing w:line="360" w:lineRule="auto"/>
        <w:ind w:left="0" w:leftChars="0" w:right="720"/>
        <w:jc w:val="both"/>
        <w:rPr>
          <w:rFonts w:hint="default" w:ascii="Arial" w:hAnsi="Arial" w:eastAsia="SimSun" w:cs="Arial"/>
          <w:b w:val="0"/>
          <w:bCs w:val="0"/>
          <w:sz w:val="24"/>
          <w:szCs w:val="24"/>
          <w:shd w:val="clear" w:color="auto" w:fill="auto"/>
          <w:lang w:val="en-US"/>
        </w:rPr>
      </w:pPr>
      <w:r>
        <w:rPr>
          <w:rFonts w:hint="default" w:ascii="Arial" w:hAnsi="Arial" w:eastAsia="SimSun" w:cs="Arial"/>
          <w:b w:val="0"/>
          <w:bCs w:val="0"/>
          <w:sz w:val="24"/>
          <w:szCs w:val="24"/>
          <w:shd w:val="clear" w:color="auto" w:fill="auto"/>
          <w:lang w:val="en-US"/>
        </w:rPr>
        <w:t xml:space="preserve">  </w:t>
      </w:r>
    </w:p>
    <w:p w14:paraId="21974C03">
      <w:pPr>
        <w:pStyle w:val="2"/>
        <w:bidi w:val="0"/>
        <w:rPr>
          <w:rFonts w:hint="default"/>
        </w:rPr>
      </w:pPr>
      <w:bookmarkStart w:id="27" w:name="_Toc10406"/>
      <w:bookmarkStart w:id="28" w:name="_Toc9263"/>
      <w:bookmarkStart w:id="29" w:name="_Toc29389"/>
      <w:r>
        <w:rPr>
          <w:rFonts w:hint="default"/>
        </w:rPr>
        <w:t>T</w:t>
      </w:r>
      <w:r>
        <w:rPr>
          <w:rFonts w:hint="default"/>
          <w:lang w:val="en-US"/>
        </w:rPr>
        <w:t>a</w:t>
      </w:r>
      <w:r>
        <w:rPr>
          <w:rFonts w:hint="default"/>
        </w:rPr>
        <w:t>sk 2:</w:t>
      </w:r>
      <w:bookmarkEnd w:id="27"/>
      <w:bookmarkEnd w:id="28"/>
      <w:bookmarkEnd w:id="29"/>
    </w:p>
    <w:p w14:paraId="60A17BE8">
      <w:pPr>
        <w:pStyle w:val="11"/>
        <w:tabs>
          <w:tab w:val="left" w:pos="10065"/>
        </w:tabs>
        <w:spacing w:line="360" w:lineRule="auto"/>
        <w:ind w:left="426"/>
        <w:jc w:val="both"/>
        <w:rPr>
          <w:rFonts w:hint="default" w:ascii="Arial" w:hAnsi="Arial" w:cs="Arial"/>
          <w:b/>
          <w:bCs/>
          <w:sz w:val="24"/>
          <w:szCs w:val="24"/>
        </w:rPr>
      </w:pPr>
      <w:r>
        <w:rPr>
          <w:rFonts w:hint="default" w:ascii="Arial" w:hAnsi="Arial" w:cs="Arial"/>
          <w:b/>
          <w:bCs/>
          <w:sz w:val="24"/>
          <w:szCs w:val="24"/>
        </w:rPr>
        <w:t xml:space="preserve">Building on the analysis from Task 1, and drawing on </w:t>
      </w:r>
      <w:r>
        <w:rPr>
          <w:rStyle w:val="12"/>
          <w:rFonts w:hint="default" w:ascii="Arial" w:hAnsi="Arial" w:cs="Arial"/>
          <w:b/>
          <w:bCs/>
          <w:sz w:val="24"/>
          <w:szCs w:val="24"/>
        </w:rPr>
        <w:t>relevant industry examples</w:t>
      </w:r>
      <w:r>
        <w:rPr>
          <w:rFonts w:hint="default" w:ascii="Arial" w:hAnsi="Arial" w:cs="Arial"/>
          <w:b/>
          <w:bCs/>
          <w:sz w:val="24"/>
          <w:szCs w:val="24"/>
        </w:rPr>
        <w:t xml:space="preserve">, </w:t>
      </w:r>
      <w:r>
        <w:rPr>
          <w:rStyle w:val="12"/>
          <w:rFonts w:hint="default" w:ascii="Arial" w:hAnsi="Arial" w:cs="Arial"/>
          <w:b/>
          <w:bCs/>
          <w:sz w:val="24"/>
          <w:szCs w:val="24"/>
        </w:rPr>
        <w:t>critically evaluate how pioneering and follower organisations strategically respond to the selected external factors to maintain competitiveness</w:t>
      </w:r>
      <w:r>
        <w:rPr>
          <w:rFonts w:hint="default" w:ascii="Arial" w:hAnsi="Arial" w:cs="Arial"/>
          <w:b/>
          <w:bCs/>
          <w:sz w:val="24"/>
          <w:szCs w:val="24"/>
        </w:rPr>
        <w:t>. Your evaluation should be supported by appropriate marketing strategies.</w:t>
      </w:r>
    </w:p>
    <w:p w14:paraId="510A5C0C">
      <w:pPr>
        <w:pStyle w:val="11"/>
        <w:tabs>
          <w:tab w:val="left" w:pos="10065"/>
        </w:tabs>
        <w:spacing w:line="360" w:lineRule="auto"/>
        <w:ind w:left="426"/>
        <w:jc w:val="both"/>
        <w:rPr>
          <w:rFonts w:hint="default" w:ascii="Arial" w:hAnsi="Arial" w:cs="Arial"/>
          <w:b/>
          <w:bCs/>
          <w:sz w:val="24"/>
          <w:szCs w:val="24"/>
        </w:rPr>
      </w:pPr>
    </w:p>
    <w:p w14:paraId="4BC06507">
      <w:pPr>
        <w:bidi w:val="0"/>
        <w:spacing w:line="360" w:lineRule="auto"/>
        <w:jc w:val="both"/>
        <w:rPr>
          <w:rFonts w:hint="default" w:ascii="Arial" w:hAnsi="Arial" w:cs="Arial"/>
          <w:b/>
          <w:bCs/>
          <w:sz w:val="24"/>
          <w:szCs w:val="24"/>
        </w:rPr>
      </w:pPr>
      <w:r>
        <w:rPr>
          <w:rFonts w:hint="default" w:ascii="Arial" w:hAnsi="Arial" w:cs="Arial"/>
          <w:b/>
          <w:bCs/>
          <w:sz w:val="24"/>
          <w:szCs w:val="24"/>
        </w:rPr>
        <w:t>Strategic Responses of Pioneers and Followers to Technological and Political Factors in the EV Industry</w:t>
      </w:r>
    </w:p>
    <w:p w14:paraId="5E96E3C0">
      <w:pPr>
        <w:bidi w:val="0"/>
        <w:spacing w:line="360" w:lineRule="auto"/>
        <w:jc w:val="both"/>
        <w:rPr>
          <w:rFonts w:hint="default" w:ascii="Arial" w:hAnsi="Arial" w:cs="Arial"/>
          <w:b/>
          <w:bCs/>
          <w:sz w:val="24"/>
          <w:szCs w:val="24"/>
        </w:rPr>
      </w:pPr>
    </w:p>
    <w:p w14:paraId="54BE74C4">
      <w:pPr>
        <w:bidi w:val="0"/>
        <w:spacing w:line="360" w:lineRule="auto"/>
        <w:jc w:val="both"/>
        <w:rPr>
          <w:rFonts w:hint="default" w:ascii="Arial" w:hAnsi="Arial" w:cs="Arial"/>
          <w:b/>
          <w:bCs/>
          <w:sz w:val="24"/>
          <w:szCs w:val="24"/>
        </w:rPr>
      </w:pPr>
      <w:r>
        <w:rPr>
          <w:rFonts w:hint="default" w:ascii="Arial" w:hAnsi="Arial" w:cs="Arial"/>
          <w:b/>
          <w:bCs/>
          <w:sz w:val="24"/>
          <w:szCs w:val="24"/>
        </w:rPr>
        <w:t>Introduction</w:t>
      </w:r>
    </w:p>
    <w:p w14:paraId="5E31F112">
      <w:pPr>
        <w:bidi w:val="0"/>
        <w:spacing w:line="360" w:lineRule="auto"/>
        <w:jc w:val="both"/>
        <w:rPr>
          <w:rFonts w:hint="default" w:ascii="Arial" w:hAnsi="Arial" w:cs="Arial"/>
          <w:b/>
          <w:bCs/>
          <w:sz w:val="24"/>
          <w:szCs w:val="24"/>
        </w:rPr>
      </w:pPr>
    </w:p>
    <w:p w14:paraId="1A155080">
      <w:pPr>
        <w:spacing w:line="360" w:lineRule="auto"/>
        <w:jc w:val="both"/>
        <w:rPr>
          <w:rFonts w:hint="default" w:ascii="Arial" w:hAnsi="Arial" w:eastAsia="Segoe UI" w:cs="Arial"/>
          <w:i w:val="0"/>
          <w:iCs w:val="0"/>
          <w:caps w:val="0"/>
          <w:color w:val="424242"/>
          <w:spacing w:val="0"/>
          <w:sz w:val="24"/>
          <w:szCs w:val="24"/>
          <w:shd w:val="clear" w:fill="FAFAFA"/>
          <w:lang w:val="en-US"/>
        </w:rPr>
      </w:pPr>
      <w:r>
        <w:rPr>
          <w:rFonts w:hint="default" w:ascii="Arial" w:hAnsi="Arial" w:eastAsia="SimSun" w:cs="Arial"/>
          <w:sz w:val="24"/>
          <w:szCs w:val="24"/>
        </w:rPr>
        <w:t>This section is based on a critical understanding of how pioneering and follower companies respond to technological and political factors in the electric vehicle industry. The EV sector is a salient context because both technology trajectories (e.g., battery chemistries, software-defined vehicles, charging infrastructure) and political forces (e.g., emissions regulations) are powerful exogenous drivers of firm strategy and performance. Tesla, as the acknowledged pioneer, has pursued high innovation and performs a leadership role in the electric vehicle industry. On the other hand, Volkswagen is a major competitor of Tesla and builds fast-follower adoption, following the pioneering company’s mistakes and strategies to enter the electric vehicle market.</w:t>
      </w:r>
    </w:p>
    <w:p w14:paraId="6CD0ACB4">
      <w:pPr>
        <w:pStyle w:val="11"/>
        <w:bidi w:val="0"/>
        <w:spacing w:line="360" w:lineRule="auto"/>
        <w:jc w:val="both"/>
        <w:rPr>
          <w:rFonts w:hint="default" w:ascii="Arial" w:hAnsi="Arial" w:cs="Arial"/>
          <w:b/>
          <w:bCs/>
        </w:rPr>
      </w:pPr>
      <w:r>
        <w:rPr>
          <w:rFonts w:hint="default" w:ascii="Arial" w:hAnsi="Arial" w:cs="Arial"/>
          <w:b/>
          <w:bCs/>
        </w:rPr>
        <w:t>1.1 Tesla (Pioneer): Differentiation through technology leadership and ecosystem control</w:t>
      </w:r>
    </w:p>
    <w:p w14:paraId="04BF7F16">
      <w:pPr>
        <w:pStyle w:val="11"/>
        <w:bidi w:val="0"/>
        <w:spacing w:line="360" w:lineRule="auto"/>
        <w:jc w:val="both"/>
        <w:rPr>
          <w:rFonts w:hint="default" w:ascii="Arial" w:hAnsi="Arial" w:eastAsia="SimSun" w:cs="Arial"/>
          <w:szCs w:val="24"/>
          <w:lang w:val="en-US"/>
        </w:rPr>
      </w:pPr>
      <w:r>
        <w:rPr>
          <w:rFonts w:hint="default" w:ascii="Arial" w:hAnsi="Arial" w:cs="Arial"/>
          <w:lang w:val="en-US"/>
        </w:rPr>
        <w:t xml:space="preserve">Tesla primarily responds to the technological landscape with its different strategies. </w:t>
      </w:r>
      <w:r>
        <w:rPr>
          <w:rFonts w:hint="default" w:ascii="Arial" w:hAnsi="Arial" w:cs="Arial"/>
        </w:rPr>
        <w:t xml:space="preserve">Relevant parts of the differentiation strategy consist of (1) battery </w:t>
      </w:r>
      <w:r>
        <w:rPr>
          <w:rFonts w:hint="default" w:ascii="Arial" w:hAnsi="Arial" w:cs="Arial"/>
        </w:rPr>
        <w:t>development and</w:t>
      </w:r>
      <w:r>
        <w:rPr>
          <w:rFonts w:hint="default" w:ascii="Arial" w:hAnsi="Arial" w:eastAsia="sans-serif" w:cs="Arial"/>
          <w:i w:val="0"/>
          <w:iCs w:val="0"/>
          <w:caps w:val="0"/>
          <w:color w:val="131417"/>
          <w:spacing w:val="0"/>
          <w:szCs w:val="24"/>
          <w:shd w:val="clear" w:fill="FFFFFF"/>
        </w:rPr>
        <w:t xml:space="preserve"> innovation</w:t>
      </w:r>
      <w:r>
        <w:rPr>
          <w:rFonts w:hint="default" w:ascii="Arial" w:hAnsi="Arial" w:eastAsia="sans-serif" w:cs="Arial"/>
          <w:i w:val="0"/>
          <w:iCs w:val="0"/>
          <w:caps w:val="0"/>
          <w:color w:val="131417"/>
          <w:spacing w:val="0"/>
          <w:szCs w:val="24"/>
          <w:shd w:val="clear" w:fill="FFFFFF"/>
          <w:lang w:val="en-US"/>
        </w:rPr>
        <w:t>, thermal management  and exploration in the field of chemistry to get success in lith</w:t>
      </w:r>
      <w:r>
        <w:rPr>
          <w:rFonts w:hint="default" w:ascii="Arial" w:hAnsi="Arial" w:cs="Arial"/>
          <w:lang w:val="en-US"/>
        </w:rPr>
        <w:t xml:space="preserve">ium battery production and software technology define vehicle </w:t>
      </w:r>
      <w:r>
        <w:rPr>
          <w:rFonts w:hint="default" w:ascii="Arial" w:hAnsi="Arial" w:cs="Arial"/>
        </w:rPr>
        <w:t>architecture to facilitate OTA</w:t>
      </w:r>
      <w:r>
        <w:rPr>
          <w:rFonts w:hint="default" w:ascii="Arial" w:hAnsi="Arial" w:cs="Arial"/>
          <w:lang w:val="en-US"/>
        </w:rPr>
        <w:t xml:space="preserve"> ( over the air)</w:t>
      </w:r>
      <w:r>
        <w:rPr>
          <w:rFonts w:hint="default" w:ascii="Arial" w:hAnsi="Arial" w:cs="Arial"/>
        </w:rPr>
        <w:t xml:space="preserve"> delivery of features supporting</w:t>
      </w:r>
      <w:r>
        <w:rPr>
          <w:rFonts w:hint="default" w:ascii="Arial" w:hAnsi="Arial" w:eastAsia="sans-serif" w:cs="Arial"/>
          <w:i w:val="0"/>
          <w:iCs w:val="0"/>
          <w:caps w:val="0"/>
          <w:color w:val="131417"/>
          <w:spacing w:val="0"/>
          <w:szCs w:val="24"/>
          <w:shd w:val="clear" w:fill="FFFFFF"/>
        </w:rPr>
        <w:t xml:space="preserve"> safety,</w:t>
      </w:r>
      <w:r>
        <w:rPr>
          <w:rFonts w:hint="default" w:ascii="Arial" w:hAnsi="Arial" w:eastAsia="sans-serif" w:cs="Arial"/>
          <w:i w:val="0"/>
          <w:iCs w:val="0"/>
          <w:caps w:val="0"/>
          <w:color w:val="131417"/>
          <w:spacing w:val="0"/>
          <w:szCs w:val="24"/>
          <w:shd w:val="clear" w:fill="FFFFFF"/>
          <w:lang w:val="en-US"/>
        </w:rPr>
        <w:t>(</w:t>
      </w:r>
      <w:r>
        <w:rPr>
          <w:rFonts w:hint="default" w:ascii="Arial" w:hAnsi="Arial" w:eastAsia="SimSun" w:cs="Arial"/>
          <w:szCs w:val="24"/>
        </w:rPr>
        <w:t xml:space="preserve">Software updates, new features, or bug fixes are </w:t>
      </w:r>
      <w:r>
        <w:rPr>
          <w:rFonts w:hint="default" w:ascii="Arial" w:hAnsi="Arial" w:eastAsia="SimSun" w:cs="Arial"/>
          <w:szCs w:val="24"/>
          <w:lang w:val="en-US"/>
        </w:rPr>
        <w:t>wireless</w:t>
      </w:r>
      <w:r>
        <w:rPr>
          <w:rStyle w:val="12"/>
          <w:rFonts w:hint="default" w:ascii="Arial" w:hAnsi="Arial" w:eastAsia="SimSun" w:cs="Arial"/>
          <w:b w:val="0"/>
          <w:bCs w:val="0"/>
          <w:szCs w:val="24"/>
        </w:rPr>
        <w:t xml:space="preserve"> sent</w:t>
      </w:r>
      <w:r>
        <w:rPr>
          <w:rFonts w:hint="default" w:ascii="Arial" w:hAnsi="Arial" w:eastAsia="SimSun" w:cs="Arial"/>
          <w:szCs w:val="24"/>
        </w:rPr>
        <w:t xml:space="preserve"> directly to a car’s computer system — without the driver needing to visit a service centre</w:t>
      </w:r>
      <w:r>
        <w:rPr>
          <w:rFonts w:hint="default" w:ascii="Arial" w:hAnsi="Arial" w:eastAsia="SimSun" w:cs="Arial"/>
          <w:szCs w:val="24"/>
          <w:lang w:val="en-US"/>
        </w:rPr>
        <w:t>) and self driving feature gave a boost to the Tesla company in the market.in other words Tesla build ecosystem car and its surrounding build super charging station for Tesla car which is the great step of Tesla to build charging stations in its market place.</w:t>
      </w:r>
    </w:p>
    <w:p w14:paraId="1BB2C3D4">
      <w:pPr>
        <w:spacing w:line="360" w:lineRule="auto"/>
        <w:jc w:val="both"/>
        <w:rPr>
          <w:rFonts w:hint="default" w:ascii="Arial" w:hAnsi="Arial" w:eastAsia="SimSun" w:cs="Arial"/>
          <w:sz w:val="24"/>
          <w:szCs w:val="24"/>
          <w:lang w:val="en-US"/>
        </w:rPr>
      </w:pPr>
    </w:p>
    <w:p w14:paraId="0E5ACBDB">
      <w:pPr>
        <w:bidi w:val="0"/>
        <w:spacing w:line="360" w:lineRule="auto"/>
        <w:jc w:val="both"/>
        <w:rPr>
          <w:rFonts w:hint="default" w:ascii="Arial" w:hAnsi="Arial" w:cs="Arial"/>
          <w:b/>
          <w:bCs/>
          <w:sz w:val="24"/>
          <w:szCs w:val="24"/>
          <w:lang w:val="en-US"/>
        </w:rPr>
      </w:pPr>
      <w:r>
        <w:rPr>
          <w:rFonts w:hint="default" w:ascii="Arial" w:hAnsi="Arial" w:cs="Arial"/>
          <w:b/>
          <w:bCs/>
          <w:sz w:val="24"/>
          <w:szCs w:val="24"/>
        </w:rPr>
        <w:t xml:space="preserve">Volkswagen (Follower): Cost leadership and platform scale to penetrate </w:t>
      </w:r>
      <w:r>
        <w:rPr>
          <w:rFonts w:hint="default" w:ascii="Arial" w:hAnsi="Arial" w:cs="Arial"/>
          <w:b/>
          <w:bCs/>
          <w:sz w:val="24"/>
          <w:szCs w:val="24"/>
          <w:lang w:val="en-US"/>
        </w:rPr>
        <w:t>in the market</w:t>
      </w:r>
    </w:p>
    <w:p w14:paraId="6BD8E484">
      <w:pPr>
        <w:bidi w:val="0"/>
        <w:spacing w:line="360" w:lineRule="auto"/>
        <w:jc w:val="both"/>
        <w:rPr>
          <w:rFonts w:hint="default" w:ascii="Arial" w:hAnsi="Arial" w:cs="Arial"/>
          <w:sz w:val="24"/>
          <w:szCs w:val="24"/>
          <w:lang w:val="en-US"/>
        </w:rPr>
      </w:pPr>
      <w:r>
        <w:rPr>
          <w:rFonts w:hint="default" w:ascii="Arial" w:hAnsi="Arial" w:cs="Arial"/>
          <w:sz w:val="24"/>
          <w:szCs w:val="24"/>
        </w:rPr>
        <w:t>Volkswagen’s strategy as a follower has focused on keeping costs low and quickly adopting proven ideas from market leaders</w:t>
      </w:r>
      <w:r>
        <w:rPr>
          <w:rFonts w:hint="default" w:ascii="Arial" w:hAnsi="Arial" w:cs="Arial"/>
          <w:sz w:val="24"/>
          <w:szCs w:val="24"/>
          <w:lang w:val="en-US"/>
        </w:rPr>
        <w:t xml:space="preserve">. The company uses share electric vehicle platform which provide common goal to its all brand such as Volkswagen, skoda and Audi. Through this system the are able to reduce manufacturing and engineering cost and make product more efficient. This company allow their pioneer to do the first step so they face the critical things and the follower just easily adopt their technology and build it in the large scale </w:t>
      </w:r>
      <w:r>
        <w:rPr>
          <w:rFonts w:hint="default" w:ascii="Arial" w:hAnsi="Arial" w:cs="Arial"/>
          <w:sz w:val="24"/>
          <w:szCs w:val="24"/>
        </w:rPr>
        <w:t>supply-chain strength, and global sales network to produce affordable electric vehicles for a wide range of customers.</w:t>
      </w:r>
    </w:p>
    <w:p w14:paraId="30020EA3">
      <w:pPr>
        <w:spacing w:line="360" w:lineRule="auto"/>
        <w:jc w:val="both"/>
        <w:rPr>
          <w:rFonts w:hint="default" w:ascii="Arial" w:hAnsi="Arial" w:eastAsia="SimSun" w:cs="Arial"/>
          <w:b w:val="0"/>
          <w:bCs/>
          <w:sz w:val="24"/>
          <w:szCs w:val="24"/>
          <w:lang w:val="en-US"/>
        </w:rPr>
      </w:pPr>
      <w:r>
        <w:rPr>
          <w:rFonts w:hint="default" w:ascii="Arial" w:hAnsi="Arial" w:eastAsia="SimSun" w:cs="Arial"/>
          <w:b w:val="0"/>
          <w:bCs/>
          <w:sz w:val="24"/>
          <w:szCs w:val="24"/>
          <w:lang w:val="en-US"/>
        </w:rPr>
        <w:t xml:space="preserve"> </w:t>
      </w:r>
    </w:p>
    <w:p w14:paraId="3F751AD4">
      <w:pPr>
        <w:spacing w:line="360" w:lineRule="auto"/>
        <w:jc w:val="both"/>
        <w:rPr>
          <w:rFonts w:hint="default" w:ascii="Arial" w:hAnsi="Arial" w:eastAsia="SimSun" w:cs="Arial"/>
          <w:sz w:val="24"/>
          <w:szCs w:val="24"/>
          <w:lang w:val="en-US"/>
        </w:rPr>
      </w:pPr>
    </w:p>
    <w:p w14:paraId="4DFDDE6E">
      <w:pPr>
        <w:spacing w:line="360" w:lineRule="auto"/>
        <w:jc w:val="both"/>
        <w:rPr>
          <w:rFonts w:hint="default" w:ascii="Arial" w:hAnsi="Arial" w:eastAsia="SimSun" w:cs="Arial"/>
          <w:sz w:val="24"/>
          <w:szCs w:val="24"/>
        </w:rPr>
      </w:pPr>
      <w:r>
        <w:rPr>
          <w:rFonts w:hint="default" w:ascii="Arial" w:hAnsi="Arial" w:eastAsia="SimSun" w:cs="Arial"/>
          <w:sz w:val="24"/>
          <w:szCs w:val="24"/>
        </w:rPr>
        <w:t>Volkswagen’s</w:t>
      </w:r>
      <w:r>
        <w:rPr>
          <w:rFonts w:hint="default" w:ascii="Arial" w:hAnsi="Arial" w:eastAsia="SimSun" w:cs="Arial"/>
          <w:b w:val="0"/>
          <w:bCs w:val="0"/>
          <w:sz w:val="24"/>
          <w:szCs w:val="24"/>
        </w:rPr>
        <w:t xml:space="preserve"> </w:t>
      </w:r>
      <w:r>
        <w:rPr>
          <w:rStyle w:val="12"/>
          <w:rFonts w:hint="default" w:ascii="Arial" w:hAnsi="Arial" w:eastAsia="SimSun" w:cs="Arial"/>
          <w:b w:val="0"/>
          <w:bCs w:val="0"/>
          <w:sz w:val="24"/>
          <w:szCs w:val="24"/>
        </w:rPr>
        <w:t>segmentation, targeting, and positioning (STP)</w:t>
      </w:r>
      <w:r>
        <w:rPr>
          <w:rFonts w:hint="default" w:ascii="Arial" w:hAnsi="Arial" w:eastAsia="SimSun" w:cs="Arial"/>
          <w:b w:val="0"/>
          <w:bCs w:val="0"/>
          <w:sz w:val="24"/>
          <w:szCs w:val="24"/>
        </w:rPr>
        <w:t xml:space="preserve"> strategy mainly focuses on the </w:t>
      </w:r>
      <w:r>
        <w:rPr>
          <w:rStyle w:val="12"/>
          <w:rFonts w:hint="default" w:ascii="Arial" w:hAnsi="Arial" w:eastAsia="SimSun" w:cs="Arial"/>
          <w:b w:val="0"/>
          <w:bCs w:val="0"/>
          <w:sz w:val="24"/>
          <w:szCs w:val="24"/>
        </w:rPr>
        <w:t>early majority of customers</w:t>
      </w:r>
      <w:r>
        <w:rPr>
          <w:rFonts w:hint="default" w:ascii="Arial" w:hAnsi="Arial" w:eastAsia="SimSun" w:cs="Arial"/>
          <w:sz w:val="24"/>
          <w:szCs w:val="24"/>
        </w:rPr>
        <w:t>—those who are ready to buy electric cars once they become reliable, affordable, and easy to finance</w:t>
      </w:r>
      <w:r>
        <w:rPr>
          <w:rFonts w:hint="default" w:ascii="Arial" w:hAnsi="Arial" w:eastAsia="SimSun" w:cs="Arial"/>
          <w:sz w:val="24"/>
          <w:szCs w:val="24"/>
          <w:lang w:val="en-US"/>
        </w:rPr>
        <w:t xml:space="preserve"> for the buying purposes </w:t>
      </w:r>
      <w:r>
        <w:rPr>
          <w:rFonts w:hint="default" w:ascii="Arial" w:hAnsi="Arial" w:eastAsia="SimSun" w:cs="Arial"/>
          <w:sz w:val="24"/>
          <w:szCs w:val="24"/>
        </w:rPr>
        <w:t xml:space="preserve">. These </w:t>
      </w:r>
      <w:r>
        <w:rPr>
          <w:rFonts w:hint="default" w:ascii="Arial" w:hAnsi="Arial" w:eastAsia="SimSun" w:cs="Arial"/>
          <w:sz w:val="24"/>
          <w:szCs w:val="24"/>
          <w:lang w:val="en-US"/>
        </w:rPr>
        <w:t xml:space="preserve">type of </w:t>
      </w:r>
      <w:r>
        <w:rPr>
          <w:rFonts w:hint="default" w:ascii="Arial" w:hAnsi="Arial" w:eastAsia="SimSun" w:cs="Arial"/>
          <w:sz w:val="24"/>
          <w:szCs w:val="24"/>
        </w:rPr>
        <w:t>customers also care about having good service options and dealership support.</w:t>
      </w:r>
    </w:p>
    <w:p w14:paraId="47913EA0">
      <w:pPr>
        <w:spacing w:line="360" w:lineRule="auto"/>
        <w:jc w:val="both"/>
        <w:rPr>
          <w:rFonts w:hint="default" w:ascii="Arial" w:hAnsi="Arial" w:eastAsia="SimSun" w:cs="Arial"/>
          <w:sz w:val="24"/>
          <w:szCs w:val="24"/>
          <w:lang w:val="en-US"/>
        </w:rPr>
      </w:pPr>
      <w:r>
        <w:rPr>
          <w:rFonts w:hint="default" w:ascii="Arial" w:hAnsi="Arial" w:eastAsia="SimSun" w:cs="Arial"/>
          <w:sz w:val="24"/>
          <w:szCs w:val="24"/>
          <w:lang w:val="en-US"/>
        </w:rPr>
        <w:drawing>
          <wp:inline distT="0" distB="0" distL="114300" distR="114300">
            <wp:extent cx="4857750" cy="2416175"/>
            <wp:effectExtent l="0" t="0" r="0" b="3175"/>
            <wp:docPr id="2" name="Picture 2" descr="Screenshot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10)"/>
                    <pic:cNvPicPr>
                      <a:picLocks noChangeAspect="1"/>
                    </pic:cNvPicPr>
                  </pic:nvPicPr>
                  <pic:blipFill>
                    <a:blip r:embed="rId5"/>
                    <a:srcRect l="16064" t="13330" r="14522" b="25268"/>
                    <a:stretch>
                      <a:fillRect/>
                    </a:stretch>
                  </pic:blipFill>
                  <pic:spPr>
                    <a:xfrm>
                      <a:off x="0" y="0"/>
                      <a:ext cx="4857750" cy="2416175"/>
                    </a:xfrm>
                    <a:prstGeom prst="rect">
                      <a:avLst/>
                    </a:prstGeom>
                  </pic:spPr>
                </pic:pic>
              </a:graphicData>
            </a:graphic>
          </wp:inline>
        </w:drawing>
      </w:r>
    </w:p>
    <w:p w14:paraId="3FBEA99F">
      <w:pPr>
        <w:pStyle w:val="11"/>
        <w:tabs>
          <w:tab w:val="left" w:pos="10065"/>
        </w:tabs>
        <w:spacing w:line="360" w:lineRule="auto"/>
        <w:ind w:left="426"/>
        <w:jc w:val="both"/>
        <w:rPr>
          <w:rFonts w:hint="default" w:ascii="Arial" w:hAnsi="Arial" w:cs="Arial"/>
          <w:b w:val="0"/>
          <w:bCs w:val="0"/>
          <w:sz w:val="24"/>
          <w:szCs w:val="24"/>
        </w:rPr>
      </w:pPr>
      <w:r>
        <w:rPr>
          <w:rFonts w:hint="default" w:ascii="Arial" w:hAnsi="Arial" w:cs="Arial"/>
          <w:b w:val="0"/>
          <w:bCs w:val="0"/>
          <w:sz w:val="24"/>
          <w:szCs w:val="24"/>
          <w:lang w:val="en-US"/>
        </w:rPr>
        <w:t>(</w:t>
      </w:r>
      <w:r>
        <w:rPr>
          <w:rFonts w:hint="default" w:ascii="Arial" w:hAnsi="Arial" w:cs="Arial"/>
          <w:b w:val="0"/>
          <w:bCs w:val="0"/>
          <w:sz w:val="24"/>
          <w:szCs w:val="24"/>
        </w:rPr>
        <w:t>Kotler, P. et al., 2020)</w:t>
      </w:r>
    </w:p>
    <w:p w14:paraId="0CAFF8A7">
      <w:pPr>
        <w:pStyle w:val="11"/>
        <w:tabs>
          <w:tab w:val="left" w:pos="10065"/>
        </w:tabs>
        <w:spacing w:line="360" w:lineRule="auto"/>
        <w:ind w:left="426"/>
        <w:jc w:val="both"/>
        <w:rPr>
          <w:rFonts w:hint="default" w:ascii="Arial" w:hAnsi="Arial" w:cs="Arial"/>
          <w:b w:val="0"/>
          <w:bCs w:val="0"/>
          <w:sz w:val="24"/>
          <w:szCs w:val="24"/>
        </w:rPr>
      </w:pPr>
    </w:p>
    <w:p w14:paraId="2025279B">
      <w:pPr>
        <w:bidi w:val="0"/>
        <w:spacing w:line="360" w:lineRule="auto"/>
        <w:jc w:val="both"/>
        <w:rPr>
          <w:rFonts w:hint="default" w:ascii="Arial" w:hAnsi="Arial" w:cs="Arial"/>
          <w:b/>
          <w:bCs/>
          <w:sz w:val="24"/>
          <w:szCs w:val="24"/>
        </w:rPr>
      </w:pPr>
      <w:r>
        <w:rPr>
          <w:rFonts w:hint="default" w:ascii="Arial" w:hAnsi="Arial" w:cs="Arial"/>
          <w:b/>
          <w:bCs/>
          <w:sz w:val="24"/>
          <w:szCs w:val="24"/>
        </w:rPr>
        <w:t xml:space="preserve">2. </w:t>
      </w:r>
      <w:r>
        <w:rPr>
          <w:rFonts w:hint="default" w:ascii="Arial" w:hAnsi="Arial" w:cs="Arial"/>
          <w:b/>
          <w:bCs/>
          <w:sz w:val="24"/>
          <w:szCs w:val="24"/>
          <w:lang w:val="en-US"/>
        </w:rPr>
        <w:t xml:space="preserve"> Tesla( pioneer) </w:t>
      </w:r>
      <w:r>
        <w:rPr>
          <w:rFonts w:hint="default" w:ascii="Arial" w:hAnsi="Arial" w:cs="Arial"/>
          <w:b/>
          <w:bCs/>
          <w:sz w:val="24"/>
          <w:szCs w:val="24"/>
        </w:rPr>
        <w:t>Strategic Responses to the Political Factor</w:t>
      </w:r>
    </w:p>
    <w:p w14:paraId="4E9F4E47">
      <w:pPr>
        <w:pStyle w:val="11"/>
        <w:tabs>
          <w:tab w:val="left" w:pos="10065"/>
        </w:tabs>
        <w:spacing w:line="360" w:lineRule="auto"/>
        <w:ind w:left="426"/>
        <w:jc w:val="both"/>
        <w:rPr>
          <w:rFonts w:hint="default" w:ascii="Arial" w:hAnsi="Arial" w:cs="Arial"/>
          <w:b w:val="0"/>
          <w:bCs w:val="0"/>
          <w:sz w:val="24"/>
          <w:szCs w:val="24"/>
        </w:rPr>
      </w:pPr>
      <w:r>
        <w:rPr>
          <w:rFonts w:hint="default" w:ascii="Arial" w:hAnsi="Arial" w:cs="Arial"/>
          <w:b w:val="0"/>
          <w:bCs w:val="0"/>
          <w:sz w:val="24"/>
          <w:szCs w:val="24"/>
        </w:rPr>
        <w:t xml:space="preserve">From a policy perspective, Tesla's key approach strategically aligns with government procedures and policies facilitating the rapid development of electric vehicles. The company engages in a variety of activities; it leverages consumer incentives (such as tax credits and rebates) to reduce the price for consumers (S Wee, 2018), it converts regulatory credits into additional profit by selling them to other vehicle manufacturers to allow usage (Greenfield, 2024; EPRINC, 2024), it advocates with policymakers on appropriate emissions standards, charging infrastructure, power constraints, and software systems -- all agreements with Tesla's own technical </w:t>
      </w:r>
      <w:r>
        <w:rPr>
          <w:rFonts w:hint="default" w:ascii="Arial" w:hAnsi="Arial" w:cs="Arial"/>
          <w:b w:val="0"/>
          <w:bCs w:val="0"/>
          <w:sz w:val="24"/>
          <w:szCs w:val="24"/>
          <w:lang w:val="en-US"/>
        </w:rPr>
        <w:t>road map</w:t>
      </w:r>
      <w:r>
        <w:rPr>
          <w:rFonts w:hint="default" w:ascii="Arial" w:hAnsi="Arial" w:cs="Arial"/>
          <w:b w:val="0"/>
          <w:bCs w:val="0"/>
          <w:sz w:val="24"/>
          <w:szCs w:val="24"/>
        </w:rPr>
        <w:t xml:space="preserve"> (Hopkins &amp; Lazonick, 2024). While Tesla is an automotive manufacturer, it is transformed into a sustainability and a innovation leader with the automotive manufacture promoting its vehicles as evidence of being the lead in the low-carbon transition.</w:t>
      </w:r>
    </w:p>
    <w:p w14:paraId="1B9E2CDF">
      <w:pPr>
        <w:pStyle w:val="11"/>
        <w:tabs>
          <w:tab w:val="left" w:pos="10065"/>
        </w:tabs>
        <w:spacing w:line="360" w:lineRule="auto"/>
        <w:ind w:left="426"/>
        <w:jc w:val="both"/>
        <w:rPr>
          <w:rFonts w:hint="default" w:ascii="Arial" w:hAnsi="Arial" w:cs="Arial"/>
          <w:b w:val="0"/>
          <w:bCs w:val="0"/>
          <w:sz w:val="24"/>
          <w:szCs w:val="24"/>
        </w:rPr>
      </w:pPr>
    </w:p>
    <w:p w14:paraId="654FC8B5">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cs="Arial"/>
          <w:b w:val="0"/>
          <w:bCs w:val="0"/>
          <w:sz w:val="24"/>
          <w:szCs w:val="24"/>
        </w:rPr>
        <w:t>Under Porter's view, this is still differentiation, however it has added strength due to the political dimension. When frameworks force all vehicles to meet more stringent requirements (whether in range or energy efficiencies), companies that have always met those requirements benefit more. In the case of Ansoff's growth-matrix classification, Tesla's political alignment partially supports, but relatively limits, market development (entering new geographies, when incentives exist)</w:t>
      </w:r>
      <w:r>
        <w:rPr>
          <w:rFonts w:hint="default" w:ascii="Arial" w:hAnsi="Arial" w:cs="Arial"/>
          <w:b w:val="0"/>
          <w:bCs w:val="0"/>
          <w:sz w:val="24"/>
          <w:szCs w:val="24"/>
          <w:lang w:val="en-US"/>
        </w:rPr>
        <w:t>.</w:t>
      </w:r>
    </w:p>
    <w:p w14:paraId="4BE5F040">
      <w:pPr>
        <w:pStyle w:val="11"/>
        <w:tabs>
          <w:tab w:val="left" w:pos="10065"/>
        </w:tabs>
        <w:spacing w:line="360" w:lineRule="auto"/>
        <w:ind w:left="426"/>
        <w:jc w:val="both"/>
        <w:rPr>
          <w:rFonts w:hint="default" w:ascii="Arial" w:hAnsi="Arial" w:cs="Arial"/>
          <w:b/>
          <w:bCs/>
          <w:sz w:val="24"/>
          <w:szCs w:val="24"/>
          <w:lang w:val="en-US"/>
        </w:rPr>
      </w:pPr>
      <w:r>
        <w:rPr>
          <w:rFonts w:hint="default" w:ascii="Arial" w:hAnsi="Arial" w:eastAsia="SimSun" w:cs="Arial"/>
          <w:b/>
          <w:bCs/>
          <w:sz w:val="24"/>
          <w:szCs w:val="24"/>
        </w:rPr>
        <w:t>2.1 Volkswagen (Follower): Strategic Response to Political Factors</w:t>
      </w:r>
    </w:p>
    <w:p w14:paraId="24E72434">
      <w:pPr>
        <w:pStyle w:val="11"/>
        <w:tabs>
          <w:tab w:val="left" w:pos="10065"/>
        </w:tabs>
        <w:spacing w:line="360" w:lineRule="auto"/>
        <w:ind w:left="426"/>
        <w:jc w:val="both"/>
        <w:rPr>
          <w:rFonts w:hint="default" w:ascii="Arial" w:hAnsi="Arial"/>
          <w:b w:val="0"/>
          <w:bCs w:val="0"/>
          <w:sz w:val="24"/>
          <w:szCs w:val="24"/>
          <w:lang w:val="en-US"/>
        </w:rPr>
      </w:pPr>
      <w:r>
        <w:rPr>
          <w:rFonts w:hint="default" w:ascii="Arial" w:hAnsi="Arial"/>
          <w:b w:val="0"/>
          <w:bCs w:val="0"/>
          <w:sz w:val="24"/>
          <w:szCs w:val="24"/>
          <w:lang w:val="en-US"/>
        </w:rPr>
        <w:t xml:space="preserve">As a participant in the electric vehicle (EV) industry, Volkswagen, Inc. takes advantage of political factors, utilizing existing governmental programs and incentives, rather than leading or shaping these factors or programs (as did early entrants to the EV industry like Tesla). VW profits from public policies designed to further EV such as battery production subsidies, R &amp; D (research and development) grants, and regional subsidies for EV adoption in Europe and Germany (Statista, 2024; Volkswagen Group, 2024). </w:t>
      </w:r>
    </w:p>
    <w:p w14:paraId="4462231A">
      <w:pPr>
        <w:pStyle w:val="11"/>
        <w:tabs>
          <w:tab w:val="left" w:pos="10065"/>
        </w:tabs>
        <w:spacing w:line="360" w:lineRule="auto"/>
        <w:ind w:left="426"/>
        <w:jc w:val="both"/>
        <w:rPr>
          <w:rFonts w:hint="default" w:ascii="Arial" w:hAnsi="Arial"/>
          <w:b w:val="0"/>
          <w:bCs w:val="0"/>
          <w:sz w:val="24"/>
          <w:szCs w:val="24"/>
          <w:lang w:val="en-US"/>
        </w:rPr>
      </w:pPr>
    </w:p>
    <w:p w14:paraId="6F01E619">
      <w:pPr>
        <w:pStyle w:val="11"/>
        <w:tabs>
          <w:tab w:val="left" w:pos="10065"/>
        </w:tabs>
        <w:spacing w:line="360" w:lineRule="auto"/>
        <w:ind w:left="426"/>
        <w:jc w:val="both"/>
        <w:rPr>
          <w:rFonts w:hint="default" w:ascii="Arial" w:hAnsi="Arial"/>
          <w:b w:val="0"/>
          <w:bCs w:val="0"/>
          <w:sz w:val="24"/>
          <w:szCs w:val="24"/>
          <w:lang w:val="en-US"/>
        </w:rPr>
      </w:pPr>
    </w:p>
    <w:p w14:paraId="3A0E8ECB">
      <w:pPr>
        <w:pStyle w:val="11"/>
        <w:tabs>
          <w:tab w:val="left" w:pos="10065"/>
        </w:tabs>
        <w:spacing w:line="360" w:lineRule="auto"/>
        <w:ind w:left="426"/>
        <w:jc w:val="both"/>
        <w:rPr>
          <w:rFonts w:hint="default" w:ascii="Arial" w:hAnsi="Arial"/>
          <w:b w:val="0"/>
          <w:bCs w:val="0"/>
          <w:sz w:val="24"/>
          <w:szCs w:val="24"/>
          <w:lang w:val="en-US"/>
        </w:rPr>
      </w:pPr>
      <w:r>
        <w:rPr>
          <w:rFonts w:hint="default" w:ascii="Arial" w:hAnsi="Arial"/>
          <w:b w:val="0"/>
          <w:bCs w:val="0"/>
          <w:sz w:val="24"/>
          <w:szCs w:val="24"/>
          <w:lang w:val="en-US"/>
        </w:rPr>
        <w:t>Volkswagen utilizes public policies to enter the EV market efficiently without incurring the major risks faced by pioneering firms. By adopting technologies and production methods already verified by earlier entrants, VW can adjust and align their operations to meet changes in regulation with more certainty and risk. Further, VW emphasizes the efficient and cost-effective assignment of resources to meet external regulatory obligations, for example emissions targets, to ensure that their vehicle pricing stays competitive and attractive to the early majority consumer segment who are more focused on price and reliability (Kotler et al., 2020).</w:t>
      </w:r>
    </w:p>
    <w:p w14:paraId="6AA4810D">
      <w:pPr>
        <w:pStyle w:val="11"/>
        <w:tabs>
          <w:tab w:val="left" w:pos="10065"/>
        </w:tabs>
        <w:spacing w:line="360" w:lineRule="auto"/>
        <w:ind w:left="426"/>
        <w:jc w:val="both"/>
        <w:rPr>
          <w:rFonts w:hint="default" w:ascii="Arial" w:hAnsi="Arial"/>
          <w:b w:val="0"/>
          <w:bCs w:val="0"/>
          <w:sz w:val="24"/>
          <w:szCs w:val="24"/>
          <w:lang w:val="en-US"/>
        </w:rPr>
      </w:pPr>
    </w:p>
    <w:p w14:paraId="1ABD4922">
      <w:pPr>
        <w:pStyle w:val="11"/>
        <w:tabs>
          <w:tab w:val="left" w:pos="10065"/>
        </w:tabs>
        <w:spacing w:line="360" w:lineRule="auto"/>
        <w:ind w:left="426"/>
        <w:jc w:val="both"/>
        <w:rPr>
          <w:rFonts w:hint="default" w:ascii="Arial" w:hAnsi="Arial"/>
          <w:b w:val="0"/>
          <w:bCs w:val="0"/>
          <w:sz w:val="24"/>
          <w:szCs w:val="24"/>
          <w:lang w:val="en-US"/>
        </w:rPr>
      </w:pPr>
    </w:p>
    <w:p w14:paraId="530F6D94">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b w:val="0"/>
          <w:bCs w:val="0"/>
          <w:sz w:val="24"/>
          <w:szCs w:val="24"/>
          <w:lang w:val="en-US"/>
        </w:rPr>
        <w:t>However, the ability to rely on external incentives and regulations presents risks to VW. VW needs to navigate regulations that can shift or vary between countries. The company's reputation can shift rapidly in the face of political inquiry, as demonstrated by the outcomes of the diesel emissions scandal from 2015. Therefore, VW incorporates policy considerations into strong governance functions, as well public communication activities to rebuild its reputation.</w:t>
      </w:r>
    </w:p>
    <w:p w14:paraId="68B3BF7C">
      <w:pPr>
        <w:pStyle w:val="3"/>
        <w:bidi w:val="0"/>
        <w:spacing w:line="360" w:lineRule="auto"/>
        <w:jc w:val="both"/>
        <w:rPr>
          <w:rFonts w:hint="default" w:ascii="Arial" w:hAnsi="Arial" w:cs="Arial"/>
          <w:sz w:val="24"/>
          <w:szCs w:val="24"/>
          <w:lang w:val="en-US"/>
        </w:rPr>
      </w:pPr>
      <w:bookmarkStart w:id="30" w:name="_Toc27636"/>
      <w:bookmarkStart w:id="31" w:name="_Toc11152"/>
      <w:bookmarkStart w:id="32" w:name="_Toc10696"/>
      <w:r>
        <w:rPr>
          <w:rFonts w:hint="default" w:ascii="Arial" w:hAnsi="Arial" w:cs="Arial"/>
          <w:sz w:val="24"/>
          <w:szCs w:val="24"/>
          <w:lang w:val="en-US"/>
        </w:rPr>
        <w:t>conclusion</w:t>
      </w:r>
      <w:bookmarkEnd w:id="30"/>
      <w:bookmarkEnd w:id="31"/>
      <w:bookmarkEnd w:id="32"/>
    </w:p>
    <w:p w14:paraId="726E1736">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cs="Arial"/>
          <w:b w:val="0"/>
          <w:bCs w:val="0"/>
          <w:sz w:val="24"/>
          <w:szCs w:val="24"/>
          <w:lang w:val="en-US"/>
        </w:rPr>
        <w:t>In conclusion, this analysis highlights how external factors, specifically technology and policy, contribute to the strategic choices made by leaders and followers in the electric vehicle (EV) market. Tesla, as an industry leader, has developed its competitive advantage through technological innovation, smart software, and a closed system. Furthermore, the company has been in a position to leverage its relationship with the government and environmental incentives to sustain its competitive advantage, in the context of shifting towards sustainable transportation.</w:t>
      </w:r>
    </w:p>
    <w:p w14:paraId="0227469B">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cs="Arial"/>
          <w:b w:val="0"/>
          <w:bCs w:val="0"/>
          <w:sz w:val="24"/>
          <w:szCs w:val="24"/>
          <w:lang w:val="en-US"/>
        </w:rPr>
        <w:t>In contrast, Volkswagen and other fast-follower companies have pursued a slightly different strategy, building an affordable product by employing existing technology, sharing platforms, and focusing on cost. While Volkswagen has had the benefit of introducing new technology based on Tesla’s successes and challenges, thereby reducing both risk and barriers of entry into the market, these companies will always find themselves at this crossroads of affordability and technology, where they have to constantly manage this tension, especially as they rely on external technology developers and as regulations become more intricate.</w:t>
      </w:r>
    </w:p>
    <w:p w14:paraId="5904C772">
      <w:pPr>
        <w:pStyle w:val="11"/>
        <w:tabs>
          <w:tab w:val="left" w:pos="10065"/>
        </w:tabs>
        <w:spacing w:line="360" w:lineRule="auto"/>
        <w:ind w:left="426"/>
        <w:jc w:val="both"/>
        <w:rPr>
          <w:rFonts w:hint="default" w:ascii="Arial" w:hAnsi="Arial" w:cs="Arial"/>
          <w:b w:val="0"/>
          <w:bCs w:val="0"/>
          <w:sz w:val="24"/>
          <w:szCs w:val="24"/>
          <w:lang w:val="en-US"/>
        </w:rPr>
      </w:pPr>
      <w:r>
        <w:rPr>
          <w:rFonts w:hint="default" w:ascii="Arial" w:hAnsi="Arial" w:cs="Arial"/>
          <w:b w:val="0"/>
          <w:bCs w:val="0"/>
          <w:sz w:val="24"/>
          <w:szCs w:val="24"/>
          <w:lang w:val="en-US"/>
        </w:rPr>
        <w:t>In conclusion, for companies at either point of the spectrum of leader or follower, being agile and responsive to evolving policy, technological, and consumer demands is required to maintain competitiveness associated with that title. Long-term business success is no longer dependent upon merely the presence of competitive advantage.</w:t>
      </w:r>
    </w:p>
    <w:p w14:paraId="65773DD7">
      <w:pPr>
        <w:bidi w:val="0"/>
        <w:rPr>
          <w:rFonts w:hint="default"/>
          <w:sz w:val="24"/>
          <w:szCs w:val="24"/>
          <w:lang w:val="en-US"/>
        </w:rPr>
      </w:pPr>
    </w:p>
    <w:p w14:paraId="0B31DA46">
      <w:pPr>
        <w:pStyle w:val="11"/>
        <w:keepNext w:val="0"/>
        <w:keepLines w:val="0"/>
        <w:widowControl/>
        <w:suppressLineNumbers w:val="0"/>
        <w:spacing w:line="360" w:lineRule="auto"/>
        <w:ind w:left="720" w:right="720"/>
        <w:jc w:val="both"/>
        <w:rPr>
          <w:rFonts w:hint="default" w:ascii="Arial" w:hAnsi="Arial" w:eastAsia="SimSun" w:cs="Arial"/>
          <w:b/>
          <w:bCs/>
          <w:sz w:val="24"/>
          <w:szCs w:val="24"/>
          <w:shd w:val="clear" w:color="auto" w:fill="auto"/>
          <w:lang w:val="en-US"/>
        </w:rPr>
      </w:pPr>
    </w:p>
    <w:p w14:paraId="27338B08">
      <w:pPr>
        <w:pStyle w:val="11"/>
        <w:tabs>
          <w:tab w:val="left" w:pos="10065"/>
        </w:tabs>
        <w:spacing w:line="360" w:lineRule="auto"/>
        <w:ind w:left="426"/>
        <w:jc w:val="both"/>
        <w:rPr>
          <w:rFonts w:hint="default" w:ascii="Arial" w:hAnsi="Arial" w:cs="Arial"/>
          <w:b/>
          <w:bCs/>
          <w:sz w:val="22"/>
          <w:szCs w:val="22"/>
          <w:shd w:val="clear" w:color="auto" w:fill="auto"/>
          <w:lang w:val="en-US"/>
        </w:rPr>
      </w:pPr>
      <w:r>
        <w:rPr>
          <w:rFonts w:hint="default" w:ascii="Arial" w:hAnsi="Arial" w:cs="Arial"/>
          <w:b/>
          <w:bCs/>
          <w:sz w:val="22"/>
          <w:szCs w:val="22"/>
          <w:shd w:val="clear" w:color="auto" w:fill="auto"/>
          <w:lang w:val="en-US"/>
        </w:rPr>
        <w:t xml:space="preserve"> </w:t>
      </w:r>
    </w:p>
    <w:p w14:paraId="70486DCF">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7D38FB78">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5EE87E3B">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41F9F6C8">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38F3F5F4">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28406DFE">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6933E19A">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280B1196">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05227AC6">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6C5E0C81">
      <w:pPr>
        <w:pStyle w:val="11"/>
        <w:tabs>
          <w:tab w:val="left" w:pos="10065"/>
        </w:tabs>
        <w:spacing w:line="360" w:lineRule="auto"/>
        <w:jc w:val="both"/>
        <w:rPr>
          <w:rFonts w:hint="default" w:ascii="Arial" w:hAnsi="Arial" w:cs="Arial"/>
          <w:b/>
          <w:bCs/>
          <w:sz w:val="22"/>
          <w:szCs w:val="22"/>
          <w:shd w:val="clear" w:color="auto" w:fill="auto"/>
          <w:lang w:val="en-US"/>
        </w:rPr>
      </w:pPr>
    </w:p>
    <w:p w14:paraId="636F9164">
      <w:pPr>
        <w:pStyle w:val="11"/>
        <w:tabs>
          <w:tab w:val="left" w:pos="10065"/>
        </w:tabs>
        <w:spacing w:line="360" w:lineRule="auto"/>
        <w:jc w:val="both"/>
        <w:rPr>
          <w:rFonts w:hint="default" w:ascii="Arial" w:hAnsi="Arial" w:cs="Arial"/>
          <w:b/>
          <w:bCs/>
          <w:sz w:val="22"/>
          <w:szCs w:val="22"/>
          <w:shd w:val="clear" w:color="auto" w:fill="auto"/>
          <w:lang w:val="en-US"/>
        </w:rPr>
      </w:pPr>
    </w:p>
    <w:p w14:paraId="41FD1DC6">
      <w:pPr>
        <w:pStyle w:val="11"/>
        <w:tabs>
          <w:tab w:val="left" w:pos="10065"/>
        </w:tabs>
        <w:spacing w:line="360" w:lineRule="auto"/>
        <w:ind w:left="426"/>
        <w:jc w:val="both"/>
        <w:rPr>
          <w:rFonts w:hint="default" w:ascii="Arial" w:hAnsi="Arial" w:cs="Arial"/>
          <w:b/>
          <w:bCs/>
          <w:sz w:val="22"/>
          <w:szCs w:val="22"/>
          <w:shd w:val="clear" w:color="auto" w:fill="auto"/>
          <w:lang w:val="en-US"/>
        </w:rPr>
      </w:pPr>
    </w:p>
    <w:p w14:paraId="303EDDDC">
      <w:pPr>
        <w:pStyle w:val="2"/>
        <w:bidi w:val="0"/>
        <w:outlineLvl w:val="9"/>
        <w:rPr>
          <w:rFonts w:hint="default"/>
          <w:lang w:val="en-US"/>
        </w:rPr>
      </w:pPr>
    </w:p>
    <w:p w14:paraId="5166BFF9">
      <w:pPr>
        <w:pStyle w:val="2"/>
        <w:bidi w:val="0"/>
        <w:rPr>
          <w:rFonts w:hint="default"/>
          <w:lang w:val="en-US"/>
        </w:rPr>
      </w:pPr>
      <w:bookmarkStart w:id="33" w:name="_Toc15323"/>
      <w:bookmarkStart w:id="34" w:name="_Toc30033"/>
      <w:bookmarkStart w:id="35" w:name="_Toc28576"/>
      <w:r>
        <w:rPr>
          <w:rFonts w:hint="default"/>
          <w:lang w:val="en-US"/>
        </w:rPr>
        <w:t>References</w:t>
      </w:r>
      <w:bookmarkEnd w:id="33"/>
      <w:bookmarkEnd w:id="34"/>
      <w:bookmarkEnd w:id="35"/>
    </w:p>
    <w:p w14:paraId="0A5CF009">
      <w:pPr>
        <w:numPr>
          <w:ilvl w:val="0"/>
          <w:numId w:val="5"/>
        </w:numPr>
        <w:spacing w:line="360" w:lineRule="auto"/>
        <w:jc w:val="both"/>
        <w:rPr>
          <w:rFonts w:hint="default" w:ascii="Arial" w:hAnsi="Arial" w:eastAsia="SimSun" w:cs="Arial"/>
          <w:sz w:val="24"/>
          <w:szCs w:val="24"/>
        </w:rPr>
      </w:pPr>
      <w:r>
        <w:rPr>
          <w:rFonts w:hint="default" w:ascii="Arial" w:hAnsi="Arial" w:eastAsia="SimSun" w:cs="Arial"/>
          <w:sz w:val="24"/>
          <w:szCs w:val="24"/>
        </w:rPr>
        <w:t xml:space="preserve">Kotler, P. and Armstrong, G. (2022) </w:t>
      </w:r>
      <w:r>
        <w:rPr>
          <w:rStyle w:val="9"/>
          <w:rFonts w:hint="default" w:ascii="Arial" w:hAnsi="Arial" w:eastAsia="SimSun" w:cs="Arial"/>
          <w:sz w:val="24"/>
          <w:szCs w:val="24"/>
        </w:rPr>
        <w:t>Principles of Marketing</w:t>
      </w:r>
      <w:r>
        <w:rPr>
          <w:rFonts w:hint="default" w:ascii="Arial" w:hAnsi="Arial" w:eastAsia="SimSun" w:cs="Arial"/>
          <w:sz w:val="24"/>
          <w:szCs w:val="24"/>
        </w:rPr>
        <w:t xml:space="preserve">. 18th ed. Harlow: Pearson Education.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"https://www.pearson.com/se/Nordics-Higher-Education/subject-catalogue/marketing/Principles-of-Marketing-Kotler-Armstrong-18th-edition.html"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https://www.pearson.com/se/Nordics-Higher-Education/subject-catalogue/marketing/Principles-of-Marketing-Kotler-Armstrong-18th-edition.html</w:t>
      </w:r>
      <w:r>
        <w:rPr>
          <w:rFonts w:hint="default" w:ascii="Arial" w:hAnsi="Arial" w:eastAsia="SimSun" w:cs="Arial"/>
          <w:sz w:val="24"/>
          <w:szCs w:val="24"/>
        </w:rPr>
        <w:fldChar w:fldCharType="end"/>
      </w:r>
    </w:p>
    <w:p w14:paraId="435F01A3">
      <w:pPr>
        <w:bidi w:val="0"/>
        <w:spacing w:line="360" w:lineRule="auto"/>
        <w:jc w:val="both"/>
        <w:rPr>
          <w:rFonts w:hint="default"/>
          <w:sz w:val="24"/>
          <w:szCs w:val="24"/>
          <w:lang w:val="en-US"/>
        </w:rPr>
      </w:pPr>
    </w:p>
    <w:p w14:paraId="2246F53E">
      <w:pPr>
        <w:numPr>
          <w:ilvl w:val="0"/>
          <w:numId w:val="5"/>
        </w:numPr>
        <w:bidi w:val="0"/>
        <w:spacing w:line="360" w:lineRule="auto"/>
        <w:ind w:left="0" w:leftChars="0" w:firstLine="0" w:firstLineChars="0"/>
        <w:jc w:val="both"/>
        <w:rPr>
          <w:rFonts w:ascii="SimSun" w:hAnsi="SimSun" w:eastAsia="SimSun" w:cs="SimSun"/>
          <w:sz w:val="24"/>
          <w:szCs w:val="24"/>
        </w:rPr>
      </w:pPr>
      <w:r>
        <w:rPr>
          <w:rFonts w:hint="default" w:ascii="Arial" w:hAnsi="Arial" w:eastAsia="SimSun" w:cs="Arial"/>
          <w:sz w:val="24"/>
          <w:szCs w:val="24"/>
        </w:rPr>
        <w:t xml:space="preserve">Johnson, G., Scholes, K. and Whittington, R. (2020) </w:t>
      </w:r>
      <w:r>
        <w:rPr>
          <w:rStyle w:val="9"/>
          <w:rFonts w:hint="default" w:ascii="Arial" w:hAnsi="Arial" w:eastAsia="SimSun" w:cs="Arial"/>
          <w:sz w:val="24"/>
          <w:szCs w:val="24"/>
        </w:rPr>
        <w:t>Exploring Corporate Strategy</w:t>
      </w:r>
      <w:r>
        <w:rPr>
          <w:rFonts w:hint="default" w:ascii="Arial" w:hAnsi="Arial" w:eastAsia="SimSun" w:cs="Arial"/>
          <w:sz w:val="24"/>
          <w:szCs w:val="24"/>
        </w:rPr>
        <w:t xml:space="preserve">. 12th ed. Harlow: Pearson Education.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"https://www.pearson.com/en-gb/subject-catalog/p/exploring-strategy-text-and-cases/P200000004559/9781292282503"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https://www.pearson.com/en-gb/subject-catalog/p/exploring-strategy-text-and-cases/P200000004559/9781292282503</w:t>
      </w:r>
      <w:r>
        <w:rPr>
          <w:rFonts w:hint="default" w:ascii="Arial" w:hAnsi="Arial" w:eastAsia="SimSun" w:cs="Arial"/>
          <w:sz w:val="24"/>
          <w:szCs w:val="24"/>
        </w:rPr>
        <w:fldChar w:fldCharType="end"/>
      </w:r>
    </w:p>
    <w:p w14:paraId="0949CA8A">
      <w:pPr>
        <w:numPr>
          <w:ilvl w:val="0"/>
          <w:numId w:val="5"/>
        </w:numPr>
        <w:bidi w:val="0"/>
        <w:spacing w:line="360" w:lineRule="auto"/>
        <w:ind w:left="0" w:leftChars="0" w:firstLine="0" w:firstLineChars="0"/>
        <w:jc w:val="both"/>
        <w:rPr>
          <w:rFonts w:hint="default" w:ascii="SimSun" w:hAnsi="SimSun" w:eastAsia="SimSun" w:cs="SimSun"/>
          <w:sz w:val="24"/>
          <w:szCs w:val="24"/>
          <w:lang w:val="en-US"/>
        </w:rPr>
      </w:pPr>
    </w:p>
    <w:p w14:paraId="539D3917">
      <w:pPr>
        <w:bidi w:val="0"/>
        <w:spacing w:line="360" w:lineRule="auto"/>
        <w:jc w:val="both"/>
        <w:rPr>
          <w:rFonts w:hint="default" w:ascii="Arial" w:hAnsi="Arial" w:cs="Arial"/>
          <w:sz w:val="24"/>
          <w:szCs w:val="24"/>
          <w:lang w:val="en-US"/>
        </w:rPr>
      </w:pPr>
      <w:r>
        <w:rPr>
          <w:rFonts w:hint="default" w:ascii="Arial" w:hAnsi="Arial" w:cs="Arial"/>
          <w:sz w:val="24"/>
          <w:szCs w:val="24"/>
          <w:lang w:val="en-US"/>
        </w:rPr>
        <w:t xml:space="preserve">McKinsey &amp; Company (2023) Battery Value Chain: Global Industry Report. Available at: </w:t>
      </w:r>
      <w:r>
        <w:rPr>
          <w:rFonts w:hint="default" w:ascii="Arial" w:hAnsi="Arial" w:cs="Arial"/>
          <w:sz w:val="24"/>
          <w:szCs w:val="24"/>
          <w:lang w:val="en-US"/>
        </w:rPr>
        <w:fldChar w:fldCharType="begin"/>
      </w:r>
      <w:r>
        <w:rPr>
          <w:rFonts w:hint="default" w:ascii="Arial" w:hAnsi="Arial" w:cs="Arial"/>
          <w:sz w:val="24"/>
          <w:szCs w:val="24"/>
          <w:lang w:val="en-US"/>
        </w:rPr>
        <w:instrText xml:space="preserve"> HYPERLINK "https://www.mckinsey.com/" </w:instrText>
      </w:r>
      <w:r>
        <w:rPr>
          <w:rFonts w:hint="default" w:ascii="Arial" w:hAnsi="Arial" w:cs="Arial"/>
          <w:sz w:val="24"/>
          <w:szCs w:val="24"/>
          <w:lang w:val="en-US"/>
        </w:rPr>
        <w:fldChar w:fldCharType="separate"/>
      </w:r>
      <w:r>
        <w:rPr>
          <w:rStyle w:val="10"/>
          <w:rFonts w:hint="default" w:ascii="Arial" w:hAnsi="Arial" w:cs="Arial"/>
          <w:sz w:val="24"/>
          <w:szCs w:val="24"/>
          <w:lang w:val="en-US"/>
        </w:rPr>
        <w:t>https://www.mckinsey.com/</w:t>
      </w:r>
      <w:r>
        <w:rPr>
          <w:rFonts w:hint="default" w:ascii="Arial" w:hAnsi="Arial" w:cs="Arial"/>
          <w:sz w:val="24"/>
          <w:szCs w:val="24"/>
          <w:lang w:val="en-US"/>
        </w:rPr>
        <w:fldChar w:fldCharType="end"/>
      </w:r>
      <w:r>
        <w:rPr>
          <w:rFonts w:hint="default" w:ascii="Arial" w:hAnsi="Arial" w:cs="Arial"/>
          <w:sz w:val="24"/>
          <w:szCs w:val="24"/>
          <w:lang w:val="en-US"/>
        </w:rPr>
        <w:t xml:space="preserve"> </w:t>
      </w:r>
    </w:p>
    <w:p w14:paraId="3C900FAD">
      <w:pPr>
        <w:bidi w:val="0"/>
        <w:spacing w:line="360" w:lineRule="auto"/>
        <w:jc w:val="both"/>
        <w:rPr>
          <w:rFonts w:hint="default"/>
          <w:sz w:val="24"/>
          <w:szCs w:val="24"/>
          <w:lang w:val="en-US"/>
        </w:rPr>
      </w:pPr>
      <w:r>
        <w:rPr>
          <w:rFonts w:hint="default"/>
          <w:sz w:val="24"/>
          <w:szCs w:val="24"/>
          <w:lang w:val="en-US"/>
        </w:rPr>
        <w:t>4.</w:t>
      </w:r>
    </w:p>
    <w:p w14:paraId="0DCD71E2">
      <w:pPr>
        <w:bidi w:val="0"/>
        <w:spacing w:line="360" w:lineRule="auto"/>
        <w:jc w:val="both"/>
        <w:rPr>
          <w:rFonts w:hint="default" w:ascii="Arial" w:hAnsi="Arial" w:cs="Arial"/>
          <w:sz w:val="24"/>
          <w:szCs w:val="24"/>
          <w:lang w:val="en-US"/>
        </w:rPr>
      </w:pPr>
      <w:r>
        <w:rPr>
          <w:rFonts w:hint="default" w:ascii="Arial" w:hAnsi="Arial" w:eastAsia="SimSun" w:cs="Arial"/>
          <w:sz w:val="24"/>
          <w:szCs w:val="24"/>
        </w:rPr>
        <w:t xml:space="preserve">Statista (2024) </w:t>
      </w:r>
      <w:r>
        <w:rPr>
          <w:rStyle w:val="9"/>
          <w:rFonts w:hint="default" w:ascii="Arial" w:hAnsi="Arial" w:eastAsia="SimSun" w:cs="Arial"/>
          <w:sz w:val="24"/>
          <w:szCs w:val="24"/>
        </w:rPr>
        <w:t>Government Subsidies for Electric Vehicle Development in Germany.</w:t>
      </w:r>
      <w:r>
        <w:rPr>
          <w:rFonts w:hint="default" w:ascii="Arial" w:hAnsi="Arial" w:eastAsia="SimSun" w:cs="Arial"/>
          <w:sz w:val="24"/>
          <w:szCs w:val="24"/>
        </w:rPr>
        <w:t xml:space="preserve">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"https://www.statista.com/"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https://www.statista.com/</w:t>
      </w:r>
      <w:r>
        <w:rPr>
          <w:rFonts w:hint="default" w:ascii="Arial" w:hAnsi="Arial" w:eastAsia="SimSun" w:cs="Arial"/>
          <w:sz w:val="24"/>
          <w:szCs w:val="24"/>
        </w:rPr>
        <w:fldChar w:fldCharType="end"/>
      </w:r>
      <w:r>
        <w:rPr>
          <w:rFonts w:hint="default" w:ascii="Arial" w:hAnsi="Arial" w:eastAsia="SimSun" w:cs="Arial"/>
          <w:sz w:val="24"/>
          <w:szCs w:val="24"/>
          <w:lang w:val="en-US"/>
        </w:rPr>
        <w:t xml:space="preserve"> </w:t>
      </w:r>
    </w:p>
    <w:p w14:paraId="0B5B64A6">
      <w:pPr>
        <w:bidi w:val="0"/>
        <w:jc w:val="both"/>
        <w:rPr>
          <w:rFonts w:hint="default" w:ascii="Arial" w:hAnsi="Arial" w:cs="Arial"/>
          <w:sz w:val="24"/>
          <w:szCs w:val="24"/>
          <w:lang w:val="en-US"/>
        </w:rPr>
      </w:pPr>
    </w:p>
    <w:p w14:paraId="4F389D49">
      <w:pPr>
        <w:bidi w:val="0"/>
        <w:jc w:val="both"/>
        <w:rPr>
          <w:rFonts w:hint="default" w:ascii="Arial" w:hAnsi="Arial" w:cs="Arial"/>
          <w:sz w:val="24"/>
          <w:szCs w:val="24"/>
          <w:lang w:val="en-US"/>
        </w:rPr>
      </w:pPr>
      <w:r>
        <w:rPr>
          <w:rFonts w:hint="default" w:ascii="Arial" w:hAnsi="Arial" w:cs="Arial"/>
          <w:sz w:val="24"/>
          <w:szCs w:val="24"/>
          <w:lang w:val="en-US"/>
        </w:rPr>
        <w:t>5.</w:t>
      </w:r>
    </w:p>
    <w:p w14:paraId="5EFAD815">
      <w:pPr>
        <w:bidi w:val="0"/>
        <w:spacing w:line="360" w:lineRule="auto"/>
        <w:jc w:val="both"/>
        <w:rPr>
          <w:rFonts w:hint="default" w:ascii="Arial" w:hAnsi="Arial" w:cs="Arial"/>
          <w:sz w:val="24"/>
          <w:szCs w:val="24"/>
          <w:lang w:val="en-US"/>
        </w:rPr>
      </w:pPr>
      <w:r>
        <w:rPr>
          <w:rFonts w:hint="default" w:ascii="Arial" w:hAnsi="Arial" w:eastAsia="SimSun" w:cs="Arial"/>
          <w:sz w:val="24"/>
          <w:szCs w:val="24"/>
        </w:rPr>
        <w:t xml:space="preserve">U.S. Department of Energy (2023) </w:t>
      </w:r>
      <w:r>
        <w:rPr>
          <w:rStyle w:val="9"/>
          <w:rFonts w:hint="default" w:ascii="Arial" w:hAnsi="Arial" w:eastAsia="SimSun" w:cs="Arial"/>
          <w:sz w:val="24"/>
          <w:szCs w:val="24"/>
        </w:rPr>
        <w:t>Electric Vehicle Tax Credits and Incentives.</w:t>
      </w:r>
      <w:r>
        <w:rPr>
          <w:rFonts w:hint="default" w:ascii="Arial" w:hAnsi="Arial" w:eastAsia="SimSun" w:cs="Arial"/>
          <w:sz w:val="24"/>
          <w:szCs w:val="24"/>
        </w:rPr>
        <w:t xml:space="preserve">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"https://www.energy.gov/"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https://www.energy.gov/</w:t>
      </w:r>
      <w:r>
        <w:rPr>
          <w:rFonts w:hint="default" w:ascii="Arial" w:hAnsi="Arial" w:eastAsia="SimSun" w:cs="Arial"/>
          <w:sz w:val="24"/>
          <w:szCs w:val="24"/>
        </w:rPr>
        <w:fldChar w:fldCharType="end"/>
      </w:r>
      <w:r>
        <w:rPr>
          <w:rFonts w:hint="default" w:ascii="Arial" w:hAnsi="Arial" w:eastAsia="SimSun" w:cs="Arial"/>
          <w:sz w:val="24"/>
          <w:szCs w:val="24"/>
          <w:lang w:val="en-US"/>
        </w:rPr>
        <w:t xml:space="preserve"> </w:t>
      </w:r>
    </w:p>
    <w:p w14:paraId="252BEEB5">
      <w:pPr>
        <w:bidi w:val="0"/>
        <w:spacing w:line="360" w:lineRule="auto"/>
        <w:jc w:val="both"/>
        <w:rPr>
          <w:rFonts w:hint="default" w:ascii="Arial" w:hAnsi="Arial" w:cs="Arial"/>
          <w:sz w:val="24"/>
          <w:szCs w:val="24"/>
          <w:lang w:val="en-US"/>
        </w:rPr>
      </w:pPr>
      <w:r>
        <w:rPr>
          <w:rFonts w:hint="default" w:ascii="Arial" w:hAnsi="Arial" w:cs="Arial"/>
          <w:sz w:val="24"/>
          <w:szCs w:val="24"/>
          <w:lang w:val="en-US"/>
        </w:rPr>
        <w:t>6.</w:t>
      </w:r>
    </w:p>
    <w:p w14:paraId="44F910A5">
      <w:pPr>
        <w:bidi w:val="0"/>
        <w:spacing w:line="360" w:lineRule="auto"/>
        <w:jc w:val="both"/>
        <w:rPr>
          <w:rFonts w:hint="default"/>
          <w:lang w:val="en-US"/>
        </w:rPr>
      </w:pPr>
      <w:r>
        <w:rPr>
          <w:rFonts w:hint="default" w:ascii="Arial" w:hAnsi="Arial" w:eastAsia="SimSun" w:cs="Arial"/>
          <w:sz w:val="24"/>
          <w:szCs w:val="24"/>
        </w:rPr>
        <w:t xml:space="preserve">EPRINC (2024) </w:t>
      </w:r>
      <w:r>
        <w:rPr>
          <w:rStyle w:val="9"/>
          <w:rFonts w:hint="default" w:ascii="Arial" w:hAnsi="Arial" w:eastAsia="SimSun" w:cs="Arial"/>
          <w:sz w:val="24"/>
          <w:szCs w:val="24"/>
        </w:rPr>
        <w:t>Regulatory credit contribution to Tesla’s automotive gross profits</w:t>
      </w:r>
      <w:r>
        <w:rPr>
          <w:rFonts w:hint="default" w:ascii="Arial" w:hAnsi="Arial" w:eastAsia="SimSun" w:cs="Arial"/>
          <w:sz w:val="24"/>
          <w:szCs w:val="24"/>
        </w:rPr>
        <w:t xml:space="preserve">. Chart of the Week #2024-46.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"https://eprinc.org/chart-of-the-week/"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https://eprinc.org/chart-of-the-week/</w:t>
      </w:r>
      <w:r>
        <w:rPr>
          <w:rFonts w:hint="default" w:ascii="Arial" w:hAnsi="Arial" w:eastAsia="SimSun" w:cs="Arial"/>
          <w:sz w:val="24"/>
          <w:szCs w:val="24"/>
        </w:rPr>
        <w:fldChar w:fldCharType="end"/>
      </w:r>
      <w:r>
        <w:rPr>
          <w:rFonts w:hint="default" w:ascii="SimSun" w:hAnsi="SimSun" w:eastAsia="SimSun" w:cs="SimSun"/>
          <w:sz w:val="24"/>
          <w:szCs w:val="24"/>
          <w:lang w:val="en-US"/>
        </w:rPr>
        <w:t xml:space="preserve"> </w:t>
      </w:r>
    </w:p>
    <w:p w14:paraId="6C9F0522">
      <w:pPr>
        <w:bidi w:val="0"/>
        <w:rPr>
          <w:rFonts w:hint="default" w:ascii="Arial" w:hAnsi="Arial" w:cs="Arial"/>
          <w:b/>
          <w:bCs/>
          <w:sz w:val="24"/>
          <w:szCs w:val="24"/>
          <w:lang w:val="en-US"/>
        </w:rPr>
      </w:pPr>
      <w:r>
        <w:rPr>
          <w:rFonts w:hint="default" w:ascii="Arial" w:hAnsi="Arial" w:cs="Arial"/>
          <w:b/>
          <w:bCs/>
          <w:sz w:val="24"/>
          <w:szCs w:val="24"/>
          <w:lang w:val="en-US"/>
        </w:rPr>
        <w:t>7</w:t>
      </w:r>
    </w:p>
    <w:p w14:paraId="05DFFFDB">
      <w:pPr>
        <w:bidi w:val="0"/>
        <w:spacing w:line="360" w:lineRule="auto"/>
        <w:jc w:val="both"/>
        <w:rPr>
          <w:rFonts w:hint="default" w:ascii="SimSun" w:hAnsi="SimSun" w:eastAsia="SimSun" w:cs="SimSun"/>
          <w:sz w:val="24"/>
          <w:szCs w:val="24"/>
          <w:lang w:val="en-US"/>
        </w:rPr>
      </w:pPr>
      <w:r>
        <w:rPr>
          <w:rFonts w:hint="default" w:ascii="Arial" w:hAnsi="Arial" w:eastAsia="SimSun" w:cs="Arial"/>
          <w:sz w:val="24"/>
          <w:szCs w:val="24"/>
        </w:rPr>
        <w:t xml:space="preserve">Statista (2024) </w:t>
      </w:r>
      <w:r>
        <w:rPr>
          <w:rStyle w:val="9"/>
          <w:rFonts w:hint="default" w:ascii="Arial" w:hAnsi="Arial" w:eastAsia="SimSun" w:cs="Arial"/>
          <w:sz w:val="24"/>
          <w:szCs w:val="24"/>
        </w:rPr>
        <w:t>Government subsidies and EV R&amp;D investment in Germany</w:t>
      </w:r>
      <w:r>
        <w:rPr>
          <w:rFonts w:hint="default" w:ascii="Arial" w:hAnsi="Arial" w:eastAsia="SimSun" w:cs="Arial"/>
          <w:sz w:val="24"/>
          <w:szCs w:val="24"/>
        </w:rPr>
        <w:t xml:space="preserve">.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"https://www.statista.com"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https://www.statista.com</w:t>
      </w:r>
      <w:r>
        <w:rPr>
          <w:rFonts w:hint="default" w:ascii="Arial" w:hAnsi="Arial" w:eastAsia="SimSun" w:cs="Arial"/>
          <w:sz w:val="24"/>
          <w:szCs w:val="24"/>
        </w:rPr>
        <w:fldChar w:fldCharType="end"/>
      </w:r>
      <w:r>
        <w:rPr>
          <w:rFonts w:hint="default" w:ascii="SimSun" w:hAnsi="SimSun" w:eastAsia="SimSun" w:cs="SimSun"/>
          <w:sz w:val="24"/>
          <w:szCs w:val="24"/>
          <w:lang w:val="en-US"/>
        </w:rPr>
        <w:t xml:space="preserve"> </w:t>
      </w:r>
    </w:p>
    <w:p w14:paraId="6C5E6108">
      <w:pPr>
        <w:bidi w:val="0"/>
        <w:rPr>
          <w:rFonts w:hint="default" w:ascii="SimSun" w:hAnsi="SimSun" w:eastAsia="SimSun" w:cs="SimSun"/>
          <w:sz w:val="24"/>
          <w:szCs w:val="24"/>
          <w:lang w:val="en-US"/>
        </w:rPr>
      </w:pPr>
      <w:r>
        <w:rPr>
          <w:rFonts w:hint="default" w:ascii="Arial" w:hAnsi="Arial" w:eastAsia="SimSun" w:cs="Arial"/>
          <w:b/>
          <w:bCs/>
          <w:sz w:val="24"/>
          <w:szCs w:val="24"/>
          <w:lang w:val="en-US"/>
        </w:rPr>
        <w:t>8</w:t>
      </w:r>
    </w:p>
    <w:p w14:paraId="1EC6E9FC">
      <w:pPr>
        <w:bidi w:val="0"/>
        <w:spacing w:line="360" w:lineRule="auto"/>
        <w:jc w:val="both"/>
        <w:rPr>
          <w:rFonts w:hint="default" w:ascii="Arial" w:hAnsi="Arial" w:eastAsia="SimSun" w:cs="Arial"/>
          <w:sz w:val="24"/>
          <w:szCs w:val="24"/>
          <w:lang w:val="en-US"/>
        </w:rPr>
      </w:pPr>
      <w:r>
        <w:rPr>
          <w:rFonts w:hint="default" w:ascii="Arial" w:hAnsi="Arial" w:eastAsia="SimSun" w:cs="Arial"/>
          <w:sz w:val="24"/>
          <w:szCs w:val="24"/>
        </w:rPr>
        <w:t xml:space="preserve">Volkswagen Group (2024) </w:t>
      </w:r>
      <w:r>
        <w:rPr>
          <w:rStyle w:val="9"/>
          <w:rFonts w:hint="default" w:ascii="Arial" w:hAnsi="Arial" w:eastAsia="SimSun" w:cs="Arial"/>
          <w:sz w:val="24"/>
          <w:szCs w:val="24"/>
        </w:rPr>
        <w:t>Volkswagen Sustainability and Strategy Report 2024</w:t>
      </w:r>
      <w:r>
        <w:rPr>
          <w:rFonts w:hint="default" w:ascii="Arial" w:hAnsi="Arial" w:eastAsia="SimSun" w:cs="Arial"/>
          <w:sz w:val="24"/>
          <w:szCs w:val="24"/>
        </w:rPr>
        <w:t xml:space="preserve">.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"https://www.volkswagenag.com"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https://www.volkswagenag.com</w:t>
      </w:r>
      <w:r>
        <w:rPr>
          <w:rFonts w:hint="default" w:ascii="Arial" w:hAnsi="Arial" w:eastAsia="SimSun" w:cs="Arial"/>
          <w:sz w:val="24"/>
          <w:szCs w:val="24"/>
        </w:rPr>
        <w:fldChar w:fldCharType="end"/>
      </w:r>
      <w:r>
        <w:rPr>
          <w:rFonts w:hint="default" w:ascii="Arial" w:hAnsi="Arial" w:eastAsia="SimSun" w:cs="Arial"/>
          <w:sz w:val="24"/>
          <w:szCs w:val="24"/>
          <w:lang w:val="en-US"/>
        </w:rPr>
        <w:t xml:space="preserve"> </w:t>
      </w:r>
    </w:p>
    <w:p w14:paraId="650053F6">
      <w:pPr>
        <w:bidi w:val="0"/>
        <w:rPr>
          <w:rFonts w:hint="default" w:ascii="Arial" w:hAnsi="Arial" w:cs="Arial"/>
          <w:sz w:val="24"/>
          <w:szCs w:val="24"/>
          <w:lang w:val="en-US"/>
        </w:rPr>
      </w:pPr>
    </w:p>
    <w:p w14:paraId="2601C897">
      <w:pPr>
        <w:bidi w:val="0"/>
        <w:rPr>
          <w:rFonts w:hint="default"/>
          <w:lang w:val="en-US"/>
        </w:rPr>
      </w:pPr>
    </w:p>
    <w:p w14:paraId="6747BF38">
      <w:pPr>
        <w:bidi w:val="0"/>
        <w:rPr>
          <w:rFonts w:hint="default"/>
          <w:lang w:val="en-US"/>
        </w:rPr>
      </w:pPr>
    </w:p>
    <w:p w14:paraId="1219E806">
      <w:pPr>
        <w:bidi w:val="0"/>
        <w:rPr>
          <w:rFonts w:hint="default"/>
          <w:lang w:val="en-US"/>
        </w:rPr>
      </w:pPr>
    </w:p>
    <w:p w14:paraId="56E6C83A">
      <w:pPr>
        <w:bidi w:val="0"/>
        <w:rPr>
          <w:rFonts w:hint="default"/>
          <w:lang w:val="en-US"/>
        </w:rPr>
      </w:pPr>
    </w:p>
    <w:p w14:paraId="31951F6E">
      <w:pPr>
        <w:bidi w:val="0"/>
        <w:rPr>
          <w:rFonts w:hint="default"/>
          <w:lang w:val="en-US"/>
        </w:rPr>
      </w:pPr>
    </w:p>
    <w:p w14:paraId="42A774E8">
      <w:pPr>
        <w:bidi w:val="0"/>
        <w:rPr>
          <w:rFonts w:hint="default"/>
          <w:lang w:val="en-US"/>
        </w:rPr>
      </w:pPr>
    </w:p>
    <w:p w14:paraId="456FBA74">
      <w:pPr>
        <w:bidi w:val="0"/>
        <w:rPr>
          <w:rFonts w:hint="default"/>
          <w:lang w:val="en-US"/>
        </w:rPr>
      </w:pPr>
    </w:p>
    <w:p w14:paraId="0540D3D4">
      <w:pPr>
        <w:bidi w:val="0"/>
        <w:rPr>
          <w:rFonts w:hint="default"/>
          <w:lang w:val="en-US"/>
        </w:rPr>
      </w:pPr>
    </w:p>
    <w:p w14:paraId="48BC413C">
      <w:pPr>
        <w:bidi w:val="0"/>
        <w:rPr>
          <w:rFonts w:hint="default"/>
          <w:lang w:val="en-US"/>
        </w:rPr>
      </w:pPr>
    </w:p>
    <w:p w14:paraId="60132273">
      <w:pPr>
        <w:bidi w:val="0"/>
        <w:rPr>
          <w:rFonts w:hint="default"/>
          <w:lang w:val="en-US"/>
        </w:rPr>
      </w:pPr>
    </w:p>
    <w:p w14:paraId="2B90FA31">
      <w:pPr>
        <w:bidi w:val="0"/>
        <w:rPr>
          <w:rFonts w:hint="default"/>
          <w:lang w:val="en-US"/>
        </w:rPr>
      </w:pPr>
    </w:p>
    <w:p w14:paraId="3B6CE589">
      <w:pPr>
        <w:bidi w:val="0"/>
        <w:rPr>
          <w:rFonts w:hint="default"/>
          <w:lang w:val="en-US"/>
        </w:rPr>
      </w:pPr>
    </w:p>
    <w:p w14:paraId="018FAB1B">
      <w:pPr>
        <w:bidi w:val="0"/>
        <w:rPr>
          <w:rFonts w:hint="default"/>
          <w:lang w:val="en-US"/>
        </w:rPr>
      </w:pPr>
    </w:p>
    <w:p w14:paraId="6FAC18E9">
      <w:pPr>
        <w:bidi w:val="0"/>
        <w:rPr>
          <w:rFonts w:hint="default"/>
          <w:lang w:val="en-US"/>
        </w:rPr>
      </w:pPr>
    </w:p>
    <w:p w14:paraId="63429359">
      <w:pPr>
        <w:bidi w:val="0"/>
        <w:rPr>
          <w:rFonts w:hint="default"/>
          <w:lang w:val="en-US"/>
        </w:rPr>
      </w:pPr>
    </w:p>
    <w:p w14:paraId="46D138F4">
      <w:pPr>
        <w:bidi w:val="0"/>
        <w:rPr>
          <w:rFonts w:hint="default"/>
          <w:lang w:val="en-US"/>
        </w:rPr>
      </w:pPr>
    </w:p>
    <w:p w14:paraId="3F3A093D">
      <w:pPr>
        <w:bidi w:val="0"/>
        <w:rPr>
          <w:rFonts w:hint="default"/>
          <w:lang w:val="en-US"/>
        </w:rPr>
      </w:pPr>
    </w:p>
    <w:p w14:paraId="4F576D84">
      <w:pPr>
        <w:bidi w:val="0"/>
        <w:rPr>
          <w:rFonts w:hint="default"/>
          <w:lang w:val="en-US"/>
        </w:rPr>
      </w:pPr>
    </w:p>
    <w:p w14:paraId="79CF93AA">
      <w:pPr>
        <w:bidi w:val="0"/>
        <w:rPr>
          <w:rFonts w:hint="default"/>
          <w:lang w:val="en-US"/>
        </w:rPr>
      </w:pPr>
    </w:p>
    <w:p w14:paraId="196D93D0">
      <w:pPr>
        <w:bidi w:val="0"/>
        <w:rPr>
          <w:rFonts w:hint="default"/>
          <w:lang w:val="en-US"/>
        </w:rPr>
      </w:pPr>
    </w:p>
    <w:p w14:paraId="407E08BD">
      <w:pPr>
        <w:bidi w:val="0"/>
        <w:rPr>
          <w:rFonts w:hint="default"/>
          <w:lang w:val="en-US"/>
        </w:rPr>
      </w:pPr>
    </w:p>
    <w:p w14:paraId="6FA850C3">
      <w:pPr>
        <w:bidi w:val="0"/>
        <w:rPr>
          <w:rFonts w:hint="default"/>
          <w:lang w:val="en-US"/>
        </w:rPr>
      </w:pPr>
    </w:p>
    <w:p w14:paraId="343CFD5C">
      <w:pPr>
        <w:bidi w:val="0"/>
        <w:rPr>
          <w:rFonts w:hint="default"/>
          <w:lang w:val="en-US"/>
        </w:rPr>
      </w:pPr>
    </w:p>
    <w:p w14:paraId="49414D00">
      <w:pPr>
        <w:bidi w:val="0"/>
        <w:rPr>
          <w:rFonts w:hint="default"/>
          <w:lang w:val="en-US"/>
        </w:rPr>
      </w:pPr>
    </w:p>
    <w:p w14:paraId="0DC5B7BD">
      <w:pPr>
        <w:bidi w:val="0"/>
        <w:rPr>
          <w:rFonts w:hint="default"/>
          <w:lang w:val="en-US"/>
        </w:rPr>
      </w:pPr>
    </w:p>
    <w:p w14:paraId="7DA0D50E">
      <w:pPr>
        <w:bidi w:val="0"/>
        <w:rPr>
          <w:rFonts w:hint="default"/>
          <w:lang w:val="en-US"/>
        </w:rPr>
      </w:pPr>
    </w:p>
    <w:p w14:paraId="37FD634A">
      <w:pPr>
        <w:bidi w:val="0"/>
        <w:rPr>
          <w:rFonts w:hint="default"/>
          <w:lang w:val="en-US"/>
        </w:rPr>
      </w:pPr>
    </w:p>
    <w:p w14:paraId="602F6311">
      <w:pPr>
        <w:bidi w:val="0"/>
        <w:rPr>
          <w:rFonts w:hint="default"/>
          <w:lang w:val="en-US"/>
        </w:rPr>
      </w:pPr>
    </w:p>
    <w:p w14:paraId="37DECD3D">
      <w:pPr>
        <w:bidi w:val="0"/>
        <w:rPr>
          <w:rFonts w:hint="default"/>
          <w:lang w:val="en-US"/>
        </w:rPr>
      </w:pPr>
    </w:p>
    <w:p w14:paraId="1FB4889C">
      <w:pPr>
        <w:bidi w:val="0"/>
        <w:rPr>
          <w:rFonts w:hint="default"/>
          <w:lang w:val="en-US"/>
        </w:rPr>
      </w:pPr>
    </w:p>
    <w:p w14:paraId="43882CC8">
      <w:pPr>
        <w:bidi w:val="0"/>
        <w:rPr>
          <w:rFonts w:hint="default"/>
          <w:lang w:val="en-US"/>
        </w:rPr>
      </w:pPr>
    </w:p>
    <w:p w14:paraId="1E02F00D">
      <w:pPr>
        <w:bidi w:val="0"/>
        <w:rPr>
          <w:rFonts w:hint="default"/>
          <w:lang w:val="en-US"/>
        </w:rPr>
      </w:pPr>
    </w:p>
    <w:p w14:paraId="09A5337F">
      <w:pPr>
        <w:bidi w:val="0"/>
        <w:rPr>
          <w:rFonts w:hint="default"/>
          <w:lang w:val="en-US"/>
        </w:rPr>
      </w:pPr>
    </w:p>
    <w:p w14:paraId="0A653D91">
      <w:pPr>
        <w:bidi w:val="0"/>
        <w:rPr>
          <w:rFonts w:hint="default"/>
          <w:lang w:val="en-US"/>
        </w:rPr>
      </w:pPr>
    </w:p>
    <w:p w14:paraId="4F4E93D4">
      <w:pPr>
        <w:bidi w:val="0"/>
        <w:rPr>
          <w:rFonts w:hint="default"/>
          <w:lang w:val="en-US"/>
        </w:rPr>
      </w:pPr>
    </w:p>
    <w:p w14:paraId="73BD940A">
      <w:pPr>
        <w:bidi w:val="0"/>
        <w:rPr>
          <w:rFonts w:hint="default"/>
          <w:lang w:val="en-US"/>
        </w:rPr>
      </w:pPr>
    </w:p>
    <w:p w14:paraId="29040CC3">
      <w:pPr>
        <w:bidi w:val="0"/>
        <w:rPr>
          <w:rFonts w:hint="default"/>
          <w:lang w:val="en-US"/>
        </w:rPr>
      </w:pPr>
    </w:p>
    <w:p w14:paraId="7C3A0EE6">
      <w:pPr>
        <w:bidi w:val="0"/>
        <w:rPr>
          <w:rFonts w:hint="default"/>
          <w:lang w:val="en-US"/>
        </w:rPr>
      </w:pPr>
    </w:p>
    <w:p w14:paraId="4120D5D8">
      <w:pPr>
        <w:bidi w:val="0"/>
        <w:rPr>
          <w:rFonts w:hint="default"/>
          <w:lang w:val="en-US"/>
        </w:rPr>
      </w:pPr>
    </w:p>
    <w:p w14:paraId="06C7579B">
      <w:pPr>
        <w:bidi w:val="0"/>
        <w:rPr>
          <w:rFonts w:hint="default"/>
          <w:lang w:val="en-US"/>
        </w:rPr>
      </w:pPr>
    </w:p>
    <w:p w14:paraId="202A934C">
      <w:pPr>
        <w:bidi w:val="0"/>
        <w:rPr>
          <w:rFonts w:hint="default"/>
          <w:lang w:val="en-US"/>
        </w:rPr>
      </w:pPr>
    </w:p>
    <w:p w14:paraId="4B93026B">
      <w:pPr>
        <w:bidi w:val="0"/>
        <w:rPr>
          <w:rFonts w:hint="default"/>
          <w:lang w:val="en-US"/>
        </w:rPr>
      </w:pPr>
    </w:p>
    <w:p w14:paraId="683DE386">
      <w:pPr>
        <w:bidi w:val="0"/>
        <w:rPr>
          <w:rFonts w:hint="default"/>
          <w:lang w:val="en-US"/>
        </w:rPr>
      </w:pPr>
    </w:p>
    <w:p w14:paraId="09B674AC">
      <w:pPr>
        <w:bidi w:val="0"/>
        <w:rPr>
          <w:rFonts w:hint="default"/>
          <w:lang w:val="en-US"/>
        </w:rPr>
      </w:pPr>
    </w:p>
    <w:p w14:paraId="7D0A0633">
      <w:pPr>
        <w:bidi w:val="0"/>
        <w:rPr>
          <w:rFonts w:hint="default"/>
          <w:lang w:val="en-US"/>
        </w:rPr>
      </w:pPr>
    </w:p>
    <w:p w14:paraId="6CA780CA">
      <w:pPr>
        <w:bidi w:val="0"/>
        <w:rPr>
          <w:rFonts w:hint="default"/>
          <w:lang w:val="en-US"/>
        </w:rPr>
      </w:pPr>
    </w:p>
    <w:p w14:paraId="7C5F1E72">
      <w:pPr>
        <w:bidi w:val="0"/>
        <w:rPr>
          <w:rFonts w:hint="default"/>
          <w:lang w:val="en-US"/>
        </w:rPr>
      </w:pPr>
    </w:p>
    <w:p w14:paraId="7B8DFF38">
      <w:pPr>
        <w:bidi w:val="0"/>
        <w:rPr>
          <w:rFonts w:hint="default"/>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TimesNewRomanPS-BoldMT">
    <w:altName w:val="Segoe Print"/>
    <w:panose1 w:val="00000000000000000000"/>
    <w:charset w:val="00"/>
    <w:family w:val="auto"/>
    <w:pitch w:val="default"/>
    <w:sig w:usb0="00000000" w:usb1="00000000" w:usb2="00000000" w:usb3="00000000" w:csb0="00000000" w:csb1="00000000"/>
  </w:font>
  <w:font w:name="Arial-BoldM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等线">
    <w:altName w:val="Arial Unicode MS"/>
    <w:panose1 w:val="00000000000000000000"/>
    <w:charset w:val="00"/>
    <w:family w:val="auto"/>
    <w:pitch w:val="default"/>
    <w:sig w:usb0="00000000" w:usb1="00000000" w:usb2="00000000" w:usb3="00000000" w:csb0="00000000" w:csb1="00000000"/>
  </w:font>
  <w:font w:name="Segoe UI Black">
    <w:panose1 w:val="020B0A02040204020203"/>
    <w:charset w:val="00"/>
    <w:family w:val="auto"/>
    <w:pitch w:val="default"/>
    <w:sig w:usb0="E00002FF" w:usb1="4000E47F" w:usb2="00000021" w:usb3="00000000" w:csb0="2000019F" w:csb1="00000000"/>
  </w:font>
  <w:font w:name="Sitka Subheading">
    <w:panose1 w:val="02000505000000020004"/>
    <w:charset w:val="00"/>
    <w:family w:val="auto"/>
    <w:pitch w:val="default"/>
    <w:sig w:usb0="A00002EF" w:usb1="4000204B" w:usb2="00000000" w:usb3="00000000" w:csb0="2000019F" w:csb1="00000000"/>
  </w:font>
  <w:font w:name="Segoe UI Semibold">
    <w:panose1 w:val="020B0702040204020203"/>
    <w:charset w:val="00"/>
    <w:family w:val="auto"/>
    <w:pitch w:val="default"/>
    <w:sig w:usb0="E4002EFF" w:usb1="C000E47F" w:usb2="00000009" w:usb3="00000000" w:csb0="200001FF" w:csb1="00000000"/>
  </w:font>
  <w:font w:name="Segoe UI Emoji">
    <w:panose1 w:val="020B0502040204020203"/>
    <w:charset w:val="00"/>
    <w:family w:val="auto"/>
    <w:pitch w:val="default"/>
    <w:sig w:usb0="00000001" w:usb1="02000000" w:usb2="00000000" w:usb3="00000000" w:csb0="00000001" w:csb1="00000000"/>
  </w:font>
  <w:font w:name="Agency FB">
    <w:panose1 w:val="020B0503020202020204"/>
    <w:charset w:val="00"/>
    <w:family w:val="auto"/>
    <w:pitch w:val="default"/>
    <w:sig w:usb0="00000003" w:usb1="00000000" w:usb2="00000000" w:usb3="00000000" w:csb0="20000001"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A9CCACE"/>
    <w:multiLevelType w:val="singleLevel"/>
    <w:tmpl w:val="DA9CCACE"/>
    <w:lvl w:ilvl="0" w:tentative="0">
      <w:start w:val="1"/>
      <w:numFmt w:val="decimal"/>
      <w:suff w:val="space"/>
      <w:lvlText w:val="%1."/>
      <w:lvlJc w:val="left"/>
    </w:lvl>
  </w:abstractNum>
  <w:abstractNum w:abstractNumId="1">
    <w:nsid w:val="2A3F1F71"/>
    <w:multiLevelType w:val="singleLevel"/>
    <w:tmpl w:val="2A3F1F71"/>
    <w:lvl w:ilvl="0" w:tentative="0">
      <w:start w:val="1"/>
      <w:numFmt w:val="upperLetter"/>
      <w:suff w:val="space"/>
      <w:lvlText w:val="%1."/>
      <w:lvlJc w:val="left"/>
    </w:lvl>
  </w:abstractNum>
  <w:abstractNum w:abstractNumId="2">
    <w:nsid w:val="2E393F8B"/>
    <w:multiLevelType w:val="singleLevel"/>
    <w:tmpl w:val="2E393F8B"/>
    <w:lvl w:ilvl="0" w:tentative="0">
      <w:start w:val="1"/>
      <w:numFmt w:val="decimal"/>
      <w:suff w:val="space"/>
      <w:lvlText w:val="%1."/>
      <w:lvlJc w:val="left"/>
      <w:rPr>
        <w:rFonts w:hint="default"/>
        <w:b/>
        <w:bCs/>
      </w:rPr>
    </w:lvl>
  </w:abstractNum>
  <w:abstractNum w:abstractNumId="3">
    <w:nsid w:val="3484B6E8"/>
    <w:multiLevelType w:val="singleLevel"/>
    <w:tmpl w:val="3484B6E8"/>
    <w:lvl w:ilvl="0" w:tentative="0">
      <w:start w:val="5"/>
      <w:numFmt w:val="decimal"/>
      <w:suff w:val="space"/>
      <w:lvlText w:val="%1."/>
      <w:lvlJc w:val="left"/>
    </w:lvl>
  </w:abstractNum>
  <w:abstractNum w:abstractNumId="4">
    <w:nsid w:val="5FE7C103"/>
    <w:multiLevelType w:val="singleLevel"/>
    <w:tmpl w:val="5FE7C103"/>
    <w:lvl w:ilvl="0" w:tentative="0">
      <w:start w:val="2"/>
      <w:numFmt w:val="decimal"/>
      <w:suff w:val="space"/>
      <w:lvlText w:val="%1."/>
      <w:lvlJc w:val="left"/>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BA7762"/>
    <w:rsid w:val="0EF66F08"/>
    <w:rsid w:val="1D0D3BB9"/>
    <w:rsid w:val="27680F35"/>
    <w:rsid w:val="3B5628A7"/>
    <w:rsid w:val="3C3E1309"/>
    <w:rsid w:val="47243FC5"/>
    <w:rsid w:val="4AF647F5"/>
    <w:rsid w:val="52BA7762"/>
    <w:rsid w:val="592B2B93"/>
    <w:rsid w:val="5E384F22"/>
    <w:rsid w:val="6EEC78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basedOn w:val="1"/>
    <w:next w:val="1"/>
    <w:qFormat/>
    <w:uiPriority w:val="0"/>
    <w:pPr>
      <w:keepNext/>
      <w:jc w:val="center"/>
      <w:outlineLvl w:val="2"/>
    </w:pPr>
    <w:rPr>
      <w:b/>
      <w:sz w:val="24"/>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paragraph" w:styleId="6">
    <w:name w:val="heading 5"/>
    <w:next w:val="1"/>
    <w:semiHidden/>
    <w:unhideWhenUsed/>
    <w:qFormat/>
    <w:uiPriority w:val="0"/>
    <w:pPr>
      <w:spacing w:before="0" w:beforeAutospacing="1" w:after="0" w:afterAutospacing="1"/>
      <w:jc w:val="left"/>
    </w:pPr>
    <w:rPr>
      <w:rFonts w:hint="eastAsia" w:ascii="SimSun" w:hAnsi="SimSun" w:eastAsia="SimSun" w:cs="SimSun"/>
      <w:b/>
      <w:bCs/>
      <w:kern w:val="0"/>
      <w:sz w:val="20"/>
      <w:szCs w:val="20"/>
      <w:lang w:val="en-US" w:eastAsia="zh-CN" w:bidi="ar"/>
    </w:rPr>
  </w:style>
  <w:style w:type="character" w:default="1" w:styleId="7">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character" w:styleId="9">
    <w:name w:val="Emphasis"/>
    <w:basedOn w:val="7"/>
    <w:qFormat/>
    <w:uiPriority w:val="0"/>
    <w:rPr>
      <w:i/>
      <w:iCs/>
    </w:rPr>
  </w:style>
  <w:style w:type="character" w:styleId="10">
    <w:name w:val="Hyperlink"/>
    <w:basedOn w:val="7"/>
    <w:uiPriority w:val="0"/>
    <w:rPr>
      <w:color w:val="0000FF"/>
      <w:u w:val="single"/>
    </w:rPr>
  </w:style>
  <w:style w:type="paragraph" w:styleId="11">
    <w:name w:val="Normal (Web)"/>
    <w:basedOn w:val="1"/>
    <w:uiPriority w:val="99"/>
    <w:pPr>
      <w:spacing w:before="100" w:after="100"/>
    </w:pPr>
    <w:rPr>
      <w:sz w:val="24"/>
      <w:lang w:eastAsia="en-US"/>
    </w:rPr>
  </w:style>
  <w:style w:type="character" w:styleId="12">
    <w:name w:val="Strong"/>
    <w:basedOn w:val="7"/>
    <w:qFormat/>
    <w:uiPriority w:val="22"/>
    <w:rPr>
      <w:b/>
      <w:bCs/>
    </w:rPr>
  </w:style>
  <w:style w:type="paragraph" w:customStyle="1" w:styleId="13">
    <w:name w:val="WPSOffice手动目录 1"/>
    <w:uiPriority w:val="0"/>
    <w:pPr>
      <w:ind w:leftChars="0"/>
    </w:pPr>
    <w:rPr>
      <w:sz w:val="20"/>
      <w:szCs w:val="20"/>
    </w:rPr>
  </w:style>
  <w:style w:type="paragraph" w:customStyle="1" w:styleId="14">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118</Words>
  <Characters>684</Characters>
  <Lines>0</Lines>
  <Paragraphs>0</Paragraphs>
  <TotalTime>66</TotalTime>
  <ScaleCrop>false</ScaleCrop>
  <LinksUpToDate>false</LinksUpToDate>
  <CharactersWithSpaces>831</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2025-10-23T01:11:00Z</dcterms:created>
  <dc:creator>Asmat Khan</dc:creator>
  <cp:lastModifiedBy>Asmat Khan</cp:lastModifiedBy>
  <dcterms:modified xsi:type="dcterms:W3CDTF">2025-10-24T11:16:02Z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684FDB5E5C404A4A94127BE375CF826D_13</vt:lpwstr>
  </property>
</Properties>
</file>