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F2AD3" w14:textId="02802A74" w:rsidR="00DF240D" w:rsidRPr="00DF240D" w:rsidRDefault="000C35B2" w:rsidP="00DF240D">
      <w:pPr>
        <w:spacing w:line="360" w:lineRule="auto"/>
        <w:jc w:val="center"/>
        <w:rPr>
          <w:b/>
          <w:bCs/>
          <w:sz w:val="32"/>
          <w:szCs w:val="32"/>
          <w:u w:val="single"/>
        </w:rPr>
      </w:pPr>
      <w:r w:rsidRPr="00DF240D">
        <w:rPr>
          <w:b/>
          <w:bCs/>
          <w:sz w:val="32"/>
          <w:szCs w:val="32"/>
          <w:u w:val="single"/>
        </w:rPr>
        <w:t>Dissertation Proposal</w:t>
      </w:r>
      <w:r w:rsidR="00DF240D" w:rsidRPr="00DF240D">
        <w:rPr>
          <w:b/>
          <w:bCs/>
          <w:sz w:val="32"/>
          <w:szCs w:val="32"/>
          <w:u w:val="single"/>
        </w:rPr>
        <w:t>:</w:t>
      </w:r>
    </w:p>
    <w:p w14:paraId="6A5F0963" w14:textId="47D8431C" w:rsidR="00C12E64" w:rsidRPr="00C35E77" w:rsidRDefault="00D425CA" w:rsidP="00C35E77">
      <w:pPr>
        <w:spacing w:line="360" w:lineRule="auto"/>
        <w:jc w:val="center"/>
        <w:rPr>
          <w:b/>
          <w:bCs/>
          <w:sz w:val="28"/>
          <w:szCs w:val="28"/>
        </w:rPr>
      </w:pPr>
      <w:r w:rsidRPr="00DF240D">
        <w:rPr>
          <w:b/>
          <w:bCs/>
          <w:sz w:val="28"/>
          <w:szCs w:val="28"/>
        </w:rPr>
        <w:t>Using osteological and archaeological evidence, assess the validity of contemporary British sources that influence the modern</w:t>
      </w:r>
      <w:r w:rsidR="00D503DC" w:rsidRPr="00DF240D">
        <w:rPr>
          <w:b/>
          <w:bCs/>
          <w:sz w:val="28"/>
          <w:szCs w:val="28"/>
        </w:rPr>
        <w:t xml:space="preserve"> </w:t>
      </w:r>
      <w:r w:rsidRPr="00DF240D">
        <w:rPr>
          <w:b/>
          <w:bCs/>
          <w:sz w:val="28"/>
          <w:szCs w:val="28"/>
        </w:rPr>
        <w:t>stereotype of the Vikings?</w:t>
      </w:r>
    </w:p>
    <w:p w14:paraId="4B851B16" w14:textId="2F7E986F" w:rsidR="00B54AF9" w:rsidRDefault="002D7721" w:rsidP="000C35B2">
      <w:pPr>
        <w:spacing w:line="360" w:lineRule="auto"/>
      </w:pPr>
      <w:r w:rsidRPr="002D7721">
        <w:t>Within</w:t>
      </w:r>
      <w:r w:rsidR="00914957" w:rsidRPr="002D7721">
        <w:t xml:space="preserve"> popular culture,</w:t>
      </w:r>
      <w:r w:rsidRPr="002D7721">
        <w:t xml:space="preserve"> whether it be </w:t>
      </w:r>
      <w:r w:rsidR="00595839">
        <w:t xml:space="preserve">in </w:t>
      </w:r>
      <w:r w:rsidRPr="002D7721">
        <w:t xml:space="preserve">media, entertainment, or commercial production, the term ‘Viking’ continues to conjure the image of a ferocious savage, sporting a horned helmet, carving </w:t>
      </w:r>
      <w:r w:rsidR="009A7C40">
        <w:t>his</w:t>
      </w:r>
      <w:r w:rsidRPr="002D7721">
        <w:t xml:space="preserve"> way </w:t>
      </w:r>
      <w:r w:rsidR="00D5599E">
        <w:t>across</w:t>
      </w:r>
      <w:r w:rsidRPr="002D7721">
        <w:t xml:space="preserve"> the civilised world</w:t>
      </w:r>
      <w:r w:rsidR="00F43964">
        <w:t>.</w:t>
      </w:r>
      <w:r w:rsidR="00F43964">
        <w:rPr>
          <w:rStyle w:val="FootnoteReference"/>
        </w:rPr>
        <w:footnoteReference w:id="1"/>
      </w:r>
      <w:r w:rsidR="00F43964">
        <w:t xml:space="preserve"> </w:t>
      </w:r>
      <w:r w:rsidR="000B737C">
        <w:t>Although elements of this interpretation are based on fact</w:t>
      </w:r>
      <w:r w:rsidR="00880445">
        <w:t xml:space="preserve">, the majority of it is either exaggerated or completely false. </w:t>
      </w:r>
      <w:r w:rsidR="00F43964">
        <w:t>However, d</w:t>
      </w:r>
      <w:r w:rsidR="00837420">
        <w:t xml:space="preserve">espite attempts in recent years by </w:t>
      </w:r>
      <w:r w:rsidR="00C12E64">
        <w:t>revisionist</w:t>
      </w:r>
      <w:r w:rsidR="00837420">
        <w:t xml:space="preserve"> historians </w:t>
      </w:r>
      <w:r w:rsidR="00C12E64">
        <w:t>to change this</w:t>
      </w:r>
      <w:r w:rsidR="00404AB3">
        <w:t xml:space="preserve"> view</w:t>
      </w:r>
      <w:r w:rsidR="00C12E64">
        <w:t xml:space="preserve">, the popularised </w:t>
      </w:r>
      <w:r w:rsidR="00C12E64" w:rsidRPr="00EB39AB">
        <w:t>and commercialized image of these northern adversaries has remained prominent in modern society.</w:t>
      </w:r>
      <w:r w:rsidR="00404AB3" w:rsidRPr="00EB39AB">
        <w:rPr>
          <w:rStyle w:val="FootnoteReference"/>
        </w:rPr>
        <w:footnoteReference w:id="2"/>
      </w:r>
      <w:r w:rsidR="00404AB3" w:rsidRPr="00EB39AB">
        <w:t xml:space="preserve"> </w:t>
      </w:r>
      <w:r w:rsidR="00541842" w:rsidRPr="00EB39AB">
        <w:t>Due to</w:t>
      </w:r>
      <w:r w:rsidR="00541842">
        <w:t xml:space="preserve"> this, there is plenty of literature detailing the more peaceful </w:t>
      </w:r>
      <w:r w:rsidR="00E35977">
        <w:t>aspects of the Norsemen’s</w:t>
      </w:r>
      <w:r w:rsidR="00541842">
        <w:t xml:space="preserve"> </w:t>
      </w:r>
      <w:r w:rsidR="00E35977">
        <w:t xml:space="preserve">adventures, extracting information from the written and archaeological record. However, one aspect that seems to be ignored is a comparison of the osteo-archaeological data between the ‘Vikings’ and the inhabitants of the places they visited. This is </w:t>
      </w:r>
      <w:r w:rsidR="00D14764">
        <w:t>likely</w:t>
      </w:r>
      <w:r w:rsidR="00E35977">
        <w:t xml:space="preserve"> due to a </w:t>
      </w:r>
      <w:r w:rsidR="00F23F47">
        <w:t>reliance on human remains</w:t>
      </w:r>
      <w:r w:rsidR="00AD022D">
        <w:t>,</w:t>
      </w:r>
      <w:r w:rsidR="001E0EFA">
        <w:t xml:space="preserve"> </w:t>
      </w:r>
      <w:r w:rsidR="00AD022D">
        <w:t xml:space="preserve">which </w:t>
      </w:r>
      <w:r w:rsidR="002B11BB">
        <w:t xml:space="preserve">more often than not, </w:t>
      </w:r>
      <w:r w:rsidR="00AD022D">
        <w:t>do</w:t>
      </w:r>
      <w:r w:rsidR="00A8065C">
        <w:t xml:space="preserve"> </w:t>
      </w:r>
      <w:r w:rsidR="00AD022D">
        <w:t xml:space="preserve">not survive in the archaeological record </w:t>
      </w:r>
      <w:r w:rsidR="00A8065C">
        <w:t>because of</w:t>
      </w:r>
      <w:r w:rsidR="00AD022D">
        <w:t xml:space="preserve"> the</w:t>
      </w:r>
      <w:r w:rsidR="008C69DF">
        <w:t>ir</w:t>
      </w:r>
      <w:r w:rsidR="00AD022D">
        <w:t xml:space="preserve"> organic nature</w:t>
      </w:r>
      <w:r w:rsidR="0048783C" w:rsidRPr="00D14764">
        <w:t>.</w:t>
      </w:r>
      <w:r w:rsidR="002B11BB" w:rsidRPr="00D14764">
        <w:rPr>
          <w:rStyle w:val="FootnoteReference"/>
        </w:rPr>
        <w:footnoteReference w:id="3"/>
      </w:r>
      <w:r w:rsidR="007A0B70" w:rsidRPr="00D14764">
        <w:t xml:space="preserve"> </w:t>
      </w:r>
      <w:r w:rsidR="00B247BD" w:rsidRPr="00D14764">
        <w:t xml:space="preserve">Although a complete investigation </w:t>
      </w:r>
      <w:r w:rsidR="00A8065C" w:rsidRPr="00D14764">
        <w:t xml:space="preserve">of Viking Age osteology is </w:t>
      </w:r>
      <w:r w:rsidR="00103A70" w:rsidRPr="00D14764">
        <w:t>not possible at this time, partly down to a</w:t>
      </w:r>
      <w:r w:rsidR="00D14764" w:rsidRPr="00D14764">
        <w:t xml:space="preserve"> </w:t>
      </w:r>
      <w:r w:rsidR="00103A70" w:rsidRPr="00D14764">
        <w:t>lack of evidence in areas such as mainland Europe and the Islamic world,</w:t>
      </w:r>
      <w:r w:rsidR="00103A70">
        <w:t xml:space="preserve"> a study into ‘Viking’ osteology is feasible</w:t>
      </w:r>
      <w:r w:rsidR="00D14764">
        <w:t xml:space="preserve"> in the British Isles</w:t>
      </w:r>
      <w:r w:rsidR="00103A70">
        <w:t xml:space="preserve">, with the assistance of </w:t>
      </w:r>
      <w:r w:rsidR="005A651F">
        <w:t xml:space="preserve">other </w:t>
      </w:r>
      <w:r w:rsidR="00103A70">
        <w:t>archaeolog</w:t>
      </w:r>
      <w:r w:rsidR="00D14764">
        <w:t>ical</w:t>
      </w:r>
      <w:r w:rsidR="00103A70">
        <w:t xml:space="preserve"> finds.</w:t>
      </w:r>
      <w:r w:rsidR="00210DAC">
        <w:t xml:space="preserve"> As such, I am proposing to write a dissertation analysing the accuracy of contemporary descriptions of the </w:t>
      </w:r>
      <w:r w:rsidR="00210DAC" w:rsidRPr="003804B6">
        <w:t>Norsemen</w:t>
      </w:r>
      <w:r w:rsidR="00D14764" w:rsidRPr="003804B6">
        <w:t xml:space="preserve"> that influence their modern stereotype,</w:t>
      </w:r>
      <w:r w:rsidR="00210DAC" w:rsidRPr="003804B6">
        <w:t xml:space="preserve"> using</w:t>
      </w:r>
      <w:r w:rsidR="00210DAC">
        <w:t xml:space="preserve"> a combination of archaeological and osteological evidence. </w:t>
      </w:r>
    </w:p>
    <w:p w14:paraId="0980D87C" w14:textId="77777777" w:rsidR="00854CDA" w:rsidRPr="009338E9" w:rsidRDefault="00854CDA" w:rsidP="000C35B2">
      <w:pPr>
        <w:spacing w:line="360" w:lineRule="auto"/>
      </w:pPr>
    </w:p>
    <w:p w14:paraId="33C4A4DF" w14:textId="745A6943" w:rsidR="00DF240D" w:rsidRDefault="00DF240D" w:rsidP="000C35B2">
      <w:pPr>
        <w:spacing w:line="360" w:lineRule="auto"/>
        <w:rPr>
          <w:b/>
          <w:bCs/>
          <w:sz w:val="24"/>
          <w:szCs w:val="24"/>
        </w:rPr>
      </w:pPr>
      <w:r w:rsidRPr="00C12E64">
        <w:rPr>
          <w:b/>
          <w:bCs/>
          <w:sz w:val="24"/>
          <w:szCs w:val="24"/>
        </w:rPr>
        <w:t>Literature Review:</w:t>
      </w:r>
    </w:p>
    <w:p w14:paraId="4D583776" w14:textId="1285917A" w:rsidR="00F055B8" w:rsidRDefault="003637CB" w:rsidP="000C35B2">
      <w:pPr>
        <w:spacing w:line="360" w:lineRule="auto"/>
      </w:pPr>
      <w:r>
        <w:t xml:space="preserve">As mentioned, there is a large quantity of scholarship surrounding the Viking Age, </w:t>
      </w:r>
      <w:r w:rsidR="00BD007E">
        <w:t>much of which</w:t>
      </w:r>
      <w:r w:rsidR="002C243B">
        <w:t xml:space="preserve"> will form the bas</w:t>
      </w:r>
      <w:r w:rsidR="005A651F">
        <w:t>e</w:t>
      </w:r>
      <w:r w:rsidR="002C243B">
        <w:t xml:space="preserve"> for </w:t>
      </w:r>
      <w:r w:rsidR="00BD007E">
        <w:t>my</w:t>
      </w:r>
      <w:r w:rsidR="002C243B">
        <w:t xml:space="preserve"> osteo-archaeological analysis</w:t>
      </w:r>
      <w:r w:rsidR="00BD007E">
        <w:t>.</w:t>
      </w:r>
      <w:r w:rsidR="00BD007E" w:rsidRPr="00BD007E">
        <w:t xml:space="preserve"> </w:t>
      </w:r>
      <w:r w:rsidR="00BD007E">
        <w:t>The image of the Norsemen depicted in these sources var</w:t>
      </w:r>
      <w:r w:rsidR="00F055B8">
        <w:t>ies</w:t>
      </w:r>
      <w:r w:rsidR="00BD007E">
        <w:t xml:space="preserve"> however, with some, usually dating from the early 20</w:t>
      </w:r>
      <w:r w:rsidR="00BD007E" w:rsidRPr="00BD007E">
        <w:rPr>
          <w:vertAlign w:val="superscript"/>
        </w:rPr>
        <w:t>th</w:t>
      </w:r>
      <w:r w:rsidR="00BD007E">
        <w:t xml:space="preserve"> Century, displaying a more </w:t>
      </w:r>
      <w:r w:rsidR="00BD007E">
        <w:lastRenderedPageBreak/>
        <w:t>traditional image, while more recent scholarly texts focus on the peaceful elements of their travels instead of the violen</w:t>
      </w:r>
      <w:r w:rsidR="005A651F">
        <w:t>ce</w:t>
      </w:r>
      <w:r w:rsidR="00F055B8">
        <w:t>.</w:t>
      </w:r>
    </w:p>
    <w:p w14:paraId="0FBAFD4A" w14:textId="76BC870F" w:rsidR="000C0199" w:rsidRDefault="005A651F" w:rsidP="000C35B2">
      <w:pPr>
        <w:spacing w:line="360" w:lineRule="auto"/>
      </w:pPr>
      <w:r>
        <w:t>These</w:t>
      </w:r>
      <w:r w:rsidR="00F055B8">
        <w:t xml:space="preserve"> secondary texts </w:t>
      </w:r>
      <w:r>
        <w:t>act as</w:t>
      </w:r>
      <w:r w:rsidR="00B06A38">
        <w:t xml:space="preserve"> my first port of call when it comes to finding osteological sites</w:t>
      </w:r>
      <w:r>
        <w:t>, which</w:t>
      </w:r>
      <w:r w:rsidR="00B06A38">
        <w:t xml:space="preserve"> can be researched further using a more specialised source. For example, </w:t>
      </w:r>
      <w:proofErr w:type="spellStart"/>
      <w:r w:rsidR="00D0620E">
        <w:t>Gestsd</w:t>
      </w:r>
      <w:r w:rsidR="00D0620E">
        <w:rPr>
          <w:rFonts w:cstheme="minorHAnsi"/>
        </w:rPr>
        <w:t>ó</w:t>
      </w:r>
      <w:r w:rsidR="00D0620E">
        <w:t>ttir’s</w:t>
      </w:r>
      <w:proofErr w:type="spellEnd"/>
      <w:r w:rsidR="00D0620E">
        <w:t xml:space="preserve"> chapter in</w:t>
      </w:r>
      <w:r w:rsidR="00B06A38">
        <w:t xml:space="preserve"> </w:t>
      </w:r>
      <w:r w:rsidR="00124C3A">
        <w:rPr>
          <w:i/>
          <w:iCs/>
        </w:rPr>
        <w:t xml:space="preserve">Archaeological Human Remains </w:t>
      </w:r>
      <w:r w:rsidR="00B06A38">
        <w:t xml:space="preserve">refers to </w:t>
      </w:r>
      <w:r w:rsidR="00172E80">
        <w:t>various</w:t>
      </w:r>
      <w:r w:rsidR="00B06A38">
        <w:t xml:space="preserve"> Icelandic grave site</w:t>
      </w:r>
      <w:r w:rsidR="002F33E1">
        <w:t>s</w:t>
      </w:r>
      <w:r w:rsidR="00B06A38">
        <w:t xml:space="preserve"> </w:t>
      </w:r>
      <w:r w:rsidR="00172E80">
        <w:t>including a burial at</w:t>
      </w:r>
      <w:r w:rsidR="00B06A38">
        <w:t xml:space="preserve"> </w:t>
      </w:r>
      <w:proofErr w:type="spellStart"/>
      <w:r w:rsidR="00B06A38" w:rsidRPr="00B06A38">
        <w:rPr>
          <w:i/>
          <w:iCs/>
        </w:rPr>
        <w:t>Hringsdalur</w:t>
      </w:r>
      <w:proofErr w:type="spellEnd"/>
      <w:r w:rsidR="00B06A38">
        <w:t xml:space="preserve">, which I </w:t>
      </w:r>
      <w:r w:rsidR="00172E80" w:rsidRPr="009338E9">
        <w:t>subsequently</w:t>
      </w:r>
      <w:r w:rsidR="00172E80">
        <w:t xml:space="preserve"> </w:t>
      </w:r>
      <w:r w:rsidR="00B06A38">
        <w:t>found the archaeological report for.</w:t>
      </w:r>
      <w:r w:rsidR="00D0620E">
        <w:rPr>
          <w:rStyle w:val="FootnoteReference"/>
        </w:rPr>
        <w:footnoteReference w:id="4"/>
      </w:r>
      <w:r w:rsidR="00B06A38">
        <w:t xml:space="preserve"> However, </w:t>
      </w:r>
      <w:r w:rsidR="00BC5FAF">
        <w:t>parts</w:t>
      </w:r>
      <w:r w:rsidR="00B06A38">
        <w:t xml:space="preserve"> of this report </w:t>
      </w:r>
      <w:r w:rsidR="00BC5FAF">
        <w:t>were</w:t>
      </w:r>
      <w:r w:rsidR="00B06A38">
        <w:t xml:space="preserve"> in Icelandic</w:t>
      </w:r>
      <w:r w:rsidR="00ED1A35">
        <w:t>,</w:t>
      </w:r>
      <w:r>
        <w:t xml:space="preserve"> which </w:t>
      </w:r>
      <w:r w:rsidR="00B06A38" w:rsidRPr="00A42B61">
        <w:t xml:space="preserve">brings up a valid point and a reason for my focus on the British Isles instead of my original idea </w:t>
      </w:r>
      <w:r w:rsidR="00662CB5" w:rsidRPr="00A42B61">
        <w:t>of analysing the osteo-archaeology of every European country that the ‘Vikings’</w:t>
      </w:r>
      <w:r w:rsidR="00662CB5">
        <w:t xml:space="preserve"> </w:t>
      </w:r>
      <w:r w:rsidR="003559CC">
        <w:t>encountered</w:t>
      </w:r>
      <w:r w:rsidR="00042654">
        <w:t>, in that not everything has been written or translated into English</w:t>
      </w:r>
      <w:r w:rsidRPr="00A42B61">
        <w:t>.</w:t>
      </w:r>
      <w:r w:rsidRPr="00A42B61">
        <w:rPr>
          <w:rStyle w:val="FootnoteReference"/>
        </w:rPr>
        <w:footnoteReference w:id="5"/>
      </w:r>
      <w:r w:rsidR="00D51D95">
        <w:t xml:space="preserve"> </w:t>
      </w:r>
      <w:r w:rsidR="00042654">
        <w:t>For example, t</w:t>
      </w:r>
      <w:r w:rsidR="003559CC">
        <w:t xml:space="preserve">he </w:t>
      </w:r>
      <w:r w:rsidR="00042654">
        <w:t xml:space="preserve">accounts of the Arab traveller, Ibn </w:t>
      </w:r>
      <w:proofErr w:type="spellStart"/>
      <w:r w:rsidR="00042654">
        <w:t>Fadl</w:t>
      </w:r>
      <w:r w:rsidR="00042654">
        <w:rPr>
          <w:rFonts w:cstheme="minorHAnsi"/>
        </w:rPr>
        <w:t>ā</w:t>
      </w:r>
      <w:r w:rsidR="00042654">
        <w:t>n</w:t>
      </w:r>
      <w:proofErr w:type="spellEnd"/>
      <w:r w:rsidR="00042654">
        <w:t>, are extremely useful in the instance of this study as they are one of the best contemporary accounts that depict the stature of the ‘Vikings’.</w:t>
      </w:r>
      <w:r w:rsidR="004019BE">
        <w:rPr>
          <w:rStyle w:val="FootnoteReference"/>
        </w:rPr>
        <w:footnoteReference w:id="6"/>
      </w:r>
      <w:r w:rsidR="00042654">
        <w:t xml:space="preserve"> However, the required archaeological reports, </w:t>
      </w:r>
      <w:r w:rsidR="004019BE">
        <w:t xml:space="preserve">which would be used to </w:t>
      </w:r>
      <w:r w:rsidR="00042654">
        <w:t>validate the legitimacy of this, are in Arabic which</w:t>
      </w:r>
      <w:r w:rsidR="00BC5FAF">
        <w:t xml:space="preserve"> </w:t>
      </w:r>
      <w:r w:rsidR="00042654">
        <w:t xml:space="preserve">I am unable to comprehend, and as such, cannot use. </w:t>
      </w:r>
      <w:r w:rsidR="003559CC">
        <w:t xml:space="preserve">This is not to say that </w:t>
      </w:r>
      <w:r w:rsidR="00042654">
        <w:t xml:space="preserve">Ibn </w:t>
      </w:r>
      <w:proofErr w:type="spellStart"/>
      <w:r w:rsidR="00042654">
        <w:t>Fadl</w:t>
      </w:r>
      <w:r w:rsidR="00042654">
        <w:rPr>
          <w:rFonts w:cstheme="minorHAnsi"/>
        </w:rPr>
        <w:t>ā</w:t>
      </w:r>
      <w:r w:rsidR="00042654">
        <w:t>n’s</w:t>
      </w:r>
      <w:proofErr w:type="spellEnd"/>
      <w:r w:rsidR="00042654">
        <w:t xml:space="preserve"> account </w:t>
      </w:r>
      <w:r w:rsidR="003559CC">
        <w:t>will be absent from my dissertation,</w:t>
      </w:r>
      <w:r w:rsidR="00042654">
        <w:t xml:space="preserve"> but</w:t>
      </w:r>
      <w:r w:rsidR="003559CC">
        <w:t xml:space="preserve"> it </w:t>
      </w:r>
      <w:r w:rsidR="004019BE">
        <w:t>will</w:t>
      </w:r>
      <w:r w:rsidR="00042654">
        <w:t xml:space="preserve"> not have the desired effect </w:t>
      </w:r>
      <w:r w:rsidR="004019BE">
        <w:t>of aiding my argument if it cannot first be validated.</w:t>
      </w:r>
      <w:r w:rsidR="00347CA7">
        <w:t xml:space="preserve"> </w:t>
      </w:r>
      <w:r w:rsidR="000C0199">
        <w:t>Continuing from this, with English being the only language I am competent with, it is unsurprising that most of the secondary material I have found is focused on ‘Viking’ activity in Britain</w:t>
      </w:r>
      <w:r w:rsidR="00A05E38">
        <w:t>. It is for these reasons that the geographical limitation of Britain has been set for this dissertation.</w:t>
      </w:r>
    </w:p>
    <w:p w14:paraId="05DC2D93" w14:textId="5C9BD624" w:rsidR="00EB477D" w:rsidRDefault="006D406B" w:rsidP="00B0020F">
      <w:pPr>
        <w:spacing w:line="360" w:lineRule="auto"/>
      </w:pPr>
      <w:r>
        <w:t>However, even with the scope decided on, much of this literature is focused on the written record rather than archaeological, let alon</w:t>
      </w:r>
      <w:r w:rsidR="002F33E1">
        <w:t>e</w:t>
      </w:r>
      <w:r>
        <w:t xml:space="preserve"> osteological, evidence. </w:t>
      </w:r>
      <w:r w:rsidR="00FA37C9">
        <w:t xml:space="preserve">For example, </w:t>
      </w:r>
      <w:r w:rsidR="00FA37C9" w:rsidRPr="00FA37C9">
        <w:t>Magnus Magnusson’s</w:t>
      </w:r>
      <w:r w:rsidR="00FA37C9">
        <w:rPr>
          <w:i/>
          <w:iCs/>
        </w:rPr>
        <w:t xml:space="preserve"> The Vikings</w:t>
      </w:r>
      <w:r w:rsidR="00FA37C9">
        <w:t xml:space="preserve"> is an intriguing overview of the period including mentions of their activit</w:t>
      </w:r>
      <w:r w:rsidR="00BC5FAF">
        <w:t>ies</w:t>
      </w:r>
      <w:r w:rsidR="00FA37C9">
        <w:t xml:space="preserve"> in Britain, but </w:t>
      </w:r>
      <w:r w:rsidR="0064659C">
        <w:t>unfortunately</w:t>
      </w:r>
      <w:r w:rsidR="00FA37C9">
        <w:t xml:space="preserve"> his text lacks significant references to important archaeological finds, choosing to use textual evidence rather than physical.</w:t>
      </w:r>
      <w:r w:rsidR="00FA37C9">
        <w:rPr>
          <w:rStyle w:val="FootnoteReference"/>
        </w:rPr>
        <w:footnoteReference w:id="7"/>
      </w:r>
      <w:r w:rsidR="00FA37C9">
        <w:t xml:space="preserve"> Th</w:t>
      </w:r>
      <w:r w:rsidR="0036616A">
        <w:t>is is not to say that all scholars</w:t>
      </w:r>
      <w:r w:rsidR="00864FD1">
        <w:t xml:space="preserve"> who write about ‘Viking’ Britain </w:t>
      </w:r>
      <w:r w:rsidR="0036616A">
        <w:t xml:space="preserve">ignore archaeology, as Eaton, </w:t>
      </w:r>
      <w:r w:rsidR="00974A9B">
        <w:t>Richards</w:t>
      </w:r>
      <w:r w:rsidR="0036616A">
        <w:t xml:space="preserve">, and Carroll all </w:t>
      </w:r>
      <w:r w:rsidR="00974A9B">
        <w:t>individually</w:t>
      </w:r>
      <w:r w:rsidR="0036616A">
        <w:t xml:space="preserve"> focus on the archaeological record </w:t>
      </w:r>
      <w:r w:rsidR="00316228">
        <w:t>of</w:t>
      </w:r>
      <w:r w:rsidR="0036616A">
        <w:t xml:space="preserve"> this period. </w:t>
      </w:r>
      <w:r w:rsidR="00316228">
        <w:t>However, o</w:t>
      </w:r>
      <w:r w:rsidR="0036616A">
        <w:t xml:space="preserve">f these, </w:t>
      </w:r>
      <w:r w:rsidR="00316228">
        <w:t>only Carroll’s book specifically focuses on archaeology in the Viking Age,</w:t>
      </w:r>
      <w:r w:rsidR="00316228">
        <w:rPr>
          <w:rStyle w:val="FootnoteReference"/>
        </w:rPr>
        <w:footnoteReference w:id="8"/>
      </w:r>
      <w:r w:rsidR="00316228">
        <w:t xml:space="preserve"> as the other </w:t>
      </w:r>
      <w:r w:rsidR="0036616A">
        <w:t xml:space="preserve">two texts provide </w:t>
      </w:r>
      <w:r w:rsidR="00316228">
        <w:t>only</w:t>
      </w:r>
      <w:r w:rsidR="0036616A">
        <w:t xml:space="preserve"> snippet</w:t>
      </w:r>
      <w:r w:rsidR="00316228">
        <w:t>s</w:t>
      </w:r>
      <w:r w:rsidR="0036616A">
        <w:t xml:space="preserve"> into </w:t>
      </w:r>
      <w:r w:rsidR="00ED1A35">
        <w:t>the period</w:t>
      </w:r>
      <w:r w:rsidR="0036616A">
        <w:t>,</w:t>
      </w:r>
      <w:r w:rsidR="00316228">
        <w:rPr>
          <w:rStyle w:val="FootnoteReference"/>
        </w:rPr>
        <w:footnoteReference w:id="9"/>
      </w:r>
      <w:r w:rsidR="00316228">
        <w:t xml:space="preserve"> </w:t>
      </w:r>
      <w:r w:rsidR="0036616A">
        <w:t xml:space="preserve"> </w:t>
      </w:r>
      <w:r w:rsidR="00FA37C9">
        <w:t xml:space="preserve">due to </w:t>
      </w:r>
      <w:r w:rsidR="0036616A">
        <w:t>focus</w:t>
      </w:r>
      <w:r w:rsidR="00FA37C9">
        <w:t>ing</w:t>
      </w:r>
      <w:r w:rsidR="0036616A">
        <w:t xml:space="preserve"> on British archaeology as a whole.</w:t>
      </w:r>
      <w:r w:rsidR="00316228">
        <w:rPr>
          <w:rStyle w:val="FootnoteReference"/>
        </w:rPr>
        <w:footnoteReference w:id="10"/>
      </w:r>
      <w:r w:rsidR="00316228">
        <w:t xml:space="preserve"> </w:t>
      </w:r>
      <w:r w:rsidR="0036616A">
        <w:t xml:space="preserve"> As previously mentioned though, these works are still extremely useful to my study as they highlight potential sites that could hold valuable information for </w:t>
      </w:r>
      <w:r w:rsidR="00BC5FAF">
        <w:t>this</w:t>
      </w:r>
      <w:r w:rsidR="0036616A">
        <w:t xml:space="preserve"> dissertation. </w:t>
      </w:r>
      <w:r w:rsidR="00EB477D">
        <w:t xml:space="preserve">As is evident here, </w:t>
      </w:r>
      <w:r w:rsidR="0064659C">
        <w:t>most of the</w:t>
      </w:r>
      <w:r w:rsidR="00EB477D">
        <w:t xml:space="preserve"> secondary material either </w:t>
      </w:r>
      <w:r w:rsidR="00537FC1">
        <w:t>fail</w:t>
      </w:r>
      <w:r w:rsidR="0064659C">
        <w:t>s</w:t>
      </w:r>
      <w:r w:rsidR="00537FC1">
        <w:t xml:space="preserve"> to acknowledge the importance of the archaeological record </w:t>
      </w:r>
      <w:r w:rsidR="0064659C">
        <w:t>at all</w:t>
      </w:r>
      <w:r w:rsidR="00ED1A35">
        <w:t>,</w:t>
      </w:r>
      <w:r w:rsidR="0064659C">
        <w:t xml:space="preserve"> </w:t>
      </w:r>
      <w:r w:rsidR="00537FC1">
        <w:t>or, more commonly,</w:t>
      </w:r>
      <w:r w:rsidR="0064659C">
        <w:t xml:space="preserve"> does not consider osteological evidence alongside its archaeological and written counterparts.</w:t>
      </w:r>
    </w:p>
    <w:p w14:paraId="40D442E4" w14:textId="18515D89" w:rsidR="00327DE3" w:rsidRDefault="00FA37C9" w:rsidP="00B0020F">
      <w:pPr>
        <w:spacing w:line="360" w:lineRule="auto"/>
      </w:pPr>
      <w:r>
        <w:t xml:space="preserve">Despite this, there are some </w:t>
      </w:r>
      <w:r w:rsidR="0064659C">
        <w:t xml:space="preserve">texts that do recognise Viking Age osteology, and actually focus on it. The best example of this I have uncovered so far is Caroline </w:t>
      </w:r>
      <w:proofErr w:type="spellStart"/>
      <w:r w:rsidR="0064659C">
        <w:t>Arcini’s</w:t>
      </w:r>
      <w:proofErr w:type="spellEnd"/>
      <w:r w:rsidR="0064659C">
        <w:t xml:space="preserve"> </w:t>
      </w:r>
      <w:r w:rsidR="0064659C" w:rsidRPr="0064659C">
        <w:rPr>
          <w:i/>
          <w:iCs/>
        </w:rPr>
        <w:t xml:space="preserve">The Viking Age: A Time </w:t>
      </w:r>
      <w:r w:rsidR="00744C67">
        <w:rPr>
          <w:i/>
          <w:iCs/>
        </w:rPr>
        <w:t xml:space="preserve">of </w:t>
      </w:r>
      <w:r w:rsidR="0064659C" w:rsidRPr="0064659C">
        <w:rPr>
          <w:i/>
          <w:iCs/>
        </w:rPr>
        <w:t>Many Faces</w:t>
      </w:r>
      <w:r w:rsidR="0064659C">
        <w:t>, which provides a detailed account of the social history of Viking Age Scandinavia by using an osteological analysis to focus on the</w:t>
      </w:r>
      <w:r w:rsidR="0064659C" w:rsidRPr="0064659C">
        <w:t xml:space="preserve"> </w:t>
      </w:r>
      <w:r w:rsidR="0064659C">
        <w:t>lives of the individual.</w:t>
      </w:r>
      <w:r w:rsidR="00263C31">
        <w:rPr>
          <w:rStyle w:val="FootnoteReference"/>
        </w:rPr>
        <w:footnoteReference w:id="11"/>
      </w:r>
      <w:r w:rsidR="00744C67">
        <w:t xml:space="preserve"> Due to this, </w:t>
      </w:r>
      <w:proofErr w:type="spellStart"/>
      <w:r w:rsidR="00744C67">
        <w:t>Arcini’s</w:t>
      </w:r>
      <w:proofErr w:type="spellEnd"/>
      <w:r w:rsidR="00744C67">
        <w:t xml:space="preserve"> text will be imperative to my proposed analysis of ‘Viking’ osteology in order to </w:t>
      </w:r>
      <w:r w:rsidR="00B876EC">
        <w:t xml:space="preserve">assess the validity of contemporary sources. However, there </w:t>
      </w:r>
      <w:r w:rsidR="00B876EC" w:rsidRPr="00A05AA1">
        <w:t xml:space="preserve">is one slight issue with this source, in that it is focused on Scandinavia and not Britain, which is where my focus will be. To bypass this issue, I plan on using </w:t>
      </w:r>
      <w:proofErr w:type="spellStart"/>
      <w:r w:rsidR="00B876EC" w:rsidRPr="00A05AA1">
        <w:t>Arcini’s</w:t>
      </w:r>
      <w:proofErr w:type="spellEnd"/>
      <w:r w:rsidR="00B876EC" w:rsidRPr="00A05AA1">
        <w:t xml:space="preserve"> book in conjunction with </w:t>
      </w:r>
      <w:r w:rsidR="00B0020F" w:rsidRPr="00A05AA1">
        <w:t xml:space="preserve">Thomas Williams’ </w:t>
      </w:r>
      <w:r w:rsidR="00B0020F" w:rsidRPr="00A05AA1">
        <w:rPr>
          <w:i/>
          <w:iCs/>
        </w:rPr>
        <w:t>Viking Britain</w:t>
      </w:r>
      <w:r w:rsidR="00B876EC" w:rsidRPr="00A05AA1">
        <w:t>, another ex</w:t>
      </w:r>
      <w:r w:rsidR="00B0020F" w:rsidRPr="00A05AA1">
        <w:t xml:space="preserve">ceptionally useful </w:t>
      </w:r>
      <w:r w:rsidR="00B876EC" w:rsidRPr="00A05AA1">
        <w:t>source which is specifically focused on my geographical area, in order to truly assess the validity of contemporary British sources that influence the modern stereotype of the ‘Vikings’.</w:t>
      </w:r>
      <w:r w:rsidR="00BF7193" w:rsidRPr="00A05AA1">
        <w:rPr>
          <w:rStyle w:val="FootnoteReference"/>
        </w:rPr>
        <w:footnoteReference w:id="12"/>
      </w:r>
      <w:r w:rsidR="00327DE3" w:rsidRPr="00A05AA1">
        <w:t xml:space="preserve"> Ultimately, it is the lack of focus in much of this secondary scholarship on osteo-archaeology that is my main incentive for proposing this study, as if revisionist histories are to succeed in usurping the traditional image of these Northmen, then the validity of contemporary </w:t>
      </w:r>
      <w:r w:rsidR="008535E5" w:rsidRPr="00A05AA1">
        <w:t>accounts needs to be analysed in a different way than it has before.</w:t>
      </w:r>
    </w:p>
    <w:p w14:paraId="16384018" w14:textId="7E0FAB41" w:rsidR="0036616A" w:rsidRDefault="0036616A" w:rsidP="000C35B2">
      <w:pPr>
        <w:spacing w:line="360" w:lineRule="auto"/>
      </w:pPr>
    </w:p>
    <w:p w14:paraId="3644F279" w14:textId="15DF555F" w:rsidR="00DF240D" w:rsidRPr="00B0020F" w:rsidRDefault="00DF240D" w:rsidP="000C35B2">
      <w:pPr>
        <w:spacing w:line="360" w:lineRule="auto"/>
      </w:pPr>
      <w:r w:rsidRPr="00C12E64">
        <w:rPr>
          <w:b/>
          <w:bCs/>
          <w:sz w:val="24"/>
          <w:szCs w:val="24"/>
        </w:rPr>
        <w:t>Methodology:</w:t>
      </w:r>
      <w:r w:rsidR="00B0020F" w:rsidRPr="00B0020F">
        <w:t xml:space="preserve"> </w:t>
      </w:r>
    </w:p>
    <w:p w14:paraId="677B77B6" w14:textId="700271AB" w:rsidR="00D527FD" w:rsidRPr="000F6611" w:rsidRDefault="008117FC" w:rsidP="000C35B2">
      <w:pPr>
        <w:spacing w:line="360" w:lineRule="auto"/>
      </w:pPr>
      <w:r w:rsidRPr="00B84822">
        <w:t>Due to this gap in th</w:t>
      </w:r>
      <w:r w:rsidR="00CF0930" w:rsidRPr="00B84822">
        <w:t>e</w:t>
      </w:r>
      <w:r w:rsidRPr="00B84822">
        <w:t xml:space="preserve"> field</w:t>
      </w:r>
      <w:r w:rsidR="007F4176" w:rsidRPr="00B84822">
        <w:t xml:space="preserve">, </w:t>
      </w:r>
      <w:r w:rsidR="00B84822">
        <w:t>my focus will be o</w:t>
      </w:r>
      <w:r w:rsidR="00691F7E">
        <w:t xml:space="preserve">n a material approach, </w:t>
      </w:r>
      <w:r w:rsidR="00691F7E" w:rsidRPr="00B84822">
        <w:t>in the forms of osteolog</w:t>
      </w:r>
      <w:r w:rsidR="00691F7E">
        <w:t>ical</w:t>
      </w:r>
      <w:r w:rsidR="00691F7E" w:rsidRPr="00B84822">
        <w:t xml:space="preserve"> and archaeological evidence</w:t>
      </w:r>
      <w:r w:rsidR="00691F7E">
        <w:t xml:space="preserve">, to the history of the ‘Vikings’ in Britain, instead of a written one usually favoured by revisionist historians. </w:t>
      </w:r>
      <w:r w:rsidR="008C69DF">
        <w:t>As such, I will need to</w:t>
      </w:r>
      <w:r w:rsidR="000A5BFB">
        <w:t xml:space="preserve"> consider the ethical implications </w:t>
      </w:r>
      <w:r w:rsidR="008C69DF">
        <w:t>of</w:t>
      </w:r>
      <w:r w:rsidR="000A5BFB">
        <w:t xml:space="preserve"> </w:t>
      </w:r>
      <w:r w:rsidR="008C69DF">
        <w:t>undertaking an osteological analysis, as du</w:t>
      </w:r>
      <w:r w:rsidR="00987D33">
        <w:t xml:space="preserve">e to the very nature of bones, </w:t>
      </w:r>
      <w:r w:rsidR="00E17287">
        <w:t>legal dilemmas arise as to what should occur</w:t>
      </w:r>
      <w:r w:rsidR="007D3283">
        <w:t xml:space="preserve"> to said remains post-excavation,</w:t>
      </w:r>
      <w:r w:rsidR="00E17287">
        <w:t xml:space="preserve"> whether research or re-burial</w:t>
      </w:r>
      <w:r w:rsidR="007D3283">
        <w:t>.</w:t>
      </w:r>
      <w:r w:rsidR="007D3283">
        <w:rPr>
          <w:rStyle w:val="FootnoteReference"/>
        </w:rPr>
        <w:footnoteReference w:id="13"/>
      </w:r>
      <w:r w:rsidR="007D3283">
        <w:t xml:space="preserve"> </w:t>
      </w:r>
      <w:r w:rsidR="008C69DF">
        <w:t>These</w:t>
      </w:r>
      <w:r w:rsidR="007D3283">
        <w:t xml:space="preserve"> issues apply less to me however as I </w:t>
      </w:r>
      <w:r w:rsidR="00D527FD">
        <w:t>will not be</w:t>
      </w:r>
      <w:r w:rsidR="007D3283">
        <w:t xml:space="preserve"> </w:t>
      </w:r>
      <w:r w:rsidR="00D527FD">
        <w:t>physically</w:t>
      </w:r>
      <w:r w:rsidR="007D3283">
        <w:t xml:space="preserve"> analys</w:t>
      </w:r>
      <w:r w:rsidR="00D527FD">
        <w:t xml:space="preserve">ing these bones, </w:t>
      </w:r>
      <w:r w:rsidR="00E17287">
        <w:t>but</w:t>
      </w:r>
      <w:r w:rsidR="00D527FD">
        <w:t xml:space="preserve"> the moral implications of working with ancient human remains</w:t>
      </w:r>
      <w:r w:rsidR="00E17287">
        <w:t xml:space="preserve"> will still apply</w:t>
      </w:r>
      <w:r w:rsidR="00126847">
        <w:t xml:space="preserve"> and as such, </w:t>
      </w:r>
      <w:r w:rsidR="00E17287">
        <w:t>needs to be</w:t>
      </w:r>
      <w:r w:rsidR="00126847">
        <w:t xml:space="preserve"> outline</w:t>
      </w:r>
      <w:r w:rsidR="00E17287">
        <w:t>d</w:t>
      </w:r>
      <w:r w:rsidR="00126847">
        <w:t xml:space="preserve"> in the methodology of my dissertation.</w:t>
      </w:r>
    </w:p>
    <w:p w14:paraId="2C90EC19" w14:textId="160FC9F0" w:rsidR="0020477D" w:rsidRDefault="00FD19EC" w:rsidP="000C35B2">
      <w:pPr>
        <w:spacing w:line="360" w:lineRule="auto"/>
      </w:pPr>
      <w:r>
        <w:t>The evidence I will be using to evaluate my hypothesis will be split into two main categories. The first of these is the written accounts that influence the traditional stereotype of the ‘Vikings’</w:t>
      </w:r>
      <w:r w:rsidR="00172F4B">
        <w:t xml:space="preserve">, the majority of which </w:t>
      </w:r>
      <w:r w:rsidR="00DC1CD9">
        <w:t xml:space="preserve">were written by monastic scholars, </w:t>
      </w:r>
      <w:r w:rsidR="009B5258">
        <w:t>such as Alcuin, an English monk residing in Frankia,</w:t>
      </w:r>
      <w:r w:rsidR="009B5258" w:rsidRPr="009B5258">
        <w:t xml:space="preserve"> </w:t>
      </w:r>
      <w:r w:rsidR="009B5258">
        <w:t>John of Worcester, and the authors of the Anglo-Saxon Chronicle</w:t>
      </w:r>
      <w:r w:rsidR="00551327">
        <w:t>.</w:t>
      </w:r>
      <w:r w:rsidR="00551327">
        <w:rPr>
          <w:rStyle w:val="FootnoteReference"/>
        </w:rPr>
        <w:footnoteReference w:id="14"/>
      </w:r>
      <w:r w:rsidR="00551327">
        <w:t xml:space="preserve"> Furthermore, </w:t>
      </w:r>
      <w:r w:rsidR="00FE4FC4">
        <w:t xml:space="preserve">the Anglo-Norman scholar </w:t>
      </w:r>
      <w:r w:rsidR="001F40EC">
        <w:t xml:space="preserve">Henry of Huntingdon details the later Viking Age, </w:t>
      </w:r>
      <w:r w:rsidR="0024172B">
        <w:t>with reference</w:t>
      </w:r>
      <w:r w:rsidR="006B11C6">
        <w:t>s</w:t>
      </w:r>
      <w:r w:rsidR="0024172B">
        <w:t xml:space="preserve"> to</w:t>
      </w:r>
      <w:r w:rsidR="001F40EC">
        <w:t xml:space="preserve"> </w:t>
      </w:r>
      <w:r w:rsidR="0024172B">
        <w:t xml:space="preserve">King Cnut’s </w:t>
      </w:r>
      <w:r w:rsidR="001F40EC">
        <w:t>conquest of England</w:t>
      </w:r>
      <w:r w:rsidR="00F60C2E">
        <w:t xml:space="preserve"> and the Battle of Stamford Bridge</w:t>
      </w:r>
      <w:r w:rsidR="0024172B">
        <w:t>.</w:t>
      </w:r>
      <w:r w:rsidR="00551327">
        <w:rPr>
          <w:rStyle w:val="FootnoteReference"/>
        </w:rPr>
        <w:footnoteReference w:id="15"/>
      </w:r>
      <w:r w:rsidR="00D968E6">
        <w:t xml:space="preserve"> However, t</w:t>
      </w:r>
      <w:r w:rsidR="00ED7D22">
        <w:t>he</w:t>
      </w:r>
      <w:r w:rsidR="006B11C6">
        <w:t xml:space="preserve"> main</w:t>
      </w:r>
      <w:r w:rsidR="00D968E6">
        <w:t xml:space="preserve"> </w:t>
      </w:r>
      <w:r w:rsidR="00ED7D22">
        <w:t>issue with these accounts</w:t>
      </w:r>
      <w:r w:rsidR="006B11C6">
        <w:t xml:space="preserve"> is that </w:t>
      </w:r>
      <w:r w:rsidR="001F40EC">
        <w:t xml:space="preserve">they </w:t>
      </w:r>
      <w:r w:rsidR="00D968E6">
        <w:t xml:space="preserve">were not written by the ‘Vikings’ themselves, </w:t>
      </w:r>
      <w:r w:rsidR="006B11C6">
        <w:t xml:space="preserve">but instead by </w:t>
      </w:r>
      <w:r w:rsidR="001F40EC">
        <w:t xml:space="preserve">Christians </w:t>
      </w:r>
      <w:r w:rsidR="00551327">
        <w:t>who would be expressing their anger at th</w:t>
      </w:r>
      <w:r w:rsidR="006B11C6">
        <w:t>e</w:t>
      </w:r>
      <w:r w:rsidR="00551327">
        <w:t xml:space="preserve"> sacking</w:t>
      </w:r>
      <w:r w:rsidR="006B11C6">
        <w:t>s</w:t>
      </w:r>
      <w:r w:rsidR="00551327">
        <w:t xml:space="preserve"> of such holy sites.</w:t>
      </w:r>
      <w:r w:rsidR="0088437B">
        <w:rPr>
          <w:rStyle w:val="FootnoteReference"/>
        </w:rPr>
        <w:footnoteReference w:id="16"/>
      </w:r>
      <w:r w:rsidR="00551327">
        <w:t xml:space="preserve"> Despite this, </w:t>
      </w:r>
      <w:r w:rsidR="00A309F8">
        <w:t xml:space="preserve">these written sources are still extremely useful as they provide insight into the general view of these raiders from the perspective of </w:t>
      </w:r>
      <w:r w:rsidR="006B11C6">
        <w:t>the Christians</w:t>
      </w:r>
      <w:r w:rsidR="00A309F8">
        <w:t xml:space="preserve"> they came into contact with.</w:t>
      </w:r>
    </w:p>
    <w:p w14:paraId="081FE113" w14:textId="2D28FD23" w:rsidR="008F6EAE" w:rsidRPr="00FD003C" w:rsidRDefault="00FD19EC" w:rsidP="000C35B2">
      <w:pPr>
        <w:spacing w:line="360" w:lineRule="auto"/>
      </w:pPr>
      <w:r>
        <w:t xml:space="preserve">The other category is osteo-archaeological evidence which will subsequently be divided down </w:t>
      </w:r>
      <w:r w:rsidRPr="00FD003C">
        <w:t>further into osteological evidence and archaeological evidence.</w:t>
      </w:r>
      <w:r w:rsidR="0068144D" w:rsidRPr="00FD003C">
        <w:t xml:space="preserve"> Before discussing the Scandinavian relation </w:t>
      </w:r>
      <w:r w:rsidR="006B11C6">
        <w:t>to</w:t>
      </w:r>
      <w:r w:rsidR="0068144D" w:rsidRPr="00FD003C">
        <w:t xml:space="preserve"> their contemporaries, a base point must be established in order to understand the osteology of the Norsemen themselves. As such, I have decided to focus on</w:t>
      </w:r>
      <w:r w:rsidR="006B11C6">
        <w:t xml:space="preserve"> </w:t>
      </w:r>
      <w:r w:rsidR="0068144D" w:rsidRPr="00FD003C">
        <w:t>ma</w:t>
      </w:r>
      <w:r w:rsidR="006B11C6">
        <w:t>jor</w:t>
      </w:r>
      <w:r w:rsidR="0068144D" w:rsidRPr="00FD003C">
        <w:t xml:space="preserve"> </w:t>
      </w:r>
      <w:r w:rsidR="001E4A4F" w:rsidRPr="00FD003C">
        <w:t xml:space="preserve">sites across Scandinavia </w:t>
      </w:r>
      <w:r w:rsidR="006B11C6" w:rsidRPr="00FD003C">
        <w:t>in</w:t>
      </w:r>
      <w:r w:rsidR="001E4A4F" w:rsidRPr="00FD003C">
        <w:t xml:space="preserve"> order to gather a greater range of data. Although it can be claimed that only focusing on a limited number of sites could be at detriment to the overall assessment of the ‘Viking’ stereotype, it would be almost impossible to complete an entire study of every Viking Age grave site in Scandinavia and Britain in the amount of time</w:t>
      </w:r>
      <w:r w:rsidR="00864FD1">
        <w:t xml:space="preserve"> and words</w:t>
      </w:r>
      <w:r w:rsidR="001E4A4F" w:rsidRPr="00FD003C">
        <w:t xml:space="preserve"> proposed for this project. </w:t>
      </w:r>
    </w:p>
    <w:p w14:paraId="14CBED16" w14:textId="748EB12A" w:rsidR="00FD19EC" w:rsidRDefault="008F6EAE" w:rsidP="000C35B2">
      <w:pPr>
        <w:spacing w:line="360" w:lineRule="auto"/>
      </w:pPr>
      <w:r w:rsidRPr="00FD003C">
        <w:t xml:space="preserve">These main </w:t>
      </w:r>
      <w:r w:rsidR="006B11C6">
        <w:t xml:space="preserve">Scandinavian </w:t>
      </w:r>
      <w:r w:rsidRPr="00FD003C">
        <w:t xml:space="preserve">sites will be </w:t>
      </w:r>
      <w:proofErr w:type="spellStart"/>
      <w:r w:rsidRPr="00FD003C">
        <w:rPr>
          <w:i/>
          <w:iCs/>
        </w:rPr>
        <w:t>Hringsdalur</w:t>
      </w:r>
      <w:proofErr w:type="spellEnd"/>
      <w:r w:rsidRPr="00FD003C">
        <w:t xml:space="preserve"> in Iceland, </w:t>
      </w:r>
      <w:r w:rsidR="00F141C5" w:rsidRPr="00FD003C">
        <w:t xml:space="preserve">various sites from </w:t>
      </w:r>
      <w:r w:rsidRPr="00FD003C">
        <w:t>Norway,</w:t>
      </w:r>
      <w:r w:rsidR="00D965B5">
        <w:t xml:space="preserve"> </w:t>
      </w:r>
      <w:proofErr w:type="spellStart"/>
      <w:r w:rsidRPr="00FD003C">
        <w:rPr>
          <w:i/>
          <w:iCs/>
        </w:rPr>
        <w:t>Sigtuna</w:t>
      </w:r>
      <w:proofErr w:type="spellEnd"/>
      <w:r w:rsidRPr="00FD003C">
        <w:t xml:space="preserve"> in Sweden, and the </w:t>
      </w:r>
      <w:proofErr w:type="spellStart"/>
      <w:r w:rsidRPr="00FD003C">
        <w:rPr>
          <w:i/>
          <w:iCs/>
        </w:rPr>
        <w:t>Salme</w:t>
      </w:r>
      <w:proofErr w:type="spellEnd"/>
      <w:r w:rsidRPr="00FD003C">
        <w:rPr>
          <w:i/>
          <w:iCs/>
        </w:rPr>
        <w:t xml:space="preserve"> I</w:t>
      </w:r>
      <w:r w:rsidRPr="00FD003C">
        <w:t xml:space="preserve"> </w:t>
      </w:r>
      <w:r w:rsidR="00F141C5" w:rsidRPr="00FD003C">
        <w:t>s</w:t>
      </w:r>
      <w:r w:rsidRPr="00FD003C">
        <w:t xml:space="preserve">hip </w:t>
      </w:r>
      <w:r w:rsidR="00F141C5" w:rsidRPr="00FD003C">
        <w:t>b</w:t>
      </w:r>
      <w:r w:rsidRPr="00FD003C">
        <w:t xml:space="preserve">urial in Estonia. It is noticeable however that I have included Estonia in this list of </w:t>
      </w:r>
      <w:r w:rsidR="006B11C6" w:rsidRPr="00FD003C">
        <w:t>Scandinavia</w:t>
      </w:r>
      <w:r w:rsidR="006B11C6">
        <w:t xml:space="preserve"> but</w:t>
      </w:r>
      <w:r w:rsidRPr="00FD003C">
        <w:t xml:space="preserve"> have left out Denmark. The reasoning for this</w:t>
      </w:r>
      <w:r w:rsidR="00F141C5" w:rsidRPr="00FD003C">
        <w:t xml:space="preserve"> </w:t>
      </w:r>
      <w:r w:rsidR="000A63F9" w:rsidRPr="00FD003C">
        <w:t xml:space="preserve">is </w:t>
      </w:r>
      <w:r w:rsidR="00F141C5" w:rsidRPr="00FD003C">
        <w:t xml:space="preserve">that </w:t>
      </w:r>
      <w:proofErr w:type="spellStart"/>
      <w:r w:rsidR="00F141C5" w:rsidRPr="007F1B8A">
        <w:rPr>
          <w:i/>
          <w:iCs/>
        </w:rPr>
        <w:t>Salme</w:t>
      </w:r>
      <w:proofErr w:type="spellEnd"/>
      <w:r w:rsidR="00F141C5" w:rsidRPr="007F1B8A">
        <w:rPr>
          <w:i/>
          <w:iCs/>
        </w:rPr>
        <w:t xml:space="preserve"> I</w:t>
      </w:r>
      <w:r w:rsidR="00F141C5" w:rsidRPr="00FD003C">
        <w:t xml:space="preserve"> only contains the graves of seven individuals, a quantity that is unlikely to affect the overall </w:t>
      </w:r>
      <w:r w:rsidR="0033473D" w:rsidRPr="00FD003C">
        <w:t>statistic</w:t>
      </w:r>
      <w:r w:rsidR="00D965B5">
        <w:t>, as well as providing a solid geographical scope with Iceland in the west and Estonia in the east</w:t>
      </w:r>
      <w:r w:rsidR="000A63F9">
        <w:t>.</w:t>
      </w:r>
      <w:r w:rsidR="000C15E3">
        <w:rPr>
          <w:rStyle w:val="FootnoteReference"/>
        </w:rPr>
        <w:footnoteReference w:id="17"/>
      </w:r>
      <w:r w:rsidR="000A63F9">
        <w:t xml:space="preserve"> </w:t>
      </w:r>
      <w:r w:rsidR="000C15E3">
        <w:t>Continuing from this</w:t>
      </w:r>
      <w:r w:rsidR="00F141C5">
        <w:t>,</w:t>
      </w:r>
      <w:r w:rsidRPr="003D70A5">
        <w:t xml:space="preserve"> </w:t>
      </w:r>
      <w:r w:rsidR="00C86579" w:rsidRPr="003D70A5">
        <w:t>Jutland</w:t>
      </w:r>
      <w:r w:rsidR="003D70A5">
        <w:t>,</w:t>
      </w:r>
      <w:r w:rsidR="00C86579" w:rsidRPr="003D70A5">
        <w:t xml:space="preserve"> in </w:t>
      </w:r>
      <w:r w:rsidR="00726331">
        <w:t xml:space="preserve">modern </w:t>
      </w:r>
      <w:r w:rsidRPr="003D70A5">
        <w:t>Denmark</w:t>
      </w:r>
      <w:r w:rsidR="003D70A5">
        <w:t>,</w:t>
      </w:r>
      <w:r w:rsidRPr="003D70A5">
        <w:t xml:space="preserve"> was </w:t>
      </w:r>
      <w:r w:rsidR="00C86579" w:rsidRPr="003D70A5">
        <w:t xml:space="preserve">the original </w:t>
      </w:r>
      <w:r w:rsidRPr="003D70A5">
        <w:t>home</w:t>
      </w:r>
      <w:r w:rsidR="00C86579" w:rsidRPr="003D70A5">
        <w:t>land</w:t>
      </w:r>
      <w:r w:rsidRPr="003D70A5">
        <w:t xml:space="preserve"> to the Jute population who migrated over to Britain along with the Angles and the Saxons</w:t>
      </w:r>
      <w:r w:rsidR="00D965B5">
        <w:t>, and a</w:t>
      </w:r>
      <w:r w:rsidRPr="003D70A5">
        <w:t xml:space="preserve">s such, </w:t>
      </w:r>
      <w:r w:rsidR="00D412BE" w:rsidRPr="003D70A5">
        <w:t>D</w:t>
      </w:r>
      <w:r w:rsidR="00D965B5">
        <w:t>anish examples</w:t>
      </w:r>
      <w:r w:rsidR="00D412BE" w:rsidRPr="003D70A5">
        <w:t xml:space="preserve"> w</w:t>
      </w:r>
      <w:r w:rsidR="00726331">
        <w:t>ould</w:t>
      </w:r>
      <w:r w:rsidR="00D412BE" w:rsidRPr="003D70A5">
        <w:t xml:space="preserve"> likely yield results </w:t>
      </w:r>
      <w:r w:rsidR="00D965B5">
        <w:t>indistinguishable</w:t>
      </w:r>
      <w:r w:rsidR="00D412BE" w:rsidRPr="003D70A5">
        <w:t xml:space="preserve"> </w:t>
      </w:r>
      <w:r w:rsidR="00974993">
        <w:t>from</w:t>
      </w:r>
      <w:r w:rsidR="00D412BE" w:rsidRPr="003D70A5">
        <w:t xml:space="preserve"> the Anglo-Saxon</w:t>
      </w:r>
      <w:r w:rsidR="003D70A5">
        <w:t xml:space="preserve"> peoples</w:t>
      </w:r>
      <w:r w:rsidR="00D412BE" w:rsidRPr="003D70A5">
        <w:t xml:space="preserve"> of England</w:t>
      </w:r>
      <w:r w:rsidR="004E2F33" w:rsidRPr="003D70A5">
        <w:t>.</w:t>
      </w:r>
      <w:r w:rsidR="00D965B5" w:rsidRPr="003D70A5">
        <w:rPr>
          <w:rStyle w:val="FootnoteReference"/>
        </w:rPr>
        <w:footnoteReference w:id="18"/>
      </w:r>
      <w:r w:rsidR="000D2DEC">
        <w:t xml:space="preserve"> </w:t>
      </w:r>
    </w:p>
    <w:p w14:paraId="7FE3D641" w14:textId="594B8D1F" w:rsidR="001F1E5F" w:rsidRDefault="00017345" w:rsidP="000C35B2">
      <w:pPr>
        <w:spacing w:line="360" w:lineRule="auto"/>
      </w:pPr>
      <w:r>
        <w:t xml:space="preserve">Furthermore, </w:t>
      </w:r>
      <w:r w:rsidR="00974993">
        <w:t>there is a wide variety of sites all over the British Isles that demonstrate</w:t>
      </w:r>
      <w:r w:rsidR="001F1E5F">
        <w:t xml:space="preserve"> osteo</w:t>
      </w:r>
      <w:r w:rsidR="00974993">
        <w:t>-</w:t>
      </w:r>
      <w:r w:rsidR="001F1E5F">
        <w:t xml:space="preserve">archaeological </w:t>
      </w:r>
      <w:r w:rsidR="00974993">
        <w:t>remains</w:t>
      </w:r>
      <w:r w:rsidR="001F1E5F">
        <w:t xml:space="preserve">, whether they be evidence of a raiding party, </w:t>
      </w:r>
      <w:r w:rsidR="00551C15">
        <w:t xml:space="preserve">Scandinavian </w:t>
      </w:r>
      <w:r w:rsidR="001F1E5F">
        <w:t>settlement, or the Great Heathen Army.</w:t>
      </w:r>
      <w:r w:rsidR="001F1E5F">
        <w:rPr>
          <w:rStyle w:val="FootnoteReference"/>
        </w:rPr>
        <w:footnoteReference w:id="19"/>
      </w:r>
      <w:r w:rsidR="001F1E5F">
        <w:t xml:space="preserve"> For example, </w:t>
      </w:r>
      <w:r w:rsidR="00551C15">
        <w:t>in England, excavated sites</w:t>
      </w:r>
      <w:r w:rsidR="00427EFE">
        <w:t xml:space="preserve"> that I will examine</w:t>
      </w:r>
      <w:r w:rsidR="00551C15">
        <w:t xml:space="preserve"> include </w:t>
      </w:r>
      <w:proofErr w:type="spellStart"/>
      <w:r w:rsidR="00551C15">
        <w:t>Repton</w:t>
      </w:r>
      <w:proofErr w:type="spellEnd"/>
      <w:r w:rsidR="00551C15">
        <w:t>, where the before mentioned army overwinter</w:t>
      </w:r>
      <w:r w:rsidR="00974993">
        <w:t>ed</w:t>
      </w:r>
      <w:r w:rsidR="00551C15">
        <w:t xml:space="preserve"> </w:t>
      </w:r>
      <w:r w:rsidR="00974993">
        <w:t>in</w:t>
      </w:r>
      <w:r w:rsidR="00551C15">
        <w:t xml:space="preserve"> 873 – 874,</w:t>
      </w:r>
      <w:r w:rsidR="00551C15">
        <w:rPr>
          <w:rStyle w:val="FootnoteReference"/>
        </w:rPr>
        <w:footnoteReference w:id="20"/>
      </w:r>
      <w:r w:rsidR="00551C15">
        <w:t xml:space="preserve"> </w:t>
      </w:r>
      <w:r w:rsidR="009B3D15">
        <w:t xml:space="preserve">Heath Wood, </w:t>
      </w:r>
      <w:r w:rsidR="000568B0">
        <w:t>which is the only known Scandinavian cremation site in the country,</w:t>
      </w:r>
      <w:r w:rsidR="000568B0">
        <w:rPr>
          <w:rStyle w:val="FootnoteReference"/>
        </w:rPr>
        <w:footnoteReference w:id="21"/>
      </w:r>
      <w:r w:rsidR="009B3D15">
        <w:t xml:space="preserve"> and Ridgeway Hill</w:t>
      </w:r>
      <w:r w:rsidR="00345A0B">
        <w:t xml:space="preserve">, </w:t>
      </w:r>
      <w:r w:rsidR="002F740E">
        <w:t xml:space="preserve">where a contingent of Scandinavian raiders </w:t>
      </w:r>
      <w:r w:rsidR="007F1B8A">
        <w:t>were</w:t>
      </w:r>
      <w:r w:rsidR="002F740E">
        <w:t xml:space="preserve"> buried</w:t>
      </w:r>
      <w:r w:rsidR="009B3D15">
        <w:t>.</w:t>
      </w:r>
      <w:r w:rsidR="002F740E">
        <w:rPr>
          <w:rStyle w:val="FootnoteReference"/>
        </w:rPr>
        <w:footnoteReference w:id="22"/>
      </w:r>
      <w:r w:rsidR="00427EFE">
        <w:t xml:space="preserve"> </w:t>
      </w:r>
      <w:r w:rsidR="008B0E91">
        <w:t xml:space="preserve">Continuing from this, there is </w:t>
      </w:r>
      <w:r w:rsidR="00974993">
        <w:t>also</w:t>
      </w:r>
      <w:r w:rsidR="00161281">
        <w:t xml:space="preserve"> evidence</w:t>
      </w:r>
      <w:r w:rsidR="008B0E91">
        <w:t xml:space="preserve"> at </w:t>
      </w:r>
      <w:proofErr w:type="spellStart"/>
      <w:r w:rsidR="008B0E91" w:rsidRPr="007F1B8A">
        <w:rPr>
          <w:i/>
          <w:iCs/>
        </w:rPr>
        <w:t>Llanbedrgoch</w:t>
      </w:r>
      <w:proofErr w:type="spellEnd"/>
      <w:r w:rsidR="008B0E91">
        <w:t xml:space="preserve"> on Anglesey, </w:t>
      </w:r>
      <w:r w:rsidR="008B0E91" w:rsidRPr="007F1B8A">
        <w:t>Donnybrook</w:t>
      </w:r>
      <w:r w:rsidR="008B0E91">
        <w:t xml:space="preserve"> in Ireland,</w:t>
      </w:r>
      <w:r w:rsidR="00F36E7F">
        <w:rPr>
          <w:rStyle w:val="FootnoteReference"/>
        </w:rPr>
        <w:footnoteReference w:id="23"/>
      </w:r>
      <w:r w:rsidR="008B0E91">
        <w:t xml:space="preserve"> and at Scar and </w:t>
      </w:r>
      <w:proofErr w:type="spellStart"/>
      <w:r w:rsidR="008B0E91" w:rsidRPr="007F1B8A">
        <w:t>Balladoole</w:t>
      </w:r>
      <w:proofErr w:type="spellEnd"/>
      <w:r w:rsidR="008B0E91">
        <w:t xml:space="preserve"> on Orkney and the Isle of Man </w:t>
      </w:r>
      <w:r w:rsidR="008B0E91" w:rsidRPr="00F36E7F">
        <w:t>respectively.</w:t>
      </w:r>
      <w:r w:rsidR="00862F5B" w:rsidRPr="00F36E7F">
        <w:rPr>
          <w:rStyle w:val="FootnoteReference"/>
        </w:rPr>
        <w:footnoteReference w:id="24"/>
      </w:r>
      <w:r w:rsidR="008B0E91" w:rsidRPr="00F36E7F">
        <w:t xml:space="preserve"> </w:t>
      </w:r>
      <w:r w:rsidR="00161281" w:rsidRPr="00F36E7F">
        <w:t>All of these sites, as well as various others that have yet to</w:t>
      </w:r>
      <w:r w:rsidR="007F1B8A">
        <w:t xml:space="preserve"> be</w:t>
      </w:r>
      <w:r w:rsidR="00161281" w:rsidRPr="00F36E7F">
        <w:t xml:space="preserve"> analyse</w:t>
      </w:r>
      <w:r w:rsidR="007F1B8A">
        <w:t>d</w:t>
      </w:r>
      <w:r w:rsidR="00161281" w:rsidRPr="00F36E7F">
        <w:t xml:space="preserve">, </w:t>
      </w:r>
      <w:r w:rsidR="009B6F93" w:rsidRPr="00F36E7F">
        <w:t xml:space="preserve">will </w:t>
      </w:r>
      <w:r w:rsidR="00E46278" w:rsidRPr="00F36E7F">
        <w:t>be extremely useful in my overall analysis</w:t>
      </w:r>
      <w:r w:rsidR="00E46278">
        <w:t xml:space="preserve"> as they </w:t>
      </w:r>
      <w:r w:rsidR="00DC6BDF">
        <w:t>provide essential data on the stature</w:t>
      </w:r>
      <w:r w:rsidR="00614E0C">
        <w:t xml:space="preserve"> and taphonomy </w:t>
      </w:r>
      <w:r w:rsidR="00DC6BDF">
        <w:t>of Scandinavian</w:t>
      </w:r>
      <w:r w:rsidR="007F1B8A">
        <w:t>s</w:t>
      </w:r>
      <w:r w:rsidR="00FC5354">
        <w:t xml:space="preserve"> from all over the British Isles</w:t>
      </w:r>
      <w:r w:rsidR="00180564">
        <w:t>.</w:t>
      </w:r>
      <w:r w:rsidR="00614E0C">
        <w:t xml:space="preserve"> </w:t>
      </w:r>
      <w:r w:rsidR="00862F5B">
        <w:t>However, there is one major limit</w:t>
      </w:r>
      <w:r w:rsidR="00CF0B69">
        <w:t>ation</w:t>
      </w:r>
      <w:r w:rsidR="00862F5B">
        <w:t xml:space="preserve"> to </w:t>
      </w:r>
      <w:r w:rsidR="00974993">
        <w:t>all</w:t>
      </w:r>
      <w:r w:rsidR="00862F5B">
        <w:t xml:space="preserve"> these sites, </w:t>
      </w:r>
      <w:r w:rsidR="00974993">
        <w:t>in that it</w:t>
      </w:r>
      <w:r w:rsidR="00CF0B69">
        <w:t xml:space="preserve"> is difficult to distinguish between </w:t>
      </w:r>
      <w:r w:rsidR="00BD2AD6">
        <w:t>native</w:t>
      </w:r>
      <w:r w:rsidR="00974993">
        <w:t>s</w:t>
      </w:r>
      <w:r w:rsidR="00BD2AD6">
        <w:t xml:space="preserve"> and </w:t>
      </w:r>
      <w:r w:rsidR="00974993">
        <w:t xml:space="preserve">foreigners, as </w:t>
      </w:r>
      <w:r w:rsidR="00BD2AD6">
        <w:t xml:space="preserve">is clearly evident at </w:t>
      </w:r>
      <w:proofErr w:type="spellStart"/>
      <w:r w:rsidR="00BD2AD6">
        <w:t>Repton</w:t>
      </w:r>
      <w:proofErr w:type="spellEnd"/>
      <w:r w:rsidR="00BD2AD6">
        <w:t>, where the army displaced the already established Anglo-Saxon burials</w:t>
      </w:r>
      <w:r w:rsidR="00974993">
        <w:t>.</w:t>
      </w:r>
      <w:r w:rsidR="008E0513">
        <w:rPr>
          <w:rStyle w:val="FootnoteReference"/>
        </w:rPr>
        <w:footnoteReference w:id="25"/>
      </w:r>
      <w:r w:rsidR="00BD2AD6">
        <w:t xml:space="preserve"> As is evident here,</w:t>
      </w:r>
      <w:r w:rsidR="00E7630A">
        <w:t xml:space="preserve"> there is not always a clear distinction between those of Scandinavian blood and those who are not.</w:t>
      </w:r>
    </w:p>
    <w:p w14:paraId="476C9D5C" w14:textId="77777777" w:rsidR="00517CC9" w:rsidRDefault="00517CC9" w:rsidP="000C35B2">
      <w:pPr>
        <w:spacing w:line="360" w:lineRule="auto"/>
      </w:pPr>
    </w:p>
    <w:p w14:paraId="327E3F41" w14:textId="6CF328AE" w:rsidR="00DF240D" w:rsidRPr="00C12E64" w:rsidRDefault="00DF240D" w:rsidP="000C35B2">
      <w:pPr>
        <w:spacing w:line="360" w:lineRule="auto"/>
        <w:rPr>
          <w:b/>
          <w:bCs/>
          <w:sz w:val="24"/>
          <w:szCs w:val="24"/>
        </w:rPr>
      </w:pPr>
      <w:r w:rsidRPr="00C12E64">
        <w:rPr>
          <w:b/>
          <w:bCs/>
          <w:sz w:val="24"/>
          <w:szCs w:val="24"/>
        </w:rPr>
        <w:t>Structure:</w:t>
      </w:r>
    </w:p>
    <w:p w14:paraId="13466D93" w14:textId="77777777" w:rsidR="006A72B6" w:rsidRDefault="00B72078" w:rsidP="000C35B2">
      <w:pPr>
        <w:spacing w:line="360" w:lineRule="auto"/>
      </w:pPr>
      <w:r>
        <w:t xml:space="preserve">In terms of my proposed structure, I am planning on composing three main chapters, each focusing on a different </w:t>
      </w:r>
      <w:r w:rsidR="005062B6">
        <w:t xml:space="preserve">research area based on the various </w:t>
      </w:r>
      <w:r>
        <w:t>aspect</w:t>
      </w:r>
      <w:r w:rsidR="005062B6">
        <w:t>s</w:t>
      </w:r>
      <w:r>
        <w:t xml:space="preserve"> of the modern stereotype that ha</w:t>
      </w:r>
      <w:r w:rsidR="005062B6">
        <w:t xml:space="preserve">ve </w:t>
      </w:r>
      <w:r>
        <w:t xml:space="preserve">been influenced by contemporary </w:t>
      </w:r>
      <w:r w:rsidR="005062B6">
        <w:t xml:space="preserve">written </w:t>
      </w:r>
      <w:r>
        <w:t>sources.</w:t>
      </w:r>
      <w:r w:rsidR="00BC574C">
        <w:t xml:space="preserve"> </w:t>
      </w:r>
    </w:p>
    <w:p w14:paraId="264F8ADE" w14:textId="2918B890" w:rsidR="007D4DF2" w:rsidRDefault="006A72B6" w:rsidP="000C35B2">
      <w:pPr>
        <w:spacing w:line="360" w:lineRule="auto"/>
      </w:pPr>
      <w:r>
        <w:t>As such, my proposed</w:t>
      </w:r>
      <w:r w:rsidR="00BC574C">
        <w:t xml:space="preserve"> chapters will be as follows:</w:t>
      </w:r>
    </w:p>
    <w:p w14:paraId="42FE14B5" w14:textId="39788F99" w:rsidR="007D4DF2" w:rsidRDefault="007D4DF2" w:rsidP="007D4DF2">
      <w:pPr>
        <w:pStyle w:val="ListParagraph"/>
        <w:numPr>
          <w:ilvl w:val="0"/>
          <w:numId w:val="4"/>
        </w:numPr>
        <w:spacing w:line="360" w:lineRule="auto"/>
        <w:rPr>
          <w:b/>
          <w:bCs/>
        </w:rPr>
      </w:pPr>
      <w:r>
        <w:rPr>
          <w:b/>
          <w:bCs/>
        </w:rPr>
        <w:t>Introduction</w:t>
      </w:r>
    </w:p>
    <w:p w14:paraId="16163113" w14:textId="4E5AD53C" w:rsidR="007D4DF2" w:rsidRPr="007D4DF2" w:rsidRDefault="00642EF8" w:rsidP="007D4DF2">
      <w:pPr>
        <w:pStyle w:val="ListParagraph"/>
        <w:numPr>
          <w:ilvl w:val="1"/>
          <w:numId w:val="4"/>
        </w:numPr>
        <w:spacing w:line="360" w:lineRule="auto"/>
        <w:rPr>
          <w:b/>
          <w:bCs/>
        </w:rPr>
      </w:pPr>
      <w:r>
        <w:t xml:space="preserve">I plan to </w:t>
      </w:r>
      <w:r w:rsidR="00912524">
        <w:t xml:space="preserve">briefly </w:t>
      </w:r>
      <w:r>
        <w:t xml:space="preserve">discuss </w:t>
      </w:r>
      <w:r w:rsidR="00912524">
        <w:t xml:space="preserve">the origins of the term ‘Viking’ and clarify that it will be used </w:t>
      </w:r>
      <w:r w:rsidR="00912524" w:rsidRPr="00BF7193">
        <w:t>interchangeably with other similar terms</w:t>
      </w:r>
      <w:r w:rsidR="009C51A2">
        <w:t xml:space="preserve"> in this project</w:t>
      </w:r>
      <w:r w:rsidR="00912524" w:rsidRPr="00BF7193">
        <w:t>.</w:t>
      </w:r>
      <w:r w:rsidR="0045668C" w:rsidRPr="00BF7193">
        <w:rPr>
          <w:rStyle w:val="FootnoteReference"/>
        </w:rPr>
        <w:footnoteReference w:id="26"/>
      </w:r>
    </w:p>
    <w:p w14:paraId="6C1919A2" w14:textId="35F2B851" w:rsidR="007D4DF2" w:rsidRDefault="00291390" w:rsidP="00BC574C">
      <w:pPr>
        <w:pStyle w:val="ListParagraph"/>
        <w:numPr>
          <w:ilvl w:val="0"/>
          <w:numId w:val="4"/>
        </w:numPr>
        <w:spacing w:line="360" w:lineRule="auto"/>
        <w:rPr>
          <w:b/>
          <w:bCs/>
        </w:rPr>
      </w:pPr>
      <w:r>
        <w:rPr>
          <w:b/>
          <w:bCs/>
        </w:rPr>
        <w:t xml:space="preserve">Aims and </w:t>
      </w:r>
      <w:r w:rsidR="007D4DF2">
        <w:rPr>
          <w:b/>
          <w:bCs/>
        </w:rPr>
        <w:t>Methodology</w:t>
      </w:r>
    </w:p>
    <w:p w14:paraId="3B95D9E9" w14:textId="6F49C927" w:rsidR="00D6106D" w:rsidRDefault="00D6106D" w:rsidP="00D6106D">
      <w:pPr>
        <w:pStyle w:val="ListParagraph"/>
        <w:numPr>
          <w:ilvl w:val="1"/>
          <w:numId w:val="4"/>
        </w:numPr>
        <w:spacing w:line="360" w:lineRule="auto"/>
        <w:rPr>
          <w:b/>
          <w:bCs/>
        </w:rPr>
      </w:pPr>
      <w:r>
        <w:t>I aim to:</w:t>
      </w:r>
    </w:p>
    <w:p w14:paraId="4D944EE9" w14:textId="37838751" w:rsidR="00D6106D" w:rsidRPr="00D6106D" w:rsidRDefault="00D6106D" w:rsidP="00D6106D">
      <w:pPr>
        <w:pStyle w:val="ListParagraph"/>
        <w:numPr>
          <w:ilvl w:val="2"/>
          <w:numId w:val="4"/>
        </w:numPr>
        <w:spacing w:line="360" w:lineRule="auto"/>
        <w:rPr>
          <w:b/>
          <w:bCs/>
        </w:rPr>
      </w:pPr>
      <w:r>
        <w:t>E</w:t>
      </w:r>
      <w:r w:rsidR="00A158C6">
        <w:t>stablish the legitimacy of contemporary accounts of Scandinavian activity</w:t>
      </w:r>
      <w:r w:rsidR="00A10C53">
        <w:t xml:space="preserve"> using </w:t>
      </w:r>
      <w:r w:rsidR="006B1886">
        <w:t xml:space="preserve">a combination of </w:t>
      </w:r>
      <w:r w:rsidR="00A10C53">
        <w:t>osteological</w:t>
      </w:r>
      <w:r w:rsidR="006B1886">
        <w:t xml:space="preserve"> and archaeological</w:t>
      </w:r>
      <w:r w:rsidR="00A10C53">
        <w:t xml:space="preserve"> </w:t>
      </w:r>
      <w:r w:rsidR="00A10C53" w:rsidRPr="00D6106D">
        <w:t>evidence</w:t>
      </w:r>
      <w:r>
        <w:t>.</w:t>
      </w:r>
    </w:p>
    <w:p w14:paraId="0B4B3ED5" w14:textId="434B2C63" w:rsidR="007D4DF2" w:rsidRPr="00BC6FE5" w:rsidRDefault="00D6106D" w:rsidP="00D6106D">
      <w:pPr>
        <w:pStyle w:val="ListParagraph"/>
        <w:numPr>
          <w:ilvl w:val="2"/>
          <w:numId w:val="4"/>
        </w:numPr>
        <w:spacing w:line="360" w:lineRule="auto"/>
        <w:rPr>
          <w:b/>
          <w:bCs/>
        </w:rPr>
      </w:pPr>
      <w:r>
        <w:t>C</w:t>
      </w:r>
      <w:r w:rsidR="0020771A">
        <w:t>hallenge modern</w:t>
      </w:r>
      <w:r w:rsidR="00A10C53">
        <w:t xml:space="preserve"> stereotype</w:t>
      </w:r>
      <w:r>
        <w:t>s</w:t>
      </w:r>
      <w:r w:rsidR="00A10C53">
        <w:t xml:space="preserve"> of the ‘Vikings’</w:t>
      </w:r>
      <w:r w:rsidR="0020771A">
        <w:t xml:space="preserve"> that ha</w:t>
      </w:r>
      <w:r>
        <w:t>ve</w:t>
      </w:r>
      <w:r w:rsidR="0020771A">
        <w:t xml:space="preserve"> traditionally been supported by 20</w:t>
      </w:r>
      <w:r w:rsidR="0020771A" w:rsidRPr="00BC6FE5">
        <w:rPr>
          <w:vertAlign w:val="superscript"/>
        </w:rPr>
        <w:t>th</w:t>
      </w:r>
      <w:r w:rsidR="0020771A">
        <w:t xml:space="preserve"> Century historiography</w:t>
      </w:r>
      <w:r w:rsidR="00A10C53">
        <w:t>.</w:t>
      </w:r>
    </w:p>
    <w:p w14:paraId="515468F3" w14:textId="3B2DEE3B" w:rsidR="00BC574C" w:rsidRPr="00E02448" w:rsidRDefault="00BC574C" w:rsidP="00BC574C">
      <w:pPr>
        <w:pStyle w:val="ListParagraph"/>
        <w:numPr>
          <w:ilvl w:val="0"/>
          <w:numId w:val="4"/>
        </w:numPr>
        <w:spacing w:line="360" w:lineRule="auto"/>
        <w:rPr>
          <w:b/>
          <w:bCs/>
        </w:rPr>
      </w:pPr>
      <w:r w:rsidRPr="00E02448">
        <w:rPr>
          <w:b/>
          <w:bCs/>
        </w:rPr>
        <w:t>Were the ‘Vikings’ large</w:t>
      </w:r>
      <w:r w:rsidR="00E02448" w:rsidRPr="00E02448">
        <w:rPr>
          <w:b/>
          <w:bCs/>
        </w:rPr>
        <w:t>r than their contemporaries in stature?</w:t>
      </w:r>
    </w:p>
    <w:p w14:paraId="24AD588B" w14:textId="3017880F" w:rsidR="00BC574C" w:rsidRDefault="009D5853" w:rsidP="003F5FDD">
      <w:pPr>
        <w:pStyle w:val="ListParagraph"/>
        <w:numPr>
          <w:ilvl w:val="1"/>
          <w:numId w:val="4"/>
        </w:numPr>
        <w:spacing w:line="360" w:lineRule="auto"/>
      </w:pPr>
      <w:r>
        <w:t>In this chapter, I plan to examine</w:t>
      </w:r>
      <w:r w:rsidR="006A72B6">
        <w:t xml:space="preserve"> the height of these northern warriors, both at home and abroa</w:t>
      </w:r>
      <w:r w:rsidR="00D6106D">
        <w:t>d</w:t>
      </w:r>
      <w:r w:rsidR="006A72B6">
        <w:t xml:space="preserve">, and then compare them to the height of their British contemporaries. In doing so, </w:t>
      </w:r>
      <w:r w:rsidR="008660EA">
        <w:t xml:space="preserve">I aim to establish whether there was a difference in stature between those of Scandinavian origin and those across the North Sea, as well as to identify whether </w:t>
      </w:r>
      <w:r w:rsidR="00D67B1F">
        <w:t>only a select build went ‘</w:t>
      </w:r>
      <w:r w:rsidR="00D67B1F" w:rsidRPr="00A1702D">
        <w:rPr>
          <w:i/>
          <w:iCs/>
        </w:rPr>
        <w:t xml:space="preserve">a </w:t>
      </w:r>
      <w:proofErr w:type="spellStart"/>
      <w:r w:rsidR="00A1702D" w:rsidRPr="00A1702D">
        <w:rPr>
          <w:i/>
          <w:iCs/>
        </w:rPr>
        <w:t>v</w:t>
      </w:r>
      <w:r w:rsidR="00D67B1F" w:rsidRPr="00A1702D">
        <w:rPr>
          <w:i/>
          <w:iCs/>
        </w:rPr>
        <w:t>iking</w:t>
      </w:r>
      <w:r w:rsidR="00A1702D" w:rsidRPr="00A1702D">
        <w:rPr>
          <w:i/>
          <w:iCs/>
        </w:rPr>
        <w:t>r</w:t>
      </w:r>
      <w:proofErr w:type="spellEnd"/>
      <w:r w:rsidR="00D67B1F">
        <w:t>’ (</w:t>
      </w:r>
      <w:r w:rsidR="00A1702D">
        <w:t xml:space="preserve">the activity of piracy) </w:t>
      </w:r>
      <w:r w:rsidR="00D67B1F">
        <w:t xml:space="preserve">or was </w:t>
      </w:r>
      <w:r w:rsidR="00D6106D">
        <w:t>it</w:t>
      </w:r>
      <w:r w:rsidR="00D67B1F">
        <w:t xml:space="preserve"> available to all.</w:t>
      </w:r>
      <w:r w:rsidR="00A1702D">
        <w:rPr>
          <w:rStyle w:val="FootnoteReference"/>
        </w:rPr>
        <w:footnoteReference w:id="27"/>
      </w:r>
      <w:r w:rsidR="00F50738">
        <w:t xml:space="preserve"> As such, this chapter will clarify whether the ‘Vikings’ really were taller than their contemporaries as modern stereotype suggests.</w:t>
      </w:r>
    </w:p>
    <w:p w14:paraId="36925554" w14:textId="77777777" w:rsidR="00BC574C" w:rsidRDefault="00BC574C" w:rsidP="003F5FDD">
      <w:pPr>
        <w:pStyle w:val="ListParagraph"/>
        <w:numPr>
          <w:ilvl w:val="0"/>
          <w:numId w:val="4"/>
        </w:numPr>
        <w:spacing w:line="360" w:lineRule="auto"/>
      </w:pPr>
      <w:r w:rsidRPr="00BC574C">
        <w:rPr>
          <w:b/>
          <w:bCs/>
        </w:rPr>
        <w:t>Were the ‘Vikings’ more brutal and violent compared to their contemporaries?</w:t>
      </w:r>
    </w:p>
    <w:p w14:paraId="09A31E4A" w14:textId="3B940775" w:rsidR="00C72C3D" w:rsidRDefault="00BC574C" w:rsidP="00C72C3D">
      <w:pPr>
        <w:pStyle w:val="ListParagraph"/>
        <w:numPr>
          <w:ilvl w:val="1"/>
          <w:numId w:val="4"/>
        </w:numPr>
        <w:spacing w:line="360" w:lineRule="auto"/>
      </w:pPr>
      <w:r>
        <w:t xml:space="preserve">This </w:t>
      </w:r>
      <w:r w:rsidR="008113D9">
        <w:t xml:space="preserve">next </w:t>
      </w:r>
      <w:r>
        <w:t xml:space="preserve">section will focus on </w:t>
      </w:r>
      <w:r w:rsidR="008113D9">
        <w:t xml:space="preserve">the </w:t>
      </w:r>
      <w:r w:rsidR="00875447">
        <w:t xml:space="preserve">commonly accepted </w:t>
      </w:r>
      <w:r w:rsidR="008113D9">
        <w:t xml:space="preserve">violent nature of these warriors, as suggested by </w:t>
      </w:r>
      <w:r w:rsidR="00D6106D">
        <w:t>most</w:t>
      </w:r>
      <w:r w:rsidR="008113D9">
        <w:t xml:space="preserve"> contemporary accounts that outline their </w:t>
      </w:r>
      <w:r w:rsidR="00875447">
        <w:t>activities,</w:t>
      </w:r>
      <w:r w:rsidR="00C72C3D">
        <w:t xml:space="preserve"> and </w:t>
      </w:r>
      <w:r w:rsidR="00875447">
        <w:t xml:space="preserve">subsequently compare </w:t>
      </w:r>
      <w:r w:rsidR="00C72C3D">
        <w:t>them to the activities of Anglo-Saxons.</w:t>
      </w:r>
      <w:r w:rsidR="00D6106D">
        <w:t xml:space="preserve"> Also</w:t>
      </w:r>
      <w:r w:rsidR="00C72C3D">
        <w:t>, I aim to continue analys</w:t>
      </w:r>
      <w:r w:rsidR="00884C57">
        <w:t>ing</w:t>
      </w:r>
      <w:r w:rsidR="00C72C3D">
        <w:t xml:space="preserve"> skeletal samples in order to further </w:t>
      </w:r>
      <w:r w:rsidR="00D536BE">
        <w:t>evaluate these written accounts</w:t>
      </w:r>
      <w:r w:rsidR="00884C57">
        <w:t>, establishing evidence of trauma or violent death.</w:t>
      </w:r>
    </w:p>
    <w:p w14:paraId="3AAEF00B" w14:textId="1DF64899" w:rsidR="00BC574C" w:rsidRPr="00D6106D" w:rsidRDefault="00BC574C" w:rsidP="00BC574C">
      <w:pPr>
        <w:pStyle w:val="ListParagraph"/>
        <w:numPr>
          <w:ilvl w:val="0"/>
          <w:numId w:val="4"/>
        </w:numPr>
        <w:spacing w:line="360" w:lineRule="auto"/>
        <w:rPr>
          <w:b/>
          <w:bCs/>
        </w:rPr>
      </w:pPr>
      <w:r w:rsidRPr="00D6106D">
        <w:rPr>
          <w:b/>
          <w:bCs/>
        </w:rPr>
        <w:t xml:space="preserve">Were the </w:t>
      </w:r>
      <w:r w:rsidR="00271330" w:rsidRPr="00D6106D">
        <w:rPr>
          <w:b/>
          <w:bCs/>
        </w:rPr>
        <w:t xml:space="preserve">Norsemen </w:t>
      </w:r>
      <w:r w:rsidR="00C4490C" w:rsidRPr="00D6106D">
        <w:rPr>
          <w:b/>
          <w:bCs/>
        </w:rPr>
        <w:t>a backwards and barbaric people compared to their contemporaries?</w:t>
      </w:r>
    </w:p>
    <w:p w14:paraId="1F51AC6B" w14:textId="07275034" w:rsidR="007D4DF2" w:rsidRPr="00D6106D" w:rsidRDefault="00CF0930" w:rsidP="007D4DF2">
      <w:pPr>
        <w:pStyle w:val="ListParagraph"/>
        <w:numPr>
          <w:ilvl w:val="1"/>
          <w:numId w:val="4"/>
        </w:numPr>
        <w:spacing w:line="360" w:lineRule="auto"/>
      </w:pPr>
      <w:r w:rsidRPr="00D6106D">
        <w:t>Based off of my current research, m</w:t>
      </w:r>
      <w:r w:rsidR="009D5853" w:rsidRPr="00D6106D">
        <w:t xml:space="preserve">y final segment will analyse </w:t>
      </w:r>
      <w:r w:rsidR="00F07FCE" w:rsidRPr="00D6106D">
        <w:t>the Northmen’s way of life</w:t>
      </w:r>
      <w:r w:rsidR="00943E73" w:rsidRPr="00D6106D">
        <w:t>, focusing on whether they were an uncivilised people from</w:t>
      </w:r>
      <w:r w:rsidR="002F33E1">
        <w:t>,</w:t>
      </w:r>
      <w:r w:rsidR="00943E73" w:rsidRPr="00D6106D">
        <w:t xml:space="preserve"> </w:t>
      </w:r>
      <w:r w:rsidR="002F33E1" w:rsidRPr="00D6106D">
        <w:t xml:space="preserve">as various classical scholars viewed </w:t>
      </w:r>
      <w:r w:rsidR="002F33E1">
        <w:t>it, a ‘barbaric north’.</w:t>
      </w:r>
      <w:r w:rsidR="00943E73" w:rsidRPr="00D6106D">
        <w:rPr>
          <w:rStyle w:val="FootnoteReference"/>
        </w:rPr>
        <w:footnoteReference w:id="28"/>
      </w:r>
      <w:r w:rsidR="006E5AAE" w:rsidRPr="00D6106D">
        <w:t xml:space="preserve"> </w:t>
      </w:r>
      <w:r w:rsidRPr="00D6106D">
        <w:t>Following this,</w:t>
      </w:r>
      <w:r w:rsidR="006E5AAE" w:rsidRPr="00D6106D">
        <w:t xml:space="preserve"> </w:t>
      </w:r>
      <w:r w:rsidR="00133755" w:rsidRPr="00D6106D">
        <w:t xml:space="preserve">I </w:t>
      </w:r>
      <w:r w:rsidR="006E5AAE" w:rsidRPr="00D6106D">
        <w:t xml:space="preserve">plan to compare their way of life with that of their contemporaries from Britain to establish whether the ‘Vikings’ were an uncivilised, barbaric group </w:t>
      </w:r>
      <w:r w:rsidRPr="00D6106D">
        <w:t>as traditional views suggest.</w:t>
      </w:r>
    </w:p>
    <w:p w14:paraId="25A066D3" w14:textId="7B279BD6" w:rsidR="007D4DF2" w:rsidRDefault="007D4DF2" w:rsidP="007D4DF2">
      <w:pPr>
        <w:pStyle w:val="ListParagraph"/>
        <w:numPr>
          <w:ilvl w:val="0"/>
          <w:numId w:val="4"/>
        </w:numPr>
        <w:spacing w:line="360" w:lineRule="auto"/>
        <w:rPr>
          <w:b/>
          <w:bCs/>
        </w:rPr>
      </w:pPr>
      <w:r w:rsidRPr="007D4DF2">
        <w:rPr>
          <w:b/>
          <w:bCs/>
        </w:rPr>
        <w:t>Conclusion</w:t>
      </w:r>
    </w:p>
    <w:p w14:paraId="39924EF6" w14:textId="77CE8507" w:rsidR="007D4DF2" w:rsidRPr="00034C82" w:rsidRDefault="00034C82" w:rsidP="007D4DF2">
      <w:pPr>
        <w:pStyle w:val="ListParagraph"/>
        <w:numPr>
          <w:ilvl w:val="1"/>
          <w:numId w:val="4"/>
        </w:numPr>
        <w:spacing w:line="360" w:lineRule="auto"/>
        <w:rPr>
          <w:b/>
          <w:bCs/>
        </w:rPr>
      </w:pPr>
      <w:r>
        <w:t xml:space="preserve">I </w:t>
      </w:r>
      <w:r w:rsidR="009338E9">
        <w:t>will</w:t>
      </w:r>
      <w:r w:rsidR="00547914">
        <w:t xml:space="preserve"> </w:t>
      </w:r>
      <w:r w:rsidR="00F42861">
        <w:t xml:space="preserve">briefly </w:t>
      </w:r>
      <w:r w:rsidR="009338E9">
        <w:t>re-examine</w:t>
      </w:r>
      <w:r w:rsidR="00F42861">
        <w:t xml:space="preserve"> my before</w:t>
      </w:r>
      <w:r w:rsidR="009338E9">
        <w:t xml:space="preserve"> </w:t>
      </w:r>
      <w:r w:rsidR="00F42861">
        <w:t xml:space="preserve">mentioned chapters and </w:t>
      </w:r>
      <w:r w:rsidR="009338E9">
        <w:t>how they answer my hypothesis.</w:t>
      </w:r>
    </w:p>
    <w:p w14:paraId="7F05E6B0" w14:textId="0F7A5819" w:rsidR="007E0E3C" w:rsidRPr="002B124F" w:rsidRDefault="00034C82" w:rsidP="007E0E3C">
      <w:pPr>
        <w:pStyle w:val="ListParagraph"/>
        <w:numPr>
          <w:ilvl w:val="1"/>
          <w:numId w:val="4"/>
        </w:numPr>
        <w:spacing w:line="360" w:lineRule="auto"/>
        <w:rPr>
          <w:b/>
          <w:bCs/>
        </w:rPr>
      </w:pPr>
      <w:r>
        <w:t>Based on my current reading, and the assumptions that have developed from it, I am expecting the outcomes of this project to demonstrate that the modern stereotype, that is so commonly distributed in</w:t>
      </w:r>
      <w:r w:rsidR="00F005D9">
        <w:t xml:space="preserve"> the</w:t>
      </w:r>
      <w:r>
        <w:t xml:space="preserve"> media and society, needs to thoroughly be addressed</w:t>
      </w:r>
      <w:r w:rsidR="00F005D9">
        <w:t>, as although these Norsemen may have been of greater build than their contemporaries, they were not a more brutal or barbaric people than their British counterparts.</w:t>
      </w:r>
    </w:p>
    <w:p w14:paraId="60F4CB39" w14:textId="2FE3F323" w:rsidR="007D4DF2" w:rsidRPr="007E0E3C" w:rsidRDefault="007E0E3C" w:rsidP="007E0E3C">
      <w:pPr>
        <w:spacing w:line="360" w:lineRule="auto"/>
        <w:rPr>
          <w:b/>
          <w:bCs/>
        </w:rPr>
      </w:pPr>
      <w:r w:rsidRPr="007E0E3C">
        <w:rPr>
          <w:b/>
          <w:bCs/>
        </w:rPr>
        <w:t>Words: 2,</w:t>
      </w:r>
      <w:r w:rsidR="008C69DF">
        <w:rPr>
          <w:b/>
          <w:bCs/>
        </w:rPr>
        <w:t>1</w:t>
      </w:r>
      <w:r w:rsidR="002F33E1">
        <w:rPr>
          <w:b/>
          <w:bCs/>
        </w:rPr>
        <w:t>4</w:t>
      </w:r>
      <w:r w:rsidR="009C51A2">
        <w:rPr>
          <w:b/>
          <w:bCs/>
        </w:rPr>
        <w:t>8</w:t>
      </w:r>
      <w:r w:rsidR="008C69DF">
        <w:rPr>
          <w:b/>
          <w:bCs/>
        </w:rPr>
        <w:t>.</w:t>
      </w:r>
    </w:p>
    <w:p w14:paraId="58E7427F" w14:textId="457BD23A" w:rsidR="00076F05" w:rsidRDefault="00076F05" w:rsidP="000C35B2">
      <w:pPr>
        <w:spacing w:line="360" w:lineRule="auto"/>
      </w:pPr>
    </w:p>
    <w:p w14:paraId="3A3CD91B" w14:textId="77777777" w:rsidR="007E0E3C" w:rsidRDefault="007E0E3C" w:rsidP="000C35B2">
      <w:pPr>
        <w:spacing w:line="360" w:lineRule="auto"/>
      </w:pPr>
    </w:p>
    <w:p w14:paraId="64D43E8B" w14:textId="77777777" w:rsidR="00FE5420" w:rsidRDefault="00FE5420" w:rsidP="000C35B2">
      <w:pPr>
        <w:spacing w:line="360" w:lineRule="auto"/>
        <w:rPr>
          <w:b/>
          <w:bCs/>
          <w:sz w:val="28"/>
          <w:szCs w:val="28"/>
          <w:u w:val="single"/>
        </w:rPr>
      </w:pPr>
    </w:p>
    <w:p w14:paraId="15217294" w14:textId="77777777" w:rsidR="00FE5420" w:rsidRDefault="00FE5420" w:rsidP="000C35B2">
      <w:pPr>
        <w:spacing w:line="360" w:lineRule="auto"/>
        <w:rPr>
          <w:b/>
          <w:bCs/>
          <w:sz w:val="28"/>
          <w:szCs w:val="28"/>
          <w:u w:val="single"/>
        </w:rPr>
      </w:pPr>
    </w:p>
    <w:p w14:paraId="7EBECB36" w14:textId="77777777" w:rsidR="00FE5420" w:rsidRDefault="00FE5420" w:rsidP="000C35B2">
      <w:pPr>
        <w:spacing w:line="360" w:lineRule="auto"/>
        <w:rPr>
          <w:b/>
          <w:bCs/>
          <w:sz w:val="28"/>
          <w:szCs w:val="28"/>
          <w:u w:val="single"/>
        </w:rPr>
      </w:pPr>
    </w:p>
    <w:p w14:paraId="68B25F09" w14:textId="77777777" w:rsidR="00FE5420" w:rsidRDefault="00FE5420" w:rsidP="000C35B2">
      <w:pPr>
        <w:spacing w:line="360" w:lineRule="auto"/>
        <w:rPr>
          <w:b/>
          <w:bCs/>
          <w:sz w:val="28"/>
          <w:szCs w:val="28"/>
          <w:u w:val="single"/>
        </w:rPr>
      </w:pPr>
    </w:p>
    <w:p w14:paraId="534DFB90" w14:textId="77777777" w:rsidR="00FE5420" w:rsidRDefault="00FE5420" w:rsidP="000C35B2">
      <w:pPr>
        <w:spacing w:line="360" w:lineRule="auto"/>
        <w:rPr>
          <w:b/>
          <w:bCs/>
          <w:sz w:val="28"/>
          <w:szCs w:val="28"/>
          <w:u w:val="single"/>
        </w:rPr>
      </w:pPr>
    </w:p>
    <w:p w14:paraId="538B662A" w14:textId="77777777" w:rsidR="00FE5420" w:rsidRDefault="00FE5420" w:rsidP="000C35B2">
      <w:pPr>
        <w:spacing w:line="360" w:lineRule="auto"/>
        <w:rPr>
          <w:b/>
          <w:bCs/>
          <w:sz w:val="28"/>
          <w:szCs w:val="28"/>
          <w:u w:val="single"/>
        </w:rPr>
      </w:pPr>
    </w:p>
    <w:p w14:paraId="67EA793B" w14:textId="77777777" w:rsidR="00FE5420" w:rsidRDefault="00FE5420" w:rsidP="000C35B2">
      <w:pPr>
        <w:spacing w:line="360" w:lineRule="auto"/>
        <w:rPr>
          <w:b/>
          <w:bCs/>
          <w:sz w:val="28"/>
          <w:szCs w:val="28"/>
          <w:u w:val="single"/>
        </w:rPr>
      </w:pPr>
    </w:p>
    <w:p w14:paraId="2755B2F1" w14:textId="77777777" w:rsidR="00FE5420" w:rsidRDefault="00FE5420" w:rsidP="000C35B2">
      <w:pPr>
        <w:spacing w:line="360" w:lineRule="auto"/>
        <w:rPr>
          <w:b/>
          <w:bCs/>
          <w:sz w:val="28"/>
          <w:szCs w:val="28"/>
          <w:u w:val="single"/>
        </w:rPr>
      </w:pPr>
    </w:p>
    <w:p w14:paraId="35144D12" w14:textId="77777777" w:rsidR="00FE5420" w:rsidRDefault="00FE5420" w:rsidP="000C35B2">
      <w:pPr>
        <w:spacing w:line="360" w:lineRule="auto"/>
        <w:rPr>
          <w:b/>
          <w:bCs/>
          <w:sz w:val="28"/>
          <w:szCs w:val="28"/>
          <w:u w:val="single"/>
        </w:rPr>
      </w:pPr>
    </w:p>
    <w:p w14:paraId="59A37F4F" w14:textId="77777777" w:rsidR="00FE5420" w:rsidRDefault="00FE5420" w:rsidP="000C35B2">
      <w:pPr>
        <w:spacing w:line="360" w:lineRule="auto"/>
        <w:rPr>
          <w:b/>
          <w:bCs/>
          <w:sz w:val="28"/>
          <w:szCs w:val="28"/>
          <w:u w:val="single"/>
        </w:rPr>
      </w:pPr>
    </w:p>
    <w:p w14:paraId="74F0A014" w14:textId="77777777" w:rsidR="00FE5420" w:rsidRDefault="00FE5420" w:rsidP="000C35B2">
      <w:pPr>
        <w:spacing w:line="360" w:lineRule="auto"/>
        <w:rPr>
          <w:b/>
          <w:bCs/>
          <w:sz w:val="28"/>
          <w:szCs w:val="28"/>
          <w:u w:val="single"/>
        </w:rPr>
      </w:pPr>
    </w:p>
    <w:p w14:paraId="7AB85575" w14:textId="7057D76F" w:rsidR="00DF240D" w:rsidRDefault="00DF240D" w:rsidP="000C35B2">
      <w:pPr>
        <w:spacing w:line="360" w:lineRule="auto"/>
        <w:rPr>
          <w:b/>
          <w:bCs/>
          <w:sz w:val="28"/>
          <w:szCs w:val="28"/>
          <w:u w:val="single"/>
        </w:rPr>
      </w:pPr>
      <w:bookmarkStart w:id="0" w:name="_GoBack"/>
      <w:bookmarkEnd w:id="0"/>
      <w:r w:rsidRPr="00DF240D">
        <w:rPr>
          <w:b/>
          <w:bCs/>
          <w:sz w:val="28"/>
          <w:szCs w:val="28"/>
          <w:u w:val="single"/>
        </w:rPr>
        <w:t>Bibliography</w:t>
      </w:r>
    </w:p>
    <w:p w14:paraId="09D0D174" w14:textId="7EF15E8C" w:rsidR="003804B6" w:rsidRPr="003804B6" w:rsidRDefault="003804B6" w:rsidP="000C35B2">
      <w:pPr>
        <w:spacing w:line="360" w:lineRule="auto"/>
        <w:rPr>
          <w:b/>
          <w:bCs/>
          <w:sz w:val="24"/>
          <w:szCs w:val="24"/>
        </w:rPr>
      </w:pPr>
      <w:r w:rsidRPr="003804B6">
        <w:rPr>
          <w:b/>
          <w:bCs/>
          <w:sz w:val="24"/>
          <w:szCs w:val="24"/>
        </w:rPr>
        <w:t>Primary Sources</w:t>
      </w:r>
    </w:p>
    <w:p w14:paraId="0CC51A66" w14:textId="5337E1E2" w:rsidR="003804B6" w:rsidRDefault="00D54457" w:rsidP="000C35B2">
      <w:pPr>
        <w:spacing w:line="360" w:lineRule="auto"/>
      </w:pPr>
      <w:r w:rsidRPr="005D60AE">
        <w:t xml:space="preserve">Ahmed Ibn </w:t>
      </w:r>
      <w:proofErr w:type="spellStart"/>
      <w:r w:rsidRPr="005D60AE">
        <w:t>Fadl</w:t>
      </w:r>
      <w:r w:rsidRPr="005D60AE">
        <w:rPr>
          <w:rFonts w:cstheme="minorHAnsi"/>
        </w:rPr>
        <w:t>ā</w:t>
      </w:r>
      <w:r w:rsidRPr="005D60AE">
        <w:t>n</w:t>
      </w:r>
      <w:proofErr w:type="spellEnd"/>
      <w:r w:rsidRPr="005D60AE">
        <w:t xml:space="preserve">, </w:t>
      </w:r>
      <w:r w:rsidRPr="005D60AE">
        <w:rPr>
          <w:i/>
          <w:iCs/>
        </w:rPr>
        <w:t xml:space="preserve">Ibn </w:t>
      </w:r>
      <w:proofErr w:type="spellStart"/>
      <w:r w:rsidRPr="005D60AE">
        <w:rPr>
          <w:i/>
          <w:iCs/>
        </w:rPr>
        <w:t>Fadl</w:t>
      </w:r>
      <w:r w:rsidRPr="005D60AE">
        <w:rPr>
          <w:rFonts w:cstheme="minorHAnsi"/>
          <w:i/>
          <w:iCs/>
        </w:rPr>
        <w:t>ā</w:t>
      </w:r>
      <w:r w:rsidRPr="005D60AE">
        <w:rPr>
          <w:i/>
          <w:iCs/>
        </w:rPr>
        <w:t>n</w:t>
      </w:r>
      <w:proofErr w:type="spellEnd"/>
      <w:r w:rsidRPr="005D60AE">
        <w:rPr>
          <w:i/>
          <w:iCs/>
        </w:rPr>
        <w:t xml:space="preserve"> and the Land of Darkness: Arab Travellers in the Far North</w:t>
      </w:r>
      <w:r w:rsidRPr="005D60AE">
        <w:t>, ed. and</w:t>
      </w:r>
      <w:r w:rsidR="009C51A2">
        <w:t xml:space="preserve"> </w:t>
      </w:r>
      <w:r w:rsidRPr="005D60AE">
        <w:t xml:space="preserve">trans. </w:t>
      </w:r>
      <w:r w:rsidR="005D60AE" w:rsidRPr="005D60AE">
        <w:t xml:space="preserve">P. </w:t>
      </w:r>
      <w:r w:rsidRPr="005D60AE">
        <w:t xml:space="preserve">Lund, and </w:t>
      </w:r>
      <w:r w:rsidR="005D60AE" w:rsidRPr="005D60AE">
        <w:t xml:space="preserve">C. </w:t>
      </w:r>
      <w:r w:rsidRPr="005D60AE">
        <w:t>Stone (London</w:t>
      </w:r>
      <w:r w:rsidR="005D60AE" w:rsidRPr="005D60AE">
        <w:t xml:space="preserve">, </w:t>
      </w:r>
      <w:r w:rsidRPr="005D60AE">
        <w:t>2012).</w:t>
      </w:r>
    </w:p>
    <w:p w14:paraId="21E18C05" w14:textId="7768B2CF" w:rsidR="00A1304C" w:rsidRDefault="00A1304C" w:rsidP="000C35B2">
      <w:pPr>
        <w:spacing w:line="360" w:lineRule="auto"/>
      </w:pPr>
      <w:r w:rsidRPr="00A1304C">
        <w:rPr>
          <w:i/>
          <w:iCs/>
        </w:rPr>
        <w:t>Anglo-Saxon Chronicle</w:t>
      </w:r>
      <w:r>
        <w:t>, 2</w:t>
      </w:r>
      <w:r w:rsidRPr="00A1304C">
        <w:rPr>
          <w:vertAlign w:val="superscript"/>
        </w:rPr>
        <w:t>nd</w:t>
      </w:r>
      <w:r>
        <w:t xml:space="preserve"> edition, ed. and trans. G.N. </w:t>
      </w:r>
      <w:proofErr w:type="spellStart"/>
      <w:r>
        <w:t>Garmonsway</w:t>
      </w:r>
      <w:proofErr w:type="spellEnd"/>
      <w:r>
        <w:t xml:space="preserve"> (London, 1953 – 92).</w:t>
      </w:r>
    </w:p>
    <w:p w14:paraId="6A6D2A8F" w14:textId="36222353" w:rsidR="00696814" w:rsidRDefault="00696814" w:rsidP="000C35B2">
      <w:pPr>
        <w:spacing w:line="360" w:lineRule="auto"/>
      </w:pPr>
      <w:r w:rsidRPr="005D60AE">
        <w:t xml:space="preserve">Henry of Huntingdon, </w:t>
      </w:r>
      <w:r w:rsidRPr="005D60AE">
        <w:rPr>
          <w:i/>
          <w:iCs/>
        </w:rPr>
        <w:t>The History of the English People 1000 – 1154</w:t>
      </w:r>
      <w:r w:rsidRPr="005D60AE">
        <w:t>, 2</w:t>
      </w:r>
      <w:r w:rsidRPr="005D60AE">
        <w:rPr>
          <w:vertAlign w:val="superscript"/>
        </w:rPr>
        <w:t>nd</w:t>
      </w:r>
      <w:r w:rsidRPr="005D60AE">
        <w:t xml:space="preserve"> edition, ed. and trans. </w:t>
      </w:r>
      <w:r w:rsidR="005D60AE" w:rsidRPr="005D60AE">
        <w:t xml:space="preserve">D. </w:t>
      </w:r>
      <w:r w:rsidRPr="005D60AE">
        <w:t>Greenway</w:t>
      </w:r>
      <w:r w:rsidR="005D60AE" w:rsidRPr="005D60AE">
        <w:t xml:space="preserve"> </w:t>
      </w:r>
      <w:r w:rsidRPr="005D60AE">
        <w:t>(Oxford</w:t>
      </w:r>
      <w:r w:rsidR="005D60AE" w:rsidRPr="005D60AE">
        <w:t>,</w:t>
      </w:r>
      <w:r w:rsidRPr="005D60AE">
        <w:t xml:space="preserve"> 2002).</w:t>
      </w:r>
    </w:p>
    <w:p w14:paraId="022420C3" w14:textId="77777777" w:rsidR="003804B6" w:rsidRDefault="003804B6" w:rsidP="000C35B2">
      <w:pPr>
        <w:spacing w:line="360" w:lineRule="auto"/>
      </w:pPr>
    </w:p>
    <w:p w14:paraId="3C9C001C" w14:textId="3F09838D" w:rsidR="003804B6" w:rsidRPr="003804B6" w:rsidRDefault="003804B6" w:rsidP="000C35B2">
      <w:pPr>
        <w:spacing w:line="360" w:lineRule="auto"/>
        <w:rPr>
          <w:b/>
          <w:bCs/>
          <w:sz w:val="24"/>
          <w:szCs w:val="24"/>
        </w:rPr>
      </w:pPr>
      <w:r w:rsidRPr="003804B6">
        <w:rPr>
          <w:b/>
          <w:bCs/>
          <w:sz w:val="24"/>
          <w:szCs w:val="24"/>
        </w:rPr>
        <w:t>Secondary Sources</w:t>
      </w:r>
    </w:p>
    <w:p w14:paraId="0C2206C5" w14:textId="106A7655" w:rsidR="002E7B66" w:rsidRPr="00643517" w:rsidRDefault="002E7B66" w:rsidP="002E7B66">
      <w:pPr>
        <w:spacing w:line="360" w:lineRule="auto"/>
        <w:rPr>
          <w:rFonts w:cstheme="minorHAnsi"/>
        </w:rPr>
      </w:pPr>
      <w:proofErr w:type="spellStart"/>
      <w:r w:rsidRPr="003804B6">
        <w:t>Allm</w:t>
      </w:r>
      <w:r w:rsidRPr="003804B6">
        <w:rPr>
          <w:rFonts w:cstheme="minorHAnsi"/>
        </w:rPr>
        <w:t>äe</w:t>
      </w:r>
      <w:proofErr w:type="spellEnd"/>
      <w:r w:rsidRPr="003804B6">
        <w:rPr>
          <w:rFonts w:cstheme="minorHAnsi"/>
        </w:rPr>
        <w:t xml:space="preserve">, R. </w:t>
      </w:r>
      <w:proofErr w:type="spellStart"/>
      <w:r w:rsidRPr="003804B6">
        <w:rPr>
          <w:rFonts w:cstheme="minorHAnsi"/>
        </w:rPr>
        <w:t>Maldre</w:t>
      </w:r>
      <w:proofErr w:type="spellEnd"/>
      <w:r w:rsidRPr="003804B6">
        <w:rPr>
          <w:rFonts w:cstheme="minorHAnsi"/>
        </w:rPr>
        <w:t xml:space="preserve">, L. and Tomek, T., ‘The </w:t>
      </w:r>
      <w:proofErr w:type="spellStart"/>
      <w:r w:rsidRPr="003804B6">
        <w:rPr>
          <w:rFonts w:cstheme="minorHAnsi"/>
        </w:rPr>
        <w:t>Salme</w:t>
      </w:r>
      <w:proofErr w:type="spellEnd"/>
      <w:r w:rsidRPr="003804B6">
        <w:rPr>
          <w:rFonts w:cstheme="minorHAnsi"/>
        </w:rPr>
        <w:t xml:space="preserve"> I Ship Burial: An Osteological View of a Unique Burial in Northern Europe’, </w:t>
      </w:r>
      <w:proofErr w:type="spellStart"/>
      <w:r w:rsidRPr="003804B6">
        <w:rPr>
          <w:rFonts w:cstheme="minorHAnsi"/>
          <w:i/>
          <w:iCs/>
        </w:rPr>
        <w:t>Interdisciplinaria</w:t>
      </w:r>
      <w:proofErr w:type="spellEnd"/>
      <w:r w:rsidRPr="003804B6">
        <w:rPr>
          <w:rFonts w:cstheme="minorHAnsi"/>
          <w:i/>
          <w:iCs/>
        </w:rPr>
        <w:t xml:space="preserve"> </w:t>
      </w:r>
      <w:proofErr w:type="spellStart"/>
      <w:r w:rsidRPr="003804B6">
        <w:rPr>
          <w:rFonts w:cstheme="minorHAnsi"/>
          <w:i/>
          <w:iCs/>
        </w:rPr>
        <w:t>Archaeologica</w:t>
      </w:r>
      <w:proofErr w:type="spellEnd"/>
      <w:r w:rsidRPr="003804B6">
        <w:rPr>
          <w:rFonts w:cstheme="minorHAnsi"/>
          <w:i/>
          <w:iCs/>
        </w:rPr>
        <w:t xml:space="preserve"> Natural Sciences in Archaeology</w:t>
      </w:r>
      <w:r w:rsidRPr="003804B6">
        <w:rPr>
          <w:rFonts w:cstheme="minorHAnsi"/>
        </w:rPr>
        <w:t>, 2(2) (2011), pp. 109 – 124.</w:t>
      </w:r>
    </w:p>
    <w:p w14:paraId="5F88177E" w14:textId="2438696D" w:rsidR="006A3DD1" w:rsidRDefault="006A3DD1" w:rsidP="000C35B2">
      <w:pPr>
        <w:spacing w:line="360" w:lineRule="auto"/>
      </w:pPr>
      <w:proofErr w:type="spellStart"/>
      <w:r>
        <w:t>Arcini</w:t>
      </w:r>
      <w:proofErr w:type="spellEnd"/>
      <w:r>
        <w:t xml:space="preserve">, C.A, </w:t>
      </w:r>
      <w:r w:rsidRPr="00744C67">
        <w:rPr>
          <w:i/>
          <w:iCs/>
        </w:rPr>
        <w:t>The Viking Age: A Time of Many Faces</w:t>
      </w:r>
      <w:r w:rsidR="007E0E3C">
        <w:t>.</w:t>
      </w:r>
      <w:r>
        <w:t xml:space="preserve"> (Oxford: Oxbow Books, 2018).</w:t>
      </w:r>
    </w:p>
    <w:p w14:paraId="4A2D9313" w14:textId="50058EF5" w:rsidR="009C0EFA" w:rsidRDefault="009C0EFA" w:rsidP="000C35B2">
      <w:pPr>
        <w:spacing w:line="360" w:lineRule="auto"/>
      </w:pPr>
      <w:r>
        <w:t xml:space="preserve">Biddle, M. and </w:t>
      </w:r>
      <w:proofErr w:type="spellStart"/>
      <w:r>
        <w:t>Kj</w:t>
      </w:r>
      <w:r>
        <w:rPr>
          <w:rFonts w:cstheme="minorHAnsi"/>
        </w:rPr>
        <w:t>ø</w:t>
      </w:r>
      <w:r>
        <w:t>lbye</w:t>
      </w:r>
      <w:proofErr w:type="spellEnd"/>
      <w:r>
        <w:t>-Biddle,</w:t>
      </w:r>
      <w:r w:rsidRPr="009C0EFA">
        <w:t xml:space="preserve"> </w:t>
      </w:r>
      <w:r>
        <w:t>B. ‘</w:t>
      </w:r>
      <w:proofErr w:type="spellStart"/>
      <w:r>
        <w:t>Repton</w:t>
      </w:r>
      <w:proofErr w:type="spellEnd"/>
      <w:r>
        <w:t xml:space="preserve"> and the ‘Great Heathen Army’, in Graham-Campbell, J. et al. (ed.) </w:t>
      </w:r>
      <w:r w:rsidRPr="00B90AB6">
        <w:rPr>
          <w:i/>
          <w:iCs/>
        </w:rPr>
        <w:t>Vikings and the Danelaw: Select Papers from the Proceedings of the Thirteenth Viking Congress</w:t>
      </w:r>
      <w:r>
        <w:t>. (Oxford: Oxbow Books, 2001).</w:t>
      </w:r>
    </w:p>
    <w:p w14:paraId="004A1E4E" w14:textId="36AB478C" w:rsidR="006F0B5F" w:rsidRDefault="006F0B5F" w:rsidP="000C35B2">
      <w:pPr>
        <w:spacing w:line="360" w:lineRule="auto"/>
      </w:pPr>
      <w:proofErr w:type="spellStart"/>
      <w:r>
        <w:t>Brownworth</w:t>
      </w:r>
      <w:proofErr w:type="spellEnd"/>
      <w:r>
        <w:t xml:space="preserve">, L, </w:t>
      </w:r>
      <w:r w:rsidRPr="006F0B5F">
        <w:rPr>
          <w:i/>
          <w:iCs/>
        </w:rPr>
        <w:t>The Sea Wolves: A History of the Vikings</w:t>
      </w:r>
      <w:r>
        <w:t>. (London: Crux Publishing Ltd, 2014).</w:t>
      </w:r>
    </w:p>
    <w:p w14:paraId="63E4A803" w14:textId="099EAEA1" w:rsidR="007D0674" w:rsidRPr="003804B6" w:rsidRDefault="007D0674" w:rsidP="000C35B2">
      <w:pPr>
        <w:spacing w:line="360" w:lineRule="auto"/>
        <w:rPr>
          <w:rFonts w:cstheme="minorHAnsi"/>
        </w:rPr>
      </w:pPr>
      <w:r>
        <w:t xml:space="preserve">Buckberry, J.L, et al. ‘Finding Vikings in the Danelaw’, </w:t>
      </w:r>
      <w:r w:rsidRPr="007D0674">
        <w:rPr>
          <w:i/>
          <w:iCs/>
        </w:rPr>
        <w:t>Oxford Journal of Archaeology</w:t>
      </w:r>
      <w:r>
        <w:t>, 33(4) (2014), pp. 413 – 434.</w:t>
      </w:r>
    </w:p>
    <w:p w14:paraId="59487742" w14:textId="2835B5A4" w:rsidR="00303CE1" w:rsidRDefault="003804B6" w:rsidP="000C35B2">
      <w:pPr>
        <w:spacing w:line="360" w:lineRule="auto"/>
      </w:pPr>
      <w:r w:rsidRPr="003804B6">
        <w:t>Carroll, J.</w:t>
      </w:r>
      <w:r>
        <w:t>,</w:t>
      </w:r>
      <w:r w:rsidRPr="003804B6">
        <w:t xml:space="preserve"> Harrison</w:t>
      </w:r>
      <w:r w:rsidR="00303CE1">
        <w:t>,</w:t>
      </w:r>
      <w:r w:rsidRPr="003804B6">
        <w:t xml:space="preserve"> S.H</w:t>
      </w:r>
      <w:r w:rsidR="00303CE1">
        <w:t>.</w:t>
      </w:r>
      <w:r w:rsidRPr="003804B6">
        <w:t xml:space="preserve"> and Williams</w:t>
      </w:r>
      <w:r w:rsidR="00303CE1">
        <w:t>,</w:t>
      </w:r>
      <w:r w:rsidR="00303CE1" w:rsidRPr="00303CE1">
        <w:t xml:space="preserve"> </w:t>
      </w:r>
      <w:r w:rsidR="00303CE1" w:rsidRPr="003804B6">
        <w:t>G.</w:t>
      </w:r>
      <w:r w:rsidRPr="003804B6">
        <w:t xml:space="preserve">, </w:t>
      </w:r>
      <w:r w:rsidRPr="003804B6">
        <w:rPr>
          <w:i/>
          <w:iCs/>
        </w:rPr>
        <w:t>The Vikings in Britain and Ireland</w:t>
      </w:r>
      <w:r w:rsidRPr="003804B6">
        <w:t>, (London: The British Museum Press, 2014).</w:t>
      </w:r>
    </w:p>
    <w:p w14:paraId="2F862F05" w14:textId="3C7B16C7" w:rsidR="007E0E3C" w:rsidRPr="007E0E3C" w:rsidRDefault="007E0E3C" w:rsidP="007E0E3C">
      <w:pPr>
        <w:pStyle w:val="NoSpacing"/>
      </w:pPr>
      <w:r w:rsidRPr="007E0E3C">
        <w:t xml:space="preserve">Chartrand, R. et al. </w:t>
      </w:r>
      <w:r w:rsidRPr="007E0E3C">
        <w:rPr>
          <w:i/>
        </w:rPr>
        <w:t>The Vikings</w:t>
      </w:r>
      <w:r>
        <w:t xml:space="preserve">. </w:t>
      </w:r>
      <w:r w:rsidRPr="007E0E3C">
        <w:t>(Oxford: Osprey Publishing, 2016).</w:t>
      </w:r>
    </w:p>
    <w:p w14:paraId="2973FC02" w14:textId="77777777" w:rsidR="007E0E3C" w:rsidRDefault="007E0E3C" w:rsidP="007E0E3C">
      <w:pPr>
        <w:pStyle w:val="NoSpacing"/>
      </w:pPr>
    </w:p>
    <w:p w14:paraId="47E1E9B7" w14:textId="2D38F6CD" w:rsidR="00B30068" w:rsidRDefault="00B30068" w:rsidP="000C35B2">
      <w:pPr>
        <w:spacing w:line="360" w:lineRule="auto"/>
      </w:pPr>
      <w:r>
        <w:t xml:space="preserve">Eaton, J, </w:t>
      </w:r>
      <w:r w:rsidRPr="00974A9B">
        <w:rPr>
          <w:i/>
          <w:iCs/>
        </w:rPr>
        <w:t>An Archaeological History of Britain: Continuity and Change from Prehistory to the Present</w:t>
      </w:r>
      <w:r w:rsidR="007E0E3C">
        <w:t>.</w:t>
      </w:r>
      <w:r>
        <w:t xml:space="preserve"> (Barnsley: Pen and Sword Archaeology, 2014).</w:t>
      </w:r>
    </w:p>
    <w:p w14:paraId="05B9780B" w14:textId="3A6B7A16" w:rsidR="00303CE1" w:rsidRDefault="00303CE1" w:rsidP="000C35B2">
      <w:pPr>
        <w:spacing w:line="360" w:lineRule="auto"/>
      </w:pPr>
      <w:proofErr w:type="spellStart"/>
      <w:r>
        <w:t>Gestsd</w:t>
      </w:r>
      <w:r>
        <w:rPr>
          <w:rFonts w:cstheme="minorHAnsi"/>
        </w:rPr>
        <w:t>ó</w:t>
      </w:r>
      <w:r>
        <w:t>ttir</w:t>
      </w:r>
      <w:proofErr w:type="spellEnd"/>
      <w:r>
        <w:t xml:space="preserve">, H. ‘Themes in Icelandic Bioarchaeological Research’, in </w:t>
      </w:r>
      <w:proofErr w:type="spellStart"/>
      <w:r>
        <w:t>O’Donnabhain</w:t>
      </w:r>
      <w:proofErr w:type="spellEnd"/>
      <w:r>
        <w:t>, B. and Lozada,</w:t>
      </w:r>
      <w:r w:rsidRPr="00303CE1">
        <w:t xml:space="preserve"> </w:t>
      </w:r>
      <w:r>
        <w:t xml:space="preserve">M. C. (ed.) </w:t>
      </w:r>
      <w:r w:rsidRPr="00D0620E">
        <w:rPr>
          <w:i/>
          <w:iCs/>
        </w:rPr>
        <w:t>Archaeological Human Remains: Global Perspectives</w:t>
      </w:r>
      <w:r>
        <w:t>. (London: Springer, 2014).</w:t>
      </w:r>
      <w:r w:rsidRPr="00303CE1">
        <w:t xml:space="preserve"> </w:t>
      </w:r>
    </w:p>
    <w:p w14:paraId="483773A3" w14:textId="075A17E7" w:rsidR="001349F3" w:rsidRDefault="001349F3" w:rsidP="000C35B2">
      <w:pPr>
        <w:spacing w:line="360" w:lineRule="auto"/>
      </w:pPr>
      <w:r>
        <w:t xml:space="preserve">Haywood, J, </w:t>
      </w:r>
      <w:r w:rsidRPr="001349F3">
        <w:rPr>
          <w:i/>
          <w:iCs/>
        </w:rPr>
        <w:t>Northmen: The Viking Saga 793 – 1241</w:t>
      </w:r>
      <w:r>
        <w:t>. 2</w:t>
      </w:r>
      <w:r w:rsidRPr="001349F3">
        <w:rPr>
          <w:vertAlign w:val="superscript"/>
        </w:rPr>
        <w:t>nd</w:t>
      </w:r>
      <w:r>
        <w:t xml:space="preserve"> Ed. (London: Head of Zeus Ltd, 2016).</w:t>
      </w:r>
    </w:p>
    <w:p w14:paraId="56A1FBFB" w14:textId="40A03B4B" w:rsidR="004C27A0" w:rsidRDefault="004C27A0" w:rsidP="000C35B2">
      <w:pPr>
        <w:spacing w:line="360" w:lineRule="auto"/>
      </w:pPr>
      <w:r>
        <w:t xml:space="preserve">Hubbard, B, </w:t>
      </w:r>
      <w:r w:rsidRPr="004C27A0">
        <w:rPr>
          <w:i/>
          <w:iCs/>
        </w:rPr>
        <w:t>Warriors of the Viking World: The Seafaring Raiders and Explorers who Terrorised Europe for Centuries</w:t>
      </w:r>
      <w:r>
        <w:t>. 2</w:t>
      </w:r>
      <w:r w:rsidRPr="004C27A0">
        <w:rPr>
          <w:vertAlign w:val="superscript"/>
        </w:rPr>
        <w:t>nd</w:t>
      </w:r>
      <w:r>
        <w:t xml:space="preserve"> Ed. (London: Amber Books Ltd, 2018).</w:t>
      </w:r>
    </w:p>
    <w:p w14:paraId="5DE0AE6A" w14:textId="405276BC" w:rsidR="00C54866" w:rsidRPr="007E0E3C" w:rsidRDefault="007E0E3C" w:rsidP="007E0E3C">
      <w:pPr>
        <w:pStyle w:val="FootnoteText"/>
        <w:rPr>
          <w:sz w:val="22"/>
          <w:szCs w:val="22"/>
        </w:rPr>
      </w:pPr>
      <w:proofErr w:type="spellStart"/>
      <w:r w:rsidRPr="007E0E3C">
        <w:rPr>
          <w:sz w:val="22"/>
          <w:szCs w:val="22"/>
        </w:rPr>
        <w:t>Jesch</w:t>
      </w:r>
      <w:proofErr w:type="spellEnd"/>
      <w:r w:rsidRPr="007E0E3C">
        <w:rPr>
          <w:sz w:val="22"/>
          <w:szCs w:val="22"/>
        </w:rPr>
        <w:t>, J</w:t>
      </w:r>
      <w:r>
        <w:rPr>
          <w:sz w:val="22"/>
          <w:szCs w:val="22"/>
        </w:rPr>
        <w:t xml:space="preserve">, </w:t>
      </w:r>
      <w:r w:rsidRPr="007E0E3C">
        <w:rPr>
          <w:i/>
          <w:iCs/>
          <w:sz w:val="22"/>
          <w:szCs w:val="22"/>
        </w:rPr>
        <w:t>The Viking Diaspora</w:t>
      </w:r>
      <w:r>
        <w:rPr>
          <w:sz w:val="22"/>
          <w:szCs w:val="22"/>
        </w:rPr>
        <w:t>.</w:t>
      </w:r>
      <w:r w:rsidRPr="007E0E3C">
        <w:rPr>
          <w:sz w:val="22"/>
          <w:szCs w:val="22"/>
        </w:rPr>
        <w:t xml:space="preserve"> (Abingdon: Routledge, 2015).</w:t>
      </w:r>
    </w:p>
    <w:p w14:paraId="1DDCE982" w14:textId="77777777" w:rsidR="007E0E3C" w:rsidRDefault="007E0E3C" w:rsidP="007E0E3C">
      <w:pPr>
        <w:pStyle w:val="FootnoteText"/>
      </w:pPr>
    </w:p>
    <w:p w14:paraId="7A7512FF" w14:textId="479008EF" w:rsidR="00C54866" w:rsidRDefault="00C54866" w:rsidP="000C35B2">
      <w:pPr>
        <w:spacing w:line="360" w:lineRule="auto"/>
      </w:pPr>
      <w:proofErr w:type="spellStart"/>
      <w:r>
        <w:t>Kjellstr</w:t>
      </w:r>
      <w:r>
        <w:rPr>
          <w:rFonts w:cstheme="minorHAnsi"/>
        </w:rPr>
        <w:t>ö</w:t>
      </w:r>
      <w:r>
        <w:t>m</w:t>
      </w:r>
      <w:proofErr w:type="spellEnd"/>
      <w:r>
        <w:t xml:space="preserve">, A., </w:t>
      </w:r>
      <w:proofErr w:type="spellStart"/>
      <w:r>
        <w:t>Tesch</w:t>
      </w:r>
      <w:proofErr w:type="spellEnd"/>
      <w:r>
        <w:t>, S. and Wikstr</w:t>
      </w:r>
      <w:r>
        <w:rPr>
          <w:rFonts w:cstheme="minorHAnsi"/>
        </w:rPr>
        <w:t>ö</w:t>
      </w:r>
      <w:r>
        <w:t>m, A</w:t>
      </w:r>
      <w:r w:rsidR="00051D54">
        <w:t xml:space="preserve">. ‘Inhabitants of a Sacred Townscape: An Archaeological and Osteological Analysis of Skeletal Remains from Late Viking Age and Medieval </w:t>
      </w:r>
      <w:proofErr w:type="spellStart"/>
      <w:r w:rsidR="00051D54">
        <w:t>Sigtuna</w:t>
      </w:r>
      <w:proofErr w:type="spellEnd"/>
      <w:r w:rsidR="00051D54">
        <w:t xml:space="preserve">, Sweden’, </w:t>
      </w:r>
      <w:r w:rsidR="00051D54" w:rsidRPr="00051D54">
        <w:rPr>
          <w:i/>
          <w:iCs/>
        </w:rPr>
        <w:t xml:space="preserve">Acta </w:t>
      </w:r>
      <w:proofErr w:type="spellStart"/>
      <w:r w:rsidR="00051D54" w:rsidRPr="00051D54">
        <w:rPr>
          <w:i/>
          <w:iCs/>
        </w:rPr>
        <w:t>Archaeologica</w:t>
      </w:r>
      <w:proofErr w:type="spellEnd"/>
      <w:r w:rsidR="00051D54">
        <w:t>, 76 (2005), pp. 87 – 110.</w:t>
      </w:r>
    </w:p>
    <w:p w14:paraId="7BB39043" w14:textId="0FE93773" w:rsidR="005618E9" w:rsidRDefault="005618E9" w:rsidP="000C35B2">
      <w:pPr>
        <w:spacing w:line="360" w:lineRule="auto"/>
      </w:pPr>
      <w:proofErr w:type="spellStart"/>
      <w:r>
        <w:t>Loe</w:t>
      </w:r>
      <w:proofErr w:type="spellEnd"/>
      <w:r>
        <w:t xml:space="preserve">, L. et al. </w:t>
      </w:r>
      <w:r w:rsidRPr="005618E9">
        <w:rPr>
          <w:i/>
          <w:iCs/>
        </w:rPr>
        <w:t>‘Given to the Ground’: A Viking Age Mass Grave on Ridgeway Hill, Weymouth</w:t>
      </w:r>
      <w:r>
        <w:t>. (Dorset: Dorset Natural History and Archaeological Society, 2014).</w:t>
      </w:r>
    </w:p>
    <w:p w14:paraId="1BCEB86D" w14:textId="36A1DBAB" w:rsidR="00D54457" w:rsidRDefault="00D54457" w:rsidP="000C35B2">
      <w:pPr>
        <w:spacing w:line="360" w:lineRule="auto"/>
      </w:pPr>
      <w:r w:rsidRPr="009338E9">
        <w:t>Magnusson, M</w:t>
      </w:r>
      <w:r>
        <w:t>,</w:t>
      </w:r>
      <w:r w:rsidRPr="009338E9">
        <w:t xml:space="preserve"> </w:t>
      </w:r>
      <w:r w:rsidRPr="009338E9">
        <w:rPr>
          <w:i/>
          <w:iCs/>
        </w:rPr>
        <w:t>The Vikings</w:t>
      </w:r>
      <w:r w:rsidR="007E0E3C">
        <w:t>.</w:t>
      </w:r>
      <w:r w:rsidRPr="009338E9">
        <w:t xml:space="preserve"> 5</w:t>
      </w:r>
      <w:r w:rsidRPr="009338E9">
        <w:rPr>
          <w:vertAlign w:val="superscript"/>
        </w:rPr>
        <w:t>th</w:t>
      </w:r>
      <w:r w:rsidRPr="009338E9">
        <w:t xml:space="preserve"> Ed</w:t>
      </w:r>
      <w:r>
        <w:t>.</w:t>
      </w:r>
      <w:r w:rsidRPr="009338E9">
        <w:t xml:space="preserve"> (Stroud: The History Press, 2016).</w:t>
      </w:r>
    </w:p>
    <w:p w14:paraId="6799EB6C" w14:textId="5D7520FE" w:rsidR="00303CE1" w:rsidRDefault="00303CE1" w:rsidP="000C35B2">
      <w:pPr>
        <w:spacing w:line="360" w:lineRule="auto"/>
      </w:pPr>
      <w:r>
        <w:t xml:space="preserve">Mays, S, </w:t>
      </w:r>
      <w:r w:rsidRPr="00BF27CA">
        <w:rPr>
          <w:i/>
          <w:iCs/>
        </w:rPr>
        <w:t>The Archaeology of Human Bones</w:t>
      </w:r>
      <w:r w:rsidR="007E0E3C">
        <w:t>.</w:t>
      </w:r>
      <w:r>
        <w:t xml:space="preserve"> 2</w:t>
      </w:r>
      <w:r w:rsidRPr="00BF27CA">
        <w:rPr>
          <w:vertAlign w:val="superscript"/>
        </w:rPr>
        <w:t>nd</w:t>
      </w:r>
      <w:r>
        <w:t xml:space="preserve"> Ed</w:t>
      </w:r>
      <w:r w:rsidR="007E0E3C">
        <w:t>.</w:t>
      </w:r>
      <w:r>
        <w:t xml:space="preserve"> (Abingdon: Routledge, 2010).</w:t>
      </w:r>
    </w:p>
    <w:p w14:paraId="717F89CF" w14:textId="1FEC870C" w:rsidR="00352DB3" w:rsidRDefault="00352DB3" w:rsidP="000C35B2">
      <w:pPr>
        <w:spacing w:line="360" w:lineRule="auto"/>
      </w:pPr>
      <w:r>
        <w:t xml:space="preserve">Parker, P, </w:t>
      </w:r>
      <w:r w:rsidRPr="006F0B5F">
        <w:rPr>
          <w:i/>
          <w:iCs/>
        </w:rPr>
        <w:t>The Northmen’s Fury: A History of the Viking World</w:t>
      </w:r>
      <w:r>
        <w:t>. (London: Vintage</w:t>
      </w:r>
      <w:r w:rsidR="006F0B5F">
        <w:t>, 2015).</w:t>
      </w:r>
    </w:p>
    <w:p w14:paraId="7B202EE1" w14:textId="0CD6CA4E" w:rsidR="007A2FF4" w:rsidRDefault="007A2FF4" w:rsidP="000C35B2">
      <w:pPr>
        <w:spacing w:line="360" w:lineRule="auto"/>
      </w:pPr>
      <w:r>
        <w:t xml:space="preserve">Richards, J. D. et al. ‘Excavations at the Viking Burrow Cemetery at Heath Wood, Ingleby, Derbyshire’, </w:t>
      </w:r>
      <w:r>
        <w:rPr>
          <w:i/>
          <w:iCs/>
        </w:rPr>
        <w:t>The A</w:t>
      </w:r>
      <w:r w:rsidRPr="000568B0">
        <w:rPr>
          <w:i/>
          <w:iCs/>
        </w:rPr>
        <w:t>ntiquities Journal</w:t>
      </w:r>
      <w:r>
        <w:t>, 84 (2004), pp. 23 – 116.</w:t>
      </w:r>
    </w:p>
    <w:p w14:paraId="39A209CB" w14:textId="311FA563" w:rsidR="007A2FF4" w:rsidRDefault="00B30068" w:rsidP="000C35B2">
      <w:pPr>
        <w:spacing w:line="360" w:lineRule="auto"/>
      </w:pPr>
      <w:r>
        <w:t>Richards, J.D. ‘The Scandinavian Presence’, in Hunter, J. and Ralston,</w:t>
      </w:r>
      <w:r w:rsidRPr="00B30068">
        <w:t xml:space="preserve"> </w:t>
      </w:r>
      <w:r>
        <w:t xml:space="preserve">I. (ed.) </w:t>
      </w:r>
      <w:r w:rsidRPr="00974A9B">
        <w:rPr>
          <w:i/>
          <w:iCs/>
        </w:rPr>
        <w:t>The Archaeology of Britain: An Introduction from the Upper Palaeolithic to the Industrial Revolution</w:t>
      </w:r>
      <w:r>
        <w:t>. (London: Routledge, 1999).</w:t>
      </w:r>
    </w:p>
    <w:p w14:paraId="2618884E" w14:textId="68EE95CC" w:rsidR="000C1A74" w:rsidRDefault="000C1A74" w:rsidP="000C35B2">
      <w:pPr>
        <w:spacing w:line="360" w:lineRule="auto"/>
      </w:pPr>
      <w:r>
        <w:t xml:space="preserve">Richards, J. D. ‘Pagans and Christians at the Frontier: Viking Burials in the Danelaw’, in Carver, M. (ed.) </w:t>
      </w:r>
      <w:r w:rsidRPr="000C1A74">
        <w:rPr>
          <w:i/>
          <w:iCs/>
        </w:rPr>
        <w:t>The Cross Goes North: Processes of Conversion in Norther Europe AD 300 – 1300</w:t>
      </w:r>
      <w:r>
        <w:t>. (Woodbridge: The Boydell Press, 2005).</w:t>
      </w:r>
    </w:p>
    <w:p w14:paraId="1F024F69" w14:textId="41C7D6AC" w:rsidR="00CE295C" w:rsidRDefault="00CE295C" w:rsidP="00CE295C">
      <w:pPr>
        <w:spacing w:line="360" w:lineRule="auto"/>
      </w:pPr>
      <w:r>
        <w:t>Waldman, C. and Mason,</w:t>
      </w:r>
      <w:r w:rsidRPr="00CE295C">
        <w:t xml:space="preserve"> </w:t>
      </w:r>
      <w:r>
        <w:t xml:space="preserve">C, </w:t>
      </w:r>
      <w:r w:rsidRPr="00C86579">
        <w:rPr>
          <w:i/>
          <w:iCs/>
        </w:rPr>
        <w:t>Encyclopaedia of European Peoples</w:t>
      </w:r>
      <w:r w:rsidR="007E0E3C">
        <w:t>.</w:t>
      </w:r>
      <w:r>
        <w:t xml:space="preserve"> (New York: Facts On File Inc</w:t>
      </w:r>
      <w:r w:rsidR="004C27A0">
        <w:t>.</w:t>
      </w:r>
      <w:r>
        <w:t>, 2006).</w:t>
      </w:r>
      <w:r w:rsidRPr="00CE295C">
        <w:t xml:space="preserve"> </w:t>
      </w:r>
    </w:p>
    <w:p w14:paraId="2A835F4D" w14:textId="45C1D35E" w:rsidR="00051D54" w:rsidRDefault="00051D54" w:rsidP="00CE295C">
      <w:pPr>
        <w:spacing w:line="360" w:lineRule="auto"/>
      </w:pPr>
      <w:proofErr w:type="spellStart"/>
      <w:r>
        <w:t>Welander</w:t>
      </w:r>
      <w:proofErr w:type="spellEnd"/>
      <w:r>
        <w:t xml:space="preserve">, R.D.E., </w:t>
      </w:r>
      <w:proofErr w:type="spellStart"/>
      <w:r>
        <w:t>Batey</w:t>
      </w:r>
      <w:proofErr w:type="spellEnd"/>
      <w:r>
        <w:t xml:space="preserve">, C.E. and Cowie, T.G, ‘A Viking Burial from </w:t>
      </w:r>
      <w:proofErr w:type="spellStart"/>
      <w:r>
        <w:t>Kneep</w:t>
      </w:r>
      <w:proofErr w:type="spellEnd"/>
      <w:r>
        <w:t xml:space="preserve">, </w:t>
      </w:r>
      <w:proofErr w:type="spellStart"/>
      <w:r>
        <w:t>Uig</w:t>
      </w:r>
      <w:proofErr w:type="spellEnd"/>
      <w:r>
        <w:t xml:space="preserve">, Isle of Lewis’, </w:t>
      </w:r>
      <w:r w:rsidRPr="00051D54">
        <w:rPr>
          <w:i/>
          <w:iCs/>
        </w:rPr>
        <w:t>Proceedings of the Society of Antiquaries of Scotland</w:t>
      </w:r>
      <w:r>
        <w:t>, 117 (1987), pp. 149 – 174.</w:t>
      </w:r>
    </w:p>
    <w:p w14:paraId="672244D5" w14:textId="5F915AEA" w:rsidR="00CE295C" w:rsidRDefault="00CE295C" w:rsidP="00CE295C">
      <w:pPr>
        <w:spacing w:line="360" w:lineRule="auto"/>
      </w:pPr>
      <w:r>
        <w:t xml:space="preserve">Williams, T, </w:t>
      </w:r>
      <w:r w:rsidRPr="00551C15">
        <w:rPr>
          <w:i/>
          <w:iCs/>
        </w:rPr>
        <w:t>Viking Britain: A History</w:t>
      </w:r>
      <w:r w:rsidR="007E0E3C">
        <w:t>.</w:t>
      </w:r>
      <w:r>
        <w:t xml:space="preserve"> (London: William Collins, 2017).</w:t>
      </w:r>
    </w:p>
    <w:p w14:paraId="6F91FA6C" w14:textId="77777777" w:rsidR="00C54866" w:rsidRDefault="00C54866" w:rsidP="006F0B5F">
      <w:pPr>
        <w:spacing w:line="360" w:lineRule="auto"/>
        <w:rPr>
          <w:b/>
          <w:bCs/>
          <w:sz w:val="24"/>
          <w:szCs w:val="24"/>
        </w:rPr>
      </w:pPr>
    </w:p>
    <w:p w14:paraId="59EE7247" w14:textId="37868E8C" w:rsidR="00643517" w:rsidRDefault="006F0B5F" w:rsidP="00643517">
      <w:pPr>
        <w:spacing w:line="360" w:lineRule="auto"/>
        <w:rPr>
          <w:b/>
          <w:bCs/>
          <w:sz w:val="24"/>
          <w:szCs w:val="24"/>
        </w:rPr>
      </w:pPr>
      <w:r>
        <w:rPr>
          <w:b/>
          <w:bCs/>
          <w:sz w:val="24"/>
          <w:szCs w:val="24"/>
        </w:rPr>
        <w:t>Electronic</w:t>
      </w:r>
      <w:r w:rsidRPr="003804B6">
        <w:rPr>
          <w:b/>
          <w:bCs/>
          <w:sz w:val="24"/>
          <w:szCs w:val="24"/>
        </w:rPr>
        <w:t xml:space="preserve"> Sources</w:t>
      </w:r>
    </w:p>
    <w:p w14:paraId="02747A0D" w14:textId="77777777" w:rsidR="002B124F" w:rsidRPr="00D54457" w:rsidRDefault="002B124F" w:rsidP="002B124F">
      <w:pPr>
        <w:spacing w:line="360" w:lineRule="auto"/>
        <w:rPr>
          <w:sz w:val="24"/>
          <w:szCs w:val="24"/>
        </w:rPr>
      </w:pPr>
      <w:proofErr w:type="spellStart"/>
      <w:r w:rsidRPr="002B124F">
        <w:t>Friðriksson</w:t>
      </w:r>
      <w:proofErr w:type="spellEnd"/>
      <w:r w:rsidRPr="002B124F">
        <w:t xml:space="preserve">, A., </w:t>
      </w:r>
      <w:proofErr w:type="spellStart"/>
      <w:r w:rsidRPr="002B124F">
        <w:t>Gestsdóttir</w:t>
      </w:r>
      <w:proofErr w:type="spellEnd"/>
      <w:r w:rsidRPr="002B124F">
        <w:t xml:space="preserve">, H., </w:t>
      </w:r>
      <w:proofErr w:type="spellStart"/>
      <w:r w:rsidRPr="002B124F">
        <w:t>Daxböck</w:t>
      </w:r>
      <w:proofErr w:type="spellEnd"/>
      <w:r w:rsidRPr="002B124F">
        <w:t xml:space="preserve">, A. and </w:t>
      </w:r>
      <w:proofErr w:type="spellStart"/>
      <w:r w:rsidRPr="002B124F">
        <w:t>Gisladóttir</w:t>
      </w:r>
      <w:proofErr w:type="spellEnd"/>
      <w:r w:rsidRPr="002B124F">
        <w:t>, G.A. '</w:t>
      </w:r>
      <w:proofErr w:type="spellStart"/>
      <w:r w:rsidRPr="002B124F">
        <w:t>Hringsdalur</w:t>
      </w:r>
      <w:proofErr w:type="spellEnd"/>
      <w:r w:rsidRPr="002B124F">
        <w:t xml:space="preserve"> í </w:t>
      </w:r>
      <w:proofErr w:type="spellStart"/>
      <w:r w:rsidRPr="002B124F">
        <w:t>Arnarfirði</w:t>
      </w:r>
      <w:proofErr w:type="spellEnd"/>
      <w:r w:rsidRPr="002B124F">
        <w:t>', </w:t>
      </w:r>
      <w:r w:rsidRPr="002B124F">
        <w:rPr>
          <w:i/>
          <w:iCs/>
        </w:rPr>
        <w:t>Archaeological Survey 2006: FS413-06441</w:t>
      </w:r>
      <w:r w:rsidRPr="002B124F">
        <w:t>, Reykjavík: Archaeological Institute of Iceland (2010), &lt;https://www.nabohome.org/cgi-bin/explore.pl?seq=99&gt; [Accessed: 15th October 2019].</w:t>
      </w:r>
    </w:p>
    <w:p w14:paraId="3D54ED25" w14:textId="77777777" w:rsidR="002B124F" w:rsidRPr="006B6FAB" w:rsidRDefault="002B124F" w:rsidP="002B124F">
      <w:pPr>
        <w:spacing w:line="360" w:lineRule="auto"/>
      </w:pPr>
      <w:proofErr w:type="spellStart"/>
      <w:r>
        <w:t>Holk</w:t>
      </w:r>
      <w:proofErr w:type="spellEnd"/>
      <w:r>
        <w:t xml:space="preserve">, P. ‘Bone Material Densities in the Prehistoric, Viking Age, and Medieval Populations of Norway’, </w:t>
      </w:r>
      <w:r w:rsidRPr="006B6FAB">
        <w:rPr>
          <w:i/>
          <w:iCs/>
        </w:rPr>
        <w:t>International Journal of Osteoarchaeology</w:t>
      </w:r>
      <w:r>
        <w:t xml:space="preserve">, 17 (2) (2006), pp. 199 – 206, &lt;DOI: </w:t>
      </w:r>
      <w:r w:rsidRPr="006B6FAB">
        <w:rPr>
          <w:rFonts w:cstheme="minorHAnsi"/>
          <w:shd w:val="clear" w:color="auto" w:fill="FFFFFF"/>
        </w:rPr>
        <w:t>https://doi.org/10.1002/oa.870</w:t>
      </w:r>
      <w:r w:rsidRPr="006B6FAB">
        <w:rPr>
          <w:rFonts w:cstheme="minorHAnsi"/>
        </w:rPr>
        <w:t>&gt;</w:t>
      </w:r>
      <w:r>
        <w:rPr>
          <w:rFonts w:cstheme="minorHAnsi"/>
        </w:rPr>
        <w:t>, [Accessed: 11</w:t>
      </w:r>
      <w:r w:rsidRPr="006B6FAB">
        <w:rPr>
          <w:rFonts w:cstheme="minorHAnsi"/>
          <w:vertAlign w:val="superscript"/>
        </w:rPr>
        <w:t>th</w:t>
      </w:r>
      <w:r>
        <w:rPr>
          <w:rFonts w:cstheme="minorHAnsi"/>
        </w:rPr>
        <w:t xml:space="preserve"> October 2019].</w:t>
      </w:r>
    </w:p>
    <w:p w14:paraId="7E1A6B52" w14:textId="77777777" w:rsidR="002B124F" w:rsidRDefault="002B124F" w:rsidP="002B124F">
      <w:pPr>
        <w:spacing w:line="360" w:lineRule="auto"/>
      </w:pPr>
      <w:proofErr w:type="spellStart"/>
      <w:r>
        <w:t>Sj</w:t>
      </w:r>
      <w:r>
        <w:rPr>
          <w:rFonts w:cstheme="minorHAnsi"/>
        </w:rPr>
        <w:t>ø</w:t>
      </w:r>
      <w:r>
        <w:t>vold</w:t>
      </w:r>
      <w:proofErr w:type="spellEnd"/>
      <w:r>
        <w:t xml:space="preserve">, T. ‘Estimation of Stature from Long Bones utilizing the line of Organic Correlation’, </w:t>
      </w:r>
      <w:r w:rsidRPr="003619E4">
        <w:rPr>
          <w:i/>
          <w:iCs/>
        </w:rPr>
        <w:t>Human Evolution</w:t>
      </w:r>
      <w:r>
        <w:t xml:space="preserve">, 5(5), (1990) pp. 431 – 447, &lt;DOI: </w:t>
      </w:r>
      <w:r w:rsidRPr="003619E4">
        <w:rPr>
          <w:rFonts w:cstheme="minorHAnsi"/>
          <w:color w:val="000000" w:themeColor="text1"/>
        </w:rPr>
        <w:t>10.1007/BF02435593</w:t>
      </w:r>
      <w:r>
        <w:rPr>
          <w:rFonts w:cstheme="minorHAnsi"/>
          <w:color w:val="000000" w:themeColor="text1"/>
        </w:rPr>
        <w:t>&gt;, [Accessed: 14</w:t>
      </w:r>
      <w:r w:rsidRPr="003619E4">
        <w:rPr>
          <w:rFonts w:cstheme="minorHAnsi"/>
          <w:color w:val="000000" w:themeColor="text1"/>
          <w:vertAlign w:val="superscript"/>
        </w:rPr>
        <w:t>th</w:t>
      </w:r>
      <w:r>
        <w:rPr>
          <w:rFonts w:cstheme="minorHAnsi"/>
          <w:color w:val="000000" w:themeColor="text1"/>
        </w:rPr>
        <w:t xml:space="preserve"> October 2019].</w:t>
      </w:r>
    </w:p>
    <w:p w14:paraId="3B12C04D" w14:textId="488BF2AD" w:rsidR="006F0B5F" w:rsidRDefault="006F0B5F">
      <w:pPr>
        <w:spacing w:line="360" w:lineRule="auto"/>
        <w:rPr>
          <w:sz w:val="24"/>
          <w:szCs w:val="24"/>
        </w:rPr>
      </w:pPr>
    </w:p>
    <w:p w14:paraId="3BE9A8E5" w14:textId="2904DC79" w:rsidR="002E28FA" w:rsidRPr="002E28FA" w:rsidRDefault="002E28FA">
      <w:pPr>
        <w:spacing w:line="360" w:lineRule="auto"/>
        <w:rPr>
          <w:rFonts w:cstheme="minorHAnsi"/>
        </w:rPr>
      </w:pPr>
    </w:p>
    <w:sectPr w:rsidR="002E28FA" w:rsidRPr="002E28FA" w:rsidSect="00461A8B">
      <w:headerReference w:type="default" r:id="rId8"/>
      <w:footerReference w:type="default" r:id="rId9"/>
      <w:pgSz w:w="11906" w:h="16838"/>
      <w:pgMar w:top="1440" w:right="1440" w:bottom="1440" w:left="1440" w:header="39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C1893" w14:textId="77777777" w:rsidR="00BC6107" w:rsidRDefault="00BC6107" w:rsidP="00461A8B">
      <w:pPr>
        <w:spacing w:after="0" w:line="240" w:lineRule="auto"/>
      </w:pPr>
      <w:r>
        <w:separator/>
      </w:r>
    </w:p>
  </w:endnote>
  <w:endnote w:type="continuationSeparator" w:id="0">
    <w:p w14:paraId="67093E12" w14:textId="77777777" w:rsidR="00BC6107" w:rsidRDefault="00BC6107" w:rsidP="00461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5772840"/>
      <w:docPartObj>
        <w:docPartGallery w:val="Page Numbers (Bottom of Page)"/>
        <w:docPartUnique/>
      </w:docPartObj>
    </w:sdtPr>
    <w:sdtEndPr>
      <w:rPr>
        <w:noProof/>
      </w:rPr>
    </w:sdtEndPr>
    <w:sdtContent>
      <w:p w14:paraId="61102D13" w14:textId="7E4C48A8" w:rsidR="00461A8B" w:rsidRDefault="00461A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9143DB" w14:textId="77777777" w:rsidR="00461A8B" w:rsidRDefault="00461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BAEFE" w14:textId="77777777" w:rsidR="00BC6107" w:rsidRDefault="00BC6107" w:rsidP="00461A8B">
      <w:pPr>
        <w:spacing w:after="0" w:line="240" w:lineRule="auto"/>
      </w:pPr>
      <w:r>
        <w:separator/>
      </w:r>
    </w:p>
  </w:footnote>
  <w:footnote w:type="continuationSeparator" w:id="0">
    <w:p w14:paraId="6EE3032A" w14:textId="77777777" w:rsidR="00BC6107" w:rsidRDefault="00BC6107" w:rsidP="00461A8B">
      <w:pPr>
        <w:spacing w:after="0" w:line="240" w:lineRule="auto"/>
      </w:pPr>
      <w:r>
        <w:continuationSeparator/>
      </w:r>
    </w:p>
  </w:footnote>
  <w:footnote w:id="1">
    <w:p w14:paraId="4393002C" w14:textId="78E6C556" w:rsidR="00F43964" w:rsidRDefault="00F43964" w:rsidP="00A42B61">
      <w:pPr>
        <w:pStyle w:val="NoSpacing"/>
      </w:pPr>
      <w:r>
        <w:rPr>
          <w:rStyle w:val="FootnoteReference"/>
        </w:rPr>
        <w:footnoteRef/>
      </w:r>
      <w:r>
        <w:t xml:space="preserve"> </w:t>
      </w:r>
      <w:r w:rsidRPr="00A42B61">
        <w:rPr>
          <w:sz w:val="20"/>
          <w:szCs w:val="20"/>
        </w:rPr>
        <w:t>J. Carroll, S.H. Harrison</w:t>
      </w:r>
      <w:r w:rsidR="00BD2AD6" w:rsidRPr="00A42B61">
        <w:rPr>
          <w:sz w:val="20"/>
          <w:szCs w:val="20"/>
        </w:rPr>
        <w:t xml:space="preserve"> and </w:t>
      </w:r>
      <w:r w:rsidRPr="00A42B61">
        <w:rPr>
          <w:sz w:val="20"/>
          <w:szCs w:val="20"/>
        </w:rPr>
        <w:t xml:space="preserve">G. Williams, </w:t>
      </w:r>
      <w:r w:rsidRPr="00A42B61">
        <w:rPr>
          <w:i/>
          <w:iCs/>
          <w:sz w:val="20"/>
          <w:szCs w:val="20"/>
        </w:rPr>
        <w:t>The Vikings in Britain and Ireland</w:t>
      </w:r>
      <w:r w:rsidRPr="00A42B61">
        <w:rPr>
          <w:sz w:val="20"/>
          <w:szCs w:val="20"/>
        </w:rPr>
        <w:t xml:space="preserve">, (London: The British Museum Press, 2014) pp. 6 &amp; 133. </w:t>
      </w:r>
    </w:p>
  </w:footnote>
  <w:footnote w:id="2">
    <w:p w14:paraId="5EB5E621" w14:textId="0134BC76" w:rsidR="00404AB3" w:rsidRDefault="00404AB3">
      <w:pPr>
        <w:pStyle w:val="FootnoteText"/>
      </w:pPr>
      <w:r>
        <w:rPr>
          <w:rStyle w:val="FootnoteReference"/>
        </w:rPr>
        <w:footnoteRef/>
      </w:r>
      <w:r>
        <w:t xml:space="preserve"> </w:t>
      </w:r>
      <w:r w:rsidR="00EB39AB" w:rsidRPr="00A42B61">
        <w:t xml:space="preserve">Carroll, Harrison and Williams, </w:t>
      </w:r>
      <w:r w:rsidR="00EB39AB" w:rsidRPr="00A42B61">
        <w:rPr>
          <w:i/>
          <w:iCs/>
        </w:rPr>
        <w:t>The Vikings in Britain and Ireland</w:t>
      </w:r>
      <w:r w:rsidR="00EB39AB" w:rsidRPr="00A42B61">
        <w:t>, p. 6.</w:t>
      </w:r>
    </w:p>
  </w:footnote>
  <w:footnote w:id="3">
    <w:p w14:paraId="52244D9D" w14:textId="34E60157" w:rsidR="002B11BB" w:rsidRDefault="002B11BB">
      <w:pPr>
        <w:pStyle w:val="FootnoteText"/>
      </w:pPr>
      <w:r>
        <w:rPr>
          <w:rStyle w:val="FootnoteReference"/>
        </w:rPr>
        <w:footnoteRef/>
      </w:r>
      <w:r>
        <w:t xml:space="preserve"> </w:t>
      </w:r>
      <w:r w:rsidR="00BF27CA">
        <w:t xml:space="preserve">S. Mays, </w:t>
      </w:r>
      <w:r w:rsidR="00BF27CA" w:rsidRPr="00BF27CA">
        <w:rPr>
          <w:i/>
          <w:iCs/>
        </w:rPr>
        <w:t>The Archaeology of Human Bones</w:t>
      </w:r>
      <w:r w:rsidR="00BF27CA">
        <w:t xml:space="preserve"> 2</w:t>
      </w:r>
      <w:r w:rsidR="00BF27CA" w:rsidRPr="00BF27CA">
        <w:rPr>
          <w:vertAlign w:val="superscript"/>
        </w:rPr>
        <w:t>nd</w:t>
      </w:r>
      <w:r w:rsidR="00BF27CA">
        <w:t xml:space="preserve"> Edition, (</w:t>
      </w:r>
      <w:r w:rsidR="002F740E">
        <w:t>Abingdon</w:t>
      </w:r>
      <w:r w:rsidR="00BF27CA">
        <w:t>: Routledge, 2010) p. 23.</w:t>
      </w:r>
    </w:p>
  </w:footnote>
  <w:footnote w:id="4">
    <w:p w14:paraId="2F9B9FA7" w14:textId="44357FC6" w:rsidR="00D0620E" w:rsidRDefault="00D0620E">
      <w:pPr>
        <w:pStyle w:val="FootnoteText"/>
      </w:pPr>
      <w:r>
        <w:rPr>
          <w:rStyle w:val="FootnoteReference"/>
        </w:rPr>
        <w:footnoteRef/>
      </w:r>
      <w:r>
        <w:t xml:space="preserve"> H. </w:t>
      </w:r>
      <w:proofErr w:type="spellStart"/>
      <w:r>
        <w:t>Gestsd</w:t>
      </w:r>
      <w:r>
        <w:rPr>
          <w:rFonts w:cstheme="minorHAnsi"/>
        </w:rPr>
        <w:t>ó</w:t>
      </w:r>
      <w:r>
        <w:t>ttir</w:t>
      </w:r>
      <w:proofErr w:type="spellEnd"/>
      <w:r>
        <w:t xml:space="preserve">, ‘Themes in Icelandic Bioarchaeological Research’, in </w:t>
      </w:r>
      <w:r w:rsidRPr="00D0620E">
        <w:rPr>
          <w:i/>
          <w:iCs/>
        </w:rPr>
        <w:t>Archaeological Human Remains: Global Perspectives</w:t>
      </w:r>
      <w:r>
        <w:t xml:space="preserve">, ed. By B. </w:t>
      </w:r>
      <w:proofErr w:type="spellStart"/>
      <w:r>
        <w:t>O’Donnabhain</w:t>
      </w:r>
      <w:proofErr w:type="spellEnd"/>
      <w:r>
        <w:t xml:space="preserve"> and M. C. Lozada (London: Springer, 2014), pp. 127 – 138 (p. 129).</w:t>
      </w:r>
    </w:p>
  </w:footnote>
  <w:footnote w:id="5">
    <w:p w14:paraId="42850536" w14:textId="30A4BD06" w:rsidR="005A651F" w:rsidRPr="009338E9" w:rsidRDefault="005A651F" w:rsidP="005A651F">
      <w:pPr>
        <w:pStyle w:val="NoSpacing"/>
        <w:rPr>
          <w:rFonts w:eastAsia="Times New Roman"/>
          <w:color w:val="212121"/>
        </w:rPr>
      </w:pPr>
      <w:r>
        <w:rPr>
          <w:rStyle w:val="FootnoteReference"/>
        </w:rPr>
        <w:footnoteRef/>
      </w:r>
      <w:r>
        <w:t xml:space="preserve"> </w:t>
      </w:r>
      <w:r w:rsidRPr="00940108">
        <w:rPr>
          <w:sz w:val="20"/>
          <w:szCs w:val="20"/>
        </w:rPr>
        <w:t>A</w:t>
      </w:r>
      <w:r w:rsidRPr="009338E9">
        <w:rPr>
          <w:sz w:val="20"/>
          <w:szCs w:val="20"/>
        </w:rPr>
        <w:t xml:space="preserve">. </w:t>
      </w:r>
      <w:proofErr w:type="spellStart"/>
      <w:r w:rsidRPr="009338E9">
        <w:rPr>
          <w:sz w:val="20"/>
          <w:szCs w:val="20"/>
        </w:rPr>
        <w:t>Friðriksson</w:t>
      </w:r>
      <w:proofErr w:type="spellEnd"/>
      <w:r w:rsidRPr="009338E9">
        <w:rPr>
          <w:sz w:val="20"/>
          <w:szCs w:val="20"/>
        </w:rPr>
        <w:t xml:space="preserve">, H. </w:t>
      </w:r>
      <w:proofErr w:type="spellStart"/>
      <w:r w:rsidRPr="009338E9">
        <w:rPr>
          <w:sz w:val="20"/>
          <w:szCs w:val="20"/>
        </w:rPr>
        <w:t>Gestsdóttir</w:t>
      </w:r>
      <w:proofErr w:type="spellEnd"/>
      <w:r w:rsidRPr="009338E9">
        <w:rPr>
          <w:sz w:val="20"/>
          <w:szCs w:val="20"/>
        </w:rPr>
        <w:t xml:space="preserve">, A. </w:t>
      </w:r>
      <w:proofErr w:type="spellStart"/>
      <w:r w:rsidRPr="009338E9">
        <w:rPr>
          <w:sz w:val="20"/>
          <w:szCs w:val="20"/>
        </w:rPr>
        <w:t>Daxböck</w:t>
      </w:r>
      <w:proofErr w:type="spellEnd"/>
      <w:r w:rsidRPr="009338E9">
        <w:rPr>
          <w:sz w:val="20"/>
          <w:szCs w:val="20"/>
        </w:rPr>
        <w:t xml:space="preserve"> and G.A. </w:t>
      </w:r>
      <w:proofErr w:type="spellStart"/>
      <w:r w:rsidRPr="009338E9">
        <w:rPr>
          <w:sz w:val="20"/>
          <w:szCs w:val="20"/>
        </w:rPr>
        <w:t>Gisladóttir</w:t>
      </w:r>
      <w:proofErr w:type="spellEnd"/>
      <w:r w:rsidRPr="009338E9">
        <w:rPr>
          <w:sz w:val="20"/>
          <w:szCs w:val="20"/>
        </w:rPr>
        <w:t>, '</w:t>
      </w:r>
      <w:proofErr w:type="spellStart"/>
      <w:r w:rsidRPr="009338E9">
        <w:rPr>
          <w:sz w:val="20"/>
          <w:szCs w:val="20"/>
        </w:rPr>
        <w:t>Hringsdalur</w:t>
      </w:r>
      <w:proofErr w:type="spellEnd"/>
      <w:r w:rsidRPr="009338E9">
        <w:rPr>
          <w:sz w:val="20"/>
          <w:szCs w:val="20"/>
        </w:rPr>
        <w:t xml:space="preserve"> í </w:t>
      </w:r>
      <w:proofErr w:type="spellStart"/>
      <w:r w:rsidRPr="009338E9">
        <w:rPr>
          <w:sz w:val="20"/>
          <w:szCs w:val="20"/>
        </w:rPr>
        <w:t>Arnarfirði</w:t>
      </w:r>
      <w:proofErr w:type="spellEnd"/>
      <w:r w:rsidRPr="009338E9">
        <w:rPr>
          <w:sz w:val="20"/>
          <w:szCs w:val="20"/>
        </w:rPr>
        <w:t>', </w:t>
      </w:r>
      <w:r w:rsidRPr="00D54457">
        <w:rPr>
          <w:i/>
          <w:iCs/>
          <w:sz w:val="20"/>
          <w:szCs w:val="20"/>
        </w:rPr>
        <w:t>Archaeological Survey 2006: FS413-06441</w:t>
      </w:r>
      <w:r w:rsidRPr="009338E9">
        <w:rPr>
          <w:sz w:val="20"/>
          <w:szCs w:val="20"/>
        </w:rPr>
        <w:t>, Reykjavík: Archaeological Institute of Iceland (2010), </w:t>
      </w:r>
      <w:r w:rsidR="00D54457">
        <w:rPr>
          <w:sz w:val="20"/>
          <w:szCs w:val="20"/>
        </w:rPr>
        <w:t>&lt;</w:t>
      </w:r>
      <w:r w:rsidRPr="009338E9">
        <w:rPr>
          <w:sz w:val="20"/>
          <w:szCs w:val="20"/>
        </w:rPr>
        <w:t>https://www.nabohome.org/cgi-bin/explore.pl?seq=99</w:t>
      </w:r>
      <w:r w:rsidR="00D54457">
        <w:rPr>
          <w:sz w:val="20"/>
          <w:szCs w:val="20"/>
        </w:rPr>
        <w:t>&gt;</w:t>
      </w:r>
      <w:r w:rsidRPr="009338E9">
        <w:rPr>
          <w:sz w:val="20"/>
          <w:szCs w:val="20"/>
        </w:rPr>
        <w:t> [Accessed: 15th October 2019].</w:t>
      </w:r>
    </w:p>
  </w:footnote>
  <w:footnote w:id="6">
    <w:p w14:paraId="7815043A" w14:textId="25443803" w:rsidR="004019BE" w:rsidRPr="009338E9" w:rsidRDefault="004019BE">
      <w:pPr>
        <w:pStyle w:val="FootnoteText"/>
      </w:pPr>
      <w:r w:rsidRPr="009338E9">
        <w:rPr>
          <w:rStyle w:val="FootnoteReference"/>
        </w:rPr>
        <w:footnoteRef/>
      </w:r>
      <w:r w:rsidRPr="009338E9">
        <w:t xml:space="preserve"> Ahmed Ibn </w:t>
      </w:r>
      <w:proofErr w:type="spellStart"/>
      <w:r w:rsidRPr="009338E9">
        <w:t>Fadl</w:t>
      </w:r>
      <w:r w:rsidRPr="009338E9">
        <w:rPr>
          <w:rFonts w:cstheme="minorHAnsi"/>
        </w:rPr>
        <w:t>ā</w:t>
      </w:r>
      <w:r w:rsidRPr="009338E9">
        <w:t>n</w:t>
      </w:r>
      <w:proofErr w:type="spellEnd"/>
      <w:r w:rsidRPr="009338E9">
        <w:t>,</w:t>
      </w:r>
      <w:r w:rsidR="00936D98" w:rsidRPr="009338E9">
        <w:t xml:space="preserve"> </w:t>
      </w:r>
      <w:r w:rsidR="00936D98" w:rsidRPr="009338E9">
        <w:rPr>
          <w:i/>
          <w:iCs/>
        </w:rPr>
        <w:t xml:space="preserve">Ibn </w:t>
      </w:r>
      <w:proofErr w:type="spellStart"/>
      <w:r w:rsidR="00936D98" w:rsidRPr="009338E9">
        <w:rPr>
          <w:i/>
          <w:iCs/>
        </w:rPr>
        <w:t>Fadl</w:t>
      </w:r>
      <w:r w:rsidR="00936D98" w:rsidRPr="009338E9">
        <w:rPr>
          <w:rFonts w:cstheme="minorHAnsi"/>
          <w:i/>
          <w:iCs/>
        </w:rPr>
        <w:t>ā</w:t>
      </w:r>
      <w:r w:rsidR="00936D98" w:rsidRPr="009338E9">
        <w:rPr>
          <w:i/>
          <w:iCs/>
        </w:rPr>
        <w:t>n</w:t>
      </w:r>
      <w:proofErr w:type="spellEnd"/>
      <w:r w:rsidR="00936D98" w:rsidRPr="009338E9">
        <w:rPr>
          <w:i/>
          <w:iCs/>
        </w:rPr>
        <w:t xml:space="preserve"> and the Land of Darkness: Arab Travellers in the Far North</w:t>
      </w:r>
      <w:r w:rsidR="00936D98" w:rsidRPr="009338E9">
        <w:t>, ed. and trans. P. Lund and C. Stone (London</w:t>
      </w:r>
      <w:r w:rsidR="005D60AE">
        <w:t>,</w:t>
      </w:r>
      <w:r w:rsidR="00936D98" w:rsidRPr="009338E9">
        <w:t xml:space="preserve"> 2012), pp. 34 – 72.</w:t>
      </w:r>
    </w:p>
  </w:footnote>
  <w:footnote w:id="7">
    <w:p w14:paraId="22073889" w14:textId="626CF1A4" w:rsidR="00FA37C9" w:rsidRPr="009338E9" w:rsidRDefault="00FA37C9">
      <w:pPr>
        <w:pStyle w:val="FootnoteText"/>
      </w:pPr>
      <w:r w:rsidRPr="009338E9">
        <w:rPr>
          <w:rStyle w:val="FootnoteReference"/>
        </w:rPr>
        <w:footnoteRef/>
      </w:r>
      <w:r w:rsidRPr="009338E9">
        <w:t xml:space="preserve"> M. Magnusson, </w:t>
      </w:r>
      <w:r w:rsidRPr="009338E9">
        <w:rPr>
          <w:i/>
          <w:iCs/>
        </w:rPr>
        <w:t>The Vikings</w:t>
      </w:r>
      <w:r w:rsidRPr="009338E9">
        <w:t xml:space="preserve"> 5</w:t>
      </w:r>
      <w:r w:rsidRPr="009338E9">
        <w:rPr>
          <w:vertAlign w:val="superscript"/>
        </w:rPr>
        <w:t>th</w:t>
      </w:r>
      <w:r w:rsidRPr="009338E9">
        <w:t xml:space="preserve"> Edition, (Stroud: The History Press, 2016) pp. 118 – 308.</w:t>
      </w:r>
    </w:p>
  </w:footnote>
  <w:footnote w:id="8">
    <w:p w14:paraId="6B3C1FBB" w14:textId="0B77CC76" w:rsidR="00316228" w:rsidRDefault="00316228" w:rsidP="00316228">
      <w:pPr>
        <w:pStyle w:val="FootnoteText"/>
      </w:pPr>
      <w:r w:rsidRPr="009338E9">
        <w:rPr>
          <w:rStyle w:val="FootnoteReference"/>
        </w:rPr>
        <w:footnoteRef/>
      </w:r>
      <w:r w:rsidRPr="009338E9">
        <w:t xml:space="preserve">  Carroll, Harrison and Williams, </w:t>
      </w:r>
      <w:r w:rsidRPr="009338E9">
        <w:rPr>
          <w:i/>
          <w:iCs/>
        </w:rPr>
        <w:t>The Vikings in Britain and Ireland</w:t>
      </w:r>
      <w:r w:rsidRPr="009338E9">
        <w:t>, pp. 6 &amp; 134</w:t>
      </w:r>
      <w:r w:rsidRPr="00A42B61">
        <w:t>.</w:t>
      </w:r>
    </w:p>
  </w:footnote>
  <w:footnote w:id="9">
    <w:p w14:paraId="3EBBEC7E" w14:textId="77777777" w:rsidR="00316228" w:rsidRDefault="00316228" w:rsidP="00316228">
      <w:pPr>
        <w:pStyle w:val="FootnoteText"/>
      </w:pPr>
      <w:r>
        <w:rPr>
          <w:rStyle w:val="FootnoteReference"/>
        </w:rPr>
        <w:footnoteRef/>
      </w:r>
      <w:r>
        <w:t xml:space="preserve"> J. Eaton, </w:t>
      </w:r>
      <w:r w:rsidRPr="00974A9B">
        <w:rPr>
          <w:i/>
          <w:iCs/>
        </w:rPr>
        <w:t>An Archaeological History of Britain: Continuity and Change from Prehistory to the Present</w:t>
      </w:r>
      <w:r>
        <w:t>, (Barnsley: Pen and Sword Archaeology, 2014) pp. 116 – 122.</w:t>
      </w:r>
    </w:p>
  </w:footnote>
  <w:footnote w:id="10">
    <w:p w14:paraId="28F61A12" w14:textId="77777777" w:rsidR="00316228" w:rsidRDefault="00316228" w:rsidP="00316228">
      <w:pPr>
        <w:pStyle w:val="FootnoteText"/>
      </w:pPr>
      <w:r>
        <w:rPr>
          <w:rStyle w:val="FootnoteReference"/>
        </w:rPr>
        <w:footnoteRef/>
      </w:r>
      <w:r>
        <w:t xml:space="preserve"> J.D. Richards, ‘The Scandinavian Presence’, in </w:t>
      </w:r>
      <w:r w:rsidRPr="00974A9B">
        <w:rPr>
          <w:i/>
          <w:iCs/>
        </w:rPr>
        <w:t>The Archaeology of Britain: An Introduction from the Upper Palaeolithic to the Industrial Revolution</w:t>
      </w:r>
      <w:r>
        <w:t>, ed. By J. Hunter and I. Ralston (London: Routledge, 1999), pp. 194 – 209, (pp. 194 – 209).</w:t>
      </w:r>
    </w:p>
  </w:footnote>
  <w:footnote w:id="11">
    <w:p w14:paraId="679A8CA7" w14:textId="309D8614" w:rsidR="00263C31" w:rsidRDefault="00263C31">
      <w:pPr>
        <w:pStyle w:val="FootnoteText"/>
      </w:pPr>
      <w:r>
        <w:rPr>
          <w:rStyle w:val="FootnoteReference"/>
        </w:rPr>
        <w:footnoteRef/>
      </w:r>
      <w:r>
        <w:t xml:space="preserve"> C.A. </w:t>
      </w:r>
      <w:proofErr w:type="spellStart"/>
      <w:r>
        <w:t>Arcini</w:t>
      </w:r>
      <w:proofErr w:type="spellEnd"/>
      <w:r>
        <w:t xml:space="preserve">, </w:t>
      </w:r>
      <w:r w:rsidRPr="00744C67">
        <w:rPr>
          <w:i/>
          <w:iCs/>
        </w:rPr>
        <w:t>The Viking Age: A Time of Many Faces</w:t>
      </w:r>
      <w:r>
        <w:t>, (</w:t>
      </w:r>
      <w:r w:rsidR="00744C67">
        <w:t>Oxford: Oxbow Books, 2018) pp. v – 15.</w:t>
      </w:r>
    </w:p>
  </w:footnote>
  <w:footnote w:id="12">
    <w:p w14:paraId="28DA1957" w14:textId="38B42521" w:rsidR="00BF7193" w:rsidRDefault="00BF7193">
      <w:pPr>
        <w:pStyle w:val="FootnoteText"/>
      </w:pPr>
      <w:r>
        <w:rPr>
          <w:rStyle w:val="FootnoteReference"/>
        </w:rPr>
        <w:footnoteRef/>
      </w:r>
      <w:r>
        <w:t xml:space="preserve"> T. Williams, </w:t>
      </w:r>
      <w:r w:rsidRPr="00551C15">
        <w:rPr>
          <w:i/>
          <w:iCs/>
        </w:rPr>
        <w:t>Viking Britain: A History</w:t>
      </w:r>
      <w:r>
        <w:t>, (London: William Collins, 2017) pp. xvi – xx.</w:t>
      </w:r>
    </w:p>
  </w:footnote>
  <w:footnote w:id="13">
    <w:p w14:paraId="64FA1567" w14:textId="0D80D476" w:rsidR="007D3283" w:rsidRDefault="007D3283">
      <w:pPr>
        <w:pStyle w:val="FootnoteText"/>
      </w:pPr>
      <w:r>
        <w:rPr>
          <w:rStyle w:val="FootnoteReference"/>
        </w:rPr>
        <w:footnoteRef/>
      </w:r>
      <w:r>
        <w:t xml:space="preserve"> Mays, </w:t>
      </w:r>
      <w:r w:rsidRPr="00BF27CA">
        <w:rPr>
          <w:i/>
          <w:iCs/>
        </w:rPr>
        <w:t>The Archaeology of Human Bones</w:t>
      </w:r>
      <w:r>
        <w:t>, pp. 331 – 349.</w:t>
      </w:r>
    </w:p>
  </w:footnote>
  <w:footnote w:id="14">
    <w:p w14:paraId="539C556B" w14:textId="36C89E07" w:rsidR="00551327" w:rsidRPr="009338E9" w:rsidRDefault="00551327" w:rsidP="00551327">
      <w:pPr>
        <w:pStyle w:val="FootnoteText"/>
      </w:pPr>
      <w:r>
        <w:rPr>
          <w:rStyle w:val="FootnoteReference"/>
        </w:rPr>
        <w:footnoteRef/>
      </w:r>
      <w:r>
        <w:t xml:space="preserve"> Williams</w:t>
      </w:r>
      <w:r w:rsidRPr="009338E9">
        <w:t xml:space="preserve">, </w:t>
      </w:r>
      <w:r w:rsidRPr="009338E9">
        <w:rPr>
          <w:i/>
          <w:iCs/>
        </w:rPr>
        <w:t>Viking Britain</w:t>
      </w:r>
      <w:r w:rsidR="00BF7193" w:rsidRPr="009338E9">
        <w:rPr>
          <w:i/>
          <w:iCs/>
        </w:rPr>
        <w:t>,</w:t>
      </w:r>
      <w:r w:rsidRPr="009338E9">
        <w:t xml:space="preserve"> 3 – 33.</w:t>
      </w:r>
    </w:p>
  </w:footnote>
  <w:footnote w:id="15">
    <w:p w14:paraId="31FB2423" w14:textId="44170D8F" w:rsidR="00551327" w:rsidRPr="009338E9" w:rsidRDefault="00551327">
      <w:pPr>
        <w:pStyle w:val="FootnoteText"/>
      </w:pPr>
      <w:r w:rsidRPr="009338E9">
        <w:rPr>
          <w:rStyle w:val="FootnoteReference"/>
        </w:rPr>
        <w:footnoteRef/>
      </w:r>
      <w:r w:rsidRPr="009338E9">
        <w:t xml:space="preserve"> </w:t>
      </w:r>
      <w:r w:rsidR="00136E1F" w:rsidRPr="009338E9">
        <w:t xml:space="preserve">Henry of Huntingdon, </w:t>
      </w:r>
      <w:r w:rsidR="00136E1F" w:rsidRPr="009338E9">
        <w:rPr>
          <w:i/>
          <w:iCs/>
        </w:rPr>
        <w:t>The History of the English People 1000 – 1154</w:t>
      </w:r>
      <w:r w:rsidR="00F21E03" w:rsidRPr="009338E9">
        <w:t>, 2</w:t>
      </w:r>
      <w:r w:rsidR="00F21E03" w:rsidRPr="009338E9">
        <w:rPr>
          <w:vertAlign w:val="superscript"/>
        </w:rPr>
        <w:t>nd</w:t>
      </w:r>
      <w:r w:rsidR="00F21E03" w:rsidRPr="009338E9">
        <w:t xml:space="preserve"> edition, ed. and trans. D. Greenway </w:t>
      </w:r>
      <w:r w:rsidR="00136E1F" w:rsidRPr="009338E9">
        <w:t>(Oxford</w:t>
      </w:r>
      <w:r w:rsidR="005D60AE">
        <w:t>,</w:t>
      </w:r>
      <w:r w:rsidR="00136E1F" w:rsidRPr="009338E9">
        <w:t xml:space="preserve"> 2002)</w:t>
      </w:r>
      <w:r w:rsidR="0088437B" w:rsidRPr="009338E9">
        <w:t xml:space="preserve">, pp. </w:t>
      </w:r>
      <w:proofErr w:type="spellStart"/>
      <w:r w:rsidR="0088437B" w:rsidRPr="009338E9">
        <w:t>i</w:t>
      </w:r>
      <w:proofErr w:type="spellEnd"/>
      <w:r w:rsidR="0088437B" w:rsidRPr="009338E9">
        <w:t xml:space="preserve"> – 30.</w:t>
      </w:r>
    </w:p>
  </w:footnote>
  <w:footnote w:id="16">
    <w:p w14:paraId="19480041" w14:textId="1506181A" w:rsidR="0088437B" w:rsidRDefault="0088437B">
      <w:pPr>
        <w:pStyle w:val="FootnoteText"/>
      </w:pPr>
      <w:r w:rsidRPr="009338E9">
        <w:rPr>
          <w:rStyle w:val="FootnoteReference"/>
        </w:rPr>
        <w:footnoteRef/>
      </w:r>
      <w:r w:rsidRPr="009338E9">
        <w:t xml:space="preserve"> Williams, </w:t>
      </w:r>
      <w:r w:rsidRPr="009338E9">
        <w:rPr>
          <w:i/>
          <w:iCs/>
        </w:rPr>
        <w:t>Viking Britain</w:t>
      </w:r>
      <w:r w:rsidRPr="009338E9">
        <w:t>, pp. 13 – 30</w:t>
      </w:r>
      <w:r>
        <w:t>.</w:t>
      </w:r>
    </w:p>
  </w:footnote>
  <w:footnote w:id="17">
    <w:p w14:paraId="4D36816B" w14:textId="575CE641" w:rsidR="000C15E3" w:rsidRDefault="000C15E3">
      <w:pPr>
        <w:pStyle w:val="FootnoteText"/>
      </w:pPr>
      <w:r>
        <w:rPr>
          <w:rStyle w:val="FootnoteReference"/>
        </w:rPr>
        <w:footnoteRef/>
      </w:r>
      <w:r>
        <w:t xml:space="preserve"> R. </w:t>
      </w:r>
      <w:proofErr w:type="spellStart"/>
      <w:r>
        <w:t>Allm</w:t>
      </w:r>
      <w:r>
        <w:rPr>
          <w:rFonts w:cstheme="minorHAnsi"/>
        </w:rPr>
        <w:t>äe</w:t>
      </w:r>
      <w:proofErr w:type="spellEnd"/>
      <w:r>
        <w:rPr>
          <w:rFonts w:cstheme="minorHAnsi"/>
        </w:rPr>
        <w:t xml:space="preserve">, L. </w:t>
      </w:r>
      <w:proofErr w:type="spellStart"/>
      <w:r>
        <w:rPr>
          <w:rFonts w:cstheme="minorHAnsi"/>
        </w:rPr>
        <w:t>Maldre</w:t>
      </w:r>
      <w:proofErr w:type="spellEnd"/>
      <w:r>
        <w:rPr>
          <w:rFonts w:cstheme="minorHAnsi"/>
        </w:rPr>
        <w:t xml:space="preserve"> and T. Tomek, </w:t>
      </w:r>
      <w:r w:rsidR="00180704">
        <w:rPr>
          <w:rFonts w:cstheme="minorHAnsi"/>
        </w:rPr>
        <w:t xml:space="preserve">‘The </w:t>
      </w:r>
      <w:proofErr w:type="spellStart"/>
      <w:r w:rsidR="00180704">
        <w:rPr>
          <w:rFonts w:cstheme="minorHAnsi"/>
        </w:rPr>
        <w:t>Salme</w:t>
      </w:r>
      <w:proofErr w:type="spellEnd"/>
      <w:r w:rsidR="00180704">
        <w:rPr>
          <w:rFonts w:cstheme="minorHAnsi"/>
        </w:rPr>
        <w:t xml:space="preserve"> I Ship Burial: An Osteological View of a Unique Burial in Northern Europe’, </w:t>
      </w:r>
      <w:proofErr w:type="spellStart"/>
      <w:r w:rsidR="00180704" w:rsidRPr="00180704">
        <w:rPr>
          <w:rFonts w:cstheme="minorHAnsi"/>
          <w:i/>
          <w:iCs/>
        </w:rPr>
        <w:t>Interdisciplinaria</w:t>
      </w:r>
      <w:proofErr w:type="spellEnd"/>
      <w:r w:rsidR="00180704" w:rsidRPr="00180704">
        <w:rPr>
          <w:rFonts w:cstheme="minorHAnsi"/>
          <w:i/>
          <w:iCs/>
        </w:rPr>
        <w:t xml:space="preserve"> </w:t>
      </w:r>
      <w:proofErr w:type="spellStart"/>
      <w:r w:rsidR="00180704" w:rsidRPr="00180704">
        <w:rPr>
          <w:rFonts w:cstheme="minorHAnsi"/>
          <w:i/>
          <w:iCs/>
        </w:rPr>
        <w:t>Archaeologica</w:t>
      </w:r>
      <w:proofErr w:type="spellEnd"/>
      <w:r w:rsidR="00180704" w:rsidRPr="00180704">
        <w:rPr>
          <w:rFonts w:cstheme="minorHAnsi"/>
          <w:i/>
          <w:iCs/>
        </w:rPr>
        <w:t xml:space="preserve"> Natural Sciences in Archaeology</w:t>
      </w:r>
      <w:r w:rsidR="00180704">
        <w:rPr>
          <w:rFonts w:cstheme="minorHAnsi"/>
        </w:rPr>
        <w:t>, 2(2) (2011), pp. 109 – 124 (pp. 109 – 112).</w:t>
      </w:r>
    </w:p>
  </w:footnote>
  <w:footnote w:id="18">
    <w:p w14:paraId="7F31F07C" w14:textId="77777777" w:rsidR="00D965B5" w:rsidRDefault="00D965B5" w:rsidP="00D965B5">
      <w:pPr>
        <w:pStyle w:val="FootnoteText"/>
      </w:pPr>
      <w:r>
        <w:rPr>
          <w:rStyle w:val="FootnoteReference"/>
        </w:rPr>
        <w:footnoteRef/>
      </w:r>
      <w:r>
        <w:t xml:space="preserve"> C. Waldman and C. Mason, </w:t>
      </w:r>
      <w:r w:rsidRPr="00C86579">
        <w:rPr>
          <w:i/>
          <w:iCs/>
        </w:rPr>
        <w:t>Encyclopaedia of European Peoples</w:t>
      </w:r>
      <w:r>
        <w:t>, (New York: Facts On File Inc., 2006) p. 468.</w:t>
      </w:r>
    </w:p>
  </w:footnote>
  <w:footnote w:id="19">
    <w:p w14:paraId="6CD14C67" w14:textId="2E60D70F" w:rsidR="001F1E5F" w:rsidRDefault="001F1E5F">
      <w:pPr>
        <w:pStyle w:val="FootnoteText"/>
      </w:pPr>
      <w:r>
        <w:rPr>
          <w:rStyle w:val="FootnoteReference"/>
        </w:rPr>
        <w:footnoteRef/>
      </w:r>
      <w:r>
        <w:t xml:space="preserve"> </w:t>
      </w:r>
      <w:r w:rsidR="00551C15">
        <w:t xml:space="preserve">Williams, </w:t>
      </w:r>
      <w:r w:rsidR="00551C15" w:rsidRPr="00551C15">
        <w:rPr>
          <w:i/>
          <w:iCs/>
        </w:rPr>
        <w:t>Viking Britai</w:t>
      </w:r>
      <w:r w:rsidR="00810924">
        <w:rPr>
          <w:i/>
          <w:iCs/>
        </w:rPr>
        <w:t>n</w:t>
      </w:r>
      <w:r w:rsidR="00551C15">
        <w:t>, p. 95.</w:t>
      </w:r>
    </w:p>
  </w:footnote>
  <w:footnote w:id="20">
    <w:p w14:paraId="047BFAE1" w14:textId="45CA6AB5" w:rsidR="00551C15" w:rsidRDefault="00551C15">
      <w:pPr>
        <w:pStyle w:val="FootnoteText"/>
      </w:pPr>
      <w:r>
        <w:rPr>
          <w:rStyle w:val="FootnoteReference"/>
        </w:rPr>
        <w:footnoteRef/>
      </w:r>
      <w:r>
        <w:t xml:space="preserve"> M. Biddle and B. </w:t>
      </w:r>
      <w:proofErr w:type="spellStart"/>
      <w:r>
        <w:t>Kj</w:t>
      </w:r>
      <w:r>
        <w:rPr>
          <w:rFonts w:cstheme="minorHAnsi"/>
        </w:rPr>
        <w:t>ø</w:t>
      </w:r>
      <w:r>
        <w:t>lbye</w:t>
      </w:r>
      <w:proofErr w:type="spellEnd"/>
      <w:r>
        <w:t>-Biddle, ‘</w:t>
      </w:r>
      <w:proofErr w:type="spellStart"/>
      <w:r>
        <w:t>Repton</w:t>
      </w:r>
      <w:proofErr w:type="spellEnd"/>
      <w:r>
        <w:t xml:space="preserve"> and the ‘Great Heathen Army’</w:t>
      </w:r>
      <w:r w:rsidR="00B90AB6">
        <w:t xml:space="preserve">, in </w:t>
      </w:r>
      <w:r w:rsidR="00B90AB6" w:rsidRPr="00B90AB6">
        <w:rPr>
          <w:i/>
          <w:iCs/>
        </w:rPr>
        <w:t>Vikings and the Danelaw: Select Papers from the Proceedings of the Thirteenth Viking Congress</w:t>
      </w:r>
      <w:r w:rsidR="00B90AB6">
        <w:t>, ed. By J. Graham-Campbell, et al. (Oxford: Oxbow Books, 2001), pp. 45 – 96, (p.</w:t>
      </w:r>
      <w:r w:rsidR="008E0513">
        <w:t xml:space="preserve"> </w:t>
      </w:r>
      <w:r w:rsidR="00B90AB6">
        <w:t xml:space="preserve">45). </w:t>
      </w:r>
    </w:p>
  </w:footnote>
  <w:footnote w:id="21">
    <w:p w14:paraId="2E41CFA7" w14:textId="19AEF5E2" w:rsidR="000568B0" w:rsidRDefault="000568B0">
      <w:pPr>
        <w:pStyle w:val="FootnoteText"/>
      </w:pPr>
      <w:r>
        <w:rPr>
          <w:rStyle w:val="FootnoteReference"/>
        </w:rPr>
        <w:footnoteRef/>
      </w:r>
      <w:r>
        <w:t xml:space="preserve"> J. D. Richards, et al. ‘Excavations at the Viking Burrow Cemetery at Heath Wood, Ingleby, </w:t>
      </w:r>
      <w:r w:rsidR="007A2FF4">
        <w:t>Derbyshire</w:t>
      </w:r>
      <w:r>
        <w:t xml:space="preserve">’, </w:t>
      </w:r>
      <w:r>
        <w:rPr>
          <w:i/>
          <w:iCs/>
        </w:rPr>
        <w:t>The A</w:t>
      </w:r>
      <w:r w:rsidRPr="000568B0">
        <w:rPr>
          <w:i/>
          <w:iCs/>
        </w:rPr>
        <w:t>ntiquities Journal</w:t>
      </w:r>
      <w:r>
        <w:t>, 84 (2004), pp. 23 – 116 (p. 23).</w:t>
      </w:r>
    </w:p>
  </w:footnote>
  <w:footnote w:id="22">
    <w:p w14:paraId="121454FB" w14:textId="3618C338" w:rsidR="002F740E" w:rsidRDefault="002F740E">
      <w:pPr>
        <w:pStyle w:val="FootnoteText"/>
      </w:pPr>
      <w:r>
        <w:rPr>
          <w:rStyle w:val="FootnoteReference"/>
        </w:rPr>
        <w:footnoteRef/>
      </w:r>
      <w:r>
        <w:t xml:space="preserve"> J. </w:t>
      </w:r>
      <w:proofErr w:type="spellStart"/>
      <w:r>
        <w:t>Jesch</w:t>
      </w:r>
      <w:proofErr w:type="spellEnd"/>
      <w:r>
        <w:t xml:space="preserve">, </w:t>
      </w:r>
      <w:r w:rsidRPr="002F740E">
        <w:rPr>
          <w:i/>
          <w:iCs/>
        </w:rPr>
        <w:t>The Viking Diaspora</w:t>
      </w:r>
      <w:r>
        <w:t>, (Abingdon: Routledge, 2015) p. 77.</w:t>
      </w:r>
    </w:p>
  </w:footnote>
  <w:footnote w:id="23">
    <w:p w14:paraId="095A2F93" w14:textId="73421745" w:rsidR="00F36E7F" w:rsidRDefault="00F36E7F">
      <w:pPr>
        <w:pStyle w:val="FootnoteText"/>
      </w:pPr>
      <w:r>
        <w:rPr>
          <w:rStyle w:val="FootnoteReference"/>
        </w:rPr>
        <w:footnoteRef/>
      </w:r>
      <w:r>
        <w:t xml:space="preserve"> </w:t>
      </w:r>
      <w:r w:rsidRPr="008E3BA4">
        <w:t>Carroll,</w:t>
      </w:r>
      <w:r>
        <w:t xml:space="preserve"> </w:t>
      </w:r>
      <w:r w:rsidRPr="008E3BA4">
        <w:t>Harrison</w:t>
      </w:r>
      <w:r>
        <w:t xml:space="preserve"> and </w:t>
      </w:r>
      <w:r w:rsidRPr="008E3BA4">
        <w:t xml:space="preserve">Williams, </w:t>
      </w:r>
      <w:r w:rsidRPr="008E3BA4">
        <w:rPr>
          <w:i/>
          <w:iCs/>
        </w:rPr>
        <w:t>The Vikings in Britain and Ireland</w:t>
      </w:r>
      <w:r>
        <w:t>, pp. 23 – 25.</w:t>
      </w:r>
    </w:p>
  </w:footnote>
  <w:footnote w:id="24">
    <w:p w14:paraId="0C32BDF3" w14:textId="16A2F1F6" w:rsidR="00862F5B" w:rsidRDefault="00862F5B">
      <w:pPr>
        <w:pStyle w:val="FootnoteText"/>
      </w:pPr>
      <w:r>
        <w:rPr>
          <w:rStyle w:val="FootnoteReference"/>
        </w:rPr>
        <w:footnoteRef/>
      </w:r>
      <w:r>
        <w:t xml:space="preserve"> </w:t>
      </w:r>
      <w:r w:rsidR="00F36E7F">
        <w:t>Richards, pp. 198 – 200.</w:t>
      </w:r>
    </w:p>
  </w:footnote>
  <w:footnote w:id="25">
    <w:p w14:paraId="661E1CDF" w14:textId="13A861D1" w:rsidR="008E0513" w:rsidRDefault="008E0513">
      <w:pPr>
        <w:pStyle w:val="FootnoteText"/>
      </w:pPr>
      <w:r>
        <w:rPr>
          <w:rStyle w:val="FootnoteReference"/>
        </w:rPr>
        <w:footnoteRef/>
      </w:r>
      <w:r>
        <w:t xml:space="preserve"> Biddle and </w:t>
      </w:r>
      <w:proofErr w:type="spellStart"/>
      <w:r>
        <w:t>Kj</w:t>
      </w:r>
      <w:r>
        <w:rPr>
          <w:rFonts w:cstheme="minorHAnsi"/>
        </w:rPr>
        <w:t>ø</w:t>
      </w:r>
      <w:r>
        <w:t>lbye</w:t>
      </w:r>
      <w:proofErr w:type="spellEnd"/>
      <w:r>
        <w:t>-Biddle, pp. 49 – 54.</w:t>
      </w:r>
    </w:p>
  </w:footnote>
  <w:footnote w:id="26">
    <w:p w14:paraId="5F7BD86B" w14:textId="46677EC4" w:rsidR="0045668C" w:rsidRDefault="0045668C">
      <w:pPr>
        <w:pStyle w:val="FootnoteText"/>
      </w:pPr>
      <w:r>
        <w:rPr>
          <w:rStyle w:val="FootnoteReference"/>
        </w:rPr>
        <w:footnoteRef/>
      </w:r>
      <w:r>
        <w:t xml:space="preserve"> </w:t>
      </w:r>
      <w:r w:rsidR="00BF7193" w:rsidRPr="008E3BA4">
        <w:t>Carroll,</w:t>
      </w:r>
      <w:r w:rsidR="00BF7193">
        <w:t xml:space="preserve"> </w:t>
      </w:r>
      <w:r w:rsidR="00BF7193" w:rsidRPr="008E3BA4">
        <w:t>Harrison</w:t>
      </w:r>
      <w:r w:rsidR="00BF7193">
        <w:t xml:space="preserve"> and </w:t>
      </w:r>
      <w:r w:rsidR="00BF7193" w:rsidRPr="008E3BA4">
        <w:t xml:space="preserve">Williams, </w:t>
      </w:r>
      <w:r w:rsidR="00BF7193" w:rsidRPr="008E3BA4">
        <w:rPr>
          <w:i/>
          <w:iCs/>
        </w:rPr>
        <w:t>The Vikings in Britain and Ireland</w:t>
      </w:r>
      <w:r w:rsidR="00BF7193">
        <w:t>, pp. 7 – 8.</w:t>
      </w:r>
    </w:p>
  </w:footnote>
  <w:footnote w:id="27">
    <w:p w14:paraId="67644E33" w14:textId="36477C37" w:rsidR="00A1702D" w:rsidRPr="00A1702D" w:rsidRDefault="00A1702D" w:rsidP="00B862AB">
      <w:pPr>
        <w:pStyle w:val="NoSpacing"/>
      </w:pPr>
      <w:r w:rsidRPr="00B862AB">
        <w:rPr>
          <w:rStyle w:val="FootnoteReference"/>
          <w:sz w:val="20"/>
          <w:szCs w:val="20"/>
        </w:rPr>
        <w:footnoteRef/>
      </w:r>
      <w:r w:rsidRPr="00B862AB">
        <w:rPr>
          <w:sz w:val="20"/>
          <w:szCs w:val="20"/>
        </w:rPr>
        <w:t xml:space="preserve"> R. Chartrand, et al. </w:t>
      </w:r>
      <w:r w:rsidRPr="00B862AB">
        <w:rPr>
          <w:i/>
          <w:sz w:val="20"/>
          <w:szCs w:val="20"/>
        </w:rPr>
        <w:t>The Vikings</w:t>
      </w:r>
      <w:r w:rsidRPr="00B862AB">
        <w:rPr>
          <w:sz w:val="20"/>
          <w:szCs w:val="20"/>
        </w:rPr>
        <w:t>, (Oxford: Osprey Publishing, 2016)</w:t>
      </w:r>
      <w:r w:rsidR="00F50738" w:rsidRPr="00B862AB">
        <w:rPr>
          <w:sz w:val="20"/>
          <w:szCs w:val="20"/>
        </w:rPr>
        <w:t xml:space="preserve"> p. 14.</w:t>
      </w:r>
    </w:p>
  </w:footnote>
  <w:footnote w:id="28">
    <w:p w14:paraId="78482C94" w14:textId="39549430" w:rsidR="00943E73" w:rsidRDefault="00943E73" w:rsidP="00B20650">
      <w:pPr>
        <w:pStyle w:val="FootnoteText"/>
      </w:pPr>
      <w:r>
        <w:rPr>
          <w:rStyle w:val="FootnoteReference"/>
        </w:rPr>
        <w:footnoteRef/>
      </w:r>
      <w:r>
        <w:t xml:space="preserve"> </w:t>
      </w:r>
      <w:r w:rsidRPr="009E77FB">
        <w:rPr>
          <w:rFonts w:cstheme="minorHAnsi"/>
        </w:rPr>
        <w:t xml:space="preserve">Chartrand, </w:t>
      </w:r>
      <w:r w:rsidRPr="009E77FB">
        <w:rPr>
          <w:rFonts w:cstheme="minorHAnsi"/>
          <w:i/>
        </w:rPr>
        <w:t>The Vikings</w:t>
      </w:r>
      <w:r>
        <w:rPr>
          <w:rFonts w:cstheme="minorHAnsi"/>
        </w:rPr>
        <w:t>, p. 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9A20F0" w14:textId="008A7BB8" w:rsidR="00461A8B" w:rsidRDefault="00461A8B">
    <w:pPr>
      <w:pStyle w:val="Header"/>
    </w:pPr>
    <w:r>
      <w:t>Matthew Cowley (1700561)</w:t>
    </w:r>
    <w:r>
      <w:ptab w:relativeTo="margin" w:alignment="center" w:leader="none"/>
    </w:r>
    <w:r>
      <w:ptab w:relativeTo="margin" w:alignment="right" w:leader="none"/>
    </w:r>
    <w:r>
      <w:t>Dissertation</w:t>
    </w:r>
    <w:r w:rsidRPr="00461A8B">
      <w:t xml:space="preserve"> </w:t>
    </w:r>
    <w:r>
      <w:t>Proposal</w:t>
    </w:r>
    <w:r w:rsidR="00076F05">
      <w:t xml:space="preserve"> (HPHI6017)</w:t>
    </w:r>
  </w:p>
  <w:p w14:paraId="77957E7A" w14:textId="77777777" w:rsidR="00461A8B" w:rsidRPr="00D460F3" w:rsidRDefault="00461A8B">
    <w:pPr>
      <w:pStyle w:val="Header"/>
      <w:rPr>
        <w:sz w:val="20"/>
        <w:szCs w:val="20"/>
      </w:rPr>
    </w:pPr>
  </w:p>
  <w:p w14:paraId="772BD0A3" w14:textId="77777777" w:rsidR="00D425CA" w:rsidRPr="00461A8B" w:rsidRDefault="00D425CA" w:rsidP="00D425CA">
    <w:pPr>
      <w:spacing w:line="240" w:lineRule="auto"/>
      <w:jc w:val="center"/>
    </w:pPr>
    <w:r>
      <w:t>Using osteological and archaeological evidence, assess the validity of contemporary British sources that influence the modern-day stereotype of the Vikings?</w:t>
    </w:r>
  </w:p>
  <w:p w14:paraId="13FE2C3C" w14:textId="18F3C5C7" w:rsidR="00461A8B" w:rsidRDefault="00461A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4A1292"/>
    <w:multiLevelType w:val="hybridMultilevel"/>
    <w:tmpl w:val="1AA22C3C"/>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5545AF"/>
    <w:multiLevelType w:val="hybridMultilevel"/>
    <w:tmpl w:val="605E6874"/>
    <w:lvl w:ilvl="0" w:tplc="D0049ED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4D086D7C"/>
    <w:multiLevelType w:val="hybridMultilevel"/>
    <w:tmpl w:val="EE889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D85"/>
    <w:rsid w:val="00004A80"/>
    <w:rsid w:val="00015910"/>
    <w:rsid w:val="00017345"/>
    <w:rsid w:val="00034C82"/>
    <w:rsid w:val="00040C0C"/>
    <w:rsid w:val="00040FD4"/>
    <w:rsid w:val="00042654"/>
    <w:rsid w:val="00047449"/>
    <w:rsid w:val="00051D54"/>
    <w:rsid w:val="000568B0"/>
    <w:rsid w:val="0005727F"/>
    <w:rsid w:val="00061C6A"/>
    <w:rsid w:val="00076F05"/>
    <w:rsid w:val="00082710"/>
    <w:rsid w:val="00094DDD"/>
    <w:rsid w:val="000A5BFB"/>
    <w:rsid w:val="000A63F9"/>
    <w:rsid w:val="000B737C"/>
    <w:rsid w:val="000C0199"/>
    <w:rsid w:val="000C15E3"/>
    <w:rsid w:val="000C1A74"/>
    <w:rsid w:val="000C35B2"/>
    <w:rsid w:val="000D2DEC"/>
    <w:rsid w:val="000F24D6"/>
    <w:rsid w:val="000F6611"/>
    <w:rsid w:val="00103A70"/>
    <w:rsid w:val="00106C68"/>
    <w:rsid w:val="00124C3A"/>
    <w:rsid w:val="00126143"/>
    <w:rsid w:val="00126847"/>
    <w:rsid w:val="00133755"/>
    <w:rsid w:val="001349F3"/>
    <w:rsid w:val="00136E1F"/>
    <w:rsid w:val="001563D4"/>
    <w:rsid w:val="00161281"/>
    <w:rsid w:val="0016431B"/>
    <w:rsid w:val="00165775"/>
    <w:rsid w:val="00172E80"/>
    <w:rsid w:val="00172F4B"/>
    <w:rsid w:val="00174767"/>
    <w:rsid w:val="00175C86"/>
    <w:rsid w:val="00180564"/>
    <w:rsid w:val="00180704"/>
    <w:rsid w:val="001A2382"/>
    <w:rsid w:val="001E0EFA"/>
    <w:rsid w:val="001E4A4F"/>
    <w:rsid w:val="001F1E5F"/>
    <w:rsid w:val="001F40EC"/>
    <w:rsid w:val="001F4239"/>
    <w:rsid w:val="0020477D"/>
    <w:rsid w:val="0020771A"/>
    <w:rsid w:val="00210DAC"/>
    <w:rsid w:val="00223A38"/>
    <w:rsid w:val="00235410"/>
    <w:rsid w:val="0024172B"/>
    <w:rsid w:val="002601B2"/>
    <w:rsid w:val="00263C31"/>
    <w:rsid w:val="00271330"/>
    <w:rsid w:val="00291390"/>
    <w:rsid w:val="002B11BB"/>
    <w:rsid w:val="002B124F"/>
    <w:rsid w:val="002C243B"/>
    <w:rsid w:val="002D7721"/>
    <w:rsid w:val="002E28FA"/>
    <w:rsid w:val="002E7B66"/>
    <w:rsid w:val="002F33E1"/>
    <w:rsid w:val="002F740E"/>
    <w:rsid w:val="00303CE1"/>
    <w:rsid w:val="00304402"/>
    <w:rsid w:val="00316228"/>
    <w:rsid w:val="00324967"/>
    <w:rsid w:val="00327DE3"/>
    <w:rsid w:val="00330CF9"/>
    <w:rsid w:val="0033473D"/>
    <w:rsid w:val="00345A0B"/>
    <w:rsid w:val="00345C8D"/>
    <w:rsid w:val="00347CA7"/>
    <w:rsid w:val="00352DB3"/>
    <w:rsid w:val="003559CC"/>
    <w:rsid w:val="003619E4"/>
    <w:rsid w:val="003637CB"/>
    <w:rsid w:val="0036616A"/>
    <w:rsid w:val="003804B6"/>
    <w:rsid w:val="003D03FE"/>
    <w:rsid w:val="003D2058"/>
    <w:rsid w:val="003D70A5"/>
    <w:rsid w:val="003D7EE5"/>
    <w:rsid w:val="003E0D6C"/>
    <w:rsid w:val="003E6BC2"/>
    <w:rsid w:val="003F5FDD"/>
    <w:rsid w:val="004019BE"/>
    <w:rsid w:val="00404AB3"/>
    <w:rsid w:val="00407FD6"/>
    <w:rsid w:val="00427EFE"/>
    <w:rsid w:val="00434F39"/>
    <w:rsid w:val="0045668C"/>
    <w:rsid w:val="00461A8B"/>
    <w:rsid w:val="0048783C"/>
    <w:rsid w:val="004C10FB"/>
    <w:rsid w:val="004C27A0"/>
    <w:rsid w:val="004C42F5"/>
    <w:rsid w:val="004E2F33"/>
    <w:rsid w:val="004F04CD"/>
    <w:rsid w:val="005027A3"/>
    <w:rsid w:val="005062B6"/>
    <w:rsid w:val="00517CC9"/>
    <w:rsid w:val="00537FC1"/>
    <w:rsid w:val="00541842"/>
    <w:rsid w:val="0054560F"/>
    <w:rsid w:val="00547914"/>
    <w:rsid w:val="00551327"/>
    <w:rsid w:val="00551C15"/>
    <w:rsid w:val="00553F7C"/>
    <w:rsid w:val="00555DF6"/>
    <w:rsid w:val="005618E9"/>
    <w:rsid w:val="005760FA"/>
    <w:rsid w:val="0057762C"/>
    <w:rsid w:val="00593380"/>
    <w:rsid w:val="0059560A"/>
    <w:rsid w:val="00595839"/>
    <w:rsid w:val="005A651F"/>
    <w:rsid w:val="005B592B"/>
    <w:rsid w:val="005C0320"/>
    <w:rsid w:val="005C7F59"/>
    <w:rsid w:val="005D60AE"/>
    <w:rsid w:val="00614E0C"/>
    <w:rsid w:val="00617B3D"/>
    <w:rsid w:val="00626D97"/>
    <w:rsid w:val="00634338"/>
    <w:rsid w:val="00642EF8"/>
    <w:rsid w:val="00643517"/>
    <w:rsid w:val="006440BE"/>
    <w:rsid w:val="0064659C"/>
    <w:rsid w:val="00650BF1"/>
    <w:rsid w:val="00662CB5"/>
    <w:rsid w:val="0068144D"/>
    <w:rsid w:val="00691566"/>
    <w:rsid w:val="00691F7E"/>
    <w:rsid w:val="00696814"/>
    <w:rsid w:val="006A3DD1"/>
    <w:rsid w:val="006A606B"/>
    <w:rsid w:val="006A72B6"/>
    <w:rsid w:val="006B11C6"/>
    <w:rsid w:val="006B1886"/>
    <w:rsid w:val="006B6FAB"/>
    <w:rsid w:val="006C2E70"/>
    <w:rsid w:val="006C6D81"/>
    <w:rsid w:val="006D406B"/>
    <w:rsid w:val="006E5AAE"/>
    <w:rsid w:val="006F0B5F"/>
    <w:rsid w:val="006F6E49"/>
    <w:rsid w:val="00710E93"/>
    <w:rsid w:val="00726331"/>
    <w:rsid w:val="007353A8"/>
    <w:rsid w:val="007372F0"/>
    <w:rsid w:val="00744C67"/>
    <w:rsid w:val="00746DD8"/>
    <w:rsid w:val="00760B50"/>
    <w:rsid w:val="007A0B70"/>
    <w:rsid w:val="007A2FF4"/>
    <w:rsid w:val="007A41BC"/>
    <w:rsid w:val="007B1E7C"/>
    <w:rsid w:val="007C34FC"/>
    <w:rsid w:val="007C5DF7"/>
    <w:rsid w:val="007D0674"/>
    <w:rsid w:val="007D3283"/>
    <w:rsid w:val="007D4DF2"/>
    <w:rsid w:val="007E0E3C"/>
    <w:rsid w:val="007E5C12"/>
    <w:rsid w:val="007F1B8A"/>
    <w:rsid w:val="007F4176"/>
    <w:rsid w:val="008067F7"/>
    <w:rsid w:val="00810924"/>
    <w:rsid w:val="008113D9"/>
    <w:rsid w:val="008117FC"/>
    <w:rsid w:val="00822C3C"/>
    <w:rsid w:val="00837420"/>
    <w:rsid w:val="008535E5"/>
    <w:rsid w:val="00854CDA"/>
    <w:rsid w:val="00856467"/>
    <w:rsid w:val="008613FF"/>
    <w:rsid w:val="00862F5B"/>
    <w:rsid w:val="00864FD1"/>
    <w:rsid w:val="008660EA"/>
    <w:rsid w:val="00871453"/>
    <w:rsid w:val="00875447"/>
    <w:rsid w:val="00880445"/>
    <w:rsid w:val="0088437B"/>
    <w:rsid w:val="00884C57"/>
    <w:rsid w:val="00896A66"/>
    <w:rsid w:val="008B0E91"/>
    <w:rsid w:val="008C69DF"/>
    <w:rsid w:val="008D27B2"/>
    <w:rsid w:val="008D78A4"/>
    <w:rsid w:val="008E0513"/>
    <w:rsid w:val="008E3BA4"/>
    <w:rsid w:val="008E4A6F"/>
    <w:rsid w:val="008F6EAE"/>
    <w:rsid w:val="008F75B6"/>
    <w:rsid w:val="008F7FFC"/>
    <w:rsid w:val="00911C85"/>
    <w:rsid w:val="00912524"/>
    <w:rsid w:val="00914957"/>
    <w:rsid w:val="009338E9"/>
    <w:rsid w:val="00936D98"/>
    <w:rsid w:val="00940108"/>
    <w:rsid w:val="00943E73"/>
    <w:rsid w:val="0096787B"/>
    <w:rsid w:val="00974993"/>
    <w:rsid w:val="00974A9B"/>
    <w:rsid w:val="00987D33"/>
    <w:rsid w:val="00990E44"/>
    <w:rsid w:val="009A3D85"/>
    <w:rsid w:val="009A7C40"/>
    <w:rsid w:val="009B3D15"/>
    <w:rsid w:val="009B5258"/>
    <w:rsid w:val="009B6F93"/>
    <w:rsid w:val="009C0EFA"/>
    <w:rsid w:val="009C51A2"/>
    <w:rsid w:val="009D2861"/>
    <w:rsid w:val="009D5853"/>
    <w:rsid w:val="009E00C0"/>
    <w:rsid w:val="009F3AEC"/>
    <w:rsid w:val="00A05AA1"/>
    <w:rsid w:val="00A05E38"/>
    <w:rsid w:val="00A10C53"/>
    <w:rsid w:val="00A1304C"/>
    <w:rsid w:val="00A158C6"/>
    <w:rsid w:val="00A1702D"/>
    <w:rsid w:val="00A17F69"/>
    <w:rsid w:val="00A26C83"/>
    <w:rsid w:val="00A309F8"/>
    <w:rsid w:val="00A42B61"/>
    <w:rsid w:val="00A52906"/>
    <w:rsid w:val="00A5684A"/>
    <w:rsid w:val="00A5743E"/>
    <w:rsid w:val="00A773C4"/>
    <w:rsid w:val="00A8065C"/>
    <w:rsid w:val="00AD022D"/>
    <w:rsid w:val="00AF4BF3"/>
    <w:rsid w:val="00B0020F"/>
    <w:rsid w:val="00B06A38"/>
    <w:rsid w:val="00B16B06"/>
    <w:rsid w:val="00B20650"/>
    <w:rsid w:val="00B247BD"/>
    <w:rsid w:val="00B30068"/>
    <w:rsid w:val="00B41BEC"/>
    <w:rsid w:val="00B54AF9"/>
    <w:rsid w:val="00B72078"/>
    <w:rsid w:val="00B84822"/>
    <w:rsid w:val="00B862AB"/>
    <w:rsid w:val="00B876EC"/>
    <w:rsid w:val="00B90AB6"/>
    <w:rsid w:val="00BA1AAE"/>
    <w:rsid w:val="00BC574C"/>
    <w:rsid w:val="00BC5FAF"/>
    <w:rsid w:val="00BC6107"/>
    <w:rsid w:val="00BC6FE5"/>
    <w:rsid w:val="00BD007E"/>
    <w:rsid w:val="00BD2AD6"/>
    <w:rsid w:val="00BD55F6"/>
    <w:rsid w:val="00BE31D3"/>
    <w:rsid w:val="00BF27CA"/>
    <w:rsid w:val="00BF7193"/>
    <w:rsid w:val="00C12E64"/>
    <w:rsid w:val="00C35E77"/>
    <w:rsid w:val="00C4490C"/>
    <w:rsid w:val="00C54866"/>
    <w:rsid w:val="00C72C3D"/>
    <w:rsid w:val="00C834D9"/>
    <w:rsid w:val="00C857EC"/>
    <w:rsid w:val="00C86579"/>
    <w:rsid w:val="00CA02DA"/>
    <w:rsid w:val="00CC18AF"/>
    <w:rsid w:val="00CE295C"/>
    <w:rsid w:val="00CF0930"/>
    <w:rsid w:val="00CF0B69"/>
    <w:rsid w:val="00CF5154"/>
    <w:rsid w:val="00D01794"/>
    <w:rsid w:val="00D0620E"/>
    <w:rsid w:val="00D14764"/>
    <w:rsid w:val="00D412BE"/>
    <w:rsid w:val="00D425CA"/>
    <w:rsid w:val="00D460F3"/>
    <w:rsid w:val="00D503DC"/>
    <w:rsid w:val="00D51801"/>
    <w:rsid w:val="00D51D95"/>
    <w:rsid w:val="00D527FD"/>
    <w:rsid w:val="00D536BE"/>
    <w:rsid w:val="00D54457"/>
    <w:rsid w:val="00D5599E"/>
    <w:rsid w:val="00D55E8E"/>
    <w:rsid w:val="00D6106D"/>
    <w:rsid w:val="00D67B1F"/>
    <w:rsid w:val="00D965B5"/>
    <w:rsid w:val="00D968E6"/>
    <w:rsid w:val="00DB165D"/>
    <w:rsid w:val="00DC1CD9"/>
    <w:rsid w:val="00DC6BDF"/>
    <w:rsid w:val="00DE5813"/>
    <w:rsid w:val="00DF240D"/>
    <w:rsid w:val="00DF506A"/>
    <w:rsid w:val="00E02448"/>
    <w:rsid w:val="00E1585B"/>
    <w:rsid w:val="00E17287"/>
    <w:rsid w:val="00E35977"/>
    <w:rsid w:val="00E46278"/>
    <w:rsid w:val="00E65C9B"/>
    <w:rsid w:val="00E73C32"/>
    <w:rsid w:val="00E7630A"/>
    <w:rsid w:val="00E83242"/>
    <w:rsid w:val="00E83596"/>
    <w:rsid w:val="00E9275E"/>
    <w:rsid w:val="00EB39AB"/>
    <w:rsid w:val="00EB477D"/>
    <w:rsid w:val="00EB7595"/>
    <w:rsid w:val="00ED1A35"/>
    <w:rsid w:val="00ED7ADA"/>
    <w:rsid w:val="00ED7D22"/>
    <w:rsid w:val="00EE0F15"/>
    <w:rsid w:val="00F005D9"/>
    <w:rsid w:val="00F055B8"/>
    <w:rsid w:val="00F07FCE"/>
    <w:rsid w:val="00F1402C"/>
    <w:rsid w:val="00F141C5"/>
    <w:rsid w:val="00F21E03"/>
    <w:rsid w:val="00F23F47"/>
    <w:rsid w:val="00F36E7F"/>
    <w:rsid w:val="00F42861"/>
    <w:rsid w:val="00F43964"/>
    <w:rsid w:val="00F50738"/>
    <w:rsid w:val="00F60C2E"/>
    <w:rsid w:val="00F63B98"/>
    <w:rsid w:val="00F95043"/>
    <w:rsid w:val="00FA37C9"/>
    <w:rsid w:val="00FA3890"/>
    <w:rsid w:val="00FA44F9"/>
    <w:rsid w:val="00FC5354"/>
    <w:rsid w:val="00FD003C"/>
    <w:rsid w:val="00FD19EC"/>
    <w:rsid w:val="00FE2AF7"/>
    <w:rsid w:val="00FE4FC4"/>
    <w:rsid w:val="00FE5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11FE20"/>
  <w15:chartTrackingRefBased/>
  <w15:docId w15:val="{A1B8CBAC-85F6-487A-AF75-D7CC16B17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A3D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D8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61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A8B"/>
  </w:style>
  <w:style w:type="paragraph" w:styleId="Footer">
    <w:name w:val="footer"/>
    <w:basedOn w:val="Normal"/>
    <w:link w:val="FooterChar"/>
    <w:uiPriority w:val="99"/>
    <w:unhideWhenUsed/>
    <w:rsid w:val="00461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A8B"/>
  </w:style>
  <w:style w:type="paragraph" w:styleId="FootnoteText">
    <w:name w:val="footnote text"/>
    <w:basedOn w:val="Normal"/>
    <w:link w:val="FootnoteTextChar"/>
    <w:uiPriority w:val="99"/>
    <w:unhideWhenUsed/>
    <w:rsid w:val="008E3BA4"/>
    <w:pPr>
      <w:spacing w:after="0" w:line="240" w:lineRule="auto"/>
    </w:pPr>
    <w:rPr>
      <w:sz w:val="20"/>
      <w:szCs w:val="20"/>
    </w:rPr>
  </w:style>
  <w:style w:type="character" w:customStyle="1" w:styleId="FootnoteTextChar">
    <w:name w:val="Footnote Text Char"/>
    <w:basedOn w:val="DefaultParagraphFont"/>
    <w:link w:val="FootnoteText"/>
    <w:uiPriority w:val="99"/>
    <w:rsid w:val="008E3BA4"/>
    <w:rPr>
      <w:sz w:val="20"/>
      <w:szCs w:val="20"/>
    </w:rPr>
  </w:style>
  <w:style w:type="character" w:styleId="FootnoteReference">
    <w:name w:val="footnote reference"/>
    <w:basedOn w:val="DefaultParagraphFont"/>
    <w:uiPriority w:val="99"/>
    <w:semiHidden/>
    <w:unhideWhenUsed/>
    <w:rsid w:val="008E3BA4"/>
    <w:rPr>
      <w:vertAlign w:val="superscript"/>
    </w:rPr>
  </w:style>
  <w:style w:type="paragraph" w:styleId="ListParagraph">
    <w:name w:val="List Paragraph"/>
    <w:basedOn w:val="Normal"/>
    <w:uiPriority w:val="34"/>
    <w:qFormat/>
    <w:rsid w:val="008E3BA4"/>
    <w:pPr>
      <w:ind w:left="720"/>
      <w:contextualSpacing/>
    </w:pPr>
  </w:style>
  <w:style w:type="character" w:styleId="Hyperlink">
    <w:name w:val="Hyperlink"/>
    <w:basedOn w:val="DefaultParagraphFont"/>
    <w:uiPriority w:val="99"/>
    <w:unhideWhenUsed/>
    <w:rsid w:val="00940108"/>
    <w:rPr>
      <w:color w:val="0000FF"/>
      <w:u w:val="single"/>
    </w:rPr>
  </w:style>
  <w:style w:type="paragraph" w:styleId="NoSpacing">
    <w:name w:val="No Spacing"/>
    <w:uiPriority w:val="1"/>
    <w:qFormat/>
    <w:rsid w:val="00940108"/>
    <w:pPr>
      <w:spacing w:after="0" w:line="240" w:lineRule="auto"/>
    </w:pPr>
  </w:style>
  <w:style w:type="character" w:styleId="UnresolvedMention">
    <w:name w:val="Unresolved Mention"/>
    <w:basedOn w:val="DefaultParagraphFont"/>
    <w:uiPriority w:val="99"/>
    <w:semiHidden/>
    <w:unhideWhenUsed/>
    <w:rsid w:val="006B6FAB"/>
    <w:rPr>
      <w:color w:val="605E5C"/>
      <w:shd w:val="clear" w:color="auto" w:fill="E1DFDD"/>
    </w:rPr>
  </w:style>
  <w:style w:type="character" w:styleId="Emphasis">
    <w:name w:val="Emphasis"/>
    <w:basedOn w:val="DefaultParagraphFont"/>
    <w:uiPriority w:val="20"/>
    <w:qFormat/>
    <w:rsid w:val="002E28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6085898">
      <w:bodyDiv w:val="1"/>
      <w:marLeft w:val="0"/>
      <w:marRight w:val="0"/>
      <w:marTop w:val="0"/>
      <w:marBottom w:val="0"/>
      <w:divBdr>
        <w:top w:val="none" w:sz="0" w:space="0" w:color="auto"/>
        <w:left w:val="none" w:sz="0" w:space="0" w:color="auto"/>
        <w:bottom w:val="none" w:sz="0" w:space="0" w:color="auto"/>
        <w:right w:val="none" w:sz="0" w:space="0" w:color="auto"/>
      </w:divBdr>
    </w:div>
    <w:div w:id="171639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09644-E947-403F-B557-157C0A3B4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3307</TotalTime>
  <Pages>10</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615</cp:revision>
  <dcterms:created xsi:type="dcterms:W3CDTF">2019-10-08T12:40:00Z</dcterms:created>
  <dcterms:modified xsi:type="dcterms:W3CDTF">2019-10-18T16:10:00Z</dcterms:modified>
</cp:coreProperties>
</file>