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121A9" w14:textId="4A7E22B8" w:rsidR="00473FFA" w:rsidRPr="0036364B" w:rsidRDefault="00942F4B" w:rsidP="00C31506">
      <w:pPr>
        <w:spacing w:line="480" w:lineRule="auto"/>
        <w:rPr>
          <w:rFonts w:ascii="Arial" w:hAnsi="Arial" w:cs="Arial"/>
          <w:sz w:val="24"/>
          <w:szCs w:val="24"/>
        </w:rPr>
      </w:pPr>
      <w:r w:rsidRPr="0036364B">
        <w:rPr>
          <w:rFonts w:ascii="Arial" w:hAnsi="Arial" w:cs="Arial"/>
          <w:sz w:val="24"/>
          <w:szCs w:val="24"/>
        </w:rPr>
        <w:t>The government is held accountable and scrutinised in various ways, such as parliamentary questions, debate, and select committees; however, some may argue that a more rigorous level of scrutiny is still necessary. The primary aim of this paper will be to explore how the executive branch is held accountable and determine if scrutiny is essential for an effective government; the paper will then proceed to discuss suggestions for reform and end with a brief conclusion. Scrutiny is a fundamental property of the government; therefore, scrutiny must be defined to gain a more complex understanding. Judge, D. (2021) states that parliament defines scrutiny as analysing and investigating government policies, actions, and expenditures.</w:t>
      </w:r>
    </w:p>
    <w:p w14:paraId="50926A1B" w14:textId="77777777" w:rsidR="00942F4B" w:rsidRPr="0036364B" w:rsidRDefault="00942F4B" w:rsidP="00C31506">
      <w:pPr>
        <w:spacing w:line="480" w:lineRule="auto"/>
        <w:rPr>
          <w:rFonts w:ascii="Arial" w:hAnsi="Arial" w:cs="Arial"/>
          <w:sz w:val="24"/>
          <w:szCs w:val="24"/>
        </w:rPr>
      </w:pPr>
    </w:p>
    <w:p w14:paraId="01CE8FDD" w14:textId="139C09E0" w:rsidR="00473FFA" w:rsidRPr="0036364B" w:rsidRDefault="003F5C69" w:rsidP="00C31506">
      <w:pPr>
        <w:spacing w:line="480" w:lineRule="auto"/>
        <w:rPr>
          <w:rFonts w:ascii="Arial" w:hAnsi="Arial" w:cs="Arial"/>
          <w:sz w:val="24"/>
          <w:szCs w:val="24"/>
        </w:rPr>
      </w:pPr>
      <w:r w:rsidRPr="0036364B">
        <w:rPr>
          <w:rFonts w:ascii="Arial" w:hAnsi="Arial" w:cs="Arial"/>
          <w:sz w:val="24"/>
          <w:szCs w:val="24"/>
        </w:rPr>
        <w:t>Firstly, the executive and government will be mentioned throughout this essay, so they must foremost be defined; according to Allbon and Kaur Dua (2020), there are three bodies: legislative, judiciary and executive; the executive is the government and wider government which is composed of the police, the army, civil servants and members of executive agencies. The Legislative body is parliament, and the judiciary is judges. The executive’s role is to enforce the legislation that parliament forms, and the judiciary’s role is to elucidate legislation made by the legislative and enforced by the executive (government); this highlights that the government are the people enforcing legislation, which could result in adverse effects if there is no legislation, precautions and procedure put in place to ensure they are exercising their powers reasonably.</w:t>
      </w:r>
    </w:p>
    <w:p w14:paraId="4E742F71" w14:textId="77777777" w:rsidR="003F5C69" w:rsidRPr="0036364B" w:rsidRDefault="003F5C69" w:rsidP="00C31506">
      <w:pPr>
        <w:spacing w:line="480" w:lineRule="auto"/>
        <w:rPr>
          <w:rFonts w:ascii="Arial" w:hAnsi="Arial" w:cs="Arial"/>
          <w:sz w:val="24"/>
          <w:szCs w:val="24"/>
        </w:rPr>
      </w:pPr>
    </w:p>
    <w:p w14:paraId="64EF2EFE" w14:textId="47316133" w:rsidR="00473FFA" w:rsidRPr="0036364B" w:rsidRDefault="00232379" w:rsidP="00C31506">
      <w:pPr>
        <w:spacing w:line="480" w:lineRule="auto"/>
        <w:rPr>
          <w:rStyle w:val="Emphasis"/>
          <w:rFonts w:ascii="Arial" w:eastAsiaTheme="majorEastAsia" w:hAnsi="Arial" w:cs="Arial"/>
          <w:color w:val="0E101A"/>
          <w:sz w:val="24"/>
          <w:szCs w:val="24"/>
        </w:rPr>
      </w:pPr>
      <w:r w:rsidRPr="0036364B">
        <w:rPr>
          <w:rFonts w:ascii="Arial" w:hAnsi="Arial" w:cs="Arial"/>
          <w:sz w:val="24"/>
          <w:szCs w:val="24"/>
        </w:rPr>
        <w:t xml:space="preserve">Secondly, these three bodies of parliament must remain separate to maintain liberty and avoid partisanship; the term for this is separation of powers. Montesquieu, C. </w:t>
      </w:r>
      <w:r w:rsidRPr="0036364B">
        <w:rPr>
          <w:rFonts w:ascii="Arial" w:hAnsi="Arial" w:cs="Arial"/>
          <w:sz w:val="24"/>
          <w:szCs w:val="24"/>
        </w:rPr>
        <w:lastRenderedPageBreak/>
        <w:t>(1899) articulated that if the judiciary powers are not separate from the legislative and executive, there would be no liberty; this could mean victims can be subject to arbitrary control due to the judge also being the legislative and executive, which could result in them using their powers violently and individuals becoming oppressed. Moreover, separating these three bodies can prevent tyranny and make the justice system fairer. Additionally, separation of powers ensures that the government are held accountable. For instance, if the legislative branch is also the judiciary during judicial review, the legislative branch will review itself, causing bias as they will be reluctant to recognise themselves as guilty. The </w:t>
      </w:r>
      <w:r w:rsidRPr="0036364B">
        <w:rPr>
          <w:rStyle w:val="Emphasis"/>
          <w:rFonts w:ascii="Arial" w:eastAsiaTheme="majorEastAsia" w:hAnsi="Arial" w:cs="Arial"/>
          <w:color w:val="0E101A"/>
          <w:sz w:val="24"/>
          <w:szCs w:val="24"/>
        </w:rPr>
        <w:t xml:space="preserve">Constitutional Reform Act 2005 </w:t>
      </w:r>
      <w:r w:rsidRPr="00BB6C10">
        <w:rPr>
          <w:rStyle w:val="Emphasis"/>
          <w:rFonts w:ascii="Arial" w:eastAsiaTheme="majorEastAsia" w:hAnsi="Arial" w:cs="Arial"/>
          <w:i w:val="0"/>
          <w:iCs w:val="0"/>
          <w:color w:val="0E101A"/>
          <w:sz w:val="24"/>
          <w:szCs w:val="24"/>
        </w:rPr>
        <w:t>is an act of parliament that aids in the separation of powers; a supreme court was created, which separates the judiciary and the legislative. The act also removed the Lord Chancellor's judicial functions, and he is no longer the speaker of the House of Lords.</w:t>
      </w:r>
    </w:p>
    <w:p w14:paraId="3FE20DA2" w14:textId="77777777" w:rsidR="00232379" w:rsidRPr="0036364B" w:rsidRDefault="00232379" w:rsidP="00C31506">
      <w:pPr>
        <w:spacing w:line="480" w:lineRule="auto"/>
        <w:rPr>
          <w:rStyle w:val="Emphasis"/>
          <w:rFonts w:ascii="Arial" w:eastAsiaTheme="majorEastAsia" w:hAnsi="Arial" w:cs="Arial"/>
          <w:i w:val="0"/>
          <w:iCs w:val="0"/>
          <w:color w:val="0E101A"/>
          <w:sz w:val="24"/>
          <w:szCs w:val="24"/>
        </w:rPr>
      </w:pPr>
    </w:p>
    <w:p w14:paraId="7F23F64B" w14:textId="0733A2AC" w:rsidR="000A7FEE" w:rsidRPr="0036364B" w:rsidRDefault="00E52195" w:rsidP="00C31506">
      <w:pPr>
        <w:spacing w:line="480" w:lineRule="auto"/>
        <w:rPr>
          <w:rFonts w:ascii="Arial" w:hAnsi="Arial" w:cs="Arial"/>
          <w:sz w:val="24"/>
          <w:szCs w:val="24"/>
        </w:rPr>
      </w:pPr>
      <w:r w:rsidRPr="0036364B">
        <w:rPr>
          <w:rFonts w:ascii="Arial" w:hAnsi="Arial" w:cs="Arial"/>
          <w:sz w:val="24"/>
          <w:szCs w:val="24"/>
        </w:rPr>
        <w:t xml:space="preserve">Next, the executive can be held to account through parliamentary questions (PQs); there are two types: oral questions asked in the Chamber and, most commonly, written questions. Due to time constraints, there are usually more than 300 composed questions per sitting day analogised to 60-80 oral questions (Bellis, A. 2021). This could cause concern as oral questions can be readily shared on social media, making the questions available to a broader audience who may not have actively sought out the content. The increase in visibility can subject the government to additional scrutiny from members of the public. Meanwhile, members of the public must consciously search to view written questions or may not know they can be accessed online, indicating they are less accessible. </w:t>
      </w:r>
      <w:r w:rsidR="000A7FEE" w:rsidRPr="0036364B">
        <w:rPr>
          <w:rFonts w:ascii="Arial" w:hAnsi="Arial" w:cs="Arial"/>
          <w:sz w:val="24"/>
          <w:szCs w:val="24"/>
        </w:rPr>
        <w:t xml:space="preserve">White, H. (2015) highlights that the government can occasionally answer these questions by declaring the minimum </w:t>
      </w:r>
      <w:r w:rsidR="000A7FEE" w:rsidRPr="0036364B">
        <w:rPr>
          <w:rFonts w:ascii="Arial" w:hAnsi="Arial" w:cs="Arial"/>
          <w:sz w:val="24"/>
          <w:szCs w:val="24"/>
        </w:rPr>
        <w:lastRenderedPageBreak/>
        <w:t>amount of detail so the questioner does not attain political advantage, but responding to questions can still be helpful; it can help civil servants or ministers recognise any errors they have made and be more transparent regarding their work. However, it cannot be reasonable to deduce that there is transparency surrounding their work when questions are not answered in detail, which diminishes the author's argument; despite the ministers or civil servants identifying their mistakes, there is no obligation to act on them or convey them to the public.</w:t>
      </w:r>
    </w:p>
    <w:p w14:paraId="767B1505" w14:textId="77777777" w:rsidR="000A7FEE" w:rsidRPr="0036364B" w:rsidRDefault="000A7FEE" w:rsidP="00C31506">
      <w:pPr>
        <w:spacing w:line="480" w:lineRule="auto"/>
        <w:rPr>
          <w:rFonts w:ascii="Arial" w:hAnsi="Arial" w:cs="Arial"/>
          <w:sz w:val="24"/>
          <w:szCs w:val="24"/>
        </w:rPr>
      </w:pPr>
    </w:p>
    <w:p w14:paraId="68FAD833" w14:textId="77777777" w:rsidR="005A4251" w:rsidRPr="0036364B" w:rsidRDefault="005A4251" w:rsidP="00C31506">
      <w:pPr>
        <w:pStyle w:val="NormalWeb"/>
        <w:spacing w:before="0" w:beforeAutospacing="0" w:after="0" w:afterAutospacing="0" w:line="480" w:lineRule="auto"/>
        <w:rPr>
          <w:rFonts w:ascii="Arial" w:hAnsi="Arial" w:cs="Arial"/>
          <w:color w:val="0E101A"/>
        </w:rPr>
      </w:pPr>
      <w:r w:rsidRPr="0036364B">
        <w:rPr>
          <w:rFonts w:ascii="Arial" w:hAnsi="Arial" w:cs="Arial"/>
          <w:color w:val="0E101A"/>
        </w:rPr>
        <w:t>Another way the executive is held accountable is through judicial review due to the </w:t>
      </w:r>
      <w:r w:rsidRPr="0036364B">
        <w:rPr>
          <w:rStyle w:val="Emphasis"/>
          <w:rFonts w:ascii="Arial" w:eastAsiaTheme="majorEastAsia" w:hAnsi="Arial" w:cs="Arial"/>
          <w:color w:val="0E101A"/>
        </w:rPr>
        <w:t>Human Rights Act 1998</w:t>
      </w:r>
      <w:r w:rsidRPr="0036364B">
        <w:rPr>
          <w:rFonts w:ascii="Arial" w:hAnsi="Arial" w:cs="Arial"/>
          <w:color w:val="0E101A"/>
        </w:rPr>
        <w:t xml:space="preserve">; section 3.1 conditions that primary legislation and subordinate legislation have to read effectively and be compatible with the convention's rights, and section 6 makes it unlawful for any public authority to act in a way that does not comply with the convention right and section 8.1 states that if there is any act or even a proposed act that the court sees unlawful, the court can bestow any relief or remedy that it sees appropriate, this means that cases can be brought based on a European Convention on Human Rights violation. Sharpley, D. (2023) conveys that since the Human Rights Act defence solicitors can bring judicial review for violation of the right to a fair trial (article 5) and article 6, they can now test domestic law against the ECHR to see if it complies. Individuals can bring judicial review in three other ways: illegality, procedural unfairness, and irrationality. Hogarth, R. (2019) states that a decision can be overturned for irrationality if no reasonable person would have made that decision; this is infrequent, and the courts only sometimes grant judicial review. The lack of judicial review based on irrationality could be due to the elevated standard that comes with it; the test is unclear, and the reviewing court cannot intervene if it thinks the decision was inaccurate. It can only </w:t>
      </w:r>
      <w:r w:rsidRPr="0036364B">
        <w:rPr>
          <w:rFonts w:ascii="Arial" w:hAnsi="Arial" w:cs="Arial"/>
          <w:color w:val="0E101A"/>
        </w:rPr>
        <w:lastRenderedPageBreak/>
        <w:t>interfere if the decision is absurd and lacks logic (Turner, I.D. 2006). The </w:t>
      </w:r>
      <w:r w:rsidRPr="0036364B">
        <w:rPr>
          <w:rStyle w:val="Emphasis"/>
          <w:rFonts w:ascii="Arial" w:eastAsiaTheme="majorEastAsia" w:hAnsi="Arial" w:cs="Arial"/>
          <w:color w:val="0E101A"/>
        </w:rPr>
        <w:t>Judicial Review and Courts Act 2022</w:t>
      </w:r>
      <w:r w:rsidRPr="0036364B">
        <w:rPr>
          <w:rFonts w:ascii="Arial" w:hAnsi="Arial" w:cs="Arial"/>
          <w:color w:val="0E101A"/>
        </w:rPr>
        <w:t> also changed the judicial review process by giving the court power to award suspended and prospective only quashing orders and changing judgments so that decisions of upper tribunals are not eligible for judicial review.</w:t>
      </w:r>
    </w:p>
    <w:p w14:paraId="6683D20F" w14:textId="77777777" w:rsidR="00C765DA" w:rsidRDefault="00C765DA" w:rsidP="00C31506">
      <w:pPr>
        <w:pStyle w:val="NormalWeb"/>
        <w:spacing w:before="0" w:beforeAutospacing="0" w:after="0" w:afterAutospacing="0" w:line="480" w:lineRule="auto"/>
        <w:rPr>
          <w:rFonts w:ascii="Arial" w:hAnsi="Arial" w:cs="Arial"/>
          <w:color w:val="0E101A"/>
        </w:rPr>
      </w:pPr>
    </w:p>
    <w:p w14:paraId="7A44F996" w14:textId="7A6096BD" w:rsidR="005A4251" w:rsidRPr="0036364B" w:rsidRDefault="005A4251" w:rsidP="00C31506">
      <w:pPr>
        <w:pStyle w:val="NormalWeb"/>
        <w:spacing w:before="0" w:beforeAutospacing="0" w:after="0" w:afterAutospacing="0" w:line="480" w:lineRule="auto"/>
        <w:rPr>
          <w:rFonts w:ascii="Arial" w:hAnsi="Arial" w:cs="Arial"/>
          <w:color w:val="0E101A"/>
        </w:rPr>
      </w:pPr>
      <w:r w:rsidRPr="0036364B">
        <w:rPr>
          <w:rFonts w:ascii="Arial" w:hAnsi="Arial" w:cs="Arial"/>
          <w:color w:val="0E101A"/>
        </w:rPr>
        <w:t>A critical problem with judicial review is that a claim for judicial review must be raised within three months; this is an advantage for the administration; however, it receives criticism. The court can extend time, but they struggle to decide whether there are grounds to extend the time (Miah, S. 2013); this could be used as a reason the judicial review is not brought despite it being valid and should have been the government could consciously do this to avoid the case. </w:t>
      </w:r>
    </w:p>
    <w:p w14:paraId="58D5E74C" w14:textId="77777777" w:rsidR="006D21AF" w:rsidRPr="0036364B" w:rsidRDefault="006D21AF" w:rsidP="00C31506">
      <w:pPr>
        <w:spacing w:line="480" w:lineRule="auto"/>
        <w:rPr>
          <w:rFonts w:ascii="Arial" w:hAnsi="Arial" w:cs="Arial"/>
          <w:sz w:val="24"/>
          <w:szCs w:val="24"/>
        </w:rPr>
      </w:pPr>
    </w:p>
    <w:p w14:paraId="2AE3CB0E" w14:textId="1B680C97" w:rsidR="006D21AF" w:rsidRPr="0036364B" w:rsidRDefault="00C24A91" w:rsidP="00C31506">
      <w:pPr>
        <w:spacing w:line="480" w:lineRule="auto"/>
        <w:rPr>
          <w:rStyle w:val="legds"/>
          <w:rFonts w:ascii="Arial" w:eastAsiaTheme="majorEastAsia" w:hAnsi="Arial" w:cs="Arial"/>
          <w:sz w:val="24"/>
          <w:szCs w:val="24"/>
        </w:rPr>
      </w:pPr>
      <w:r w:rsidRPr="0036364B">
        <w:rPr>
          <w:rStyle w:val="legds"/>
          <w:rFonts w:ascii="Arial" w:eastAsiaTheme="majorEastAsia" w:hAnsi="Arial" w:cs="Arial"/>
          <w:sz w:val="24"/>
          <w:szCs w:val="24"/>
        </w:rPr>
        <w:t xml:space="preserve">Select committees also provide scrutiny; according to May, T E. (2017), select committees have been tasked with pre-legislative scrutiny; in each session, multiple bills will be published, so the select committee will scrutinise and examine them; it is also common for a joint committee to be established. Select committees can also investigate the draft bill if they choose to. The committee will then take evidence of the quality of the bill and report any recommendations and their conclusions; the government will then respond. Around 40% of committee recommendations are accepted by the government, and around the same proportion are implemented in practice (Russel, M. and Benton, M, 2011); the study illustrates that 60% of recommendations they choose to disregard and not enforce exhibiting that the government are neglecting the </w:t>
      </w:r>
      <w:r w:rsidR="00C31506" w:rsidRPr="0036364B">
        <w:rPr>
          <w:rStyle w:val="legds"/>
          <w:rFonts w:ascii="Arial" w:eastAsiaTheme="majorEastAsia" w:hAnsi="Arial" w:cs="Arial"/>
          <w:sz w:val="24"/>
          <w:szCs w:val="24"/>
        </w:rPr>
        <w:t>scrutiny,</w:t>
      </w:r>
      <w:r w:rsidRPr="0036364B">
        <w:rPr>
          <w:rStyle w:val="legds"/>
          <w:rFonts w:ascii="Arial" w:eastAsiaTheme="majorEastAsia" w:hAnsi="Arial" w:cs="Arial"/>
          <w:sz w:val="24"/>
          <w:szCs w:val="24"/>
        </w:rPr>
        <w:t xml:space="preserve"> and it </w:t>
      </w:r>
      <w:r w:rsidR="00C31506">
        <w:rPr>
          <w:rStyle w:val="legds"/>
          <w:rFonts w:ascii="Arial" w:eastAsiaTheme="majorEastAsia" w:hAnsi="Arial" w:cs="Arial"/>
          <w:sz w:val="24"/>
          <w:szCs w:val="24"/>
        </w:rPr>
        <w:t>is only used</w:t>
      </w:r>
      <w:r w:rsidRPr="0036364B">
        <w:rPr>
          <w:rStyle w:val="legds"/>
          <w:rFonts w:ascii="Arial" w:eastAsiaTheme="majorEastAsia" w:hAnsi="Arial" w:cs="Arial"/>
          <w:sz w:val="24"/>
          <w:szCs w:val="24"/>
        </w:rPr>
        <w:t xml:space="preserve"> 40% of the time. Marshall, J. (2020) conveys that numerous people believe it is time to reform select </w:t>
      </w:r>
      <w:r w:rsidRPr="0036364B">
        <w:rPr>
          <w:rStyle w:val="legds"/>
          <w:rFonts w:ascii="Arial" w:eastAsiaTheme="majorEastAsia" w:hAnsi="Arial" w:cs="Arial"/>
          <w:sz w:val="24"/>
          <w:szCs w:val="24"/>
        </w:rPr>
        <w:lastRenderedPageBreak/>
        <w:t>committees; one concept of this is introducing a criminal offence of contempt of parliament, which has been avoided throughout history to help keep parliament in control over their affairs and privileges.</w:t>
      </w:r>
    </w:p>
    <w:p w14:paraId="798EE7D4" w14:textId="77777777" w:rsidR="00C765DA" w:rsidRDefault="00C765DA" w:rsidP="00C31506">
      <w:pPr>
        <w:spacing w:line="480" w:lineRule="auto"/>
        <w:rPr>
          <w:rStyle w:val="legds"/>
          <w:rFonts w:ascii="Arial" w:eastAsiaTheme="majorEastAsia" w:hAnsi="Arial" w:cs="Arial"/>
          <w:sz w:val="24"/>
          <w:szCs w:val="24"/>
        </w:rPr>
      </w:pPr>
    </w:p>
    <w:p w14:paraId="45B70796" w14:textId="23F14272" w:rsidR="00512B7C" w:rsidRPr="0036364B" w:rsidRDefault="005A3AB7" w:rsidP="00C31506">
      <w:pPr>
        <w:spacing w:line="480" w:lineRule="auto"/>
        <w:rPr>
          <w:rStyle w:val="legds"/>
          <w:rFonts w:ascii="Arial" w:eastAsiaTheme="majorEastAsia" w:hAnsi="Arial" w:cs="Arial"/>
          <w:sz w:val="24"/>
          <w:szCs w:val="24"/>
        </w:rPr>
      </w:pPr>
      <w:r w:rsidRPr="0036364B">
        <w:rPr>
          <w:rStyle w:val="legds"/>
          <w:rFonts w:ascii="Arial" w:eastAsiaTheme="majorEastAsia" w:hAnsi="Arial" w:cs="Arial"/>
          <w:sz w:val="24"/>
          <w:szCs w:val="24"/>
        </w:rPr>
        <w:t xml:space="preserve">There are numerous reform suggestions surrounding the government and scrutiny; one is the Barnett Institute for Public Policy (2022) report; the author suggests the government publish every bill in draft form with options for scrutiny. This is to allow flexibility without adding much additional time. The report also suggests that select committees in the House of Commons should have the prospect to request pre-legislative scrutiny on any bill in their department. Along with this, select committees would have their step in the process of government bills so they </w:t>
      </w:r>
      <w:r w:rsidR="00942F4B" w:rsidRPr="0036364B">
        <w:rPr>
          <w:rStyle w:val="legds"/>
          <w:rFonts w:ascii="Arial" w:eastAsiaTheme="majorEastAsia" w:hAnsi="Arial" w:cs="Arial"/>
          <w:sz w:val="24"/>
          <w:szCs w:val="24"/>
        </w:rPr>
        <w:t>can</w:t>
      </w:r>
      <w:r w:rsidRPr="0036364B">
        <w:rPr>
          <w:rStyle w:val="legds"/>
          <w:rFonts w:ascii="Arial" w:eastAsiaTheme="majorEastAsia" w:hAnsi="Arial" w:cs="Arial"/>
          <w:sz w:val="24"/>
          <w:szCs w:val="24"/>
        </w:rPr>
        <w:t xml:space="preserve"> take any evidence and compose their view; the following recommendation the bill sets out is that the House of Commons Commission should have access to resources that would aid in legislative scrutiny, for instants, expert policy and legal resources.</w:t>
      </w:r>
    </w:p>
    <w:p w14:paraId="4B2CB2B7" w14:textId="77777777" w:rsidR="00512B7C" w:rsidRPr="0036364B" w:rsidRDefault="00512B7C" w:rsidP="00C31506">
      <w:pPr>
        <w:spacing w:line="480" w:lineRule="auto"/>
        <w:rPr>
          <w:rStyle w:val="legds"/>
          <w:rFonts w:ascii="Arial" w:eastAsiaTheme="majorEastAsia" w:hAnsi="Arial" w:cs="Arial"/>
          <w:sz w:val="24"/>
          <w:szCs w:val="24"/>
        </w:rPr>
      </w:pPr>
    </w:p>
    <w:p w14:paraId="71BCC889" w14:textId="767C9A8C" w:rsidR="00512B7C" w:rsidRPr="0036364B" w:rsidRDefault="007E549B" w:rsidP="00C31506">
      <w:pPr>
        <w:spacing w:line="480" w:lineRule="auto"/>
        <w:rPr>
          <w:rStyle w:val="legds"/>
          <w:rFonts w:ascii="Arial" w:eastAsiaTheme="majorEastAsia" w:hAnsi="Arial" w:cs="Arial"/>
          <w:sz w:val="24"/>
          <w:szCs w:val="24"/>
        </w:rPr>
      </w:pPr>
      <w:r w:rsidRPr="0036364B">
        <w:rPr>
          <w:rStyle w:val="legds"/>
          <w:rFonts w:ascii="Arial" w:eastAsiaTheme="majorEastAsia" w:hAnsi="Arial" w:cs="Arial"/>
          <w:sz w:val="24"/>
          <w:szCs w:val="24"/>
        </w:rPr>
        <w:t xml:space="preserve">This paper set out to explore how the executive is held to account and to determine if scrutiny is essential for an effective government; the findings have shown that despite the multiple ways the government are held to account, improvements are still required. The executive produces the bare minimum responses regarding parliamentary questions and needs to create time to answer more oral questions to gain more exposure. The executive needs to commit to set circumstances that permit an extended period to file for judicial review, and they should implement the select committee's suggestions. There is a need for reform to gain more post and pre-legislative scrutiny. Overall, the findings suggest that scrutiny produces a more effective government because the government's work would be continuously </w:t>
      </w:r>
      <w:r w:rsidRPr="0036364B">
        <w:rPr>
          <w:rStyle w:val="legds"/>
          <w:rFonts w:ascii="Arial" w:eastAsiaTheme="majorEastAsia" w:hAnsi="Arial" w:cs="Arial"/>
          <w:sz w:val="24"/>
          <w:szCs w:val="24"/>
        </w:rPr>
        <w:lastRenderedPageBreak/>
        <w:t>examined and challenged. This would encourage the government to produce a better standard of work and perform in line with guidelines and legislation.</w:t>
      </w:r>
    </w:p>
    <w:p w14:paraId="6DD788C5" w14:textId="77777777" w:rsidR="00512B7C" w:rsidRPr="00B003CD" w:rsidRDefault="00512B7C" w:rsidP="006D21AF">
      <w:pPr>
        <w:rPr>
          <w:rStyle w:val="legds"/>
          <w:rFonts w:ascii="Arial" w:eastAsiaTheme="majorEastAsia" w:hAnsi="Arial" w:cs="Arial"/>
        </w:rPr>
      </w:pPr>
    </w:p>
    <w:p w14:paraId="13407561" w14:textId="75F1282F" w:rsidR="006D21AF" w:rsidRDefault="006D21AF"/>
    <w:p w14:paraId="6DEF4D9C" w14:textId="77777777" w:rsidR="00930FD1" w:rsidRDefault="00930FD1"/>
    <w:p w14:paraId="4B8A4D55" w14:textId="77777777" w:rsidR="00930FD1" w:rsidRDefault="00930FD1"/>
    <w:p w14:paraId="1BEE059D" w14:textId="77777777" w:rsidR="00930FD1" w:rsidRDefault="00930FD1"/>
    <w:p w14:paraId="4ED235E2" w14:textId="77777777" w:rsidR="00930FD1" w:rsidRDefault="00930FD1"/>
    <w:p w14:paraId="0BADB99A" w14:textId="77777777" w:rsidR="00930FD1" w:rsidRDefault="00930FD1"/>
    <w:p w14:paraId="3A4B50C9" w14:textId="77777777" w:rsidR="00930FD1" w:rsidRDefault="00930FD1"/>
    <w:p w14:paraId="6B0223A0" w14:textId="77777777" w:rsidR="00930FD1" w:rsidRDefault="00930FD1"/>
    <w:p w14:paraId="26A7DD9D" w14:textId="77777777" w:rsidR="00930FD1" w:rsidRDefault="00930FD1"/>
    <w:p w14:paraId="06CBFCDF" w14:textId="77777777" w:rsidR="00930FD1" w:rsidRDefault="00930FD1"/>
    <w:p w14:paraId="50843C15" w14:textId="77777777" w:rsidR="001E78DD" w:rsidRDefault="001E78DD"/>
    <w:p w14:paraId="6D62FB31" w14:textId="77777777" w:rsidR="001E78DD" w:rsidRDefault="001E78DD"/>
    <w:p w14:paraId="30730F87" w14:textId="77777777" w:rsidR="001E78DD" w:rsidRDefault="001E78DD"/>
    <w:p w14:paraId="099AFD0C" w14:textId="77777777" w:rsidR="001E78DD" w:rsidRDefault="001E78DD"/>
    <w:p w14:paraId="53626D48" w14:textId="77777777" w:rsidR="001E78DD" w:rsidRDefault="001E78DD"/>
    <w:p w14:paraId="6A7F7706" w14:textId="77777777" w:rsidR="001E78DD" w:rsidRDefault="001E78DD"/>
    <w:p w14:paraId="7CE32752" w14:textId="77777777" w:rsidR="001E78DD" w:rsidRDefault="001E78DD"/>
    <w:p w14:paraId="113A308E" w14:textId="77777777" w:rsidR="001E78DD" w:rsidRDefault="001E78DD"/>
    <w:p w14:paraId="4FBA601C" w14:textId="77777777" w:rsidR="001E78DD" w:rsidRDefault="001E78DD"/>
    <w:p w14:paraId="4C8F1461" w14:textId="77777777" w:rsidR="001E78DD" w:rsidRDefault="001E78DD"/>
    <w:p w14:paraId="2CAA74A4" w14:textId="77777777" w:rsidR="001E78DD" w:rsidRDefault="001E78DD"/>
    <w:p w14:paraId="78854842" w14:textId="77777777" w:rsidR="001E78DD" w:rsidRDefault="001E78DD"/>
    <w:p w14:paraId="17FE6765" w14:textId="77777777" w:rsidR="001E78DD" w:rsidRDefault="001E78DD"/>
    <w:p w14:paraId="16EC09BD" w14:textId="77777777" w:rsidR="001E78DD" w:rsidRDefault="001E78DD"/>
    <w:p w14:paraId="07DB3AA4" w14:textId="77777777" w:rsidR="001E78DD" w:rsidRDefault="001E78DD"/>
    <w:p w14:paraId="4D04A983" w14:textId="77777777" w:rsidR="001E78DD" w:rsidRDefault="001E78DD"/>
    <w:p w14:paraId="4B8ADA23" w14:textId="77777777" w:rsidR="001E78DD" w:rsidRDefault="001E78DD"/>
    <w:p w14:paraId="179E0DE2" w14:textId="77777777" w:rsidR="001E78DD" w:rsidRDefault="001E78DD"/>
    <w:p w14:paraId="54E5832D" w14:textId="77777777" w:rsidR="001E78DD" w:rsidRDefault="001E78DD"/>
    <w:p w14:paraId="2FD29FF0" w14:textId="77777777" w:rsidR="001E78DD" w:rsidRDefault="001E78DD"/>
    <w:p w14:paraId="6871D820" w14:textId="77777777" w:rsidR="001E78DD" w:rsidRDefault="001E78DD"/>
    <w:p w14:paraId="4861078D" w14:textId="77777777" w:rsidR="001E78DD" w:rsidRDefault="001E78DD"/>
    <w:p w14:paraId="33C045EE" w14:textId="77777777" w:rsidR="001E78DD" w:rsidRDefault="001E78DD"/>
    <w:p w14:paraId="3DEFCB63" w14:textId="77777777" w:rsidR="001E78DD" w:rsidRDefault="001E78DD"/>
    <w:p w14:paraId="30B296FD" w14:textId="77777777" w:rsidR="001E78DD" w:rsidRDefault="001E78DD"/>
    <w:p w14:paraId="0511EDF6" w14:textId="77777777" w:rsidR="001E78DD" w:rsidRDefault="001E78DD"/>
    <w:p w14:paraId="5F672E7D" w14:textId="77777777" w:rsidR="001E78DD" w:rsidRDefault="001E78DD"/>
    <w:p w14:paraId="0CE5E515" w14:textId="77777777" w:rsidR="001E78DD" w:rsidRDefault="001E78DD"/>
    <w:p w14:paraId="7D72984F" w14:textId="77777777" w:rsidR="001E78DD" w:rsidRDefault="001E78DD"/>
    <w:p w14:paraId="21F15F46" w14:textId="77777777" w:rsidR="001E78DD" w:rsidRDefault="001E78DD"/>
    <w:p w14:paraId="20E95FDB" w14:textId="77777777" w:rsidR="001E78DD" w:rsidRDefault="001E78DD"/>
    <w:p w14:paraId="44687CC1" w14:textId="77777777" w:rsidR="001E78DD" w:rsidRDefault="001E78DD"/>
    <w:p w14:paraId="0A11B0BD" w14:textId="77777777" w:rsidR="001E78DD" w:rsidRDefault="001E78DD"/>
    <w:p w14:paraId="57AD6301" w14:textId="77777777" w:rsidR="001E78DD" w:rsidRDefault="001E78DD"/>
    <w:p w14:paraId="161AF421" w14:textId="77777777" w:rsidR="001E78DD" w:rsidRDefault="001E78DD"/>
    <w:p w14:paraId="5F83872C" w14:textId="77777777" w:rsidR="001E78DD" w:rsidRDefault="001E78DD"/>
    <w:p w14:paraId="28B59C83" w14:textId="77777777" w:rsidR="001E78DD" w:rsidRDefault="001E78DD"/>
    <w:p w14:paraId="346B959A" w14:textId="77777777" w:rsidR="001E78DD" w:rsidRDefault="001E78DD"/>
    <w:p w14:paraId="0D29C355" w14:textId="77777777" w:rsidR="001E78DD" w:rsidRDefault="001E78DD"/>
    <w:p w14:paraId="62D8B2CC" w14:textId="77777777" w:rsidR="001E78DD" w:rsidRDefault="001E78DD"/>
    <w:p w14:paraId="52D10CA7" w14:textId="77777777" w:rsidR="001E78DD" w:rsidRDefault="001E78DD"/>
    <w:p w14:paraId="69BBFAE5" w14:textId="77777777" w:rsidR="001E78DD" w:rsidRDefault="001E78DD"/>
    <w:p w14:paraId="4E1DA92E" w14:textId="77777777" w:rsidR="001E78DD" w:rsidRDefault="001E78DD"/>
    <w:p w14:paraId="337F13A7" w14:textId="77777777" w:rsidR="001E78DD" w:rsidRDefault="001E78DD"/>
    <w:p w14:paraId="0120F83C" w14:textId="7C3E2EB7" w:rsidR="001E78DD" w:rsidRPr="00983D46" w:rsidRDefault="001E78DD" w:rsidP="00983D46">
      <w:pPr>
        <w:spacing w:line="480" w:lineRule="auto"/>
        <w:rPr>
          <w:rFonts w:ascii="Arial" w:hAnsi="Arial" w:cs="Arial"/>
          <w:sz w:val="24"/>
          <w:szCs w:val="24"/>
          <w:u w:val="single"/>
        </w:rPr>
      </w:pPr>
      <w:r w:rsidRPr="00983D46">
        <w:rPr>
          <w:rFonts w:ascii="Arial" w:hAnsi="Arial" w:cs="Arial"/>
          <w:sz w:val="24"/>
          <w:szCs w:val="24"/>
          <w:u w:val="single"/>
        </w:rPr>
        <w:lastRenderedPageBreak/>
        <w:t>Acts</w:t>
      </w:r>
    </w:p>
    <w:p w14:paraId="71F41D14" w14:textId="77777777" w:rsidR="000779FE" w:rsidRPr="00983D46" w:rsidRDefault="000779FE" w:rsidP="00983D46">
      <w:pPr>
        <w:spacing w:line="480" w:lineRule="auto"/>
        <w:rPr>
          <w:rFonts w:ascii="Arial" w:hAnsi="Arial" w:cs="Arial"/>
          <w:sz w:val="24"/>
          <w:szCs w:val="24"/>
        </w:rPr>
      </w:pPr>
      <w:r w:rsidRPr="00983D46">
        <w:rPr>
          <w:rFonts w:ascii="Arial" w:hAnsi="Arial" w:cs="Arial"/>
          <w:i/>
          <w:iCs/>
          <w:sz w:val="24"/>
          <w:szCs w:val="24"/>
        </w:rPr>
        <w:t xml:space="preserve">Constitutional Reform Act </w:t>
      </w:r>
      <w:r w:rsidRPr="00983D46">
        <w:rPr>
          <w:rFonts w:ascii="Arial" w:hAnsi="Arial" w:cs="Arial"/>
          <w:sz w:val="24"/>
          <w:szCs w:val="24"/>
        </w:rPr>
        <w:t xml:space="preserve">2005, c. 4 </w:t>
      </w:r>
    </w:p>
    <w:p w14:paraId="3D0C8E03" w14:textId="77777777" w:rsidR="000779FE" w:rsidRPr="00983D46" w:rsidRDefault="000779FE" w:rsidP="00983D46">
      <w:pPr>
        <w:spacing w:line="480" w:lineRule="auto"/>
        <w:rPr>
          <w:rFonts w:ascii="Arial" w:hAnsi="Arial" w:cs="Arial"/>
          <w:sz w:val="24"/>
          <w:szCs w:val="24"/>
        </w:rPr>
      </w:pPr>
      <w:r w:rsidRPr="00983D46">
        <w:rPr>
          <w:rFonts w:ascii="Arial" w:hAnsi="Arial" w:cs="Arial"/>
          <w:sz w:val="24"/>
          <w:szCs w:val="24"/>
        </w:rPr>
        <w:t xml:space="preserve">Available at: </w:t>
      </w:r>
      <w:hyperlink r:id="rId10" w:history="1">
        <w:r w:rsidRPr="00983D46">
          <w:rPr>
            <w:rStyle w:val="Hyperlink"/>
            <w:rFonts w:ascii="Arial" w:hAnsi="Arial" w:cs="Arial"/>
            <w:sz w:val="24"/>
            <w:szCs w:val="24"/>
          </w:rPr>
          <w:t>https://www.legislation.gov.uk/ukpga/2005/4/contents</w:t>
        </w:r>
      </w:hyperlink>
    </w:p>
    <w:p w14:paraId="25B0EBC6" w14:textId="60CB67C0" w:rsidR="000779FE" w:rsidRPr="00983D46" w:rsidRDefault="000779FE" w:rsidP="00983D46">
      <w:pPr>
        <w:spacing w:line="480" w:lineRule="auto"/>
        <w:rPr>
          <w:rFonts w:ascii="Arial" w:hAnsi="Arial" w:cs="Arial"/>
          <w:sz w:val="24"/>
          <w:szCs w:val="24"/>
        </w:rPr>
      </w:pPr>
      <w:r w:rsidRPr="00983D46">
        <w:rPr>
          <w:rFonts w:ascii="Arial" w:hAnsi="Arial" w:cs="Arial"/>
          <w:sz w:val="24"/>
          <w:szCs w:val="24"/>
        </w:rPr>
        <w:t>Accessed: 15/03/2024</w:t>
      </w:r>
      <w:r w:rsidR="008D5D19" w:rsidRPr="00983D46">
        <w:rPr>
          <w:rFonts w:ascii="Arial" w:hAnsi="Arial" w:cs="Arial"/>
          <w:sz w:val="24"/>
          <w:szCs w:val="24"/>
        </w:rPr>
        <w:t>.</w:t>
      </w:r>
    </w:p>
    <w:p w14:paraId="3D33FBAB" w14:textId="77777777" w:rsidR="001E78DD" w:rsidRPr="00983D46" w:rsidRDefault="001E78DD" w:rsidP="00983D46">
      <w:pPr>
        <w:spacing w:line="480" w:lineRule="auto"/>
        <w:rPr>
          <w:rFonts w:ascii="Arial" w:hAnsi="Arial" w:cs="Arial"/>
          <w:sz w:val="24"/>
          <w:szCs w:val="24"/>
        </w:rPr>
      </w:pPr>
    </w:p>
    <w:p w14:paraId="7D6814FB" w14:textId="77777777" w:rsidR="00CC6FEF" w:rsidRPr="000D018C" w:rsidRDefault="00CC6FEF" w:rsidP="00983D46">
      <w:pPr>
        <w:spacing w:line="480" w:lineRule="auto"/>
        <w:rPr>
          <w:rFonts w:ascii="Arial" w:hAnsi="Arial" w:cs="Arial"/>
          <w:sz w:val="24"/>
          <w:szCs w:val="24"/>
        </w:rPr>
      </w:pPr>
      <w:r w:rsidRPr="000D018C">
        <w:rPr>
          <w:rFonts w:ascii="Arial" w:hAnsi="Arial" w:cs="Arial"/>
          <w:i/>
          <w:iCs/>
          <w:sz w:val="24"/>
          <w:szCs w:val="24"/>
        </w:rPr>
        <w:t xml:space="preserve">Human Rights Act 1998, </w:t>
      </w:r>
      <w:r w:rsidRPr="000D018C">
        <w:rPr>
          <w:rFonts w:ascii="Arial" w:hAnsi="Arial" w:cs="Arial"/>
          <w:sz w:val="24"/>
          <w:szCs w:val="24"/>
        </w:rPr>
        <w:t xml:space="preserve">c.42 </w:t>
      </w:r>
    </w:p>
    <w:p w14:paraId="1CF9E7C2" w14:textId="77777777" w:rsidR="00CC6FEF" w:rsidRPr="000D018C" w:rsidRDefault="00CC6FEF" w:rsidP="00983D46">
      <w:pPr>
        <w:spacing w:line="480" w:lineRule="auto"/>
        <w:rPr>
          <w:rFonts w:ascii="Arial" w:hAnsi="Arial" w:cs="Arial"/>
          <w:sz w:val="24"/>
          <w:szCs w:val="24"/>
        </w:rPr>
      </w:pPr>
      <w:r w:rsidRPr="000D018C">
        <w:rPr>
          <w:rFonts w:ascii="Arial" w:hAnsi="Arial" w:cs="Arial"/>
          <w:sz w:val="24"/>
          <w:szCs w:val="24"/>
        </w:rPr>
        <w:t xml:space="preserve">Available at: </w:t>
      </w:r>
      <w:hyperlink r:id="rId11" w:history="1">
        <w:r w:rsidRPr="000D018C">
          <w:rPr>
            <w:rStyle w:val="Hyperlink"/>
            <w:rFonts w:ascii="Arial" w:hAnsi="Arial" w:cs="Arial"/>
            <w:sz w:val="24"/>
            <w:szCs w:val="24"/>
          </w:rPr>
          <w:t>https://www.legislation.gov.uk/ukpga/1998/42/contents</w:t>
        </w:r>
      </w:hyperlink>
    </w:p>
    <w:p w14:paraId="5E92FD7B" w14:textId="40DC5C3D" w:rsidR="000779FE" w:rsidRPr="00983D46" w:rsidRDefault="00AE411C" w:rsidP="00983D46">
      <w:pPr>
        <w:spacing w:line="480" w:lineRule="auto"/>
        <w:rPr>
          <w:rFonts w:ascii="Arial" w:hAnsi="Arial" w:cs="Arial"/>
          <w:sz w:val="24"/>
          <w:szCs w:val="24"/>
        </w:rPr>
      </w:pPr>
      <w:r w:rsidRPr="00983D46">
        <w:rPr>
          <w:rFonts w:ascii="Arial" w:hAnsi="Arial" w:cs="Arial"/>
          <w:sz w:val="24"/>
          <w:szCs w:val="24"/>
        </w:rPr>
        <w:t>Accessed:16/03/2024</w:t>
      </w:r>
      <w:r w:rsidR="008D5D19" w:rsidRPr="00983D46">
        <w:rPr>
          <w:rFonts w:ascii="Arial" w:hAnsi="Arial" w:cs="Arial"/>
          <w:sz w:val="24"/>
          <w:szCs w:val="24"/>
        </w:rPr>
        <w:t>.</w:t>
      </w:r>
    </w:p>
    <w:p w14:paraId="50E3F7F2" w14:textId="77777777" w:rsidR="00AE411C" w:rsidRPr="00983D46" w:rsidRDefault="00AE411C" w:rsidP="00983D46">
      <w:pPr>
        <w:spacing w:line="480" w:lineRule="auto"/>
        <w:rPr>
          <w:rFonts w:ascii="Arial" w:hAnsi="Arial" w:cs="Arial"/>
          <w:sz w:val="24"/>
          <w:szCs w:val="24"/>
        </w:rPr>
      </w:pPr>
    </w:p>
    <w:p w14:paraId="68160D3D" w14:textId="77777777" w:rsidR="00953A34" w:rsidRPr="00983D46" w:rsidRDefault="00953A34" w:rsidP="00983D46">
      <w:pPr>
        <w:spacing w:line="480" w:lineRule="auto"/>
        <w:rPr>
          <w:rFonts w:ascii="Arial" w:hAnsi="Arial" w:cs="Arial"/>
          <w:sz w:val="24"/>
          <w:szCs w:val="24"/>
        </w:rPr>
      </w:pPr>
      <w:r w:rsidRPr="00953A34">
        <w:rPr>
          <w:rFonts w:ascii="Arial" w:hAnsi="Arial" w:cs="Arial"/>
          <w:i/>
          <w:iCs/>
          <w:sz w:val="24"/>
          <w:szCs w:val="24"/>
        </w:rPr>
        <w:t xml:space="preserve">Judicial Review and Courts Act 2022, </w:t>
      </w:r>
      <w:r w:rsidRPr="00953A34">
        <w:rPr>
          <w:rFonts w:ascii="Arial" w:hAnsi="Arial" w:cs="Arial"/>
          <w:sz w:val="24"/>
          <w:szCs w:val="24"/>
        </w:rPr>
        <w:t xml:space="preserve">c. 35. </w:t>
      </w:r>
    </w:p>
    <w:p w14:paraId="75F69C84" w14:textId="10DF7848" w:rsidR="00953A34" w:rsidRPr="00983D46" w:rsidRDefault="00953A34" w:rsidP="00983D46">
      <w:pPr>
        <w:spacing w:line="480" w:lineRule="auto"/>
        <w:rPr>
          <w:rFonts w:ascii="Arial" w:hAnsi="Arial" w:cs="Arial"/>
          <w:sz w:val="24"/>
          <w:szCs w:val="24"/>
        </w:rPr>
      </w:pPr>
      <w:r w:rsidRPr="00953A34">
        <w:rPr>
          <w:rFonts w:ascii="Arial" w:hAnsi="Arial" w:cs="Arial"/>
          <w:sz w:val="24"/>
          <w:szCs w:val="24"/>
        </w:rPr>
        <w:t xml:space="preserve">Available at: </w:t>
      </w:r>
      <w:hyperlink r:id="rId12" w:history="1">
        <w:r w:rsidRPr="00953A34">
          <w:rPr>
            <w:rStyle w:val="Hyperlink"/>
            <w:rFonts w:ascii="Arial" w:hAnsi="Arial" w:cs="Arial"/>
            <w:sz w:val="24"/>
            <w:szCs w:val="24"/>
          </w:rPr>
          <w:t>https://www.legislation.gov.uk/ukpga/2022/35/contents</w:t>
        </w:r>
      </w:hyperlink>
      <w:r w:rsidRPr="00953A34">
        <w:rPr>
          <w:rFonts w:ascii="Arial" w:hAnsi="Arial" w:cs="Arial"/>
          <w:sz w:val="24"/>
          <w:szCs w:val="24"/>
        </w:rPr>
        <w:t xml:space="preserve"> </w:t>
      </w:r>
    </w:p>
    <w:p w14:paraId="53DBE586" w14:textId="4BF1ECA1" w:rsidR="00953A34" w:rsidRPr="00983D46" w:rsidRDefault="00953A34" w:rsidP="00983D46">
      <w:pPr>
        <w:spacing w:line="480" w:lineRule="auto"/>
        <w:rPr>
          <w:rFonts w:ascii="Arial" w:hAnsi="Arial" w:cs="Arial"/>
          <w:sz w:val="24"/>
          <w:szCs w:val="24"/>
        </w:rPr>
      </w:pPr>
      <w:r w:rsidRPr="00953A34">
        <w:rPr>
          <w:rFonts w:ascii="Arial" w:hAnsi="Arial" w:cs="Arial"/>
          <w:sz w:val="24"/>
          <w:szCs w:val="24"/>
        </w:rPr>
        <w:t xml:space="preserve">Accessed on: </w:t>
      </w:r>
      <w:r w:rsidRPr="00983D46">
        <w:rPr>
          <w:rFonts w:ascii="Arial" w:hAnsi="Arial" w:cs="Arial"/>
          <w:sz w:val="24"/>
          <w:szCs w:val="24"/>
        </w:rPr>
        <w:t>04/04/2024.</w:t>
      </w:r>
    </w:p>
    <w:p w14:paraId="00DC85F4" w14:textId="77777777" w:rsidR="00953A34" w:rsidRPr="00983D46" w:rsidRDefault="00953A34" w:rsidP="00983D46">
      <w:pPr>
        <w:spacing w:line="480" w:lineRule="auto"/>
        <w:rPr>
          <w:rFonts w:ascii="Arial" w:hAnsi="Arial" w:cs="Arial"/>
          <w:sz w:val="24"/>
          <w:szCs w:val="24"/>
        </w:rPr>
      </w:pPr>
    </w:p>
    <w:p w14:paraId="03F3FF99" w14:textId="77777777" w:rsidR="00953A34" w:rsidRPr="00983D46" w:rsidRDefault="00953A34" w:rsidP="00983D46">
      <w:pPr>
        <w:spacing w:line="480" w:lineRule="auto"/>
        <w:rPr>
          <w:rFonts w:ascii="Arial" w:hAnsi="Arial" w:cs="Arial"/>
          <w:sz w:val="24"/>
          <w:szCs w:val="24"/>
        </w:rPr>
      </w:pPr>
    </w:p>
    <w:p w14:paraId="06C4E4D6" w14:textId="5A43F474" w:rsidR="00953A34" w:rsidRPr="00983D46" w:rsidRDefault="00953A34" w:rsidP="00983D46">
      <w:pPr>
        <w:spacing w:line="480" w:lineRule="auto"/>
        <w:rPr>
          <w:rFonts w:ascii="Arial" w:hAnsi="Arial" w:cs="Arial"/>
          <w:sz w:val="24"/>
          <w:szCs w:val="24"/>
          <w:u w:val="single"/>
        </w:rPr>
      </w:pPr>
      <w:r w:rsidRPr="00983D46">
        <w:rPr>
          <w:rFonts w:ascii="Arial" w:hAnsi="Arial" w:cs="Arial"/>
          <w:sz w:val="24"/>
          <w:szCs w:val="24"/>
          <w:u w:val="single"/>
        </w:rPr>
        <w:t>Refere</w:t>
      </w:r>
      <w:r w:rsidR="003B5F4F" w:rsidRPr="00983D46">
        <w:rPr>
          <w:rFonts w:ascii="Arial" w:hAnsi="Arial" w:cs="Arial"/>
          <w:sz w:val="24"/>
          <w:szCs w:val="24"/>
          <w:u w:val="single"/>
        </w:rPr>
        <w:t xml:space="preserve">ncing </w:t>
      </w:r>
    </w:p>
    <w:p w14:paraId="7EB61B17" w14:textId="77777777" w:rsidR="001F4F03" w:rsidRPr="00983D46" w:rsidRDefault="001F4F03" w:rsidP="00983D46">
      <w:pPr>
        <w:spacing w:line="480" w:lineRule="auto"/>
        <w:rPr>
          <w:rFonts w:ascii="Arial" w:hAnsi="Arial" w:cs="Arial"/>
          <w:sz w:val="24"/>
          <w:szCs w:val="24"/>
        </w:rPr>
      </w:pPr>
      <w:r w:rsidRPr="00983D46">
        <w:rPr>
          <w:rFonts w:ascii="Arial" w:hAnsi="Arial" w:cs="Arial"/>
          <w:sz w:val="24"/>
          <w:szCs w:val="24"/>
        </w:rPr>
        <w:t>Allbon, E. and Kaur Dua, S. (2020) </w:t>
      </w:r>
      <w:r w:rsidRPr="00983D46">
        <w:rPr>
          <w:rFonts w:ascii="Arial" w:hAnsi="Arial" w:cs="Arial"/>
          <w:i/>
          <w:iCs/>
          <w:sz w:val="24"/>
          <w:szCs w:val="24"/>
        </w:rPr>
        <w:t>Elliott and Quinnʹs English legal system.</w:t>
      </w:r>
      <w:r w:rsidRPr="00983D46">
        <w:rPr>
          <w:rFonts w:ascii="Arial" w:hAnsi="Arial" w:cs="Arial"/>
          <w:sz w:val="24"/>
          <w:szCs w:val="24"/>
        </w:rPr>
        <w:t xml:space="preserve"> Twenty-first edition. Harlow, England: Pearson C.  </w:t>
      </w:r>
    </w:p>
    <w:p w14:paraId="5F428128" w14:textId="5AC1335D" w:rsidR="001F4F03" w:rsidRPr="00983D46" w:rsidRDefault="001F4F03" w:rsidP="00983D46">
      <w:pPr>
        <w:spacing w:line="480" w:lineRule="auto"/>
        <w:rPr>
          <w:rFonts w:ascii="Arial" w:hAnsi="Arial" w:cs="Arial"/>
          <w:sz w:val="24"/>
          <w:szCs w:val="24"/>
        </w:rPr>
      </w:pPr>
      <w:r w:rsidRPr="00983D46">
        <w:rPr>
          <w:rFonts w:ascii="Arial" w:hAnsi="Arial" w:cs="Arial"/>
          <w:sz w:val="24"/>
          <w:szCs w:val="24"/>
        </w:rPr>
        <w:t>Accessed: 15/03/2024</w:t>
      </w:r>
      <w:r w:rsidR="008D5D19" w:rsidRPr="00983D46">
        <w:rPr>
          <w:rFonts w:ascii="Arial" w:hAnsi="Arial" w:cs="Arial"/>
          <w:sz w:val="24"/>
          <w:szCs w:val="24"/>
        </w:rPr>
        <w:t>.</w:t>
      </w:r>
    </w:p>
    <w:p w14:paraId="459E62B5" w14:textId="77777777" w:rsidR="003B5F4F" w:rsidRPr="00983D46" w:rsidRDefault="003B5F4F" w:rsidP="00983D46">
      <w:pPr>
        <w:spacing w:line="480" w:lineRule="auto"/>
        <w:rPr>
          <w:rFonts w:ascii="Arial" w:hAnsi="Arial" w:cs="Arial"/>
          <w:sz w:val="24"/>
          <w:szCs w:val="24"/>
        </w:rPr>
      </w:pPr>
    </w:p>
    <w:p w14:paraId="25D09697" w14:textId="77777777" w:rsidR="0034359F" w:rsidRPr="00983D46" w:rsidRDefault="0034359F" w:rsidP="00983D46">
      <w:pPr>
        <w:spacing w:line="480" w:lineRule="auto"/>
        <w:rPr>
          <w:rFonts w:ascii="Arial" w:hAnsi="Arial" w:cs="Arial"/>
          <w:sz w:val="24"/>
          <w:szCs w:val="24"/>
        </w:rPr>
      </w:pPr>
      <w:bookmarkStart w:id="0" w:name="_Hlk163678490"/>
      <w:r w:rsidRPr="0034359F">
        <w:rPr>
          <w:rFonts w:ascii="Arial" w:hAnsi="Arial" w:cs="Arial"/>
          <w:sz w:val="24"/>
          <w:szCs w:val="24"/>
        </w:rPr>
        <w:t>Barnett Institute for Public Policy (2022)</w:t>
      </w:r>
      <w:bookmarkEnd w:id="0"/>
      <w:r w:rsidRPr="0034359F">
        <w:rPr>
          <w:rFonts w:ascii="Arial" w:hAnsi="Arial" w:cs="Arial"/>
          <w:sz w:val="24"/>
          <w:szCs w:val="24"/>
        </w:rPr>
        <w:t> </w:t>
      </w:r>
      <w:r w:rsidRPr="0034359F">
        <w:rPr>
          <w:rFonts w:ascii="Arial" w:hAnsi="Arial" w:cs="Arial"/>
          <w:i/>
          <w:iCs/>
          <w:sz w:val="24"/>
          <w:szCs w:val="24"/>
        </w:rPr>
        <w:t>The legislative process: How to empower parliament</w:t>
      </w:r>
      <w:r w:rsidRPr="0034359F">
        <w:rPr>
          <w:rFonts w:ascii="Arial" w:hAnsi="Arial" w:cs="Arial"/>
          <w:sz w:val="24"/>
          <w:szCs w:val="24"/>
        </w:rPr>
        <w:t xml:space="preserve">. Cambridge: University of Cambridge. </w:t>
      </w:r>
    </w:p>
    <w:p w14:paraId="4F2A15B4" w14:textId="77777777" w:rsidR="0034359F" w:rsidRPr="00983D46" w:rsidRDefault="0034359F" w:rsidP="00983D46">
      <w:pPr>
        <w:spacing w:line="480" w:lineRule="auto"/>
        <w:rPr>
          <w:rFonts w:ascii="Arial" w:hAnsi="Arial" w:cs="Arial"/>
          <w:sz w:val="24"/>
          <w:szCs w:val="24"/>
        </w:rPr>
      </w:pPr>
      <w:r w:rsidRPr="0034359F">
        <w:rPr>
          <w:rFonts w:ascii="Arial" w:hAnsi="Arial" w:cs="Arial"/>
          <w:sz w:val="24"/>
          <w:szCs w:val="24"/>
        </w:rPr>
        <w:t xml:space="preserve">Available at: </w:t>
      </w:r>
      <w:hyperlink r:id="rId13" w:history="1">
        <w:r w:rsidRPr="0034359F">
          <w:rPr>
            <w:rStyle w:val="Hyperlink"/>
            <w:rFonts w:ascii="Arial" w:hAnsi="Arial" w:cs="Arial"/>
            <w:sz w:val="24"/>
            <w:szCs w:val="24"/>
          </w:rPr>
          <w:t>https://www.bennettinstitute.cam.ac.uk/publications/the-legislative-process/</w:t>
        </w:r>
      </w:hyperlink>
      <w:r w:rsidRPr="0034359F">
        <w:rPr>
          <w:rFonts w:ascii="Arial" w:hAnsi="Arial" w:cs="Arial"/>
          <w:sz w:val="24"/>
          <w:szCs w:val="24"/>
        </w:rPr>
        <w:t xml:space="preserve"> </w:t>
      </w:r>
    </w:p>
    <w:p w14:paraId="1FADA0A2" w14:textId="0CE8D1B1" w:rsidR="0034359F" w:rsidRPr="0034359F" w:rsidRDefault="0034359F" w:rsidP="00983D46">
      <w:pPr>
        <w:spacing w:line="480" w:lineRule="auto"/>
        <w:rPr>
          <w:rFonts w:ascii="Arial" w:hAnsi="Arial" w:cs="Arial"/>
          <w:sz w:val="24"/>
          <w:szCs w:val="24"/>
        </w:rPr>
      </w:pPr>
      <w:r w:rsidRPr="0034359F">
        <w:rPr>
          <w:rFonts w:ascii="Arial" w:hAnsi="Arial" w:cs="Arial"/>
          <w:sz w:val="24"/>
          <w:szCs w:val="24"/>
        </w:rPr>
        <w:t>Accessed:</w:t>
      </w:r>
      <w:r w:rsidRPr="00983D46">
        <w:rPr>
          <w:rFonts w:ascii="Arial" w:hAnsi="Arial" w:cs="Arial"/>
          <w:sz w:val="24"/>
          <w:szCs w:val="24"/>
        </w:rPr>
        <w:t xml:space="preserve"> </w:t>
      </w:r>
      <w:r w:rsidRPr="0034359F">
        <w:rPr>
          <w:rFonts w:ascii="Arial" w:hAnsi="Arial" w:cs="Arial"/>
          <w:sz w:val="24"/>
          <w:szCs w:val="24"/>
        </w:rPr>
        <w:t>6/04/2024</w:t>
      </w:r>
      <w:r w:rsidR="008D5D19" w:rsidRPr="00983D46">
        <w:rPr>
          <w:rFonts w:ascii="Arial" w:hAnsi="Arial" w:cs="Arial"/>
          <w:sz w:val="24"/>
          <w:szCs w:val="24"/>
        </w:rPr>
        <w:t>.</w:t>
      </w:r>
    </w:p>
    <w:p w14:paraId="76DA86B5" w14:textId="77777777" w:rsidR="001F4F03" w:rsidRPr="00983D46" w:rsidRDefault="001F4F03" w:rsidP="00983D46">
      <w:pPr>
        <w:spacing w:line="480" w:lineRule="auto"/>
        <w:rPr>
          <w:rFonts w:ascii="Arial" w:hAnsi="Arial" w:cs="Arial"/>
          <w:sz w:val="24"/>
          <w:szCs w:val="24"/>
        </w:rPr>
      </w:pPr>
    </w:p>
    <w:p w14:paraId="5D6A7FE4" w14:textId="77777777" w:rsidR="00AA6FF6" w:rsidRPr="00AA6FF6" w:rsidRDefault="00AA6FF6" w:rsidP="00983D46">
      <w:pPr>
        <w:spacing w:line="480" w:lineRule="auto"/>
        <w:rPr>
          <w:rFonts w:ascii="Arial" w:hAnsi="Arial" w:cs="Arial"/>
          <w:sz w:val="24"/>
          <w:szCs w:val="24"/>
        </w:rPr>
      </w:pPr>
      <w:r w:rsidRPr="00AA6FF6">
        <w:rPr>
          <w:rFonts w:ascii="Arial" w:hAnsi="Arial" w:cs="Arial"/>
          <w:sz w:val="24"/>
          <w:szCs w:val="24"/>
        </w:rPr>
        <w:lastRenderedPageBreak/>
        <w:t xml:space="preserve">Bellis, A. (2021) 'Minding your Ps and Qs’, </w:t>
      </w:r>
      <w:r w:rsidRPr="00AA6FF6">
        <w:rPr>
          <w:rFonts w:ascii="Arial" w:hAnsi="Arial" w:cs="Arial"/>
          <w:i/>
          <w:iCs/>
          <w:sz w:val="24"/>
          <w:szCs w:val="24"/>
        </w:rPr>
        <w:t>Civil services</w:t>
      </w:r>
      <w:r w:rsidRPr="00AA6FF6">
        <w:rPr>
          <w:rFonts w:ascii="Arial" w:hAnsi="Arial" w:cs="Arial"/>
          <w:sz w:val="24"/>
          <w:szCs w:val="24"/>
        </w:rPr>
        <w:t>, 20 August.</w:t>
      </w:r>
    </w:p>
    <w:p w14:paraId="59B93740" w14:textId="7263059D" w:rsidR="00AA6FF6" w:rsidRPr="00AA6FF6" w:rsidRDefault="00AA6FF6" w:rsidP="00983D46">
      <w:pPr>
        <w:spacing w:line="480" w:lineRule="auto"/>
        <w:rPr>
          <w:rFonts w:ascii="Arial" w:hAnsi="Arial" w:cs="Arial"/>
          <w:sz w:val="24"/>
          <w:szCs w:val="24"/>
        </w:rPr>
      </w:pPr>
      <w:r w:rsidRPr="00AA6FF6">
        <w:rPr>
          <w:rFonts w:ascii="Arial" w:hAnsi="Arial" w:cs="Arial"/>
          <w:sz w:val="24"/>
          <w:szCs w:val="24"/>
        </w:rPr>
        <w:t xml:space="preserve">Available at: </w:t>
      </w:r>
      <w:hyperlink r:id="rId14" w:history="1">
        <w:r w:rsidRPr="00AA6FF6">
          <w:rPr>
            <w:rStyle w:val="Hyperlink"/>
            <w:rFonts w:ascii="Arial" w:hAnsi="Arial" w:cs="Arial"/>
            <w:sz w:val="24"/>
            <w:szCs w:val="24"/>
          </w:rPr>
          <w:t>https://civilservice.blog.gov.uk/2021/08/31/minding-your-ps-and-qs/</w:t>
        </w:r>
      </w:hyperlink>
    </w:p>
    <w:p w14:paraId="318981E5" w14:textId="2ABFC27F" w:rsidR="00AA6FF6" w:rsidRPr="00983D46" w:rsidRDefault="00AA6FF6" w:rsidP="00983D46">
      <w:pPr>
        <w:spacing w:line="480" w:lineRule="auto"/>
        <w:rPr>
          <w:rFonts w:ascii="Arial" w:hAnsi="Arial" w:cs="Arial"/>
          <w:sz w:val="24"/>
          <w:szCs w:val="24"/>
        </w:rPr>
      </w:pPr>
      <w:r w:rsidRPr="00AA6FF6">
        <w:rPr>
          <w:rFonts w:ascii="Arial" w:hAnsi="Arial" w:cs="Arial"/>
          <w:sz w:val="24"/>
          <w:szCs w:val="24"/>
        </w:rPr>
        <w:t>Accessed: 16/03/2024</w:t>
      </w:r>
      <w:r w:rsidR="008D5D19" w:rsidRPr="00983D46">
        <w:rPr>
          <w:rFonts w:ascii="Arial" w:hAnsi="Arial" w:cs="Arial"/>
          <w:sz w:val="24"/>
          <w:szCs w:val="24"/>
        </w:rPr>
        <w:t>.</w:t>
      </w:r>
    </w:p>
    <w:p w14:paraId="76CB7795" w14:textId="77777777" w:rsidR="00FC7782" w:rsidRPr="00983D46" w:rsidRDefault="00FC7782" w:rsidP="00983D46">
      <w:pPr>
        <w:spacing w:line="480" w:lineRule="auto"/>
        <w:rPr>
          <w:rFonts w:ascii="Arial" w:hAnsi="Arial" w:cs="Arial"/>
          <w:sz w:val="24"/>
          <w:szCs w:val="24"/>
        </w:rPr>
      </w:pPr>
    </w:p>
    <w:p w14:paraId="07E6EBE8" w14:textId="77777777" w:rsidR="00A42551" w:rsidRPr="00983D46" w:rsidRDefault="00E90243" w:rsidP="00983D46">
      <w:pPr>
        <w:spacing w:line="480" w:lineRule="auto"/>
        <w:rPr>
          <w:rFonts w:ascii="Arial" w:hAnsi="Arial" w:cs="Arial"/>
          <w:sz w:val="24"/>
          <w:szCs w:val="24"/>
        </w:rPr>
      </w:pPr>
      <w:r w:rsidRPr="00E90243">
        <w:rPr>
          <w:rFonts w:ascii="Arial" w:hAnsi="Arial" w:cs="Arial"/>
          <w:sz w:val="24"/>
          <w:szCs w:val="24"/>
        </w:rPr>
        <w:t xml:space="preserve">Hogarth, R. (2019) </w:t>
      </w:r>
      <w:r w:rsidRPr="00E90243">
        <w:rPr>
          <w:rFonts w:ascii="Arial" w:hAnsi="Arial" w:cs="Arial"/>
          <w:i/>
          <w:iCs/>
          <w:sz w:val="24"/>
          <w:szCs w:val="24"/>
        </w:rPr>
        <w:t>Judicial Review</w:t>
      </w:r>
      <w:r w:rsidRPr="00E90243">
        <w:rPr>
          <w:rFonts w:ascii="Arial" w:hAnsi="Arial" w:cs="Arial"/>
          <w:sz w:val="24"/>
          <w:szCs w:val="24"/>
        </w:rPr>
        <w:t xml:space="preserve">, </w:t>
      </w:r>
      <w:r w:rsidRPr="00E90243">
        <w:rPr>
          <w:rFonts w:ascii="Arial" w:hAnsi="Arial" w:cs="Arial"/>
          <w:i/>
          <w:iCs/>
          <w:sz w:val="24"/>
          <w:szCs w:val="24"/>
        </w:rPr>
        <w:t>Institute for Government</w:t>
      </w:r>
      <w:r w:rsidRPr="00E90243">
        <w:rPr>
          <w:rFonts w:ascii="Arial" w:hAnsi="Arial" w:cs="Arial"/>
          <w:sz w:val="24"/>
          <w:szCs w:val="24"/>
        </w:rPr>
        <w:t xml:space="preserve">. </w:t>
      </w:r>
    </w:p>
    <w:p w14:paraId="02280588" w14:textId="7E72745C" w:rsidR="00F57CBE" w:rsidRPr="00983D46" w:rsidRDefault="00E90243" w:rsidP="00983D46">
      <w:pPr>
        <w:spacing w:line="480" w:lineRule="auto"/>
        <w:rPr>
          <w:rFonts w:ascii="Arial" w:hAnsi="Arial" w:cs="Arial"/>
          <w:sz w:val="24"/>
          <w:szCs w:val="24"/>
        </w:rPr>
      </w:pPr>
      <w:r w:rsidRPr="00E90243">
        <w:rPr>
          <w:rFonts w:ascii="Arial" w:hAnsi="Arial" w:cs="Arial"/>
          <w:sz w:val="24"/>
          <w:szCs w:val="24"/>
        </w:rPr>
        <w:t xml:space="preserve">Available at: </w:t>
      </w:r>
      <w:hyperlink r:id="rId15" w:history="1">
        <w:r w:rsidR="00F57CBE" w:rsidRPr="00E90243">
          <w:rPr>
            <w:rStyle w:val="Hyperlink"/>
            <w:rFonts w:ascii="Arial" w:hAnsi="Arial" w:cs="Arial"/>
            <w:sz w:val="24"/>
            <w:szCs w:val="24"/>
          </w:rPr>
          <w:t>https://www.instituteforgovernment.org.uk/explainer/judicial-review</w:t>
        </w:r>
      </w:hyperlink>
    </w:p>
    <w:p w14:paraId="3D108EF1" w14:textId="00D55046" w:rsidR="00E90243" w:rsidRPr="00E90243" w:rsidRDefault="00E90243" w:rsidP="00983D46">
      <w:pPr>
        <w:spacing w:line="480" w:lineRule="auto"/>
        <w:rPr>
          <w:rFonts w:ascii="Arial" w:hAnsi="Arial" w:cs="Arial"/>
          <w:sz w:val="24"/>
          <w:szCs w:val="24"/>
        </w:rPr>
      </w:pPr>
      <w:r w:rsidRPr="00E90243">
        <w:rPr>
          <w:rFonts w:ascii="Arial" w:hAnsi="Arial" w:cs="Arial"/>
          <w:sz w:val="24"/>
          <w:szCs w:val="24"/>
        </w:rPr>
        <w:t xml:space="preserve">Accessed: 25/03/2024. </w:t>
      </w:r>
    </w:p>
    <w:p w14:paraId="3D103A84" w14:textId="77777777" w:rsidR="00E90243" w:rsidRPr="00983D46" w:rsidRDefault="00E90243" w:rsidP="00983D46">
      <w:pPr>
        <w:spacing w:line="480" w:lineRule="auto"/>
        <w:rPr>
          <w:rFonts w:ascii="Arial" w:hAnsi="Arial" w:cs="Arial"/>
          <w:sz w:val="24"/>
          <w:szCs w:val="24"/>
        </w:rPr>
      </w:pPr>
    </w:p>
    <w:p w14:paraId="2CC6CF81" w14:textId="77777777" w:rsidR="00F57CBE" w:rsidRPr="00F57CBE" w:rsidRDefault="00F57CBE" w:rsidP="00983D46">
      <w:pPr>
        <w:spacing w:line="480" w:lineRule="auto"/>
        <w:rPr>
          <w:rFonts w:ascii="Arial" w:hAnsi="Arial" w:cs="Arial"/>
          <w:sz w:val="24"/>
          <w:szCs w:val="24"/>
        </w:rPr>
      </w:pPr>
      <w:bookmarkStart w:id="1" w:name="_Hlk163072064"/>
      <w:r w:rsidRPr="00F57CBE">
        <w:rPr>
          <w:rFonts w:ascii="Arial" w:hAnsi="Arial" w:cs="Arial"/>
          <w:sz w:val="24"/>
          <w:szCs w:val="24"/>
        </w:rPr>
        <w:t xml:space="preserve">Judge, D. (2021) </w:t>
      </w:r>
      <w:bookmarkEnd w:id="1"/>
      <w:r w:rsidRPr="00F57CBE">
        <w:rPr>
          <w:rFonts w:ascii="Arial" w:hAnsi="Arial" w:cs="Arial"/>
          <w:sz w:val="24"/>
          <w:szCs w:val="24"/>
        </w:rPr>
        <w:t xml:space="preserve">‘Walking the Dark Side: Evading Parliamentary Scrutiny’ </w:t>
      </w:r>
      <w:r w:rsidRPr="00F57CBE">
        <w:rPr>
          <w:rFonts w:ascii="Arial" w:hAnsi="Arial" w:cs="Arial"/>
          <w:i/>
          <w:iCs/>
          <w:sz w:val="24"/>
          <w:szCs w:val="24"/>
        </w:rPr>
        <w:t xml:space="preserve">The Political Quarterly, </w:t>
      </w:r>
      <w:r w:rsidRPr="00F57CBE">
        <w:rPr>
          <w:rFonts w:ascii="Arial" w:hAnsi="Arial" w:cs="Arial"/>
          <w:sz w:val="24"/>
          <w:szCs w:val="24"/>
        </w:rPr>
        <w:t xml:space="preserve">92(2), 283-292 </w:t>
      </w:r>
    </w:p>
    <w:p w14:paraId="621357F6" w14:textId="77777777" w:rsidR="00F57CBE" w:rsidRPr="00F57CBE" w:rsidRDefault="00F57CBE" w:rsidP="00983D46">
      <w:pPr>
        <w:spacing w:line="480" w:lineRule="auto"/>
        <w:rPr>
          <w:rFonts w:ascii="Arial" w:hAnsi="Arial" w:cs="Arial"/>
          <w:sz w:val="24"/>
          <w:szCs w:val="24"/>
        </w:rPr>
      </w:pPr>
      <w:r w:rsidRPr="00F57CBE">
        <w:rPr>
          <w:rFonts w:ascii="Arial" w:hAnsi="Arial" w:cs="Arial"/>
          <w:sz w:val="24"/>
          <w:szCs w:val="24"/>
        </w:rPr>
        <w:t xml:space="preserve">Available at: </w:t>
      </w:r>
      <w:hyperlink r:id="rId16" w:history="1">
        <w:r w:rsidRPr="00F57CBE">
          <w:rPr>
            <w:rStyle w:val="Hyperlink"/>
            <w:rFonts w:ascii="Arial" w:hAnsi="Arial" w:cs="Arial"/>
            <w:sz w:val="24"/>
            <w:szCs w:val="24"/>
          </w:rPr>
          <w:t>https://onlinelibrary.wiley.com/doi/full/10.1111/1467-923X.12983</w:t>
        </w:r>
      </w:hyperlink>
    </w:p>
    <w:p w14:paraId="1B2258E1" w14:textId="19953A43" w:rsidR="00F57CBE" w:rsidRPr="00F57CBE" w:rsidRDefault="00F57CBE" w:rsidP="00983D46">
      <w:pPr>
        <w:spacing w:line="480" w:lineRule="auto"/>
        <w:rPr>
          <w:rFonts w:ascii="Arial" w:hAnsi="Arial" w:cs="Arial"/>
          <w:sz w:val="24"/>
          <w:szCs w:val="24"/>
        </w:rPr>
      </w:pPr>
      <w:r w:rsidRPr="00F57CBE">
        <w:rPr>
          <w:rFonts w:ascii="Arial" w:hAnsi="Arial" w:cs="Arial"/>
          <w:sz w:val="24"/>
          <w:szCs w:val="24"/>
        </w:rPr>
        <w:t>Accessed:</w:t>
      </w:r>
      <w:r w:rsidR="00060C49" w:rsidRPr="00983D46">
        <w:rPr>
          <w:rFonts w:ascii="Arial" w:hAnsi="Arial" w:cs="Arial"/>
          <w:sz w:val="24"/>
          <w:szCs w:val="24"/>
        </w:rPr>
        <w:t xml:space="preserve"> </w:t>
      </w:r>
      <w:r w:rsidRPr="00F57CBE">
        <w:rPr>
          <w:rFonts w:ascii="Arial" w:hAnsi="Arial" w:cs="Arial"/>
          <w:sz w:val="24"/>
          <w:szCs w:val="24"/>
        </w:rPr>
        <w:t>15/03/2024</w:t>
      </w:r>
      <w:r w:rsidR="008D5D19" w:rsidRPr="00983D46">
        <w:rPr>
          <w:rFonts w:ascii="Arial" w:hAnsi="Arial" w:cs="Arial"/>
          <w:sz w:val="24"/>
          <w:szCs w:val="24"/>
        </w:rPr>
        <w:t>.</w:t>
      </w:r>
    </w:p>
    <w:p w14:paraId="66EA3C71" w14:textId="77777777" w:rsidR="00E90243" w:rsidRPr="00983D46" w:rsidRDefault="00E90243" w:rsidP="00983D46">
      <w:pPr>
        <w:spacing w:line="480" w:lineRule="auto"/>
        <w:rPr>
          <w:rFonts w:ascii="Arial" w:hAnsi="Arial" w:cs="Arial"/>
          <w:sz w:val="24"/>
          <w:szCs w:val="24"/>
        </w:rPr>
      </w:pPr>
    </w:p>
    <w:p w14:paraId="52000C3A" w14:textId="77777777" w:rsidR="00A42551" w:rsidRPr="00983D46" w:rsidRDefault="00FC7782" w:rsidP="00983D46">
      <w:pPr>
        <w:spacing w:line="480" w:lineRule="auto"/>
        <w:rPr>
          <w:rFonts w:ascii="Arial" w:hAnsi="Arial" w:cs="Arial"/>
          <w:sz w:val="24"/>
          <w:szCs w:val="24"/>
        </w:rPr>
      </w:pPr>
      <w:r w:rsidRPr="00FC7782">
        <w:rPr>
          <w:rFonts w:ascii="Arial" w:hAnsi="Arial" w:cs="Arial"/>
          <w:sz w:val="24"/>
          <w:szCs w:val="24"/>
        </w:rPr>
        <w:t>Marshall, J. (2020) 'Select Committees', </w:t>
      </w:r>
      <w:r w:rsidRPr="00FC7782">
        <w:rPr>
          <w:rFonts w:ascii="Arial" w:hAnsi="Arial" w:cs="Arial"/>
          <w:i/>
          <w:iCs/>
          <w:sz w:val="24"/>
          <w:szCs w:val="24"/>
        </w:rPr>
        <w:t>institute for government</w:t>
      </w:r>
      <w:r w:rsidRPr="00FC7782">
        <w:rPr>
          <w:rFonts w:ascii="Arial" w:hAnsi="Arial" w:cs="Arial"/>
          <w:sz w:val="24"/>
          <w:szCs w:val="24"/>
        </w:rPr>
        <w:t xml:space="preserve">, </w:t>
      </w:r>
    </w:p>
    <w:p w14:paraId="7190B7E8" w14:textId="15DBC275" w:rsidR="00FC7782" w:rsidRPr="00FC7782" w:rsidRDefault="00FC7782" w:rsidP="00983D46">
      <w:pPr>
        <w:spacing w:line="480" w:lineRule="auto"/>
        <w:rPr>
          <w:rFonts w:ascii="Arial" w:hAnsi="Arial" w:cs="Arial"/>
          <w:sz w:val="24"/>
          <w:szCs w:val="24"/>
        </w:rPr>
      </w:pPr>
      <w:r w:rsidRPr="00FC7782">
        <w:rPr>
          <w:rFonts w:ascii="Arial" w:hAnsi="Arial" w:cs="Arial"/>
          <w:sz w:val="24"/>
          <w:szCs w:val="24"/>
        </w:rPr>
        <w:t xml:space="preserve">Available at: </w:t>
      </w:r>
      <w:hyperlink r:id="rId17" w:history="1">
        <w:r w:rsidRPr="00FC7782">
          <w:rPr>
            <w:rStyle w:val="Hyperlink"/>
            <w:rFonts w:ascii="Arial" w:hAnsi="Arial" w:cs="Arial"/>
            <w:sz w:val="24"/>
            <w:szCs w:val="24"/>
          </w:rPr>
          <w:t>https://www.instituteforgovernment.org.uk/article/explainer/select-committees</w:t>
        </w:r>
      </w:hyperlink>
      <w:r w:rsidRPr="00FC7782">
        <w:rPr>
          <w:rFonts w:ascii="Arial" w:hAnsi="Arial" w:cs="Arial"/>
          <w:sz w:val="24"/>
          <w:szCs w:val="24"/>
        </w:rPr>
        <w:t xml:space="preserve"> Accessed on:02/04/2024</w:t>
      </w:r>
      <w:r w:rsidR="008D5D19" w:rsidRPr="00983D46">
        <w:rPr>
          <w:rFonts w:ascii="Arial" w:hAnsi="Arial" w:cs="Arial"/>
          <w:sz w:val="24"/>
          <w:szCs w:val="24"/>
        </w:rPr>
        <w:t>.</w:t>
      </w:r>
    </w:p>
    <w:p w14:paraId="77118EF1" w14:textId="77777777" w:rsidR="00FC7782" w:rsidRPr="00983D46" w:rsidRDefault="00FC7782" w:rsidP="00983D46">
      <w:pPr>
        <w:spacing w:line="480" w:lineRule="auto"/>
        <w:rPr>
          <w:rFonts w:ascii="Arial" w:hAnsi="Arial" w:cs="Arial"/>
          <w:sz w:val="24"/>
          <w:szCs w:val="24"/>
        </w:rPr>
      </w:pPr>
    </w:p>
    <w:p w14:paraId="4CF10861" w14:textId="77777777" w:rsidR="00D36E00" w:rsidRPr="00983D46" w:rsidRDefault="00D36E00" w:rsidP="00983D46">
      <w:pPr>
        <w:spacing w:line="480" w:lineRule="auto"/>
        <w:rPr>
          <w:rFonts w:ascii="Arial" w:hAnsi="Arial" w:cs="Arial"/>
          <w:sz w:val="24"/>
          <w:szCs w:val="24"/>
        </w:rPr>
      </w:pPr>
    </w:p>
    <w:p w14:paraId="0510970D" w14:textId="77777777" w:rsidR="00A42551" w:rsidRPr="00983D46" w:rsidRDefault="00D36E00" w:rsidP="00983D46">
      <w:pPr>
        <w:spacing w:line="480" w:lineRule="auto"/>
        <w:rPr>
          <w:rFonts w:ascii="Arial" w:hAnsi="Arial" w:cs="Arial"/>
          <w:sz w:val="24"/>
          <w:szCs w:val="24"/>
        </w:rPr>
      </w:pPr>
      <w:r w:rsidRPr="00D36E00">
        <w:rPr>
          <w:rFonts w:ascii="Arial" w:hAnsi="Arial" w:cs="Arial"/>
          <w:sz w:val="24"/>
          <w:szCs w:val="24"/>
        </w:rPr>
        <w:t>May, T,E. (2017) 'Pre-legislative scrutiny of draft bill', </w:t>
      </w:r>
      <w:r w:rsidRPr="00D36E00">
        <w:rPr>
          <w:rFonts w:ascii="Arial" w:hAnsi="Arial" w:cs="Arial"/>
          <w:i/>
          <w:iCs/>
          <w:sz w:val="24"/>
          <w:szCs w:val="24"/>
        </w:rPr>
        <w:t>Erskine May Parliamentary practice</w:t>
      </w:r>
      <w:r w:rsidRPr="00D36E00">
        <w:rPr>
          <w:rFonts w:ascii="Arial" w:hAnsi="Arial" w:cs="Arial"/>
          <w:sz w:val="24"/>
          <w:szCs w:val="24"/>
        </w:rPr>
        <w:t>, 26(4).</w:t>
      </w:r>
    </w:p>
    <w:p w14:paraId="05E04650" w14:textId="687F8086" w:rsidR="00D36E00" w:rsidRPr="00983D46" w:rsidRDefault="00D36E00" w:rsidP="00983D46">
      <w:pPr>
        <w:spacing w:line="480" w:lineRule="auto"/>
        <w:rPr>
          <w:rFonts w:ascii="Arial" w:hAnsi="Arial" w:cs="Arial"/>
          <w:sz w:val="24"/>
          <w:szCs w:val="24"/>
        </w:rPr>
      </w:pPr>
      <w:r w:rsidRPr="00D36E00">
        <w:rPr>
          <w:rFonts w:ascii="Arial" w:hAnsi="Arial" w:cs="Arial"/>
          <w:sz w:val="24"/>
          <w:szCs w:val="24"/>
        </w:rPr>
        <w:t xml:space="preserve">Available at: </w:t>
      </w:r>
      <w:hyperlink r:id="rId18" w:history="1">
        <w:r w:rsidRPr="00D36E00">
          <w:rPr>
            <w:rStyle w:val="Hyperlink"/>
            <w:rFonts w:ascii="Arial" w:hAnsi="Arial" w:cs="Arial"/>
            <w:sz w:val="24"/>
            <w:szCs w:val="24"/>
          </w:rPr>
          <w:t>https://plus-lexis-com.ezproxy.uwtsd.ac.uk/uk/document/?pdmfid=1001073&amp;crid=f56196c5-e797-4110-9703-5a7232ca0bee&amp;pddocfullpath=%2Fshared%2Fdocument%2Fanalytical-materials-uk%2Furn:contentItem:8V3J-YDY2-D6MY-P55F-00000-00&amp;pdcontentcomponentid=407118&amp;pdteaserkey=&amp;pdislpamode=false&amp;pddocumen</w:t>
        </w:r>
        <w:r w:rsidRPr="00D36E00">
          <w:rPr>
            <w:rStyle w:val="Hyperlink"/>
            <w:rFonts w:ascii="Arial" w:hAnsi="Arial" w:cs="Arial"/>
            <w:sz w:val="24"/>
            <w:szCs w:val="24"/>
          </w:rPr>
          <w:lastRenderedPageBreak/>
          <w:t>tnumber=16&amp;ecomp=dt5k&amp;earg=sr15&amp;prid=7c28febd-c827-4455-b78a-b523fb60332f</w:t>
        </w:r>
      </w:hyperlink>
      <w:r w:rsidRPr="00D36E00">
        <w:rPr>
          <w:rFonts w:ascii="Arial" w:hAnsi="Arial" w:cs="Arial"/>
          <w:sz w:val="24"/>
          <w:szCs w:val="24"/>
        </w:rPr>
        <w:t xml:space="preserve"> </w:t>
      </w:r>
    </w:p>
    <w:p w14:paraId="0200F493" w14:textId="6908E8E7" w:rsidR="00D36E00" w:rsidRPr="00983D46" w:rsidRDefault="00D36E00" w:rsidP="00983D46">
      <w:pPr>
        <w:spacing w:line="480" w:lineRule="auto"/>
        <w:rPr>
          <w:rFonts w:ascii="Arial" w:hAnsi="Arial" w:cs="Arial"/>
          <w:sz w:val="24"/>
          <w:szCs w:val="24"/>
        </w:rPr>
      </w:pPr>
      <w:r w:rsidRPr="00D36E00">
        <w:rPr>
          <w:rFonts w:ascii="Arial" w:hAnsi="Arial" w:cs="Arial"/>
          <w:sz w:val="24"/>
          <w:szCs w:val="24"/>
        </w:rPr>
        <w:t>Accessed on:</w:t>
      </w:r>
      <w:r w:rsidRPr="00983D46">
        <w:rPr>
          <w:rFonts w:ascii="Arial" w:hAnsi="Arial" w:cs="Arial"/>
          <w:sz w:val="24"/>
          <w:szCs w:val="24"/>
        </w:rPr>
        <w:t xml:space="preserve"> </w:t>
      </w:r>
      <w:r w:rsidRPr="00D36E00">
        <w:rPr>
          <w:rFonts w:ascii="Arial" w:hAnsi="Arial" w:cs="Arial"/>
          <w:sz w:val="24"/>
          <w:szCs w:val="24"/>
        </w:rPr>
        <w:t>28/03/2024</w:t>
      </w:r>
      <w:r w:rsidR="008D5D19" w:rsidRPr="00983D46">
        <w:rPr>
          <w:rFonts w:ascii="Arial" w:hAnsi="Arial" w:cs="Arial"/>
          <w:sz w:val="24"/>
          <w:szCs w:val="24"/>
        </w:rPr>
        <w:t>.</w:t>
      </w:r>
    </w:p>
    <w:p w14:paraId="49205730" w14:textId="77777777" w:rsidR="008D5D19" w:rsidRPr="00983D46" w:rsidRDefault="008D5D19" w:rsidP="00983D46">
      <w:pPr>
        <w:spacing w:line="480" w:lineRule="auto"/>
        <w:rPr>
          <w:rFonts w:ascii="Arial" w:hAnsi="Arial" w:cs="Arial"/>
          <w:sz w:val="24"/>
          <w:szCs w:val="24"/>
        </w:rPr>
      </w:pPr>
    </w:p>
    <w:p w14:paraId="07E33D83" w14:textId="77777777" w:rsidR="008D5D19" w:rsidRPr="00983D46" w:rsidRDefault="008D5D19" w:rsidP="00983D46">
      <w:pPr>
        <w:spacing w:line="480" w:lineRule="auto"/>
        <w:rPr>
          <w:rFonts w:ascii="Arial" w:hAnsi="Arial" w:cs="Arial"/>
          <w:sz w:val="24"/>
          <w:szCs w:val="24"/>
        </w:rPr>
      </w:pPr>
      <w:r w:rsidRPr="008D5D19">
        <w:rPr>
          <w:rFonts w:ascii="Arial" w:hAnsi="Arial" w:cs="Arial"/>
          <w:sz w:val="24"/>
          <w:szCs w:val="24"/>
        </w:rPr>
        <w:t xml:space="preserve">Miah, S. (2013) ‘The Limitations of Judicial Review on U.K Perspectives' </w:t>
      </w:r>
    </w:p>
    <w:p w14:paraId="153E6750" w14:textId="130CB1AD" w:rsidR="008D5D19" w:rsidRPr="00983D46" w:rsidRDefault="008D5D19" w:rsidP="00983D46">
      <w:pPr>
        <w:spacing w:line="480" w:lineRule="auto"/>
        <w:rPr>
          <w:rFonts w:ascii="Arial" w:hAnsi="Arial" w:cs="Arial"/>
          <w:sz w:val="24"/>
          <w:szCs w:val="24"/>
        </w:rPr>
      </w:pPr>
      <w:r w:rsidRPr="008D5D19">
        <w:rPr>
          <w:rFonts w:ascii="Arial" w:hAnsi="Arial" w:cs="Arial"/>
          <w:sz w:val="24"/>
          <w:szCs w:val="24"/>
        </w:rPr>
        <w:t>Available at:</w:t>
      </w:r>
      <w:r w:rsidRPr="00983D46">
        <w:rPr>
          <w:rFonts w:ascii="Arial" w:hAnsi="Arial" w:cs="Arial"/>
          <w:sz w:val="24"/>
          <w:szCs w:val="24"/>
        </w:rPr>
        <w:t xml:space="preserve"> </w:t>
      </w:r>
      <w:hyperlink r:id="rId19" w:history="1">
        <w:r w:rsidRPr="008D5D19">
          <w:rPr>
            <w:rStyle w:val="Hyperlink"/>
            <w:rFonts w:ascii="Arial" w:hAnsi="Arial" w:cs="Arial"/>
            <w:sz w:val="24"/>
            <w:szCs w:val="24"/>
          </w:rPr>
          <w:t>https://papers.ssrn.com/sol3/papers.cfm?abstract_id=2321931</w:t>
        </w:r>
      </w:hyperlink>
      <w:r w:rsidRPr="008D5D19">
        <w:rPr>
          <w:rFonts w:ascii="Arial" w:hAnsi="Arial" w:cs="Arial"/>
          <w:sz w:val="24"/>
          <w:szCs w:val="24"/>
        </w:rPr>
        <w:t xml:space="preserve">  Accessed:</w:t>
      </w:r>
      <w:r w:rsidRPr="00983D46">
        <w:rPr>
          <w:rFonts w:ascii="Arial" w:hAnsi="Arial" w:cs="Arial"/>
          <w:sz w:val="24"/>
          <w:szCs w:val="24"/>
        </w:rPr>
        <w:t xml:space="preserve"> </w:t>
      </w:r>
      <w:r w:rsidRPr="008D5D19">
        <w:rPr>
          <w:rFonts w:ascii="Arial" w:hAnsi="Arial" w:cs="Arial"/>
          <w:sz w:val="24"/>
          <w:szCs w:val="24"/>
        </w:rPr>
        <w:t>25/03/2024</w:t>
      </w:r>
      <w:r w:rsidRPr="00983D46">
        <w:rPr>
          <w:rFonts w:ascii="Arial" w:hAnsi="Arial" w:cs="Arial"/>
          <w:sz w:val="24"/>
          <w:szCs w:val="24"/>
        </w:rPr>
        <w:t>.</w:t>
      </w:r>
    </w:p>
    <w:p w14:paraId="3345C4FD" w14:textId="77777777" w:rsidR="005B11EB" w:rsidRPr="005B11EB" w:rsidRDefault="005B11EB" w:rsidP="00983D46">
      <w:pPr>
        <w:spacing w:line="480" w:lineRule="auto"/>
        <w:rPr>
          <w:rFonts w:ascii="Arial" w:hAnsi="Arial" w:cs="Arial"/>
          <w:sz w:val="24"/>
          <w:szCs w:val="24"/>
        </w:rPr>
      </w:pPr>
    </w:p>
    <w:p w14:paraId="03C2810A" w14:textId="77777777" w:rsidR="005B11EB" w:rsidRPr="005B11EB" w:rsidRDefault="005B11EB" w:rsidP="00983D46">
      <w:pPr>
        <w:spacing w:line="480" w:lineRule="auto"/>
        <w:rPr>
          <w:rFonts w:ascii="Arial" w:hAnsi="Arial" w:cs="Arial"/>
          <w:sz w:val="24"/>
          <w:szCs w:val="24"/>
        </w:rPr>
      </w:pPr>
      <w:r w:rsidRPr="005B11EB">
        <w:rPr>
          <w:rFonts w:ascii="Arial" w:hAnsi="Arial" w:cs="Arial"/>
          <w:sz w:val="24"/>
          <w:szCs w:val="24"/>
        </w:rPr>
        <w:t>Montesquieu, C. (1899) </w:t>
      </w:r>
      <w:r w:rsidRPr="005B11EB">
        <w:rPr>
          <w:rFonts w:ascii="Arial" w:hAnsi="Arial" w:cs="Arial"/>
          <w:i/>
          <w:iCs/>
          <w:sz w:val="24"/>
          <w:szCs w:val="24"/>
        </w:rPr>
        <w:t>The Spirit of laws</w:t>
      </w:r>
      <w:r w:rsidRPr="005B11EB">
        <w:rPr>
          <w:rFonts w:ascii="Arial" w:hAnsi="Arial" w:cs="Arial"/>
          <w:sz w:val="24"/>
          <w:szCs w:val="24"/>
        </w:rPr>
        <w:t>. 1st edn. New york: The Colonial Press. </w:t>
      </w:r>
    </w:p>
    <w:p w14:paraId="2C8C5E28" w14:textId="77777777" w:rsidR="008D5D19" w:rsidRPr="00983D46" w:rsidRDefault="008D5D19" w:rsidP="00983D46">
      <w:pPr>
        <w:spacing w:line="480" w:lineRule="auto"/>
        <w:rPr>
          <w:rFonts w:ascii="Arial" w:hAnsi="Arial" w:cs="Arial"/>
          <w:sz w:val="24"/>
          <w:szCs w:val="24"/>
        </w:rPr>
      </w:pPr>
    </w:p>
    <w:p w14:paraId="1A9DC21A" w14:textId="77777777" w:rsidR="00F50FD0" w:rsidRPr="00983D46" w:rsidRDefault="00061715" w:rsidP="00983D46">
      <w:pPr>
        <w:spacing w:line="480" w:lineRule="auto"/>
        <w:rPr>
          <w:rFonts w:ascii="Arial" w:hAnsi="Arial" w:cs="Arial"/>
          <w:sz w:val="24"/>
          <w:szCs w:val="24"/>
        </w:rPr>
      </w:pPr>
      <w:r w:rsidRPr="00061715">
        <w:rPr>
          <w:rFonts w:ascii="Arial" w:hAnsi="Arial" w:cs="Arial"/>
          <w:sz w:val="24"/>
          <w:szCs w:val="24"/>
        </w:rPr>
        <w:t xml:space="preserve">Russel, M. and Benton, M. (2011) 'Selective Influence: The Policy Impact of House of Commons Select Committees', Constitution Unit, </w:t>
      </w:r>
    </w:p>
    <w:p w14:paraId="64871B29" w14:textId="4873B96F" w:rsidR="00061715" w:rsidRPr="00061715" w:rsidRDefault="00061715" w:rsidP="00983D46">
      <w:pPr>
        <w:spacing w:line="480" w:lineRule="auto"/>
        <w:rPr>
          <w:rFonts w:ascii="Arial" w:hAnsi="Arial" w:cs="Arial"/>
          <w:sz w:val="24"/>
          <w:szCs w:val="24"/>
        </w:rPr>
      </w:pPr>
      <w:r w:rsidRPr="00061715">
        <w:rPr>
          <w:rFonts w:ascii="Arial" w:hAnsi="Arial" w:cs="Arial"/>
          <w:sz w:val="24"/>
          <w:szCs w:val="24"/>
        </w:rPr>
        <w:t xml:space="preserve">Available at: </w:t>
      </w:r>
      <w:hyperlink r:id="rId20" w:history="1">
        <w:r w:rsidRPr="00061715">
          <w:rPr>
            <w:rStyle w:val="Hyperlink"/>
            <w:rFonts w:ascii="Arial" w:hAnsi="Arial" w:cs="Arial"/>
            <w:sz w:val="24"/>
            <w:szCs w:val="24"/>
          </w:rPr>
          <w:t>https://www.ucl.ac.uk/constitution-unit/sites/constitution-unit/files/153.pdf</w:t>
        </w:r>
      </w:hyperlink>
    </w:p>
    <w:p w14:paraId="2E29E929" w14:textId="3209A58B" w:rsidR="00061715" w:rsidRPr="00061715" w:rsidRDefault="00061715" w:rsidP="00983D46">
      <w:pPr>
        <w:spacing w:line="480" w:lineRule="auto"/>
        <w:rPr>
          <w:rFonts w:ascii="Arial" w:hAnsi="Arial" w:cs="Arial"/>
          <w:sz w:val="24"/>
          <w:szCs w:val="24"/>
        </w:rPr>
      </w:pPr>
      <w:r w:rsidRPr="00061715">
        <w:rPr>
          <w:rFonts w:ascii="Arial" w:hAnsi="Arial" w:cs="Arial"/>
          <w:sz w:val="24"/>
          <w:szCs w:val="24"/>
        </w:rPr>
        <w:t>Accessed on:</w:t>
      </w:r>
      <w:r w:rsidR="00D23F89" w:rsidRPr="00983D46">
        <w:rPr>
          <w:rFonts w:ascii="Arial" w:hAnsi="Arial" w:cs="Arial"/>
          <w:sz w:val="24"/>
          <w:szCs w:val="24"/>
        </w:rPr>
        <w:t xml:space="preserve"> </w:t>
      </w:r>
      <w:r w:rsidRPr="00061715">
        <w:rPr>
          <w:rFonts w:ascii="Arial" w:hAnsi="Arial" w:cs="Arial"/>
          <w:sz w:val="24"/>
          <w:szCs w:val="24"/>
        </w:rPr>
        <w:t>2/04/2024</w:t>
      </w:r>
      <w:r w:rsidR="00D23F89" w:rsidRPr="00983D46">
        <w:rPr>
          <w:rFonts w:ascii="Arial" w:hAnsi="Arial" w:cs="Arial"/>
          <w:sz w:val="24"/>
          <w:szCs w:val="24"/>
        </w:rPr>
        <w:t>.</w:t>
      </w:r>
    </w:p>
    <w:p w14:paraId="43F7C8EF" w14:textId="77777777" w:rsidR="009A29A2" w:rsidRPr="009A29A2" w:rsidRDefault="009A29A2" w:rsidP="00983D46">
      <w:pPr>
        <w:spacing w:line="480" w:lineRule="auto"/>
        <w:rPr>
          <w:rFonts w:ascii="Arial" w:hAnsi="Arial" w:cs="Arial"/>
          <w:sz w:val="24"/>
          <w:szCs w:val="24"/>
        </w:rPr>
      </w:pPr>
    </w:p>
    <w:p w14:paraId="13E4500B" w14:textId="0D4906B2" w:rsidR="009A29A2" w:rsidRPr="009A29A2" w:rsidRDefault="009A29A2" w:rsidP="00983D46">
      <w:pPr>
        <w:spacing w:line="480" w:lineRule="auto"/>
        <w:rPr>
          <w:rFonts w:ascii="Arial" w:hAnsi="Arial" w:cs="Arial"/>
          <w:sz w:val="24"/>
          <w:szCs w:val="24"/>
        </w:rPr>
      </w:pPr>
      <w:r w:rsidRPr="009A29A2">
        <w:rPr>
          <w:rFonts w:ascii="Arial" w:hAnsi="Arial" w:cs="Arial"/>
          <w:sz w:val="24"/>
          <w:szCs w:val="24"/>
        </w:rPr>
        <w:t>Sharpley, D. (2023) </w:t>
      </w:r>
      <w:r w:rsidRPr="009A29A2">
        <w:rPr>
          <w:rFonts w:ascii="Arial" w:hAnsi="Arial" w:cs="Arial"/>
          <w:i/>
          <w:iCs/>
          <w:sz w:val="24"/>
          <w:szCs w:val="24"/>
        </w:rPr>
        <w:t xml:space="preserve">Criminal </w:t>
      </w:r>
      <w:r w:rsidR="00BB6C10" w:rsidRPr="009A29A2">
        <w:rPr>
          <w:rFonts w:ascii="Arial" w:hAnsi="Arial" w:cs="Arial"/>
          <w:i/>
          <w:iCs/>
          <w:sz w:val="24"/>
          <w:szCs w:val="24"/>
        </w:rPr>
        <w:t>litigation:</w:t>
      </w:r>
      <w:r w:rsidRPr="009A29A2">
        <w:rPr>
          <w:rFonts w:ascii="Arial" w:hAnsi="Arial" w:cs="Arial"/>
          <w:i/>
          <w:iCs/>
          <w:sz w:val="24"/>
          <w:szCs w:val="24"/>
        </w:rPr>
        <w:t xml:space="preserve"> practice and procedure 2023/</w:t>
      </w:r>
      <w:r w:rsidR="00BB6C10" w:rsidRPr="009A29A2">
        <w:rPr>
          <w:rFonts w:ascii="Arial" w:hAnsi="Arial" w:cs="Arial"/>
          <w:i/>
          <w:iCs/>
          <w:sz w:val="24"/>
          <w:szCs w:val="24"/>
        </w:rPr>
        <w:t>2024.</w:t>
      </w:r>
      <w:r w:rsidRPr="009A29A2">
        <w:rPr>
          <w:rFonts w:ascii="Arial" w:hAnsi="Arial" w:cs="Arial"/>
          <w:sz w:val="24"/>
          <w:szCs w:val="24"/>
        </w:rPr>
        <w:t xml:space="preserve"> </w:t>
      </w:r>
      <w:r w:rsidR="00BB6C10" w:rsidRPr="009A29A2">
        <w:rPr>
          <w:rFonts w:ascii="Arial" w:hAnsi="Arial" w:cs="Arial"/>
          <w:sz w:val="24"/>
          <w:szCs w:val="24"/>
        </w:rPr>
        <w:t>Guildford:</w:t>
      </w:r>
      <w:r w:rsidRPr="009A29A2">
        <w:rPr>
          <w:rFonts w:ascii="Arial" w:hAnsi="Arial" w:cs="Arial"/>
          <w:sz w:val="24"/>
          <w:szCs w:val="24"/>
        </w:rPr>
        <w:t>, College of Law Publishing.</w:t>
      </w:r>
    </w:p>
    <w:p w14:paraId="17D69E54" w14:textId="77777777" w:rsidR="009A29A2" w:rsidRPr="00983D46" w:rsidRDefault="009A29A2" w:rsidP="00983D46">
      <w:pPr>
        <w:spacing w:line="480" w:lineRule="auto"/>
        <w:rPr>
          <w:rFonts w:ascii="Arial" w:hAnsi="Arial" w:cs="Arial"/>
          <w:sz w:val="24"/>
          <w:szCs w:val="24"/>
        </w:rPr>
      </w:pPr>
    </w:p>
    <w:p w14:paraId="5BFFC86E" w14:textId="77777777" w:rsidR="00F50FD0" w:rsidRPr="00983D46" w:rsidRDefault="00F50FD0" w:rsidP="00983D46">
      <w:pPr>
        <w:spacing w:line="480" w:lineRule="auto"/>
        <w:rPr>
          <w:rFonts w:ascii="Arial" w:hAnsi="Arial" w:cs="Arial"/>
          <w:i/>
          <w:iCs/>
          <w:sz w:val="24"/>
          <w:szCs w:val="24"/>
        </w:rPr>
      </w:pPr>
      <w:r w:rsidRPr="00F50FD0">
        <w:rPr>
          <w:rFonts w:ascii="Arial" w:hAnsi="Arial" w:cs="Arial"/>
          <w:sz w:val="24"/>
          <w:szCs w:val="24"/>
        </w:rPr>
        <w:t>Turner, I.D. (2006)</w:t>
      </w:r>
      <w:r w:rsidRPr="00F50FD0">
        <w:rPr>
          <w:rFonts w:ascii="Arial" w:hAnsi="Arial" w:cs="Arial"/>
          <w:i/>
          <w:iCs/>
          <w:sz w:val="24"/>
          <w:szCs w:val="24"/>
        </w:rPr>
        <w:t xml:space="preserve"> 'Judicial Review, Irrationality and the Review of Merits ', The Nottingham Law Journal, </w:t>
      </w:r>
      <w:r w:rsidRPr="00F50FD0">
        <w:rPr>
          <w:rFonts w:ascii="Arial" w:hAnsi="Arial" w:cs="Arial"/>
          <w:sz w:val="24"/>
          <w:szCs w:val="24"/>
        </w:rPr>
        <w:t>15 (2).</w:t>
      </w:r>
      <w:r w:rsidRPr="00F50FD0">
        <w:rPr>
          <w:rFonts w:ascii="Arial" w:hAnsi="Arial" w:cs="Arial"/>
          <w:i/>
          <w:iCs/>
          <w:sz w:val="24"/>
          <w:szCs w:val="24"/>
        </w:rPr>
        <w:t> </w:t>
      </w:r>
    </w:p>
    <w:p w14:paraId="2869B0ED" w14:textId="77777777" w:rsidR="00983D46" w:rsidRPr="00983D46" w:rsidRDefault="00983D46" w:rsidP="00983D46">
      <w:pPr>
        <w:spacing w:line="480" w:lineRule="auto"/>
        <w:rPr>
          <w:rFonts w:ascii="Arial" w:hAnsi="Arial" w:cs="Arial"/>
          <w:sz w:val="24"/>
          <w:szCs w:val="24"/>
        </w:rPr>
      </w:pPr>
    </w:p>
    <w:p w14:paraId="79B530B7" w14:textId="77777777" w:rsidR="00983D46" w:rsidRPr="00983D46" w:rsidRDefault="00983D46" w:rsidP="00983D46">
      <w:pPr>
        <w:spacing w:line="480" w:lineRule="auto"/>
        <w:rPr>
          <w:rFonts w:ascii="Arial" w:hAnsi="Arial" w:cs="Arial"/>
          <w:sz w:val="24"/>
          <w:szCs w:val="24"/>
        </w:rPr>
      </w:pPr>
      <w:r w:rsidRPr="00983D46">
        <w:rPr>
          <w:rFonts w:ascii="Arial" w:hAnsi="Arial" w:cs="Arial"/>
          <w:sz w:val="24"/>
          <w:szCs w:val="24"/>
        </w:rPr>
        <w:t>White, H. (2015) 'Parliamentary Scrutiny of Government', </w:t>
      </w:r>
      <w:r w:rsidRPr="00983D46">
        <w:rPr>
          <w:rFonts w:ascii="Arial" w:hAnsi="Arial" w:cs="Arial"/>
          <w:i/>
          <w:iCs/>
          <w:sz w:val="24"/>
          <w:szCs w:val="24"/>
        </w:rPr>
        <w:t>Institute for government</w:t>
      </w:r>
      <w:r w:rsidRPr="00983D46">
        <w:rPr>
          <w:rFonts w:ascii="Arial" w:hAnsi="Arial" w:cs="Arial"/>
          <w:sz w:val="24"/>
          <w:szCs w:val="24"/>
        </w:rPr>
        <w:t>.</w:t>
      </w:r>
    </w:p>
    <w:p w14:paraId="371ACB4D" w14:textId="338B91DD" w:rsidR="00983D46" w:rsidRPr="00983D46" w:rsidRDefault="00983D46" w:rsidP="00983D46">
      <w:pPr>
        <w:spacing w:line="480" w:lineRule="auto"/>
        <w:rPr>
          <w:rFonts w:ascii="Arial" w:hAnsi="Arial" w:cs="Arial"/>
          <w:sz w:val="24"/>
          <w:szCs w:val="24"/>
        </w:rPr>
      </w:pPr>
      <w:r>
        <w:rPr>
          <w:rFonts w:ascii="Arial" w:hAnsi="Arial" w:cs="Arial"/>
          <w:sz w:val="24"/>
          <w:szCs w:val="24"/>
        </w:rPr>
        <w:t>Available</w:t>
      </w:r>
      <w:r w:rsidRPr="00983D46">
        <w:rPr>
          <w:rFonts w:ascii="Arial" w:hAnsi="Arial" w:cs="Arial"/>
          <w:sz w:val="24"/>
          <w:szCs w:val="24"/>
        </w:rPr>
        <w:t>: </w:t>
      </w:r>
      <w:hyperlink r:id="rId21" w:history="1">
        <w:r w:rsidRPr="00983D46">
          <w:rPr>
            <w:rFonts w:ascii="Arial" w:hAnsi="Arial" w:cs="Arial"/>
            <w:color w:val="0000FF"/>
            <w:sz w:val="24"/>
            <w:szCs w:val="24"/>
            <w:u w:val="single"/>
          </w:rPr>
          <w:t>https://www.instituteforgovernment.org.uk/publication/report/parliamentary-scrutiny-government</w:t>
        </w:r>
      </w:hyperlink>
    </w:p>
    <w:p w14:paraId="19F61554" w14:textId="77777777" w:rsidR="00983D46" w:rsidRPr="00983D46" w:rsidRDefault="00983D46" w:rsidP="00983D46">
      <w:pPr>
        <w:spacing w:line="480" w:lineRule="auto"/>
        <w:rPr>
          <w:rFonts w:ascii="Arial" w:hAnsi="Arial" w:cs="Arial"/>
          <w:sz w:val="24"/>
          <w:szCs w:val="24"/>
        </w:rPr>
      </w:pPr>
      <w:r w:rsidRPr="00983D46">
        <w:rPr>
          <w:rFonts w:ascii="Arial" w:hAnsi="Arial" w:cs="Arial"/>
          <w:sz w:val="24"/>
          <w:szCs w:val="24"/>
        </w:rPr>
        <w:lastRenderedPageBreak/>
        <w:t xml:space="preserve"> Accessed: 16/03/2024</w:t>
      </w:r>
    </w:p>
    <w:p w14:paraId="278280C3" w14:textId="77777777" w:rsidR="008D5D19" w:rsidRPr="008D5D19" w:rsidRDefault="008D5D19" w:rsidP="008D5D19">
      <w:pPr>
        <w:rPr>
          <w:rFonts w:ascii="Arial" w:hAnsi="Arial" w:cs="Arial"/>
          <w:sz w:val="24"/>
          <w:szCs w:val="24"/>
        </w:rPr>
      </w:pPr>
    </w:p>
    <w:p w14:paraId="1DE30C01" w14:textId="77777777" w:rsidR="008D5D19" w:rsidRPr="00D36E00" w:rsidRDefault="008D5D19" w:rsidP="00D36E00">
      <w:pPr>
        <w:rPr>
          <w:rFonts w:ascii="Arial" w:hAnsi="Arial" w:cs="Arial"/>
          <w:sz w:val="24"/>
          <w:szCs w:val="24"/>
        </w:rPr>
      </w:pPr>
    </w:p>
    <w:p w14:paraId="13908629" w14:textId="77777777" w:rsidR="001E78DD" w:rsidRDefault="001E78DD"/>
    <w:p w14:paraId="45CF832B" w14:textId="77777777" w:rsidR="001E78DD" w:rsidRDefault="001E78DD"/>
    <w:p w14:paraId="0DB12882" w14:textId="77777777" w:rsidR="001E78DD" w:rsidRDefault="001E78DD"/>
    <w:p w14:paraId="22B10202" w14:textId="77777777" w:rsidR="001E78DD" w:rsidRDefault="001E78DD"/>
    <w:p w14:paraId="49670A5A" w14:textId="77777777" w:rsidR="001E78DD" w:rsidRDefault="001E78DD"/>
    <w:p w14:paraId="0640F723" w14:textId="77777777" w:rsidR="001E78DD" w:rsidRDefault="001E78DD"/>
    <w:p w14:paraId="413E555B" w14:textId="77777777" w:rsidR="001E78DD" w:rsidRDefault="001E78DD"/>
    <w:p w14:paraId="0A0527F5" w14:textId="77777777" w:rsidR="001E78DD" w:rsidRDefault="001E78DD"/>
    <w:p w14:paraId="16D91F08" w14:textId="77777777" w:rsidR="001E78DD" w:rsidRDefault="001E78DD"/>
    <w:p w14:paraId="5CF8F9A7" w14:textId="77777777" w:rsidR="001E78DD" w:rsidRDefault="001E78DD"/>
    <w:p w14:paraId="31BA5CA0" w14:textId="77777777" w:rsidR="001E78DD" w:rsidRDefault="001E78DD"/>
    <w:p w14:paraId="347BD465" w14:textId="77777777" w:rsidR="001E78DD" w:rsidRDefault="001E78DD"/>
    <w:p w14:paraId="667A29B5" w14:textId="77777777" w:rsidR="001E78DD" w:rsidRDefault="001E78DD"/>
    <w:p w14:paraId="2954AAC6" w14:textId="77777777" w:rsidR="001E78DD" w:rsidRDefault="001E78DD"/>
    <w:p w14:paraId="129B7628" w14:textId="77777777" w:rsidR="001E78DD" w:rsidRDefault="001E78DD"/>
    <w:p w14:paraId="267F4B39" w14:textId="77777777" w:rsidR="001E78DD" w:rsidRDefault="001E78DD"/>
    <w:p w14:paraId="46C29288" w14:textId="77777777" w:rsidR="001E78DD" w:rsidRDefault="001E78DD"/>
    <w:p w14:paraId="0A14358F" w14:textId="77777777" w:rsidR="001E78DD" w:rsidRDefault="001E78DD"/>
    <w:p w14:paraId="67C97CDF" w14:textId="77777777" w:rsidR="001E78DD" w:rsidRDefault="001E78DD"/>
    <w:p w14:paraId="1CC0F6A0" w14:textId="77777777" w:rsidR="001E78DD" w:rsidRDefault="001E78DD"/>
    <w:p w14:paraId="7F3502BB" w14:textId="77777777" w:rsidR="001E78DD" w:rsidRDefault="001E78DD"/>
    <w:p w14:paraId="100FDAD0" w14:textId="77777777" w:rsidR="001E78DD" w:rsidRDefault="001E78DD"/>
    <w:p w14:paraId="7220ADF3" w14:textId="77777777" w:rsidR="001E78DD" w:rsidRDefault="001E78DD"/>
    <w:p w14:paraId="201B7843" w14:textId="77777777" w:rsidR="001E78DD" w:rsidRDefault="001E78DD"/>
    <w:p w14:paraId="5BE77395" w14:textId="77777777" w:rsidR="001E78DD" w:rsidRDefault="001E78DD"/>
    <w:p w14:paraId="06DCED89" w14:textId="77777777" w:rsidR="001E78DD" w:rsidRDefault="001E78DD"/>
    <w:p w14:paraId="3570F109" w14:textId="77777777" w:rsidR="001E78DD" w:rsidRDefault="001E78DD"/>
    <w:p w14:paraId="2F9CB868" w14:textId="77777777" w:rsidR="001E78DD" w:rsidRDefault="001E78DD"/>
    <w:p w14:paraId="0B3C0BE9" w14:textId="77777777" w:rsidR="001E78DD" w:rsidRDefault="001E78DD"/>
    <w:p w14:paraId="6965D0CD" w14:textId="77777777" w:rsidR="001E78DD" w:rsidRDefault="001E78DD"/>
    <w:p w14:paraId="0F832CEF" w14:textId="77777777" w:rsidR="001E78DD" w:rsidRDefault="001E78DD"/>
    <w:p w14:paraId="082BD9C4" w14:textId="77777777" w:rsidR="001E78DD" w:rsidRDefault="001E78DD"/>
    <w:p w14:paraId="482A1C54" w14:textId="77777777" w:rsidR="00930FD1" w:rsidRDefault="00930FD1"/>
    <w:p w14:paraId="6012A571" w14:textId="77777777" w:rsidR="00930FD1" w:rsidRDefault="00930FD1"/>
    <w:p w14:paraId="1D3E0294" w14:textId="77777777" w:rsidR="00ED7352" w:rsidRDefault="00ED7352">
      <w:pPr>
        <w:rPr>
          <w:rFonts w:ascii="Open Sans" w:hAnsi="Open Sans" w:cs="Open Sans"/>
          <w:color w:val="1C2B39"/>
          <w:sz w:val="27"/>
          <w:szCs w:val="27"/>
          <w:shd w:val="clear" w:color="auto" w:fill="FFFFFF"/>
        </w:rPr>
      </w:pPr>
    </w:p>
    <w:p w14:paraId="063207DB" w14:textId="77777777" w:rsidR="00456BF3" w:rsidRDefault="00456BF3">
      <w:pPr>
        <w:rPr>
          <w:rFonts w:ascii="Open Sans" w:hAnsi="Open Sans" w:cs="Open Sans"/>
          <w:color w:val="1C2B39"/>
          <w:sz w:val="27"/>
          <w:szCs w:val="27"/>
          <w:shd w:val="clear" w:color="auto" w:fill="FFFFFF"/>
        </w:rPr>
      </w:pPr>
    </w:p>
    <w:p w14:paraId="5FFDEEF0" w14:textId="77777777" w:rsidR="00ED7352" w:rsidRDefault="00ED7352">
      <w:pPr>
        <w:rPr>
          <w:rFonts w:ascii="Open Sans" w:hAnsi="Open Sans" w:cs="Open Sans"/>
          <w:color w:val="1C2B39"/>
          <w:sz w:val="27"/>
          <w:szCs w:val="27"/>
          <w:shd w:val="clear" w:color="auto" w:fill="FFFFFF"/>
        </w:rPr>
      </w:pPr>
    </w:p>
    <w:p w14:paraId="40FCEF1E" w14:textId="77777777" w:rsidR="008E3E1A" w:rsidRDefault="008E3E1A" w:rsidP="008E3E1A">
      <w:pPr>
        <w:rPr>
          <w:rFonts w:ascii="Helvetica" w:hAnsi="Helvetica"/>
          <w:color w:val="555555"/>
          <w:sz w:val="21"/>
          <w:szCs w:val="21"/>
          <w:shd w:val="clear" w:color="auto" w:fill="FFFFFF"/>
        </w:rPr>
      </w:pPr>
    </w:p>
    <w:p w14:paraId="426E2EA9" w14:textId="77777777" w:rsidR="008E3E1A" w:rsidRDefault="008E3E1A" w:rsidP="008E3E1A">
      <w:pPr>
        <w:rPr>
          <w:rFonts w:ascii="Helvetica" w:hAnsi="Helvetica"/>
          <w:color w:val="555555"/>
          <w:sz w:val="21"/>
          <w:szCs w:val="21"/>
          <w:shd w:val="clear" w:color="auto" w:fill="FFFFFF"/>
        </w:rPr>
      </w:pPr>
    </w:p>
    <w:p w14:paraId="745C8F00" w14:textId="77777777" w:rsidR="008E3E1A" w:rsidRDefault="008E3E1A" w:rsidP="008E3E1A">
      <w:pPr>
        <w:rPr>
          <w:rStyle w:val="legds"/>
          <w:rFonts w:ascii="Arial" w:eastAsiaTheme="majorEastAsia" w:hAnsi="Arial" w:cs="Arial"/>
          <w:color w:val="1E1E1E"/>
        </w:rPr>
      </w:pPr>
    </w:p>
    <w:p w14:paraId="1DE6F634" w14:textId="77777777" w:rsidR="008E3E1A" w:rsidRDefault="008E3E1A" w:rsidP="008E3E1A">
      <w:pPr>
        <w:rPr>
          <w:rFonts w:ascii="Helvetica" w:hAnsi="Helvetica"/>
          <w:color w:val="555555"/>
          <w:sz w:val="21"/>
          <w:szCs w:val="21"/>
          <w:shd w:val="clear" w:color="auto" w:fill="FFFFFF"/>
        </w:rPr>
      </w:pPr>
    </w:p>
    <w:p w14:paraId="04865034" w14:textId="77777777" w:rsidR="008E3E1A" w:rsidRDefault="008E3E1A" w:rsidP="008E3E1A">
      <w:pPr>
        <w:rPr>
          <w:rStyle w:val="legds"/>
          <w:rFonts w:ascii="Arial" w:eastAsiaTheme="majorEastAsia" w:hAnsi="Arial" w:cs="Arial"/>
          <w:color w:val="1E1E1E"/>
        </w:rPr>
      </w:pPr>
    </w:p>
    <w:p w14:paraId="78F9FAA6" w14:textId="77777777" w:rsidR="00A51849" w:rsidRDefault="00A51849"/>
    <w:p w14:paraId="33FD0B1F" w14:textId="77777777" w:rsidR="00C0394D" w:rsidRDefault="00C0394D"/>
    <w:sectPr w:rsidR="00C0394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41D49" w14:textId="77777777" w:rsidR="00433F8F" w:rsidRDefault="00433F8F" w:rsidP="00C765DA">
      <w:r>
        <w:separator/>
      </w:r>
    </w:p>
  </w:endnote>
  <w:endnote w:type="continuationSeparator" w:id="0">
    <w:p w14:paraId="2A5AFA05" w14:textId="77777777" w:rsidR="00433F8F" w:rsidRDefault="00433F8F" w:rsidP="00C76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469020"/>
      <w:docPartObj>
        <w:docPartGallery w:val="Page Numbers (Bottom of Page)"/>
        <w:docPartUnique/>
      </w:docPartObj>
    </w:sdtPr>
    <w:sdtContent>
      <w:p w14:paraId="43A00419" w14:textId="77777777" w:rsidR="00C765DA" w:rsidRDefault="00C765DA">
        <w:pPr>
          <w:pStyle w:val="Footer"/>
          <w:jc w:val="right"/>
        </w:pPr>
      </w:p>
      <w:p w14:paraId="08C50FDE" w14:textId="376F4B14" w:rsidR="00C765DA" w:rsidRDefault="00C765DA">
        <w:pPr>
          <w:pStyle w:val="Footer"/>
          <w:jc w:val="right"/>
        </w:pPr>
        <w:r>
          <w:fldChar w:fldCharType="begin"/>
        </w:r>
        <w:r>
          <w:instrText>PAGE   \* MERGEFORMAT</w:instrText>
        </w:r>
        <w:r>
          <w:fldChar w:fldCharType="separate"/>
        </w:r>
        <w:r>
          <w:t>2</w:t>
        </w:r>
        <w:r>
          <w:fldChar w:fldCharType="end"/>
        </w:r>
      </w:p>
    </w:sdtContent>
  </w:sdt>
  <w:p w14:paraId="073DA7D3" w14:textId="77777777" w:rsidR="00C765DA" w:rsidRDefault="00C76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600B7" w14:textId="77777777" w:rsidR="00433F8F" w:rsidRDefault="00433F8F" w:rsidP="00C765DA">
      <w:r>
        <w:separator/>
      </w:r>
    </w:p>
  </w:footnote>
  <w:footnote w:type="continuationSeparator" w:id="0">
    <w:p w14:paraId="2CAB79C6" w14:textId="77777777" w:rsidR="00433F8F" w:rsidRDefault="00433F8F" w:rsidP="00C765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97046"/>
    <w:multiLevelType w:val="multilevel"/>
    <w:tmpl w:val="EBD29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4D0AFE"/>
    <w:multiLevelType w:val="multilevel"/>
    <w:tmpl w:val="BCB0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4239989">
    <w:abstractNumId w:val="1"/>
  </w:num>
  <w:num w:numId="2" w16cid:durableId="97877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FFA"/>
    <w:rsid w:val="000164E5"/>
    <w:rsid w:val="00060C49"/>
    <w:rsid w:val="00061715"/>
    <w:rsid w:val="00065699"/>
    <w:rsid w:val="00072F9D"/>
    <w:rsid w:val="000779FE"/>
    <w:rsid w:val="00097465"/>
    <w:rsid w:val="000A7FEE"/>
    <w:rsid w:val="000B7156"/>
    <w:rsid w:val="000D2762"/>
    <w:rsid w:val="001359F7"/>
    <w:rsid w:val="001C2BFA"/>
    <w:rsid w:val="001E1423"/>
    <w:rsid w:val="001E78DD"/>
    <w:rsid w:val="001F4F03"/>
    <w:rsid w:val="001F5D22"/>
    <w:rsid w:val="00217D0D"/>
    <w:rsid w:val="00232379"/>
    <w:rsid w:val="00260ABD"/>
    <w:rsid w:val="002657AD"/>
    <w:rsid w:val="00271F0D"/>
    <w:rsid w:val="002744BD"/>
    <w:rsid w:val="0028181A"/>
    <w:rsid w:val="002B4A2B"/>
    <w:rsid w:val="002C0657"/>
    <w:rsid w:val="002E140B"/>
    <w:rsid w:val="002F0882"/>
    <w:rsid w:val="002F1577"/>
    <w:rsid w:val="00300B58"/>
    <w:rsid w:val="003034D6"/>
    <w:rsid w:val="0034359F"/>
    <w:rsid w:val="00350771"/>
    <w:rsid w:val="0036364B"/>
    <w:rsid w:val="00382C44"/>
    <w:rsid w:val="00390341"/>
    <w:rsid w:val="003A5A58"/>
    <w:rsid w:val="003B5F4F"/>
    <w:rsid w:val="003D565E"/>
    <w:rsid w:val="003E25E6"/>
    <w:rsid w:val="003F5C69"/>
    <w:rsid w:val="00410757"/>
    <w:rsid w:val="00421860"/>
    <w:rsid w:val="00433F8F"/>
    <w:rsid w:val="00440129"/>
    <w:rsid w:val="00456BF3"/>
    <w:rsid w:val="00472A2A"/>
    <w:rsid w:val="00473FFA"/>
    <w:rsid w:val="00475026"/>
    <w:rsid w:val="004C4853"/>
    <w:rsid w:val="00512B7C"/>
    <w:rsid w:val="0052040D"/>
    <w:rsid w:val="00557802"/>
    <w:rsid w:val="00585B65"/>
    <w:rsid w:val="0059042A"/>
    <w:rsid w:val="00590496"/>
    <w:rsid w:val="00591532"/>
    <w:rsid w:val="005A3AB7"/>
    <w:rsid w:val="005A4251"/>
    <w:rsid w:val="005B01C2"/>
    <w:rsid w:val="005B11EB"/>
    <w:rsid w:val="005B5DB4"/>
    <w:rsid w:val="005C6104"/>
    <w:rsid w:val="005D4544"/>
    <w:rsid w:val="005E0C3F"/>
    <w:rsid w:val="005E4AC0"/>
    <w:rsid w:val="0061797A"/>
    <w:rsid w:val="00637217"/>
    <w:rsid w:val="006648CC"/>
    <w:rsid w:val="00674F87"/>
    <w:rsid w:val="0068223D"/>
    <w:rsid w:val="006D21AF"/>
    <w:rsid w:val="006E01E9"/>
    <w:rsid w:val="006E0FBD"/>
    <w:rsid w:val="006F1F99"/>
    <w:rsid w:val="00700534"/>
    <w:rsid w:val="00701057"/>
    <w:rsid w:val="00722091"/>
    <w:rsid w:val="00725726"/>
    <w:rsid w:val="007501BF"/>
    <w:rsid w:val="007507DE"/>
    <w:rsid w:val="00752E00"/>
    <w:rsid w:val="00756605"/>
    <w:rsid w:val="0077384E"/>
    <w:rsid w:val="00790308"/>
    <w:rsid w:val="007A1BB3"/>
    <w:rsid w:val="007E549B"/>
    <w:rsid w:val="007F5C1E"/>
    <w:rsid w:val="00804622"/>
    <w:rsid w:val="008073F8"/>
    <w:rsid w:val="00833112"/>
    <w:rsid w:val="0084604F"/>
    <w:rsid w:val="0084684B"/>
    <w:rsid w:val="008542F0"/>
    <w:rsid w:val="008D0238"/>
    <w:rsid w:val="008D5D19"/>
    <w:rsid w:val="008E3515"/>
    <w:rsid w:val="008E3E1A"/>
    <w:rsid w:val="008E6588"/>
    <w:rsid w:val="008F0CDE"/>
    <w:rsid w:val="008F4886"/>
    <w:rsid w:val="00930FD1"/>
    <w:rsid w:val="00934CF0"/>
    <w:rsid w:val="00942F4B"/>
    <w:rsid w:val="00953A34"/>
    <w:rsid w:val="0095613E"/>
    <w:rsid w:val="00983D46"/>
    <w:rsid w:val="00997FEE"/>
    <w:rsid w:val="009A29A2"/>
    <w:rsid w:val="009C6820"/>
    <w:rsid w:val="009E0109"/>
    <w:rsid w:val="009E10CA"/>
    <w:rsid w:val="009E717D"/>
    <w:rsid w:val="00A05518"/>
    <w:rsid w:val="00A25AC7"/>
    <w:rsid w:val="00A31EC3"/>
    <w:rsid w:val="00A34FD6"/>
    <w:rsid w:val="00A4166E"/>
    <w:rsid w:val="00A42551"/>
    <w:rsid w:val="00A4610E"/>
    <w:rsid w:val="00A4615C"/>
    <w:rsid w:val="00A51495"/>
    <w:rsid w:val="00A51849"/>
    <w:rsid w:val="00A72051"/>
    <w:rsid w:val="00A821E2"/>
    <w:rsid w:val="00AA66ED"/>
    <w:rsid w:val="00AA6FF6"/>
    <w:rsid w:val="00AB0F93"/>
    <w:rsid w:val="00AC6048"/>
    <w:rsid w:val="00AE411C"/>
    <w:rsid w:val="00B003CD"/>
    <w:rsid w:val="00B02D5B"/>
    <w:rsid w:val="00B03815"/>
    <w:rsid w:val="00B22271"/>
    <w:rsid w:val="00B309F9"/>
    <w:rsid w:val="00B42CBD"/>
    <w:rsid w:val="00B775C2"/>
    <w:rsid w:val="00B9129A"/>
    <w:rsid w:val="00BB6C10"/>
    <w:rsid w:val="00BF19E3"/>
    <w:rsid w:val="00BF477C"/>
    <w:rsid w:val="00C0394D"/>
    <w:rsid w:val="00C24A91"/>
    <w:rsid w:val="00C31506"/>
    <w:rsid w:val="00C354D1"/>
    <w:rsid w:val="00C50316"/>
    <w:rsid w:val="00C55330"/>
    <w:rsid w:val="00C65787"/>
    <w:rsid w:val="00C765DA"/>
    <w:rsid w:val="00CC6FEF"/>
    <w:rsid w:val="00CE008C"/>
    <w:rsid w:val="00D00D2D"/>
    <w:rsid w:val="00D05F4C"/>
    <w:rsid w:val="00D1073B"/>
    <w:rsid w:val="00D23F89"/>
    <w:rsid w:val="00D31BD5"/>
    <w:rsid w:val="00D36E00"/>
    <w:rsid w:val="00D61D3E"/>
    <w:rsid w:val="00D658C1"/>
    <w:rsid w:val="00D8703D"/>
    <w:rsid w:val="00DB2D3B"/>
    <w:rsid w:val="00DB306A"/>
    <w:rsid w:val="00DD032C"/>
    <w:rsid w:val="00E21386"/>
    <w:rsid w:val="00E35ED2"/>
    <w:rsid w:val="00E4499A"/>
    <w:rsid w:val="00E47BC9"/>
    <w:rsid w:val="00E52195"/>
    <w:rsid w:val="00E61B31"/>
    <w:rsid w:val="00E90243"/>
    <w:rsid w:val="00E92D0A"/>
    <w:rsid w:val="00EA61EE"/>
    <w:rsid w:val="00EC551C"/>
    <w:rsid w:val="00ED7352"/>
    <w:rsid w:val="00EE05DA"/>
    <w:rsid w:val="00EE5FA4"/>
    <w:rsid w:val="00EF5C05"/>
    <w:rsid w:val="00F34E38"/>
    <w:rsid w:val="00F42C4A"/>
    <w:rsid w:val="00F50FD0"/>
    <w:rsid w:val="00F548A6"/>
    <w:rsid w:val="00F57CBE"/>
    <w:rsid w:val="00FB3159"/>
    <w:rsid w:val="00FC7782"/>
    <w:rsid w:val="00FE685D"/>
    <w:rsid w:val="00FF3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40CF3D"/>
  <w15:chartTrackingRefBased/>
  <w15:docId w15:val="{836DB0F9-56AA-48FA-AC92-DF239222E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FF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73FF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73FF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73FF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73FF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473FF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473FF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473FF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473FF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473FF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FFA"/>
    <w:rPr>
      <w:rFonts w:eastAsiaTheme="majorEastAsia" w:cstheme="majorBidi"/>
      <w:color w:val="272727" w:themeColor="text1" w:themeTint="D8"/>
    </w:rPr>
  </w:style>
  <w:style w:type="paragraph" w:styleId="Title">
    <w:name w:val="Title"/>
    <w:basedOn w:val="Normal"/>
    <w:next w:val="Normal"/>
    <w:link w:val="TitleChar"/>
    <w:uiPriority w:val="10"/>
    <w:qFormat/>
    <w:rsid w:val="00473FF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73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FF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73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FFA"/>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473FFA"/>
    <w:rPr>
      <w:i/>
      <w:iCs/>
      <w:color w:val="404040" w:themeColor="text1" w:themeTint="BF"/>
    </w:rPr>
  </w:style>
  <w:style w:type="paragraph" w:styleId="ListParagraph">
    <w:name w:val="List Paragraph"/>
    <w:basedOn w:val="Normal"/>
    <w:uiPriority w:val="34"/>
    <w:qFormat/>
    <w:rsid w:val="00473FFA"/>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473FFA"/>
    <w:rPr>
      <w:i/>
      <w:iCs/>
      <w:color w:val="0F4761" w:themeColor="accent1" w:themeShade="BF"/>
    </w:rPr>
  </w:style>
  <w:style w:type="paragraph" w:styleId="IntenseQuote">
    <w:name w:val="Intense Quote"/>
    <w:basedOn w:val="Normal"/>
    <w:next w:val="Normal"/>
    <w:link w:val="IntenseQuoteChar"/>
    <w:uiPriority w:val="30"/>
    <w:qFormat/>
    <w:rsid w:val="00473FF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473FFA"/>
    <w:rPr>
      <w:i/>
      <w:iCs/>
      <w:color w:val="0F4761" w:themeColor="accent1" w:themeShade="BF"/>
    </w:rPr>
  </w:style>
  <w:style w:type="character" w:styleId="IntenseReference">
    <w:name w:val="Intense Reference"/>
    <w:basedOn w:val="DefaultParagraphFont"/>
    <w:uiPriority w:val="32"/>
    <w:qFormat/>
    <w:rsid w:val="00473FFA"/>
    <w:rPr>
      <w:b/>
      <w:bCs/>
      <w:smallCaps/>
      <w:color w:val="0F4761" w:themeColor="accent1" w:themeShade="BF"/>
      <w:spacing w:val="5"/>
    </w:rPr>
  </w:style>
  <w:style w:type="character" w:styleId="Emphasis">
    <w:name w:val="Emphasis"/>
    <w:basedOn w:val="DefaultParagraphFont"/>
    <w:uiPriority w:val="20"/>
    <w:qFormat/>
    <w:rsid w:val="00473FFA"/>
    <w:rPr>
      <w:i/>
      <w:iCs/>
    </w:rPr>
  </w:style>
  <w:style w:type="paragraph" w:styleId="NormalWeb">
    <w:name w:val="Normal (Web)"/>
    <w:basedOn w:val="Normal"/>
    <w:uiPriority w:val="99"/>
    <w:semiHidden/>
    <w:unhideWhenUsed/>
    <w:rsid w:val="00A51849"/>
    <w:pPr>
      <w:spacing w:before="100" w:beforeAutospacing="1" w:after="100" w:afterAutospacing="1"/>
    </w:pPr>
    <w:rPr>
      <w:sz w:val="24"/>
      <w:szCs w:val="24"/>
    </w:rPr>
  </w:style>
  <w:style w:type="character" w:customStyle="1" w:styleId="legds">
    <w:name w:val="legds"/>
    <w:basedOn w:val="DefaultParagraphFont"/>
    <w:rsid w:val="008E3E1A"/>
  </w:style>
  <w:style w:type="character" w:styleId="Hyperlink">
    <w:name w:val="Hyperlink"/>
    <w:basedOn w:val="DefaultParagraphFont"/>
    <w:uiPriority w:val="99"/>
    <w:unhideWhenUsed/>
    <w:rsid w:val="009E10CA"/>
    <w:rPr>
      <w:color w:val="467886" w:themeColor="hyperlink"/>
      <w:u w:val="single"/>
    </w:rPr>
  </w:style>
  <w:style w:type="character" w:styleId="UnresolvedMention">
    <w:name w:val="Unresolved Mention"/>
    <w:basedOn w:val="DefaultParagraphFont"/>
    <w:uiPriority w:val="99"/>
    <w:semiHidden/>
    <w:unhideWhenUsed/>
    <w:rsid w:val="009E10CA"/>
    <w:rPr>
      <w:color w:val="605E5C"/>
      <w:shd w:val="clear" w:color="auto" w:fill="E1DFDD"/>
    </w:rPr>
  </w:style>
  <w:style w:type="character" w:styleId="FollowedHyperlink">
    <w:name w:val="FollowedHyperlink"/>
    <w:basedOn w:val="DefaultParagraphFont"/>
    <w:uiPriority w:val="99"/>
    <w:semiHidden/>
    <w:unhideWhenUsed/>
    <w:rsid w:val="00F57CBE"/>
    <w:rPr>
      <w:color w:val="96607D" w:themeColor="followedHyperlink"/>
      <w:u w:val="single"/>
    </w:rPr>
  </w:style>
  <w:style w:type="paragraph" w:styleId="Header">
    <w:name w:val="header"/>
    <w:basedOn w:val="Normal"/>
    <w:link w:val="HeaderChar"/>
    <w:uiPriority w:val="99"/>
    <w:unhideWhenUsed/>
    <w:rsid w:val="00C765DA"/>
    <w:pPr>
      <w:tabs>
        <w:tab w:val="center" w:pos="4513"/>
        <w:tab w:val="right" w:pos="9026"/>
      </w:tabs>
    </w:pPr>
  </w:style>
  <w:style w:type="character" w:customStyle="1" w:styleId="HeaderChar">
    <w:name w:val="Header Char"/>
    <w:basedOn w:val="DefaultParagraphFont"/>
    <w:link w:val="Header"/>
    <w:uiPriority w:val="99"/>
    <w:rsid w:val="00C765D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765DA"/>
    <w:pPr>
      <w:tabs>
        <w:tab w:val="center" w:pos="4513"/>
        <w:tab w:val="right" w:pos="9026"/>
      </w:tabs>
    </w:pPr>
  </w:style>
  <w:style w:type="character" w:customStyle="1" w:styleId="FooterChar">
    <w:name w:val="Footer Char"/>
    <w:basedOn w:val="DefaultParagraphFont"/>
    <w:link w:val="Footer"/>
    <w:uiPriority w:val="99"/>
    <w:rsid w:val="00C765DA"/>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555171">
      <w:bodyDiv w:val="1"/>
      <w:marLeft w:val="0"/>
      <w:marRight w:val="0"/>
      <w:marTop w:val="0"/>
      <w:marBottom w:val="0"/>
      <w:divBdr>
        <w:top w:val="none" w:sz="0" w:space="0" w:color="auto"/>
        <w:left w:val="none" w:sz="0" w:space="0" w:color="auto"/>
        <w:bottom w:val="none" w:sz="0" w:space="0" w:color="auto"/>
        <w:right w:val="none" w:sz="0" w:space="0" w:color="auto"/>
      </w:divBdr>
    </w:div>
    <w:div w:id="1345017557">
      <w:bodyDiv w:val="1"/>
      <w:marLeft w:val="0"/>
      <w:marRight w:val="0"/>
      <w:marTop w:val="0"/>
      <w:marBottom w:val="0"/>
      <w:divBdr>
        <w:top w:val="none" w:sz="0" w:space="0" w:color="auto"/>
        <w:left w:val="none" w:sz="0" w:space="0" w:color="auto"/>
        <w:bottom w:val="none" w:sz="0" w:space="0" w:color="auto"/>
        <w:right w:val="none" w:sz="0" w:space="0" w:color="auto"/>
      </w:divBdr>
      <w:divsChild>
        <w:div w:id="487982922">
          <w:marLeft w:val="0"/>
          <w:marRight w:val="0"/>
          <w:marTop w:val="0"/>
          <w:marBottom w:val="0"/>
          <w:divBdr>
            <w:top w:val="none" w:sz="0" w:space="0" w:color="auto"/>
            <w:left w:val="none" w:sz="0" w:space="0" w:color="auto"/>
            <w:bottom w:val="none" w:sz="0" w:space="0" w:color="auto"/>
            <w:right w:val="none" w:sz="0" w:space="0" w:color="auto"/>
          </w:divBdr>
          <w:divsChild>
            <w:div w:id="1533034931">
              <w:marLeft w:val="0"/>
              <w:marRight w:val="0"/>
              <w:marTop w:val="0"/>
              <w:marBottom w:val="0"/>
              <w:divBdr>
                <w:top w:val="none" w:sz="0" w:space="0" w:color="auto"/>
                <w:left w:val="none" w:sz="0" w:space="0" w:color="auto"/>
                <w:bottom w:val="none" w:sz="0" w:space="0" w:color="auto"/>
                <w:right w:val="none" w:sz="0" w:space="0" w:color="auto"/>
              </w:divBdr>
              <w:divsChild>
                <w:div w:id="756705194">
                  <w:marLeft w:val="0"/>
                  <w:marRight w:val="0"/>
                  <w:marTop w:val="0"/>
                  <w:marBottom w:val="0"/>
                  <w:divBdr>
                    <w:top w:val="none" w:sz="0" w:space="0" w:color="auto"/>
                    <w:left w:val="none" w:sz="0" w:space="0" w:color="auto"/>
                    <w:bottom w:val="none" w:sz="0" w:space="0" w:color="auto"/>
                    <w:right w:val="none" w:sz="0" w:space="0" w:color="auto"/>
                  </w:divBdr>
                </w:div>
                <w:div w:id="125007182">
                  <w:marLeft w:val="0"/>
                  <w:marRight w:val="0"/>
                  <w:marTop w:val="0"/>
                  <w:marBottom w:val="0"/>
                  <w:divBdr>
                    <w:top w:val="none" w:sz="0" w:space="0" w:color="auto"/>
                    <w:left w:val="none" w:sz="0" w:space="0" w:color="auto"/>
                    <w:bottom w:val="none" w:sz="0" w:space="0" w:color="auto"/>
                    <w:right w:val="none" w:sz="0" w:space="0" w:color="auto"/>
                  </w:divBdr>
                  <w:divsChild>
                    <w:div w:id="122892021">
                      <w:marLeft w:val="0"/>
                      <w:marRight w:val="0"/>
                      <w:marTop w:val="0"/>
                      <w:marBottom w:val="0"/>
                      <w:divBdr>
                        <w:top w:val="none" w:sz="0" w:space="0" w:color="auto"/>
                        <w:left w:val="none" w:sz="0" w:space="0" w:color="auto"/>
                        <w:bottom w:val="none" w:sz="0" w:space="0" w:color="auto"/>
                        <w:right w:val="none" w:sz="0" w:space="0" w:color="auto"/>
                      </w:divBdr>
                      <w:divsChild>
                        <w:div w:id="1475835749">
                          <w:marLeft w:val="0"/>
                          <w:marRight w:val="0"/>
                          <w:marTop w:val="0"/>
                          <w:marBottom w:val="0"/>
                          <w:divBdr>
                            <w:top w:val="none" w:sz="0" w:space="0" w:color="auto"/>
                            <w:left w:val="none" w:sz="0" w:space="0" w:color="auto"/>
                            <w:bottom w:val="none" w:sz="0" w:space="0" w:color="auto"/>
                            <w:right w:val="none" w:sz="0" w:space="0" w:color="auto"/>
                          </w:divBdr>
                          <w:divsChild>
                            <w:div w:id="1508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923396">
      <w:bodyDiv w:val="1"/>
      <w:marLeft w:val="0"/>
      <w:marRight w:val="0"/>
      <w:marTop w:val="0"/>
      <w:marBottom w:val="0"/>
      <w:divBdr>
        <w:top w:val="none" w:sz="0" w:space="0" w:color="auto"/>
        <w:left w:val="none" w:sz="0" w:space="0" w:color="auto"/>
        <w:bottom w:val="none" w:sz="0" w:space="0" w:color="auto"/>
        <w:right w:val="none" w:sz="0" w:space="0" w:color="auto"/>
      </w:divBdr>
    </w:div>
    <w:div w:id="1627815930">
      <w:bodyDiv w:val="1"/>
      <w:marLeft w:val="0"/>
      <w:marRight w:val="0"/>
      <w:marTop w:val="0"/>
      <w:marBottom w:val="0"/>
      <w:divBdr>
        <w:top w:val="none" w:sz="0" w:space="0" w:color="auto"/>
        <w:left w:val="none" w:sz="0" w:space="0" w:color="auto"/>
        <w:bottom w:val="none" w:sz="0" w:space="0" w:color="auto"/>
        <w:right w:val="none" w:sz="0" w:space="0" w:color="auto"/>
      </w:divBdr>
    </w:div>
    <w:div w:id="2100979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ennettinstitute.cam.ac.uk/publications/the-legislative-process/" TargetMode="External"/><Relationship Id="rId18" Type="http://schemas.openxmlformats.org/officeDocument/2006/relationships/hyperlink" Target="https://plus-lexis-com.ezproxy.uwtsd.ac.uk/uk/document/?pdmfid=1001073&amp;crid=f56196c5-e797-4110-9703-5a7232ca0bee&amp;pddocfullpath=%2Fshared%2Fdocument%2Fanalytical-materials-uk%2Furn:contentItem:8V3J-YDY2-D6MY-P55F-00000-00&amp;pdcontentcomponentid=407118&amp;pdteaserkey=&amp;pdislpamode=false&amp;pddocumentnumber=16&amp;ecomp=dt5k&amp;earg=sr15&amp;prid=7c28febd-c827-4455-b78a-b523fb60332f" TargetMode="External"/><Relationship Id="rId3" Type="http://schemas.openxmlformats.org/officeDocument/2006/relationships/customXml" Target="../customXml/item3.xml"/><Relationship Id="rId21" Type="http://schemas.openxmlformats.org/officeDocument/2006/relationships/hyperlink" Target="https://www.instituteforgovernment.org.uk/publication/report/parliamentary-scrutiny-government" TargetMode="External"/><Relationship Id="rId7" Type="http://schemas.openxmlformats.org/officeDocument/2006/relationships/webSettings" Target="webSettings.xml"/><Relationship Id="rId12" Type="http://schemas.openxmlformats.org/officeDocument/2006/relationships/hyperlink" Target="https://www.legislation.gov.uk/ukpga/2022/35/contents" TargetMode="External"/><Relationship Id="rId17" Type="http://schemas.openxmlformats.org/officeDocument/2006/relationships/hyperlink" Target="https://www.instituteforgovernment.org.uk/article/explainer/select-committees" TargetMode="External"/><Relationship Id="rId2" Type="http://schemas.openxmlformats.org/officeDocument/2006/relationships/customXml" Target="../customXml/item2.xml"/><Relationship Id="rId16" Type="http://schemas.openxmlformats.org/officeDocument/2006/relationships/hyperlink" Target="https://onlinelibrary.wiley.com/doi/full/10.1111/1467-923X.12983" TargetMode="External"/><Relationship Id="rId20" Type="http://schemas.openxmlformats.org/officeDocument/2006/relationships/hyperlink" Target="https://www.ucl.ac.uk/constitution-unit/sites/constitution-unit/files/153.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98/42/content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nstituteforgovernment.org.uk/explainer/judicial-review" TargetMode="External"/><Relationship Id="rId23" Type="http://schemas.openxmlformats.org/officeDocument/2006/relationships/fontTable" Target="fontTable.xml"/><Relationship Id="rId10" Type="http://schemas.openxmlformats.org/officeDocument/2006/relationships/hyperlink" Target="https://www.legislation.gov.uk/ukpga/2005/4/contents" TargetMode="External"/><Relationship Id="rId19" Type="http://schemas.openxmlformats.org/officeDocument/2006/relationships/hyperlink" Target="https://papers.ssrn.com/sol3/papers.cfm?abstract_id=232193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ivilservice.blog.gov.uk/2021/08/31/minding-your-ps-and-q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2F8691-D0BA-48E4-A894-8AE6DA3277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9ED4F1-EA2C-4BD7-BDAD-1A03821E07AC}">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F57FD54C-3957-4A46-AA0E-B75F264C28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1950</Words>
  <Characters>11879</Characters>
  <Application>Microsoft Office Word</Application>
  <DocSecurity>0</DocSecurity>
  <Lines>339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176</cp:revision>
  <dcterms:created xsi:type="dcterms:W3CDTF">2024-04-03T22:27:00Z</dcterms:created>
  <dcterms:modified xsi:type="dcterms:W3CDTF">2024-04-10T22:25:00Z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464550e1-9b92-4199-944f-cee38f9cad34</vt:lpwstr>
  </property>
  <property fmtid="{D5CDD505-2E9C-101B-9397-08002B2CF9AE}" pid="3" name="ContentTypeId">
    <vt:lpwstr>0x01010096C48B67E562FF45ADD1FE43E2BC7706</vt:lpwstr>
  </property>
</Properties>
</file>