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7A3" w:rsidRPr="00FD57A3" w:rsidRDefault="00FD57A3" w:rsidP="00FD57A3">
      <w:pPr>
        <w:spacing w:after="0" w:line="360" w:lineRule="auto"/>
        <w:jc w:val="both"/>
        <w:textAlignment w:val="baseline"/>
        <w:rPr>
          <w:rFonts w:ascii="Arial" w:eastAsia="Times New Roman" w:hAnsi="Arial" w:cs="Arial"/>
          <w:sz w:val="20"/>
          <w:szCs w:val="20"/>
          <w:u w:val="single"/>
        </w:rPr>
      </w:pPr>
      <w:r w:rsidRPr="00FD57A3">
        <w:rPr>
          <w:rFonts w:ascii="Arial" w:eastAsia="Times New Roman" w:hAnsi="Arial" w:cs="Arial"/>
          <w:sz w:val="20"/>
          <w:szCs w:val="20"/>
          <w:u w:val="single"/>
        </w:rPr>
        <w:t>Section 1</w:t>
      </w:r>
    </w:p>
    <w:p w:rsidR="00FD57A3" w:rsidRPr="00FD57A3" w:rsidRDefault="00FD57A3" w:rsidP="00FD57A3">
      <w:pPr>
        <w:spacing w:after="0" w:line="360" w:lineRule="auto"/>
        <w:jc w:val="both"/>
        <w:textAlignment w:val="baseline"/>
        <w:rPr>
          <w:rFonts w:ascii="Arial" w:eastAsia="Times New Roman" w:hAnsi="Arial" w:cs="Arial"/>
          <w:sz w:val="20"/>
          <w:szCs w:val="20"/>
        </w:rPr>
      </w:pPr>
      <w:r w:rsidRPr="00FD57A3">
        <w:rPr>
          <w:rFonts w:ascii="Arial" w:eastAsia="Times New Roman" w:hAnsi="Arial" w:cs="Arial"/>
          <w:sz w:val="20"/>
          <w:szCs w:val="20"/>
        </w:rPr>
        <w:t xml:space="preserve">Rough and tumble play is described and defined in numerous ways. Freeman and Brown define it as </w:t>
      </w:r>
      <w:r w:rsidRPr="00FD57A3">
        <w:rPr>
          <w:rFonts w:ascii="Arial" w:eastAsia="Times New Roman" w:hAnsi="Arial" w:cs="Arial"/>
          <w:i/>
          <w:sz w:val="20"/>
          <w:szCs w:val="20"/>
        </w:rPr>
        <w:t>“fun, social – interactive behaviour that includes running, climbing, pouncing, chasing, fleeing, wrestling, kicking, openhanded slapping, falling and other forms of physical and verbal play fighting”</w:t>
      </w:r>
      <w:r w:rsidRPr="00FD57A3">
        <w:rPr>
          <w:rFonts w:ascii="Arial" w:eastAsia="Times New Roman" w:hAnsi="Arial" w:cs="Arial"/>
          <w:sz w:val="20"/>
          <w:szCs w:val="20"/>
        </w:rPr>
        <w:t xml:space="preserve"> (2004, quoted in Tannock, 2011, p.4).</w:t>
      </w:r>
    </w:p>
    <w:p w:rsidR="00FD57A3" w:rsidRPr="00FD57A3" w:rsidRDefault="00FD57A3" w:rsidP="00FD57A3">
      <w:pPr>
        <w:spacing w:after="0" w:line="360" w:lineRule="auto"/>
        <w:jc w:val="both"/>
        <w:textAlignment w:val="baseline"/>
        <w:rPr>
          <w:rFonts w:ascii="Arial" w:hAnsi="Arial" w:cs="Arial"/>
          <w:sz w:val="20"/>
          <w:szCs w:val="20"/>
        </w:rPr>
      </w:pPr>
      <w:r w:rsidRPr="00FD57A3">
        <w:rPr>
          <w:rFonts w:ascii="Arial" w:eastAsia="Times New Roman" w:hAnsi="Arial" w:cs="Arial"/>
          <w:sz w:val="20"/>
          <w:szCs w:val="20"/>
        </w:rPr>
        <w:t xml:space="preserve">Play in this way is not intended to be violent.  Researchers explain that for an adult to understand what manner of play the children are experiencing and emitting, is to observe the </w:t>
      </w:r>
      <w:r w:rsidRPr="00FD57A3">
        <w:rPr>
          <w:rFonts w:ascii="Arial" w:hAnsi="Arial" w:cs="Arial"/>
          <w:sz w:val="20"/>
          <w:szCs w:val="20"/>
        </w:rPr>
        <w:t>facial expressions and body language that the children involved are conveying. According to Reed and Brown (2000) this should be smiles, laughter and children displaying the ‘play face’. Harlow described the ‘play face’ as mouth open and teeth bared. He understands that this is not aggressive, but instead playful (1962, cited in Reed and Brown, 2000).</w:t>
      </w:r>
    </w:p>
    <w:p w:rsidR="00FD57A3" w:rsidRPr="00FD57A3" w:rsidRDefault="00FD57A3" w:rsidP="00FD57A3">
      <w:pPr>
        <w:spacing w:after="0" w:line="360" w:lineRule="auto"/>
        <w:jc w:val="both"/>
        <w:textAlignment w:val="baseline"/>
        <w:rPr>
          <w:rFonts w:ascii="Arial" w:eastAsia="Times New Roman" w:hAnsi="Arial" w:cs="Arial"/>
          <w:sz w:val="20"/>
          <w:szCs w:val="20"/>
        </w:rPr>
      </w:pPr>
      <w:r w:rsidRPr="00FD57A3">
        <w:rPr>
          <w:rFonts w:ascii="Arial" w:eastAsia="Times New Roman" w:hAnsi="Arial" w:cs="Arial"/>
          <w:sz w:val="20"/>
          <w:szCs w:val="20"/>
        </w:rPr>
        <w:t xml:space="preserve">With regards to rough and tumble play, Broadhead, Howard and Wood (2010) identify that this is usually only observed between children who are friends, and very rarely would you witness this type of play with children who do not usually associate with one another. The children should be willing and engaged when playing in this way.  </w:t>
      </w:r>
    </w:p>
    <w:p w:rsidR="00FD57A3" w:rsidRPr="00FD57A3" w:rsidRDefault="00FD57A3" w:rsidP="00FD57A3">
      <w:pPr>
        <w:spacing w:after="0" w:line="360" w:lineRule="auto"/>
        <w:jc w:val="both"/>
        <w:rPr>
          <w:rFonts w:ascii="Arial" w:hAnsi="Arial" w:cs="Arial"/>
          <w:sz w:val="20"/>
          <w:szCs w:val="20"/>
        </w:rPr>
      </w:pPr>
      <w:r w:rsidRPr="00FD57A3">
        <w:rPr>
          <w:rFonts w:ascii="Arial" w:hAnsi="Arial" w:cs="Arial"/>
          <w:sz w:val="20"/>
          <w:szCs w:val="20"/>
        </w:rPr>
        <w:t xml:space="preserve">Rough and tumble play offers a holistic approach with opportunities for children to begin to understand cause and effect, and also learning how to negotiate with peers. Often this stage of negotiation can be developed when children are allowed to direct the play, without adult input. This independent play is critical if children are to learn and develop the vast series of complex communication skills according to Jarvis and George (2010). When children perceive an activity as ‘play’, they are likely to feel more enthused about participating. This is supported by Howard and McInnes (2013, p737) that state </w:t>
      </w:r>
      <w:r w:rsidRPr="00FD57A3">
        <w:rPr>
          <w:rFonts w:ascii="Arial" w:hAnsi="Arial" w:cs="Arial"/>
          <w:i/>
          <w:sz w:val="20"/>
          <w:szCs w:val="20"/>
        </w:rPr>
        <w:t>“Children demonstrate increased emotional well-being when they perceive an activity as play rather than not play”</w:t>
      </w:r>
      <w:r w:rsidRPr="00FD57A3">
        <w:rPr>
          <w:rFonts w:ascii="Arial" w:hAnsi="Arial" w:cs="Arial"/>
          <w:sz w:val="20"/>
          <w:szCs w:val="20"/>
        </w:rPr>
        <w:t xml:space="preserve">. Jarvis and George (2010) go on to argue that there are many benefits to be achieved from allowing and encouraging play in this way, these can include an opportunity to co-operate with peers and create play narratives. </w:t>
      </w:r>
    </w:p>
    <w:p w:rsidR="00FD57A3" w:rsidRPr="00FD57A3" w:rsidRDefault="00FD57A3" w:rsidP="00FD57A3">
      <w:pPr>
        <w:spacing w:after="0" w:line="360" w:lineRule="auto"/>
        <w:jc w:val="both"/>
        <w:rPr>
          <w:rFonts w:ascii="Arial" w:hAnsi="Arial" w:cs="Arial"/>
          <w:sz w:val="20"/>
          <w:szCs w:val="20"/>
        </w:rPr>
      </w:pPr>
      <w:r w:rsidRPr="00FD57A3">
        <w:rPr>
          <w:rFonts w:ascii="Arial" w:hAnsi="Arial" w:cs="Arial"/>
          <w:sz w:val="20"/>
          <w:szCs w:val="20"/>
        </w:rPr>
        <w:t>Rough and tumble play can often be difficult for the adult to facilitate. Guidance of the play could lead to the adult predominantly attempting to reduce the rougher elements of the play. Understandably the adult’s role is to provide safety for all children involved, however it is important to be mindful that continually limiting this type of play will impact on social awareness (Tannock, 2011).</w:t>
      </w:r>
    </w:p>
    <w:p w:rsidR="00FD57A3" w:rsidRPr="00FD57A3" w:rsidRDefault="00FD57A3" w:rsidP="00FD57A3">
      <w:pPr>
        <w:spacing w:after="0"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Heuristic play is an approach to working with children at the ‘toddler’ stage, this was a method developed and practiced by Elinor Goldschmied as recognised by Nutbrown (2006). Goldschmied and Jackson state that heuristic play:</w:t>
      </w:r>
    </w:p>
    <w:p w:rsidR="00FD57A3" w:rsidRPr="00FD57A3" w:rsidRDefault="00FD57A3" w:rsidP="00FD57A3">
      <w:pPr>
        <w:spacing w:line="360" w:lineRule="auto"/>
        <w:ind w:left="720" w:right="720"/>
        <w:jc w:val="both"/>
        <w:rPr>
          <w:rFonts w:ascii="Arial" w:hAnsi="Arial" w:cs="Arial"/>
          <w:color w:val="000000" w:themeColor="text1"/>
          <w:sz w:val="20"/>
          <w:szCs w:val="20"/>
        </w:rPr>
      </w:pPr>
      <w:r w:rsidRPr="00FD57A3">
        <w:rPr>
          <w:rFonts w:ascii="Arial" w:eastAsia="Times New Roman" w:hAnsi="Arial" w:cs="Arial"/>
          <w:i/>
          <w:color w:val="000000" w:themeColor="text1"/>
          <w:sz w:val="20"/>
          <w:szCs w:val="20"/>
        </w:rPr>
        <w:t>simply consists of offering a group of children, for a defined period of time in a controlled environment, a large number of different kinds of objects and receptacles with which they play freely without adult intervention.</w:t>
      </w:r>
      <w:r w:rsidRPr="00FD57A3">
        <w:rPr>
          <w:rFonts w:ascii="Arial" w:hAnsi="Arial" w:cs="Arial"/>
          <w:color w:val="000000" w:themeColor="text1"/>
          <w:sz w:val="20"/>
          <w:szCs w:val="20"/>
        </w:rPr>
        <w:t xml:space="preserve">(Goldschmied and Jackson 2003, p.129). </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lastRenderedPageBreak/>
        <w:t xml:space="preserve">They proceed to explain that there is no one correct way to deliver heuristic play to children, and each setting will offer different ideas and materials. An activity using a treasure basket is an example of heuristic play. This is a basket with all natural household materials for the children to explore, they may stack, post, knock down, or manipulate the objects in different ways. Heuristic play offers the children the opportunity to explore how the different objects behave. The objects should be plentiful so that each child has enough to explore according to Bruce (2011). This is supported further by </w:t>
      </w:r>
      <w:r w:rsidRPr="00FD57A3">
        <w:rPr>
          <w:rFonts w:ascii="Arial" w:hAnsi="Arial" w:cs="Arial"/>
          <w:sz w:val="20"/>
          <w:szCs w:val="20"/>
        </w:rPr>
        <w:t xml:space="preserve">Goldschmied and Jackson who explain that </w:t>
      </w:r>
      <w:r w:rsidRPr="00FD57A3">
        <w:rPr>
          <w:rFonts w:ascii="Arial" w:hAnsi="Arial" w:cs="Arial"/>
          <w:i/>
          <w:sz w:val="20"/>
          <w:szCs w:val="20"/>
        </w:rPr>
        <w:t xml:space="preserve">“direct sensory experience enables them to gain precise knowledge of objects” </w:t>
      </w:r>
      <w:r w:rsidRPr="00FD57A3">
        <w:rPr>
          <w:rFonts w:ascii="Arial" w:hAnsi="Arial" w:cs="Arial"/>
          <w:color w:val="000000" w:themeColor="text1"/>
          <w:sz w:val="20"/>
          <w:szCs w:val="20"/>
        </w:rPr>
        <w:t>(</w:t>
      </w:r>
      <w:r w:rsidRPr="00FD57A3">
        <w:rPr>
          <w:rFonts w:ascii="Arial" w:hAnsi="Arial" w:cs="Arial"/>
          <w:sz w:val="20"/>
          <w:szCs w:val="20"/>
        </w:rPr>
        <w:t>Goldschmied and Jackson, 2003, p.118).</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Heuristic play is mostly self-directed, with very little adult interaction. The adult’s role is to take a step back so that the child can take the lead thus allowing the child thoughts and play to be uninterrupted. Usually in this case practitioners will sit close-by and observe the child and take note of their interests, thus allowing the practitioner to plan the activity for subsequent sessions with </w:t>
      </w:r>
      <w:r w:rsidRPr="00FD57A3">
        <w:rPr>
          <w:rFonts w:ascii="Arial" w:hAnsi="Arial" w:cs="Arial"/>
          <w:sz w:val="20"/>
          <w:szCs w:val="20"/>
        </w:rPr>
        <w:t>the child’s personal interests in mind (Tassoni, 2011). This is supported further by Else (2017) who identifies that children do not need adults to play, instead, adults should provide the play spaces for children to have the opportunities that may never occur otherwise.</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Holistic development is embraced during this type of play and there are many benefits to heuristic play. It promotes independence in children, allows them to begin to make sense of the world and also allows the children to be in control of their own learning. Heuristic play is very open ended and explorative. Hughes and Green (2009, p.25) define heuristic play as</w:t>
      </w:r>
      <w:r w:rsidRPr="00FD57A3">
        <w:rPr>
          <w:rFonts w:ascii="Arial" w:hAnsi="Arial" w:cs="Arial"/>
          <w:color w:val="000000" w:themeColor="text1"/>
          <w:sz w:val="20"/>
          <w:szCs w:val="20"/>
          <w:shd w:val="clear" w:color="auto" w:fill="FFFFFF"/>
        </w:rPr>
        <w:t xml:space="preserve"> “</w:t>
      </w:r>
      <w:r w:rsidRPr="00FD57A3">
        <w:rPr>
          <w:rFonts w:ascii="Arial" w:hAnsi="Arial" w:cs="Arial"/>
          <w:i/>
          <w:color w:val="000000" w:themeColor="text1"/>
          <w:sz w:val="20"/>
          <w:szCs w:val="20"/>
          <w:shd w:val="clear" w:color="auto" w:fill="FFFFFF"/>
        </w:rPr>
        <w:t>the foundation of all problem-solving and number-skills learning”.</w:t>
      </w:r>
      <w:r w:rsidRPr="00FD57A3">
        <w:rPr>
          <w:rFonts w:ascii="Arial" w:hAnsi="Arial" w:cs="Arial"/>
          <w:color w:val="000000" w:themeColor="text1"/>
          <w:sz w:val="20"/>
          <w:szCs w:val="20"/>
          <w:shd w:val="clear" w:color="auto" w:fill="FFFFFF"/>
        </w:rPr>
        <w:t xml:space="preserve"> Moyles (2013) also promotes this, stating that p</w:t>
      </w:r>
      <w:r w:rsidRPr="00FD57A3">
        <w:rPr>
          <w:rFonts w:ascii="Arial" w:hAnsi="Arial" w:cs="Arial"/>
          <w:color w:val="000000" w:themeColor="text1"/>
          <w:sz w:val="20"/>
          <w:szCs w:val="20"/>
        </w:rPr>
        <w:t xml:space="preserve">lay strengthens the holistic development of children by offering a safe, protected basis for exploring and researching the world. </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Section 2</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The Welsh Government offers clear guidelines for children’s risk-taking, expecting settings to </w:t>
      </w:r>
      <w:r w:rsidRPr="00FD57A3">
        <w:rPr>
          <w:rFonts w:ascii="Arial" w:hAnsi="Arial" w:cs="Arial"/>
          <w:i/>
          <w:color w:val="000000" w:themeColor="text1"/>
          <w:sz w:val="20"/>
          <w:szCs w:val="20"/>
        </w:rPr>
        <w:t>“</w:t>
      </w:r>
      <w:r w:rsidRPr="00FD57A3">
        <w:rPr>
          <w:rFonts w:ascii="Arial" w:hAnsi="Arial" w:cs="Arial"/>
          <w:i/>
          <w:sz w:val="20"/>
          <w:szCs w:val="20"/>
        </w:rPr>
        <w:t>enable children to take appropriate risks”</w:t>
      </w:r>
      <w:r w:rsidRPr="00FD57A3">
        <w:rPr>
          <w:rFonts w:ascii="Arial" w:hAnsi="Arial" w:cs="Arial"/>
          <w:sz w:val="20"/>
          <w:szCs w:val="20"/>
        </w:rPr>
        <w:t xml:space="preserve"> (DCELLS, 2009). They continue to state that </w:t>
      </w:r>
      <w:r w:rsidRPr="00FD57A3">
        <w:rPr>
          <w:rFonts w:ascii="Arial" w:hAnsi="Arial" w:cs="Arial"/>
          <w:i/>
          <w:sz w:val="20"/>
          <w:szCs w:val="20"/>
        </w:rPr>
        <w:t>“exposure to acceptable risk is a fundamental part of outdoor learning and such exposure can help avoid children seeking the thrill of risk in more dangerous, unsupervised situations”</w:t>
      </w:r>
      <w:r w:rsidRPr="00FD57A3">
        <w:rPr>
          <w:rFonts w:ascii="Arial" w:hAnsi="Arial" w:cs="Arial"/>
          <w:sz w:val="20"/>
          <w:szCs w:val="20"/>
        </w:rPr>
        <w:t xml:space="preserve">. Work by Little and Wyver supports this describing that risk taking during play can be displayed as pushing limits, seeking challenges, discovering boundaries and learning about injury-risk  </w:t>
      </w:r>
      <w:r w:rsidRPr="00FD57A3">
        <w:rPr>
          <w:rFonts w:ascii="Arial" w:hAnsi="Arial" w:cs="Arial"/>
          <w:color w:val="000000" w:themeColor="text1"/>
          <w:sz w:val="20"/>
          <w:szCs w:val="20"/>
        </w:rPr>
        <w:t xml:space="preserve">(2008, cited in Little, Wyver and Gibson, 2011, p. 115). </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Risky play facilitates emotional well-being. Children feel respected and trusted by the adult during this type of play, and in return feel more willing to take risks and show perseverance. Children understand that making mistakes is acceptable, and by altering previous practice, children can achieve the goal originally set. Risky play also teaches children that by taking these risks they can learn to do things in new and different ways according to Blenkin and Kelly (1988). </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Risky play lends itself to promoting and acquiring the skills required for life-long learning. When undertaking risky play children have the chance to develop their decision making skills.  This is done when they weigh </w:t>
      </w:r>
      <w:r w:rsidRPr="00FD57A3">
        <w:rPr>
          <w:rFonts w:ascii="Arial" w:hAnsi="Arial" w:cs="Arial"/>
          <w:sz w:val="20"/>
          <w:szCs w:val="20"/>
        </w:rPr>
        <w:lastRenderedPageBreak/>
        <w:t>up their own capability against the risk they face. By doing this the children are learning how to assess risk, push their limits and learn new life skills. This is identified by Tovey (</w:t>
      </w:r>
      <w:hyperlink r:id="rId4" w:anchor="CR17" w:tooltip="View reference" w:history="1">
        <w:r w:rsidRPr="00FD57A3">
          <w:rPr>
            <w:rFonts w:ascii="Arial" w:hAnsi="Arial" w:cs="Arial"/>
            <w:sz w:val="20"/>
            <w:szCs w:val="20"/>
          </w:rPr>
          <w:t>2010</w:t>
        </w:r>
      </w:hyperlink>
      <w:r w:rsidRPr="00FD57A3">
        <w:rPr>
          <w:rFonts w:ascii="Arial" w:hAnsi="Arial" w:cs="Arial"/>
          <w:sz w:val="20"/>
          <w:szCs w:val="20"/>
        </w:rPr>
        <w:t>, cited in McFarland and Laird, 2018, p.160)</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Continuously shielding children from risk can be detrimental to the child. Greenland (</w:t>
      </w:r>
      <w:hyperlink r:id="rId5" w:anchor="CR17" w:tooltip="View reference" w:history="1">
        <w:r w:rsidRPr="00FD57A3">
          <w:rPr>
            <w:rFonts w:ascii="Arial" w:hAnsi="Arial" w:cs="Arial"/>
            <w:sz w:val="20"/>
            <w:szCs w:val="20"/>
          </w:rPr>
          <w:t>2010</w:t>
        </w:r>
      </w:hyperlink>
      <w:r w:rsidRPr="00FD57A3">
        <w:rPr>
          <w:rFonts w:ascii="Arial" w:hAnsi="Arial" w:cs="Arial"/>
          <w:sz w:val="20"/>
          <w:szCs w:val="20"/>
        </w:rPr>
        <w:t xml:space="preserve">, cited in McFarland and Laird, 2018, p.160) explains that children who are not given opportunities to experience risk during play may feel uncomfortable about their own physical capabilities, have a poor, reduced sense of balance and develop a fear of movement. Taking risks can sometimes mean that the children do not achieve the desired outcome in the first instance though further attempts may bring improved success. Ball et al describe that </w:t>
      </w:r>
      <w:r w:rsidRPr="00FD57A3">
        <w:rPr>
          <w:rFonts w:ascii="Arial" w:hAnsi="Arial" w:cs="Arial"/>
          <w:i/>
          <w:sz w:val="20"/>
          <w:szCs w:val="20"/>
        </w:rPr>
        <w:t>“Small discomforts and occasional lack of success are key learning tools in the development of their resilience”</w:t>
      </w:r>
      <w:r w:rsidRPr="00FD57A3">
        <w:rPr>
          <w:rFonts w:ascii="Arial" w:hAnsi="Arial" w:cs="Arial"/>
          <w:sz w:val="20"/>
          <w:szCs w:val="20"/>
        </w:rPr>
        <w:t xml:space="preserve"> (2008, cited in Maynard and Waters, 2014, p. 75). Bazley (2018) notes that risky play is a vital part of growing up, and a way for them to acquire the skills needed to find their way in later life.</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The role of the adult during this type of risky play is to consider the risk the children will be undertaking in comparison to the reward they might gain.  The adult must ensure that they are working in line with the current regulations and law. Health and safety laws promote play and recognise the positive impact it has on a child’s well- being and development. They acknowledge that accidents can happen during play, but continue to say that fear of litigation should not prevent carefully planned and executed play being encouraged</w:t>
      </w:r>
      <w:r w:rsidRPr="00FD57A3">
        <w:rPr>
          <w:rFonts w:ascii="Arial" w:eastAsia="Times New Roman" w:hAnsi="Arial" w:cs="Arial"/>
          <w:color w:val="111111"/>
          <w:sz w:val="20"/>
          <w:szCs w:val="20"/>
        </w:rPr>
        <w:t xml:space="preserve"> (Health and safety executive).</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Children must learn that life offers tests, it could be anything from reading to climbing. Bilton (2010) identifies that the adult’s role is to offer support to children during these situations, and encourage them to face and rise to the challenges they encounter. Early year’s settings should try to offer appropriate environments for children to have the opportunities to take risks. This will allow children to </w:t>
      </w:r>
      <w:r w:rsidRPr="00FD57A3">
        <w:rPr>
          <w:rFonts w:ascii="Arial" w:hAnsi="Arial" w:cs="Arial"/>
          <w:color w:val="000000" w:themeColor="text1"/>
          <w:sz w:val="20"/>
          <w:szCs w:val="20"/>
        </w:rPr>
        <w:t>exhibit their capabilities and enable them to be in control of their own learning (2001, cited in Little, Wyver and Gibson, 2011, p.116).</w:t>
      </w:r>
      <w:r w:rsidRPr="00FD57A3">
        <w:rPr>
          <w:rFonts w:ascii="Arial" w:hAnsi="Arial" w:cs="Arial"/>
          <w:sz w:val="20"/>
          <w:szCs w:val="20"/>
        </w:rPr>
        <w:t xml:space="preserve"> Gill (2007) understands that encouraging resilience can often be difficult, at times seeming that children are needing to be in charge of their own safety.  However, unless we embrace the importance for children to improve these vital skills needed to keep themselves safe, adults will feel under ever more pressure to intervene. He explains </w:t>
      </w:r>
    </w:p>
    <w:p w:rsidR="00FD57A3" w:rsidRPr="00FD57A3" w:rsidRDefault="00FD57A3" w:rsidP="00FD57A3">
      <w:pPr>
        <w:spacing w:line="360" w:lineRule="auto"/>
        <w:ind w:left="720" w:right="720"/>
        <w:jc w:val="both"/>
        <w:rPr>
          <w:rFonts w:ascii="Arial" w:hAnsi="Arial" w:cs="Arial"/>
          <w:i/>
          <w:sz w:val="20"/>
          <w:szCs w:val="20"/>
        </w:rPr>
        <w:sectPr w:rsidR="00FD57A3" w:rsidRPr="00FD57A3">
          <w:headerReference w:type="default" r:id="rId6"/>
          <w:footerReference w:type="default" r:id="rId7"/>
          <w:pgSz w:w="12240" w:h="15840"/>
          <w:pgMar w:top="1440" w:right="1440" w:bottom="1440" w:left="1440" w:header="720" w:footer="720" w:gutter="0"/>
          <w:cols w:space="720"/>
          <w:docGrid w:linePitch="360"/>
        </w:sectPr>
      </w:pPr>
      <w:r w:rsidRPr="00FD57A3">
        <w:rPr>
          <w:rFonts w:ascii="Arial" w:hAnsi="Arial" w:cs="Arial"/>
          <w:i/>
          <w:sz w:val="20"/>
          <w:szCs w:val="20"/>
        </w:rPr>
        <w:t>“at worst this could fuel a vicious circle where children’s alleged fragility provides the rationale for excessive interference, leading to a loss of experiential learning opportunities that in turn leaves children more vulnerable.”.</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lastRenderedPageBreak/>
        <w:t>Section 3</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Risk Assessment:</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Details: A trip to Cefn Mably Farm and visit to see Santa.</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FD57A3" w:rsidRPr="00FD57A3" w:rsidTr="00347EA1">
        <w:tc>
          <w:tcPr>
            <w:tcW w:w="26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Description</w:t>
            </w:r>
          </w:p>
        </w:tc>
        <w:tc>
          <w:tcPr>
            <w:tcW w:w="5862"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A bus to the farm and a visit to Santa. </w:t>
            </w:r>
          </w:p>
        </w:tc>
      </w:tr>
      <w:tr w:rsidR="00FD57A3" w:rsidRPr="00FD57A3" w:rsidTr="00347EA1">
        <w:tc>
          <w:tcPr>
            <w:tcW w:w="26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Department:</w:t>
            </w:r>
          </w:p>
        </w:tc>
        <w:tc>
          <w:tcPr>
            <w:tcW w:w="5862"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Nursery </w:t>
            </w:r>
          </w:p>
        </w:tc>
      </w:tr>
      <w:tr w:rsidR="00FD57A3" w:rsidRPr="00FD57A3" w:rsidTr="00347EA1">
        <w:tc>
          <w:tcPr>
            <w:tcW w:w="26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Location:</w:t>
            </w:r>
          </w:p>
        </w:tc>
        <w:tc>
          <w:tcPr>
            <w:tcW w:w="5862"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Cefn Mably Farm, Cardiff</w:t>
            </w: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Rebecca Morris </w:t>
            </w: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rPr>
              <w:t>18/12/18</w:t>
            </w: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bookmarkStart w:id="0" w:name="_GoBack"/>
            <w:bookmarkEnd w:id="0"/>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FD57A3">
            <w:pPr>
              <w:spacing w:line="360" w:lineRule="auto"/>
              <w:jc w:val="both"/>
              <w:rPr>
                <w:rFonts w:ascii="Arial" w:hAnsi="Arial" w:cs="Arial"/>
                <w:sz w:val="20"/>
                <w:szCs w:val="20"/>
              </w:rPr>
            </w:pPr>
          </w:p>
        </w:tc>
      </w:tr>
    </w:tbl>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br w:type="textWrapping" w:clear="all"/>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Print name:</w:t>
      </w:r>
      <w:r w:rsidRPr="00FD57A3">
        <w:rPr>
          <w:rFonts w:ascii="Arial" w:hAnsi="Arial" w:cs="Arial"/>
          <w:sz w:val="20"/>
          <w:szCs w:val="20"/>
        </w:rPr>
        <w:tab/>
        <w:t xml:space="preserve">      ___________________________________</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Signed: </w:t>
      </w:r>
      <w:r w:rsidRPr="00FD57A3">
        <w:rPr>
          <w:rFonts w:ascii="Arial" w:hAnsi="Arial" w:cs="Arial"/>
          <w:sz w:val="20"/>
          <w:szCs w:val="20"/>
        </w:rPr>
        <w:tab/>
        <w:t xml:space="preserve">      ___________________________________</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Authorised by:         ___________________________________</w:t>
      </w:r>
    </w:p>
    <w:p w:rsidR="00FD57A3" w:rsidRPr="00FD57A3" w:rsidRDefault="00FD57A3" w:rsidP="00FD57A3">
      <w:pPr>
        <w:tabs>
          <w:tab w:val="left" w:pos="6585"/>
        </w:tabs>
        <w:spacing w:line="360" w:lineRule="auto"/>
        <w:jc w:val="both"/>
        <w:rPr>
          <w:rFonts w:ascii="Arial" w:hAnsi="Arial" w:cs="Arial"/>
          <w:sz w:val="20"/>
          <w:szCs w:val="20"/>
        </w:rPr>
        <w:sectPr w:rsidR="00FD57A3" w:rsidRPr="00FD57A3">
          <w:pgSz w:w="12240" w:h="15840"/>
          <w:pgMar w:top="1440" w:right="1440" w:bottom="1440" w:left="1440" w:header="720" w:footer="720" w:gutter="0"/>
          <w:cols w:space="720"/>
          <w:docGrid w:linePitch="360"/>
        </w:sectPr>
      </w:pPr>
      <w:r w:rsidRPr="00FD57A3">
        <w:rPr>
          <w:rFonts w:ascii="Arial" w:hAnsi="Arial" w:cs="Arial"/>
          <w:sz w:val="20"/>
          <w:szCs w:val="20"/>
        </w:rPr>
        <w:t>Print name:              ___________________________________</w:t>
      </w:r>
      <w:r w:rsidRPr="00FD57A3">
        <w:rPr>
          <w:rFonts w:ascii="Arial" w:hAnsi="Arial" w:cs="Arial"/>
          <w:sz w:val="20"/>
          <w:szCs w:val="20"/>
        </w:rPr>
        <w:tab/>
      </w:r>
      <w:r w:rsidRPr="00FD57A3">
        <w:rPr>
          <w:rFonts w:ascii="Arial" w:hAnsi="Arial" w:cs="Arial"/>
          <w:sz w:val="20"/>
          <w:szCs w:val="20"/>
        </w:rPr>
        <w:tab/>
      </w:r>
      <w:r w:rsidRPr="00FD57A3">
        <w:rPr>
          <w:rFonts w:ascii="Arial" w:hAnsi="Arial" w:cs="Arial"/>
          <w:sz w:val="20"/>
          <w:szCs w:val="20"/>
        </w:rPr>
        <w:tab/>
      </w:r>
    </w:p>
    <w:p w:rsidR="00FD57A3" w:rsidRPr="00FD57A3" w:rsidRDefault="00FD57A3" w:rsidP="00FD57A3">
      <w:pPr>
        <w:spacing w:line="360" w:lineRule="auto"/>
        <w:jc w:val="both"/>
        <w:rPr>
          <w:rFonts w:ascii="Arial" w:hAnsi="Arial" w:cs="Arial"/>
          <w:color w:val="000000" w:themeColor="text1"/>
          <w:sz w:val="20"/>
          <w:szCs w:val="20"/>
          <w:u w:val="single"/>
        </w:rPr>
      </w:pPr>
    </w:p>
    <w:tbl>
      <w:tblPr>
        <w:tblpPr w:leftFromText="180" w:rightFromText="180" w:vertAnchor="text" w:horzAnchor="margin" w:tblpXSpec="center" w:tblpY="383"/>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FD57A3" w:rsidRPr="00FD57A3" w:rsidTr="00347EA1">
        <w:trPr>
          <w:trHeight w:val="322"/>
        </w:trPr>
        <w:tc>
          <w:tcPr>
            <w:tcW w:w="534"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Ref</w:t>
            </w:r>
          </w:p>
        </w:tc>
        <w:tc>
          <w:tcPr>
            <w:tcW w:w="3260"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Hazard / Task / Activity</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Area of Concern</w:t>
            </w:r>
          </w:p>
        </w:tc>
        <w:tc>
          <w:tcPr>
            <w:tcW w:w="2126"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Persons at Risk</w:t>
            </w:r>
          </w:p>
        </w:tc>
        <w:tc>
          <w:tcPr>
            <w:tcW w:w="3119"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Existing Controls</w:t>
            </w:r>
          </w:p>
        </w:tc>
        <w:tc>
          <w:tcPr>
            <w:tcW w:w="2693"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Describe Any Further Controls / Actions Needed</w:t>
            </w:r>
          </w:p>
        </w:tc>
        <w:tc>
          <w:tcPr>
            <w:tcW w:w="1134"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Actions By Whom</w:t>
            </w:r>
          </w:p>
        </w:tc>
        <w:tc>
          <w:tcPr>
            <w:tcW w:w="1134" w:type="dxa"/>
            <w:shd w:val="clear" w:color="auto" w:fill="C0C0C0"/>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Action By When</w:t>
            </w:r>
          </w:p>
        </w:tc>
      </w:tr>
      <w:tr w:rsidR="00FD57A3" w:rsidRPr="00FD57A3" w:rsidTr="00347EA1">
        <w:trPr>
          <w:trHeight w:val="596"/>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1</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Crossing the road</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Adult supervision.</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Cross at pedestrian crossings.</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Using the child safety walking ropes.</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High visibility jackets for children.</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Discuss road safety before leaving.</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555"/>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2</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Slips and trips</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Ensure good ratios are maintained.</w:t>
            </w:r>
          </w:p>
          <w:p w:rsidR="00FD57A3" w:rsidRPr="00FD57A3" w:rsidRDefault="00FD57A3" w:rsidP="00FD57A3">
            <w:pPr>
              <w:spacing w:line="360" w:lineRule="auto"/>
              <w:jc w:val="both"/>
              <w:rPr>
                <w:rFonts w:ascii="Arial" w:hAnsi="Arial" w:cs="Arial"/>
                <w:sz w:val="20"/>
                <w:szCs w:val="20"/>
              </w:rPr>
            </w:pP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Take first aid kit and mobile phone.</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229"/>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3</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Environment at the farm</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Discuss with the children that they should not touch or pick up anything from the floor.</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Adult to visit the site initially to inspect, prior to the children.</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59"/>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4</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Climbing</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Ensure the children understand they cannot climb when at the farm.</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Adults to supervise and ensure children refrain from climbing.</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5</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Stranger awareness</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Discuss with the children about stranger danger. Ensure they know not to go with a stranger.</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Head counts throughout the day.</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6</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Weather conditions</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Appropriate clothing to be worn. Weather forecast consulted previous to leaving.</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p w:rsidR="00FD57A3" w:rsidRPr="00FD57A3" w:rsidRDefault="00FD57A3" w:rsidP="00FD57A3">
            <w:pPr>
              <w:spacing w:line="360" w:lineRule="auto"/>
              <w:jc w:val="both"/>
              <w:rPr>
                <w:rFonts w:ascii="Arial" w:hAnsi="Arial" w:cs="Arial"/>
                <w:b/>
                <w:sz w:val="20"/>
                <w:szCs w:val="20"/>
              </w:rPr>
            </w:pPr>
          </w:p>
          <w:p w:rsidR="00FD57A3" w:rsidRPr="00FD57A3" w:rsidRDefault="00FD57A3" w:rsidP="00FD57A3">
            <w:pPr>
              <w:spacing w:line="360" w:lineRule="auto"/>
              <w:jc w:val="both"/>
              <w:rPr>
                <w:rFonts w:ascii="Arial" w:hAnsi="Arial" w:cs="Arial"/>
                <w:b/>
                <w:sz w:val="20"/>
                <w:szCs w:val="20"/>
              </w:rPr>
            </w:pP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7</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 with additional needs</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 A – Autism</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1:2:1, appropriate staffing for the visit.</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Prepare and discuss with child beforehand. Routine cards to be taken.</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8</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Medical conditions</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 b</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2:2:1 in case of a seizure. Adults with children who have asthma to be aware also.</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Rescue medication and phone to be carried at all times. Asthma pumps to be carried.</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9</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Animal feeding and petting</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Discuss with children beforehand that they cannot feed the animals, and must pet with caution.</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Adults to supervise.</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10</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Religious beliefs – Santa meet</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 C</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 unable to see Santa as Jehovah witness.</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Needs an extra member of staff to take child when other children visit Santa.</w:t>
            </w: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r w:rsidR="00FD57A3" w:rsidRPr="00FD57A3" w:rsidTr="00347EA1">
        <w:trPr>
          <w:trHeight w:val="642"/>
        </w:trPr>
        <w:tc>
          <w:tcPr>
            <w:tcW w:w="534"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11</w:t>
            </w:r>
          </w:p>
        </w:tc>
        <w:tc>
          <w:tcPr>
            <w:tcW w:w="3260"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Transport</w:t>
            </w:r>
          </w:p>
        </w:tc>
        <w:tc>
          <w:tcPr>
            <w:tcW w:w="2126"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Use a bus company approved by the local authority. Adults to support children getting on and off the bus.</w:t>
            </w:r>
          </w:p>
        </w:tc>
        <w:tc>
          <w:tcPr>
            <w:tcW w:w="2693" w:type="dxa"/>
            <w:shd w:val="clear" w:color="auto" w:fill="auto"/>
          </w:tcPr>
          <w:p w:rsidR="00FD57A3" w:rsidRPr="00FD57A3" w:rsidRDefault="00FD57A3" w:rsidP="00FD57A3">
            <w:pPr>
              <w:spacing w:line="360" w:lineRule="auto"/>
              <w:jc w:val="both"/>
              <w:rPr>
                <w:rFonts w:ascii="Arial" w:hAnsi="Arial" w:cs="Arial"/>
                <w:sz w:val="20"/>
                <w:szCs w:val="20"/>
              </w:rPr>
            </w:pPr>
          </w:p>
        </w:tc>
        <w:tc>
          <w:tcPr>
            <w:tcW w:w="1134" w:type="dxa"/>
            <w:shd w:val="clear" w:color="auto" w:fill="auto"/>
          </w:tcPr>
          <w:p w:rsidR="00FD57A3" w:rsidRPr="00FD57A3" w:rsidRDefault="00FD57A3" w:rsidP="00FD57A3">
            <w:pPr>
              <w:spacing w:line="36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FD57A3">
            <w:pPr>
              <w:spacing w:line="360" w:lineRule="auto"/>
              <w:jc w:val="both"/>
              <w:rPr>
                <w:rFonts w:ascii="Arial" w:hAnsi="Arial" w:cs="Arial"/>
                <w:sz w:val="20"/>
                <w:szCs w:val="20"/>
              </w:rPr>
            </w:pPr>
          </w:p>
        </w:tc>
      </w:tr>
    </w:tbl>
    <w:p w:rsidR="00FD57A3" w:rsidRPr="00FD57A3" w:rsidRDefault="00FD57A3" w:rsidP="00FD57A3">
      <w:pPr>
        <w:spacing w:line="360" w:lineRule="auto"/>
        <w:jc w:val="both"/>
        <w:rPr>
          <w:rFonts w:ascii="Arial" w:hAnsi="Arial" w:cs="Arial"/>
          <w:color w:val="000000" w:themeColor="text1"/>
          <w:sz w:val="20"/>
          <w:szCs w:val="20"/>
        </w:rPr>
      </w:pPr>
    </w:p>
    <w:p w:rsidR="00FD57A3" w:rsidRPr="00FD57A3" w:rsidRDefault="00FD57A3" w:rsidP="00FD57A3">
      <w:pPr>
        <w:tabs>
          <w:tab w:val="left" w:pos="3810"/>
        </w:tabs>
        <w:spacing w:line="360" w:lineRule="auto"/>
        <w:jc w:val="both"/>
        <w:rPr>
          <w:rFonts w:ascii="Arial" w:hAnsi="Arial" w:cs="Arial"/>
          <w:sz w:val="20"/>
          <w:szCs w:val="20"/>
        </w:rPr>
        <w:sectPr w:rsidR="00FD57A3" w:rsidRPr="00FD57A3" w:rsidSect="008850FB">
          <w:pgSz w:w="15840" w:h="12240" w:orient="landscape"/>
          <w:pgMar w:top="1440" w:right="1440" w:bottom="1440" w:left="1440" w:header="720" w:footer="720" w:gutter="0"/>
          <w:cols w:space="720"/>
          <w:docGrid w:linePitch="360"/>
        </w:sectPr>
      </w:pP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lastRenderedPageBreak/>
        <w:t>Section 4</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I shall be using the Gibbs model of reflection to evaluate and discuss the outcome of a recent risk assessment I devised (Gibbs, 1988).</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Description</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I carried out a risk assessment for a class trip to visit a farm and meet Santa. The trip was for 34 children, with 12 adults supervising and supporting the children. The children were taken to the farm by bus. The children are aged 3 and 4 and are currently in the nursery class within a primary school.</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Feelings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The day out to the farm required a risk assessment for many reasons. The trip required us to leave the school premises, this in itself can be a risk as we are taking the children from the security of the school grounds. The transport added to the risk element, which required us to use a bus to reach the destination. The farm offered risks to the children, including climbing and also being able to interact with the animals. Children with additional needs were also present on the trip, this required additional thought and planning as to how we can also keep them safe, in an unfamiliar environment.</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It was my first time to compile a risk assessment, and whilst I had a template to follow I was still very apprehensive about this. Keeping children safe is a huge responsibility and I aimed to cover for every eventuality that I possibly could. My main concern was that I would get to the farm and realise that I had not covered all of the risks.</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Evaluation</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Following the day out it was clear to see that the risk assessment I devised was too strict for the children, and unfortunately offered limitations on the children’s experiences at the farm. This was particularly evident with the animals. The children were keen to feed them, and in hindsight it would have been a great experience for them. Another issue was that the children wanted to climb the trees in the fields, unfortunately the risk assessment was not flexible in that the children were not allowed to attempt this.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The risk assessment did offer some positive points; there were adequate staff provided, this allowed children more freedom at the farm, as there were plenty of staff to keep a watchful eye. This staffing ratio allowed the children who had additional needs to attend the trip, with their safety a priority. The risk assessment was read and signed by all staff on the trip. Having this risk assessment in place creates an obligation for all staff to follow and to understand their roles in ensuring children’s safety.</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Analysis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Risk assessments are vital documents of information. They are required by law, that in a setting with children present you need to identify the risks.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lastRenderedPageBreak/>
        <w:t xml:space="preserve">I found it difficult to create a risk assessment for the trip to the farm. The boundaries I put in place for the children unfortunately hindered their play. Tranter (2005, cited in McFarland and Laird, 2017, p.159) explains that whilst strategies to reduce risk may guarantee children’s safety in the short term, the long-term impact may cause harm to the child’s development and psychological well- being. </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Whilst at the farm there were opportunities for the children to feed the animals, the risk assessment I created advised against this, due to my own fear of a child being bitten by an animal.  By denying the children this option, I was depriving them of the direct experience they really need for experiential learning.</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As previously stated in section 2, Tovey explains that children should be given the opportunity to weigh up their own capability against the risk, stopping the children feeding the animals took away this option for them. This is supported further by Dr. Mariana Brussoni, who explains that children can only learn to manage risk through exploring risk in play. She explains these skills can then be applied to other situations in life. She also adds that if adults continue to remove all risk for children then they will never learn these skills for themselves. (Brussoni, 2017, p.6). The farm could have been a perfect opportunity for many children to take control of their own play and learning experiences, had they been given the chance. </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Risk assessments are extremely useful in early year’s settings, it offers all member of staff the knowledge of what is expected of them to keep the children safe. Each staff member was able to read the risk assessment prior to going on the trip and sign to say that they would follow. HSE notes that staff organising school trips should offer clear communication about the planned activities to colleagues, explaining why the precautions are necessary, this is to ensure that everyone focuses on the important issues (Health and safety executive, 2011).</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Staffing levels were sufficient for the amount of children that attended the trip. By creating a risk assessment I was able to identify where additional staff were needed to support children with specific needs. This enabled the children to access the trip in the same capacity as their peers.  Ozen et al (2013, cited in Serenella et al, 2017, p. 16) notes that teachers can sometimes create barriers by not supporting children with disabilities to engage in a wide and varied range of play activities. The assessment also helped highlight which children needed medication to be taken on the trip with them, this certainly helped with the organisation and preparation for the trip.</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The farm was the perfect environment for the children to undertake risky play. Large open fields with lots of trees, an area like this is defined by play wales as</w:t>
      </w:r>
      <w:r w:rsidRPr="00FD57A3">
        <w:rPr>
          <w:rFonts w:ascii="Arial" w:hAnsi="Arial" w:cs="Arial"/>
          <w:sz w:val="20"/>
          <w:szCs w:val="20"/>
        </w:rPr>
        <w:t xml:space="preserve"> </w:t>
      </w:r>
      <w:r w:rsidRPr="00FD57A3">
        <w:rPr>
          <w:rFonts w:ascii="Arial" w:hAnsi="Arial" w:cs="Arial"/>
          <w:color w:val="000000" w:themeColor="text1"/>
          <w:sz w:val="20"/>
          <w:szCs w:val="20"/>
        </w:rPr>
        <w:t xml:space="preserve">a ‘rich play environment’.  They say that this type of environment is encouraging and stimulating, and that it can exploit the ‘potential for socialising, creativity, resourcefulness and challenge (Play Wales). The children were able to utilise the fields for their play, however had they have been given the opportunity to climb the trees it is likely they would have gained extra pleasure from this. Upon reflection, I was over cautious when undertaking the risk assessment. At one point the children were playing ‘off ground touch’ but were stopped from climbing the trees by staff members, stopping the game they had created. Not only did this deny them the option of risky play, but </w:t>
      </w:r>
      <w:r w:rsidRPr="00FD57A3">
        <w:rPr>
          <w:rFonts w:ascii="Arial" w:hAnsi="Arial" w:cs="Arial"/>
          <w:color w:val="000000" w:themeColor="text1"/>
          <w:sz w:val="20"/>
          <w:szCs w:val="20"/>
        </w:rPr>
        <w:lastRenderedPageBreak/>
        <w:t xml:space="preserve">also ended their notion of self-directed play.  As previously mentioned by Else (2014) in section 1, ‘the adults should offer the children the perfect play space’. The importance of self-directed play is highlighted further by Isaacs who argued that </w:t>
      </w:r>
      <w:r w:rsidRPr="00FD57A3">
        <w:rPr>
          <w:rFonts w:ascii="Arial" w:hAnsi="Arial" w:cs="Arial"/>
          <w:i/>
          <w:color w:val="000000" w:themeColor="text1"/>
          <w:sz w:val="20"/>
          <w:szCs w:val="20"/>
        </w:rPr>
        <w:t>“play has the greatest value for the child when it is really free and his own”</w:t>
      </w:r>
      <w:r w:rsidRPr="00FD57A3">
        <w:rPr>
          <w:rFonts w:ascii="Arial" w:hAnsi="Arial" w:cs="Arial"/>
          <w:color w:val="000000" w:themeColor="text1"/>
          <w:sz w:val="20"/>
          <w:szCs w:val="20"/>
        </w:rPr>
        <w:t xml:space="preserve"> (Isaacs, 1932, p.133).</w:t>
      </w:r>
    </w:p>
    <w:p w:rsidR="00FD57A3" w:rsidRPr="00FD57A3" w:rsidRDefault="00FD57A3" w:rsidP="00FD57A3">
      <w:pPr>
        <w:spacing w:after="225"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Overall I believe my fear of a child getting injured impacted on my ability to create a risk assessment that allowed the children to enjoy and lead their own play. Instead I halted the children’s learning and play. A lot of my fear has stemmed from the recent ‘blame culture’. With the prospect of children getting hurt and the possibility of parents/carers looking for somebody to blame. Without taking these risks children’s natural curiosity is stifled. Children’s muscular strength and dexterity are being compromised for fear of children injuring themselves (Spielman, 2018). </w:t>
      </w:r>
      <w:r w:rsidRPr="00FD57A3">
        <w:rPr>
          <w:rFonts w:ascii="Arial" w:hAnsi="Arial" w:cs="Arial"/>
          <w:i/>
          <w:color w:val="000000" w:themeColor="text1"/>
          <w:sz w:val="20"/>
          <w:szCs w:val="20"/>
        </w:rPr>
        <w:t>“Fear of litigation and a wider ‘blame culture’ can lead to providers feeling exposed, leaving them struggling to put into practice the approach to risk that they rightly believe is needed”</w:t>
      </w:r>
      <w:r w:rsidRPr="00FD57A3">
        <w:rPr>
          <w:rFonts w:ascii="Arial" w:hAnsi="Arial" w:cs="Arial"/>
          <w:color w:val="000000" w:themeColor="text1"/>
          <w:sz w:val="20"/>
          <w:szCs w:val="20"/>
        </w:rPr>
        <w:t xml:space="preserve"> (Ball, Gill and Spiegal, 2012). Whilst this was a fear when writing the risk assessment I am now more mindful that provided all areas are covered and the risk assessment is completed correctly there is no need to feel concerned for fear of claims for injury. Ball, Gill and Spiegal also say that a thorough risk assessment process that is followed correctly should provide a reasonable defense against any liability claims that may be brought up. The need for the children to undertake risks during their play is paramount, the resilience and flexibility gained from risk- taking will offer lifelong skills and safety for the future (play Wales). This echoes what was previously quoted by Gill in section 2. The claims for personal injury appear to be dropping year on year, with a recent drop of 13% reported by the DWP (Hyde, 2018). This offers some reassurance concerning the fear of litigation and claims being made against a school. </w:t>
      </w:r>
    </w:p>
    <w:p w:rsidR="00FD57A3" w:rsidRPr="00FD57A3" w:rsidRDefault="00FD57A3" w:rsidP="00FD57A3">
      <w:pPr>
        <w:spacing w:after="225"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Conclusion and action plan</w:t>
      </w:r>
    </w:p>
    <w:p w:rsidR="00FD57A3" w:rsidRPr="00FD57A3" w:rsidRDefault="00FD57A3" w:rsidP="00FD57A3">
      <w:pPr>
        <w:spacing w:after="225"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Reflecting on my risk assessment I appreciate that I need to be more understanding of the benefit of risky play. Next time I could get in contact with the farm prior to the visit to try to determine how friendly the animals are, and how often they are fed by children, and what is the likelihood of them biting. I could also instead of saying no, teach the children how to feed the animals safely. This will allow the children the opportunity to weigh up the risk and take care when they undertake such activities. Secondly I could discuss prior to leaving about climbing with the children, I could offer the children respect in the understanding that they would stop climbing when asked by an adult, or when they feel they have reached their own limit, when doing this I would explain about safety. Lastly I could ensure I have written permission from the parents/carers of the children attending the trip that they are happy for their own children to feed the animals, with the children being encouraged to feed correctly. Also permission to climb the trees to a limit that is seen safe by staff members, and supervised at all times. Next time I complete a risk assessment I am aware that providing that I carry out the procedure correctly I am likely to be protected in such cases of a child injuring themselves.</w:t>
      </w:r>
    </w:p>
    <w:p w:rsidR="00FD57A3" w:rsidRPr="00FD57A3" w:rsidRDefault="00FD57A3" w:rsidP="00FD57A3">
      <w:pPr>
        <w:spacing w:line="360" w:lineRule="auto"/>
        <w:jc w:val="both"/>
        <w:rPr>
          <w:rFonts w:ascii="Arial" w:hAnsi="Arial" w:cs="Arial"/>
          <w:color w:val="000000" w:themeColor="text1"/>
          <w:sz w:val="20"/>
          <w:szCs w:val="20"/>
        </w:rPr>
      </w:pPr>
    </w:p>
    <w:p w:rsidR="00FD57A3" w:rsidRPr="00FD57A3" w:rsidRDefault="00FD57A3" w:rsidP="00FD57A3">
      <w:pPr>
        <w:spacing w:line="360" w:lineRule="auto"/>
        <w:jc w:val="both"/>
        <w:rPr>
          <w:rFonts w:ascii="Arial" w:hAnsi="Arial" w:cs="Arial"/>
          <w:color w:val="000000" w:themeColor="text1"/>
          <w:sz w:val="20"/>
          <w:szCs w:val="20"/>
          <w:u w:val="single"/>
        </w:rPr>
      </w:pPr>
    </w:p>
    <w:p w:rsidR="00FD57A3" w:rsidRPr="00FD57A3" w:rsidRDefault="00FD57A3" w:rsidP="00FD57A3">
      <w:pPr>
        <w:spacing w:after="0" w:line="360" w:lineRule="auto"/>
        <w:jc w:val="both"/>
        <w:textAlignment w:val="baseline"/>
        <w:rPr>
          <w:rFonts w:ascii="Arial" w:eastAsia="Times New Roman" w:hAnsi="Arial" w:cs="Arial"/>
          <w:sz w:val="20"/>
          <w:szCs w:val="20"/>
        </w:rPr>
      </w:pPr>
    </w:p>
    <w:p w:rsidR="00FD57A3" w:rsidRPr="00FD57A3" w:rsidRDefault="00FD57A3" w:rsidP="00FD57A3">
      <w:pPr>
        <w:spacing w:after="0" w:line="360" w:lineRule="auto"/>
        <w:jc w:val="both"/>
        <w:textAlignment w:val="baseline"/>
        <w:rPr>
          <w:rFonts w:ascii="Arial" w:eastAsia="Times New Roman" w:hAnsi="Arial" w:cs="Arial"/>
          <w:sz w:val="20"/>
          <w:szCs w:val="20"/>
          <w:u w:val="single"/>
        </w:rPr>
      </w:pPr>
      <w:r w:rsidRPr="00FD57A3">
        <w:rPr>
          <w:rFonts w:ascii="Arial" w:eastAsia="Times New Roman" w:hAnsi="Arial" w:cs="Arial"/>
          <w:sz w:val="20"/>
          <w:szCs w:val="20"/>
          <w:u w:val="single"/>
        </w:rPr>
        <w:t>Reference list</w:t>
      </w: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eastAsia="Times New Roman" w:hAnsi="Arial" w:cs="Arial"/>
          <w:sz w:val="20"/>
          <w:szCs w:val="20"/>
        </w:rPr>
        <w:t>A, Hughes and S, Green. (2009</w:t>
      </w:r>
      <w:r w:rsidRPr="00FD57A3">
        <w:rPr>
          <w:rFonts w:ascii="Arial" w:eastAsia="Times New Roman" w:hAnsi="Arial" w:cs="Arial"/>
          <w:i/>
          <w:color w:val="000000" w:themeColor="text1"/>
          <w:sz w:val="20"/>
          <w:szCs w:val="20"/>
        </w:rPr>
        <w:t xml:space="preserve">) </w:t>
      </w:r>
      <w:r w:rsidRPr="00FD57A3">
        <w:rPr>
          <w:rFonts w:ascii="Arial" w:hAnsi="Arial" w:cs="Arial"/>
          <w:i/>
          <w:color w:val="000000" w:themeColor="text1"/>
          <w:sz w:val="20"/>
          <w:szCs w:val="20"/>
        </w:rPr>
        <w:t xml:space="preserve">Problem Solving, Reasoning and Numeracy in the Early Years Foundation Stage. </w:t>
      </w:r>
      <w:r w:rsidRPr="00FD57A3">
        <w:rPr>
          <w:rFonts w:ascii="Arial" w:hAnsi="Arial" w:cs="Arial"/>
          <w:color w:val="000000" w:themeColor="text1"/>
          <w:sz w:val="20"/>
          <w:szCs w:val="20"/>
        </w:rPr>
        <w:t>London: Routledge.</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spacing w:after="0" w:line="360" w:lineRule="auto"/>
        <w:textAlignment w:val="baseline"/>
        <w:rPr>
          <w:rFonts w:ascii="Arial" w:hAnsi="Arial" w:cs="Arial"/>
          <w:bCs/>
          <w:color w:val="2A2A2A"/>
          <w:sz w:val="20"/>
          <w:szCs w:val="20"/>
        </w:rPr>
      </w:pPr>
      <w:r w:rsidRPr="00FD57A3">
        <w:rPr>
          <w:rFonts w:ascii="Arial" w:hAnsi="Arial" w:cs="Arial"/>
          <w:bCs/>
          <w:color w:val="2A2A2A"/>
          <w:sz w:val="20"/>
          <w:szCs w:val="20"/>
        </w:rPr>
        <w:t xml:space="preserve">Ball, D, Gill, T and Spiegal, B. (2012) </w:t>
      </w:r>
      <w:r w:rsidRPr="00FD57A3">
        <w:rPr>
          <w:rFonts w:ascii="Arial" w:hAnsi="Arial" w:cs="Arial"/>
          <w:bCs/>
          <w:i/>
          <w:color w:val="2A2A2A"/>
          <w:sz w:val="20"/>
          <w:szCs w:val="20"/>
        </w:rPr>
        <w:t xml:space="preserve">Play safety forum. </w:t>
      </w:r>
      <w:r w:rsidRPr="00FD57A3">
        <w:rPr>
          <w:rFonts w:ascii="Arial" w:hAnsi="Arial" w:cs="Arial"/>
          <w:bCs/>
          <w:color w:val="2A2A2A"/>
          <w:sz w:val="20"/>
          <w:szCs w:val="20"/>
        </w:rPr>
        <w:t xml:space="preserve">Available at: </w:t>
      </w:r>
      <w:hyperlink r:id="rId8" w:history="1">
        <w:r w:rsidRPr="00FD57A3">
          <w:rPr>
            <w:rFonts w:ascii="Arial" w:hAnsi="Arial" w:cs="Arial"/>
            <w:bCs/>
            <w:color w:val="0563C1" w:themeColor="hyperlink"/>
            <w:sz w:val="20"/>
            <w:szCs w:val="20"/>
            <w:u w:val="single"/>
          </w:rPr>
          <w:t>http://www.playwales.org.uk/login/uploaded/documents/Play%20and%20Challenge/Managing%20Risk%20in%20Play%20Provision.pdf</w:t>
        </w:r>
      </w:hyperlink>
      <w:r w:rsidRPr="00FD57A3">
        <w:rPr>
          <w:rFonts w:ascii="Arial" w:hAnsi="Arial" w:cs="Arial"/>
          <w:bCs/>
          <w:color w:val="2A2A2A"/>
          <w:sz w:val="20"/>
          <w:szCs w:val="20"/>
        </w:rPr>
        <w:t xml:space="preserve"> (Accessed: 12</w:t>
      </w:r>
      <w:r w:rsidRPr="00FD57A3">
        <w:rPr>
          <w:rFonts w:ascii="Arial" w:hAnsi="Arial" w:cs="Arial"/>
          <w:bCs/>
          <w:color w:val="2A2A2A"/>
          <w:sz w:val="20"/>
          <w:szCs w:val="20"/>
          <w:vertAlign w:val="superscript"/>
        </w:rPr>
        <w:t>th</w:t>
      </w:r>
      <w:r w:rsidRPr="00FD57A3">
        <w:rPr>
          <w:rFonts w:ascii="Arial" w:hAnsi="Arial" w:cs="Arial"/>
          <w:bCs/>
          <w:color w:val="2A2A2A"/>
          <w:sz w:val="20"/>
          <w:szCs w:val="20"/>
        </w:rPr>
        <w:t xml:space="preserve"> January 2019).</w:t>
      </w:r>
    </w:p>
    <w:p w:rsidR="00FD57A3" w:rsidRPr="00FD57A3" w:rsidRDefault="00FD57A3" w:rsidP="00FD57A3">
      <w:pPr>
        <w:spacing w:after="0" w:line="360" w:lineRule="auto"/>
        <w:textAlignment w:val="baseline"/>
        <w:rPr>
          <w:rFonts w:ascii="Arial" w:hAnsi="Arial" w:cs="Arial"/>
          <w:bCs/>
          <w:color w:val="2A2A2A"/>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Bazley, S. (2018) </w:t>
      </w:r>
      <w:r w:rsidRPr="00FD57A3">
        <w:rPr>
          <w:rFonts w:ascii="Arial" w:eastAsia="Times New Roman" w:hAnsi="Arial" w:cs="Arial"/>
          <w:i/>
          <w:sz w:val="20"/>
          <w:szCs w:val="20"/>
        </w:rPr>
        <w:t xml:space="preserve">A play workers guide to risk. </w:t>
      </w:r>
      <w:r w:rsidRPr="00FD57A3">
        <w:rPr>
          <w:rFonts w:ascii="Arial" w:eastAsia="Times New Roman" w:hAnsi="Arial" w:cs="Arial"/>
          <w:sz w:val="20"/>
          <w:szCs w:val="20"/>
        </w:rPr>
        <w:t xml:space="preserve">Available at: </w:t>
      </w:r>
      <w:hyperlink r:id="rId9" w:history="1">
        <w:r w:rsidRPr="00FD57A3">
          <w:rPr>
            <w:rFonts w:ascii="Arial" w:eastAsia="Times New Roman" w:hAnsi="Arial" w:cs="Arial"/>
            <w:color w:val="0563C1" w:themeColor="hyperlink"/>
            <w:sz w:val="20"/>
            <w:szCs w:val="20"/>
            <w:u w:val="single"/>
          </w:rPr>
          <w:t>file:///C:/Users/jones/AppData/Local/Packages/Microsoft.MicrosoftEdge_8wekyb3d8bbwe/TempState/Downloads/A%20playworkers%20guide%20to%20risk%20(1).pdf</w:t>
        </w:r>
      </w:hyperlink>
      <w:r w:rsidRPr="00FD57A3">
        <w:rPr>
          <w:rFonts w:ascii="Arial" w:eastAsia="Times New Roman" w:hAnsi="Arial" w:cs="Arial"/>
          <w:sz w:val="20"/>
          <w:szCs w:val="20"/>
        </w:rPr>
        <w:t xml:space="preserve"> (Accessed: 12</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Bilton, H. (2010) </w:t>
      </w:r>
      <w:r w:rsidRPr="00FD57A3">
        <w:rPr>
          <w:rFonts w:ascii="Arial" w:hAnsi="Arial" w:cs="Arial"/>
          <w:i/>
          <w:color w:val="000000" w:themeColor="text1"/>
          <w:sz w:val="20"/>
          <w:szCs w:val="20"/>
        </w:rPr>
        <w:t>Outdoor learning in the early years</w:t>
      </w:r>
      <w:r w:rsidRPr="00FD57A3">
        <w:rPr>
          <w:rFonts w:ascii="Arial" w:hAnsi="Arial" w:cs="Arial"/>
          <w:color w:val="000000" w:themeColor="text1"/>
          <w:sz w:val="20"/>
          <w:szCs w:val="20"/>
        </w:rPr>
        <w:t>. 3</w:t>
      </w:r>
      <w:r w:rsidRPr="00FD57A3">
        <w:rPr>
          <w:rFonts w:ascii="Arial" w:hAnsi="Arial" w:cs="Arial"/>
          <w:color w:val="000000" w:themeColor="text1"/>
          <w:sz w:val="20"/>
          <w:szCs w:val="20"/>
          <w:vertAlign w:val="superscript"/>
        </w:rPr>
        <w:t>rd</w:t>
      </w:r>
      <w:r w:rsidRPr="00FD57A3">
        <w:rPr>
          <w:rFonts w:ascii="Arial" w:hAnsi="Arial" w:cs="Arial"/>
          <w:color w:val="000000" w:themeColor="text1"/>
          <w:sz w:val="20"/>
          <w:szCs w:val="20"/>
        </w:rPr>
        <w:t xml:space="preserve"> Ed. Oxon: Routledge</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Blenkin, G and Kelly, A.V. (1988) </w:t>
      </w:r>
      <w:r w:rsidRPr="00FD57A3">
        <w:rPr>
          <w:rFonts w:ascii="Arial" w:eastAsia="Times New Roman" w:hAnsi="Arial" w:cs="Arial"/>
          <w:i/>
          <w:sz w:val="20"/>
          <w:szCs w:val="20"/>
        </w:rPr>
        <w:t>Early childhood education A developmental curriculum.</w:t>
      </w:r>
      <w:r w:rsidRPr="00FD57A3">
        <w:rPr>
          <w:rFonts w:ascii="Arial" w:eastAsia="Times New Roman" w:hAnsi="Arial" w:cs="Arial"/>
          <w:sz w:val="20"/>
          <w:szCs w:val="20"/>
        </w:rPr>
        <w:t xml:space="preserve"> London: Paul Chapman publishing Ltd</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Broadhead, P. Howard, J and Wood, E. (2010) </w:t>
      </w:r>
      <w:r w:rsidRPr="00FD57A3">
        <w:rPr>
          <w:rFonts w:ascii="Arial" w:hAnsi="Arial" w:cs="Arial"/>
          <w:i/>
          <w:color w:val="000000" w:themeColor="text1"/>
          <w:sz w:val="20"/>
          <w:szCs w:val="20"/>
        </w:rPr>
        <w:t xml:space="preserve">play and learning in the early years. </w:t>
      </w:r>
      <w:r w:rsidRPr="00FD57A3">
        <w:rPr>
          <w:rFonts w:ascii="Arial" w:hAnsi="Arial" w:cs="Arial"/>
          <w:color w:val="000000" w:themeColor="text1"/>
          <w:sz w:val="20"/>
          <w:szCs w:val="20"/>
        </w:rPr>
        <w:t>London: SAGE Publications.</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keepNext/>
        <w:keepLines/>
        <w:spacing w:after="0" w:line="360" w:lineRule="auto"/>
        <w:outlineLvl w:val="2"/>
        <w:rPr>
          <w:rFonts w:ascii="Arial" w:eastAsia="Times New Roman" w:hAnsi="Arial" w:cs="Arial"/>
          <w:bCs/>
          <w:sz w:val="20"/>
          <w:szCs w:val="20"/>
        </w:rPr>
      </w:pPr>
      <w:bookmarkStart w:id="1" w:name="citation"/>
      <w:r w:rsidRPr="00FD57A3">
        <w:rPr>
          <w:rFonts w:ascii="Arial" w:eastAsia="Times New Roman" w:hAnsi="Arial" w:cs="Arial"/>
          <w:sz w:val="20"/>
          <w:szCs w:val="20"/>
        </w:rPr>
        <w:t xml:space="preserve">Bruce, T. (2011) </w:t>
      </w:r>
      <w:hyperlink r:id="rId10" w:history="1">
        <w:r w:rsidRPr="00FD57A3">
          <w:rPr>
            <w:rFonts w:ascii="Arial" w:eastAsia="Times New Roman" w:hAnsi="Arial" w:cs="Arial"/>
            <w:bCs/>
            <w:i/>
            <w:sz w:val="20"/>
            <w:szCs w:val="20"/>
          </w:rPr>
          <w:t>Learning through play: for babies’ toddlers and young children</w:t>
        </w:r>
      </w:hyperlink>
      <w:r w:rsidRPr="00FD57A3">
        <w:rPr>
          <w:rFonts w:ascii="Arial" w:eastAsia="Times New Roman" w:hAnsi="Arial" w:cs="Arial"/>
          <w:bCs/>
          <w:i/>
          <w:sz w:val="20"/>
          <w:szCs w:val="20"/>
        </w:rPr>
        <w:t>.</w:t>
      </w:r>
      <w:r w:rsidRPr="00FD57A3">
        <w:rPr>
          <w:rFonts w:ascii="Arial" w:eastAsia="Times New Roman" w:hAnsi="Arial" w:cs="Arial"/>
          <w:bCs/>
          <w:sz w:val="20"/>
          <w:szCs w:val="20"/>
        </w:rPr>
        <w:t xml:space="preserve"> 2</w:t>
      </w:r>
      <w:r w:rsidRPr="00FD57A3">
        <w:rPr>
          <w:rFonts w:ascii="Arial" w:eastAsia="Times New Roman" w:hAnsi="Arial" w:cs="Arial"/>
          <w:bCs/>
          <w:sz w:val="20"/>
          <w:szCs w:val="20"/>
          <w:vertAlign w:val="superscript"/>
        </w:rPr>
        <w:t>nd</w:t>
      </w:r>
      <w:r w:rsidRPr="00FD57A3">
        <w:rPr>
          <w:rFonts w:ascii="Arial" w:eastAsia="Times New Roman" w:hAnsi="Arial" w:cs="Arial"/>
          <w:bCs/>
          <w:sz w:val="20"/>
          <w:szCs w:val="20"/>
        </w:rPr>
        <w:t xml:space="preserve"> Ed. London: Hodder education.</w:t>
      </w:r>
    </w:p>
    <w:p w:rsidR="00FD57A3" w:rsidRPr="00FD57A3" w:rsidRDefault="00FD57A3" w:rsidP="00FD57A3">
      <w:pPr>
        <w:spacing w:line="360" w:lineRule="auto"/>
        <w:rPr>
          <w:rFonts w:ascii="Arial" w:hAnsi="Arial" w:cs="Arial"/>
          <w:sz w:val="20"/>
          <w:szCs w:val="20"/>
        </w:rPr>
      </w:pPr>
    </w:p>
    <w:bookmarkEnd w:id="1"/>
    <w:p w:rsidR="00FD57A3" w:rsidRPr="00FD57A3" w:rsidRDefault="00FD57A3" w:rsidP="00FD57A3">
      <w:pPr>
        <w:spacing w:after="0" w:line="360" w:lineRule="auto"/>
        <w:textAlignment w:val="baseline"/>
        <w:rPr>
          <w:rFonts w:ascii="Arial" w:eastAsia="Times New Roman" w:hAnsi="Arial" w:cs="Arial"/>
          <w:color w:val="0563C1" w:themeColor="hyperlink"/>
          <w:sz w:val="20"/>
          <w:szCs w:val="20"/>
          <w:u w:val="single"/>
        </w:rPr>
      </w:pPr>
      <w:r w:rsidRPr="00FD57A3">
        <w:rPr>
          <w:rFonts w:ascii="Arial" w:eastAsia="Times New Roman" w:hAnsi="Arial" w:cs="Arial"/>
          <w:sz w:val="20"/>
          <w:szCs w:val="20"/>
        </w:rPr>
        <w:t xml:space="preserve">Brussoni, M. (2017) ‘Keeping children safe means letting them take risks’ </w:t>
      </w:r>
      <w:r w:rsidRPr="00FD57A3">
        <w:rPr>
          <w:rFonts w:ascii="Arial" w:eastAsia="Times New Roman" w:hAnsi="Arial" w:cs="Arial"/>
          <w:i/>
          <w:sz w:val="20"/>
          <w:szCs w:val="20"/>
        </w:rPr>
        <w:t xml:space="preserve">play for wales, </w:t>
      </w:r>
      <w:r w:rsidRPr="00FD57A3">
        <w:rPr>
          <w:rFonts w:ascii="Arial" w:eastAsia="Times New Roman" w:hAnsi="Arial" w:cs="Arial"/>
          <w:sz w:val="20"/>
          <w:szCs w:val="20"/>
        </w:rPr>
        <w:t>49, pp. 1- 22. Accessed: 11</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 URL: </w:t>
      </w:r>
      <w:hyperlink r:id="rId11" w:history="1">
        <w:r w:rsidRPr="00FD57A3">
          <w:rPr>
            <w:rFonts w:ascii="Arial" w:eastAsia="Times New Roman" w:hAnsi="Arial" w:cs="Arial"/>
            <w:color w:val="0563C1" w:themeColor="hyperlink"/>
            <w:sz w:val="20"/>
            <w:szCs w:val="20"/>
            <w:u w:val="single"/>
          </w:rPr>
          <w:t>file:///C:/Users/jones/AppData/Local/Packages/Microsoft.MicrosoftEdge_8wekyb3d8bbwe/TempState/Downloads/Play%20for%20Wales%20Autumn%202017%20issue%2049%20(1).pdf</w:t>
        </w:r>
      </w:hyperlink>
    </w:p>
    <w:p w:rsidR="00FD57A3" w:rsidRPr="00FD57A3" w:rsidRDefault="00FD57A3" w:rsidP="00FD57A3">
      <w:pPr>
        <w:spacing w:after="0" w:line="360" w:lineRule="auto"/>
        <w:textAlignment w:val="baseline"/>
        <w:rPr>
          <w:rFonts w:ascii="Arial" w:eastAsia="Times New Roman" w:hAnsi="Arial" w:cs="Arial"/>
          <w:color w:val="0563C1" w:themeColor="hyperlink"/>
          <w:sz w:val="20"/>
          <w:szCs w:val="20"/>
          <w:u w:val="single"/>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Department for Children, Education, Lifelong Learning and Skills (2009) </w:t>
      </w:r>
      <w:r w:rsidRPr="00FD57A3">
        <w:rPr>
          <w:rFonts w:ascii="Arial" w:eastAsia="Times New Roman" w:hAnsi="Arial" w:cs="Arial"/>
          <w:i/>
          <w:sz w:val="20"/>
          <w:szCs w:val="20"/>
        </w:rPr>
        <w:t xml:space="preserve">Foundation Phase Outdoor Learning Handbook. </w:t>
      </w:r>
      <w:r w:rsidRPr="00FD57A3">
        <w:rPr>
          <w:rFonts w:ascii="Arial" w:eastAsia="Times New Roman" w:hAnsi="Arial" w:cs="Arial"/>
          <w:sz w:val="20"/>
          <w:szCs w:val="20"/>
        </w:rPr>
        <w:t xml:space="preserve">Available at: </w:t>
      </w:r>
      <w:hyperlink r:id="rId12" w:history="1">
        <w:r w:rsidRPr="00FD57A3">
          <w:rPr>
            <w:rFonts w:ascii="Arial" w:eastAsia="Times New Roman" w:hAnsi="Arial" w:cs="Arial"/>
            <w:color w:val="0563C1" w:themeColor="hyperlink"/>
            <w:sz w:val="20"/>
            <w:szCs w:val="20"/>
            <w:u w:val="single"/>
          </w:rPr>
          <w:t>http://learning.gov.wales/docs/learningwales/publications/140828-foundation-phase-outdoor-learning-handbook-en.pdf</w:t>
        </w:r>
      </w:hyperlink>
      <w:r w:rsidRPr="00FD57A3">
        <w:rPr>
          <w:rFonts w:ascii="Arial" w:eastAsia="Times New Roman" w:hAnsi="Arial" w:cs="Arial"/>
          <w:sz w:val="20"/>
          <w:szCs w:val="20"/>
        </w:rPr>
        <w:t xml:space="preserve"> (Accessed: 2</w:t>
      </w:r>
      <w:r w:rsidRPr="00FD57A3">
        <w:rPr>
          <w:rFonts w:ascii="Arial" w:eastAsia="Times New Roman" w:hAnsi="Arial" w:cs="Arial"/>
          <w:sz w:val="20"/>
          <w:szCs w:val="20"/>
          <w:vertAlign w:val="superscript"/>
        </w:rPr>
        <w:t>nd</w:t>
      </w:r>
      <w:r w:rsidRPr="00FD57A3">
        <w:rPr>
          <w:rFonts w:ascii="Arial" w:eastAsia="Times New Roman" w:hAnsi="Arial" w:cs="Arial"/>
          <w:sz w:val="20"/>
          <w:szCs w:val="20"/>
        </w:rPr>
        <w:t xml:space="preserve"> January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Else, P. (2014) </w:t>
      </w:r>
      <w:hyperlink r:id="rId13" w:history="1">
        <w:r w:rsidRPr="00FD57A3">
          <w:rPr>
            <w:rFonts w:ascii="Arial" w:hAnsi="Arial" w:cs="Arial"/>
            <w:bCs/>
            <w:i/>
            <w:sz w:val="20"/>
            <w:szCs w:val="20"/>
          </w:rPr>
          <w:t>Making sense of play: supporting children in their play</w:t>
        </w:r>
      </w:hyperlink>
      <w:r w:rsidRPr="00FD57A3">
        <w:rPr>
          <w:rFonts w:ascii="Arial" w:hAnsi="Arial" w:cs="Arial"/>
          <w:i/>
          <w:sz w:val="20"/>
          <w:szCs w:val="20"/>
        </w:rPr>
        <w:t xml:space="preserve">. </w:t>
      </w:r>
      <w:r w:rsidRPr="00FD57A3">
        <w:rPr>
          <w:rFonts w:ascii="Arial" w:hAnsi="Arial" w:cs="Arial"/>
          <w:color w:val="3A3A3A"/>
          <w:sz w:val="20"/>
          <w:szCs w:val="20"/>
        </w:rPr>
        <w:t>England: Open University Press 2014</w:t>
      </w:r>
    </w:p>
    <w:p w:rsidR="00FD57A3" w:rsidRPr="00FD57A3" w:rsidRDefault="00FD57A3" w:rsidP="00FD57A3">
      <w:pPr>
        <w:spacing w:after="0" w:line="360" w:lineRule="auto"/>
        <w:textAlignment w:val="baseline"/>
        <w:rPr>
          <w:rFonts w:ascii="Arial" w:eastAsia="Times New Roman" w:hAnsi="Arial" w:cs="Arial"/>
          <w:sz w:val="20"/>
          <w:szCs w:val="20"/>
        </w:rPr>
      </w:pPr>
      <w:hyperlink r:id="rId14" w:history="1">
        <w:r w:rsidRPr="00FD57A3">
          <w:rPr>
            <w:rFonts w:ascii="Arial" w:eastAsia="Times New Roman" w:hAnsi="Arial" w:cs="Arial"/>
            <w:color w:val="0563C1" w:themeColor="hyperlink"/>
            <w:sz w:val="20"/>
            <w:szCs w:val="20"/>
            <w:u w:val="single"/>
          </w:rPr>
          <w:t>file:///C:/Users/jones/AppData/Local/Packages/Microsoft.MicrosoftEdge_8wekyb3d8bbwe/TempState/Downloads/Let%20us%20out%20of%20the%20bubble%20wrap%20%20(1).pdf</w:t>
        </w:r>
      </w:hyperlink>
      <w:r w:rsidRPr="00FD57A3">
        <w:rPr>
          <w:rFonts w:ascii="Arial" w:eastAsia="Times New Roman" w:hAnsi="Arial" w:cs="Arial"/>
          <w:sz w:val="20"/>
          <w:szCs w:val="20"/>
        </w:rPr>
        <w:t xml:space="preserve"> (Accessed: 12</w:t>
      </w:r>
      <w:r w:rsidRPr="00FD57A3">
        <w:rPr>
          <w:rFonts w:ascii="Arial" w:eastAsia="Times New Roman" w:hAnsi="Arial" w:cs="Arial"/>
          <w:sz w:val="20"/>
          <w:szCs w:val="20"/>
          <w:vertAlign w:val="superscript"/>
        </w:rPr>
        <w:t xml:space="preserve">th </w:t>
      </w:r>
      <w:r w:rsidRPr="00FD57A3">
        <w:rPr>
          <w:rFonts w:ascii="Arial" w:eastAsia="Times New Roman" w:hAnsi="Arial" w:cs="Arial"/>
          <w:sz w:val="20"/>
          <w:szCs w:val="20"/>
        </w:rPr>
        <w:t>January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Gibbs, G. (1988) </w:t>
      </w:r>
      <w:r w:rsidRPr="00FD57A3">
        <w:rPr>
          <w:rFonts w:ascii="Arial" w:eastAsia="Times New Roman" w:hAnsi="Arial" w:cs="Arial"/>
          <w:i/>
          <w:sz w:val="20"/>
          <w:szCs w:val="20"/>
        </w:rPr>
        <w:t xml:space="preserve">Learning by doing: a guide to teaching and learning methods. </w:t>
      </w:r>
      <w:r w:rsidRPr="00FD57A3">
        <w:rPr>
          <w:rFonts w:ascii="Arial" w:eastAsia="Times New Roman" w:hAnsi="Arial" w:cs="Arial"/>
          <w:sz w:val="20"/>
          <w:szCs w:val="20"/>
        </w:rPr>
        <w:t>London: FEU.</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Gill, T. (2007) </w:t>
      </w:r>
      <w:r w:rsidRPr="00FD57A3">
        <w:rPr>
          <w:rFonts w:ascii="Arial" w:eastAsia="Times New Roman" w:hAnsi="Arial" w:cs="Arial"/>
          <w:i/>
          <w:sz w:val="20"/>
          <w:szCs w:val="20"/>
        </w:rPr>
        <w:t>No Fear Growing up in a risk averse society</w:t>
      </w:r>
      <w:r w:rsidRPr="00FD57A3">
        <w:rPr>
          <w:rFonts w:ascii="Arial" w:eastAsia="Times New Roman" w:hAnsi="Arial" w:cs="Arial"/>
          <w:sz w:val="20"/>
          <w:szCs w:val="20"/>
        </w:rPr>
        <w:t xml:space="preserve">. Available at: </w:t>
      </w:r>
      <w:hyperlink r:id="rId15" w:history="1">
        <w:r w:rsidRPr="00FD57A3">
          <w:rPr>
            <w:rFonts w:ascii="Arial" w:eastAsia="Times New Roman" w:hAnsi="Arial" w:cs="Arial"/>
            <w:color w:val="0563C1" w:themeColor="hyperlink"/>
            <w:sz w:val="20"/>
            <w:szCs w:val="20"/>
            <w:u w:val="single"/>
          </w:rPr>
          <w:t>https://gulbenkian.pt/uk-branch/publication/no-fear/</w:t>
        </w:r>
      </w:hyperlink>
      <w:r w:rsidRPr="00FD57A3">
        <w:rPr>
          <w:rFonts w:ascii="Arial" w:eastAsia="Times New Roman" w:hAnsi="Arial" w:cs="Arial"/>
          <w:sz w:val="20"/>
          <w:szCs w:val="20"/>
        </w:rPr>
        <w:t xml:space="preserve"> (Accessed: 4</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Goldschmied, E and Jackson, S. (2003) </w:t>
      </w:r>
      <w:r w:rsidRPr="00FD57A3">
        <w:rPr>
          <w:rFonts w:ascii="Arial" w:hAnsi="Arial" w:cs="Arial"/>
          <w:i/>
          <w:color w:val="000000" w:themeColor="text1"/>
          <w:sz w:val="20"/>
          <w:szCs w:val="20"/>
        </w:rPr>
        <w:t xml:space="preserve">People under three. </w:t>
      </w:r>
      <w:r w:rsidRPr="00FD57A3">
        <w:rPr>
          <w:rFonts w:ascii="Arial" w:hAnsi="Arial" w:cs="Arial"/>
          <w:color w:val="000000" w:themeColor="text1"/>
          <w:sz w:val="20"/>
          <w:szCs w:val="20"/>
        </w:rPr>
        <w:t>London: Routledge.</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Health and safety executive (2011) </w:t>
      </w:r>
      <w:r w:rsidRPr="00FD57A3">
        <w:rPr>
          <w:rFonts w:ascii="Arial" w:eastAsia="Times New Roman" w:hAnsi="Arial" w:cs="Arial"/>
          <w:i/>
          <w:sz w:val="20"/>
          <w:szCs w:val="20"/>
        </w:rPr>
        <w:t>School trips and outdoor learning activities.</w:t>
      </w:r>
      <w:r w:rsidRPr="00FD57A3">
        <w:rPr>
          <w:rFonts w:ascii="Arial" w:eastAsia="Times New Roman" w:hAnsi="Arial" w:cs="Arial"/>
          <w:sz w:val="20"/>
          <w:szCs w:val="20"/>
        </w:rPr>
        <w:t xml:space="preserve"> Available at: </w:t>
      </w:r>
      <w:hyperlink r:id="rId16" w:history="1">
        <w:r w:rsidRPr="00FD57A3">
          <w:rPr>
            <w:rFonts w:ascii="Arial" w:eastAsia="Times New Roman" w:hAnsi="Arial" w:cs="Arial"/>
            <w:color w:val="0563C1" w:themeColor="hyperlink"/>
            <w:sz w:val="20"/>
            <w:szCs w:val="20"/>
            <w:u w:val="single"/>
          </w:rPr>
          <w:t>http://www.hse.gov.uk/services/education/school-trips.pdf</w:t>
        </w:r>
      </w:hyperlink>
      <w:r w:rsidRPr="00FD57A3">
        <w:rPr>
          <w:rFonts w:ascii="Arial" w:eastAsia="Times New Roman" w:hAnsi="Arial" w:cs="Arial"/>
          <w:sz w:val="20"/>
          <w:szCs w:val="20"/>
        </w:rPr>
        <w:t xml:space="preserve"> (Accessed: 11</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hAnsi="Arial" w:cs="Arial"/>
          <w:sz w:val="20"/>
          <w:szCs w:val="20"/>
        </w:rPr>
      </w:pPr>
      <w:r w:rsidRPr="00FD57A3">
        <w:rPr>
          <w:rFonts w:ascii="Arial" w:eastAsia="Times New Roman" w:hAnsi="Arial" w:cs="Arial"/>
          <w:sz w:val="20"/>
          <w:szCs w:val="20"/>
        </w:rPr>
        <w:t xml:space="preserve">Health and safety executive (no date) </w:t>
      </w:r>
      <w:r w:rsidRPr="00FD57A3">
        <w:rPr>
          <w:rFonts w:ascii="Arial" w:hAnsi="Arial" w:cs="Arial"/>
          <w:i/>
          <w:sz w:val="20"/>
          <w:szCs w:val="20"/>
        </w:rPr>
        <w:t>Children’s play and leisure: promoting a balanced approach.</w:t>
      </w:r>
      <w:r w:rsidRPr="00FD57A3">
        <w:rPr>
          <w:rFonts w:ascii="Arial" w:hAnsi="Arial" w:cs="Arial"/>
          <w:sz w:val="20"/>
          <w:szCs w:val="20"/>
        </w:rPr>
        <w:t xml:space="preserve"> Available at: </w:t>
      </w:r>
      <w:hyperlink r:id="rId17" w:history="1">
        <w:r w:rsidRPr="00FD57A3">
          <w:rPr>
            <w:rFonts w:ascii="Arial" w:hAnsi="Arial" w:cs="Arial"/>
            <w:color w:val="0563C1" w:themeColor="hyperlink"/>
            <w:sz w:val="20"/>
            <w:szCs w:val="20"/>
            <w:u w:val="single"/>
          </w:rPr>
          <w:t>http://www.hse.gov.uk/entertainment/childs-play-statement.htm</w:t>
        </w:r>
      </w:hyperlink>
      <w:r w:rsidRPr="00FD57A3">
        <w:rPr>
          <w:rFonts w:ascii="Arial" w:hAnsi="Arial" w:cs="Arial"/>
          <w:sz w:val="20"/>
          <w:szCs w:val="20"/>
        </w:rPr>
        <w:t xml:space="preserve"> (Accessed: 6th January 2019).</w:t>
      </w:r>
    </w:p>
    <w:p w:rsidR="00FD57A3" w:rsidRPr="00FD57A3" w:rsidRDefault="00FD57A3" w:rsidP="00FD57A3">
      <w:pPr>
        <w:spacing w:after="0" w:line="360" w:lineRule="auto"/>
        <w:textAlignment w:val="baseline"/>
        <w:rPr>
          <w:rFonts w:ascii="Arial" w:hAnsi="Arial" w:cs="Arial"/>
          <w:sz w:val="20"/>
          <w:szCs w:val="20"/>
        </w:rPr>
      </w:pPr>
    </w:p>
    <w:p w:rsidR="00FD57A3" w:rsidRPr="00FD57A3" w:rsidRDefault="00FD57A3" w:rsidP="00FD57A3">
      <w:pPr>
        <w:spacing w:line="360" w:lineRule="auto"/>
        <w:rPr>
          <w:rFonts w:ascii="Arial" w:hAnsi="Arial" w:cs="Arial"/>
          <w:color w:val="060606"/>
          <w:sz w:val="20"/>
          <w:szCs w:val="20"/>
        </w:rPr>
      </w:pPr>
      <w:r w:rsidRPr="00FD57A3">
        <w:rPr>
          <w:rFonts w:ascii="Arial" w:hAnsi="Arial" w:cs="Arial"/>
        </w:rPr>
        <w:t>Hyde, J</w:t>
      </w:r>
      <w:r w:rsidRPr="00FD57A3">
        <w:rPr>
          <w:rFonts w:ascii="Arial" w:hAnsi="Arial" w:cs="Arial"/>
          <w:sz w:val="20"/>
          <w:szCs w:val="20"/>
        </w:rPr>
        <w:t>. (2018) ‘</w:t>
      </w:r>
      <w:r w:rsidRPr="00FD57A3">
        <w:rPr>
          <w:rFonts w:ascii="Arial" w:hAnsi="Arial" w:cs="Arial"/>
          <w:color w:val="060606"/>
          <w:sz w:val="20"/>
          <w:szCs w:val="20"/>
        </w:rPr>
        <w:t xml:space="preserve">Compensation culture? Stats reveal claims numbers in freefall’, </w:t>
      </w:r>
      <w:r w:rsidRPr="00FD57A3">
        <w:rPr>
          <w:rFonts w:ascii="Arial" w:hAnsi="Arial" w:cs="Arial"/>
          <w:i/>
          <w:color w:val="060606"/>
          <w:sz w:val="20"/>
          <w:szCs w:val="20"/>
        </w:rPr>
        <w:t xml:space="preserve">The law society Gazette, </w:t>
      </w:r>
      <w:r w:rsidRPr="00FD57A3">
        <w:rPr>
          <w:rFonts w:ascii="Arial" w:hAnsi="Arial" w:cs="Arial"/>
          <w:color w:val="060606"/>
          <w:sz w:val="20"/>
          <w:szCs w:val="20"/>
        </w:rPr>
        <w:t>24</w:t>
      </w:r>
      <w:r w:rsidRPr="00FD57A3">
        <w:rPr>
          <w:rFonts w:ascii="Arial" w:hAnsi="Arial" w:cs="Arial"/>
          <w:color w:val="060606"/>
          <w:sz w:val="20"/>
          <w:szCs w:val="20"/>
          <w:vertAlign w:val="superscript"/>
        </w:rPr>
        <w:t>th</w:t>
      </w:r>
      <w:r w:rsidRPr="00FD57A3">
        <w:rPr>
          <w:rFonts w:ascii="Arial" w:hAnsi="Arial" w:cs="Arial"/>
          <w:color w:val="060606"/>
          <w:sz w:val="20"/>
          <w:szCs w:val="20"/>
        </w:rPr>
        <w:t xml:space="preserve"> April. Available at: </w:t>
      </w:r>
      <w:hyperlink r:id="rId18" w:history="1">
        <w:r w:rsidRPr="00FD57A3">
          <w:rPr>
            <w:rFonts w:ascii="Arial" w:hAnsi="Arial" w:cs="Arial"/>
            <w:color w:val="0563C1" w:themeColor="hyperlink"/>
            <w:sz w:val="20"/>
            <w:szCs w:val="20"/>
            <w:u w:val="single"/>
          </w:rPr>
          <w:t>https://www.lawgazette.co.uk/news/compensation-culture-stats-reveal-claims-numbers-in-freefall/5065804.article</w:t>
        </w:r>
      </w:hyperlink>
      <w:r w:rsidRPr="00FD57A3">
        <w:rPr>
          <w:rFonts w:ascii="Arial" w:hAnsi="Arial" w:cs="Arial"/>
          <w:color w:val="060606"/>
          <w:sz w:val="20"/>
          <w:szCs w:val="20"/>
        </w:rPr>
        <w:t xml:space="preserve"> (Accessed: 14</w:t>
      </w:r>
      <w:r w:rsidRPr="00FD57A3">
        <w:rPr>
          <w:rFonts w:ascii="Arial" w:hAnsi="Arial" w:cs="Arial"/>
          <w:color w:val="060606"/>
          <w:sz w:val="20"/>
          <w:szCs w:val="20"/>
          <w:vertAlign w:val="superscript"/>
        </w:rPr>
        <w:t>th</w:t>
      </w:r>
      <w:r w:rsidRPr="00FD57A3">
        <w:rPr>
          <w:rFonts w:ascii="Arial" w:hAnsi="Arial" w:cs="Arial"/>
          <w:color w:val="060606"/>
          <w:sz w:val="20"/>
          <w:szCs w:val="20"/>
        </w:rPr>
        <w:t xml:space="preserve"> January 2019).</w:t>
      </w:r>
    </w:p>
    <w:p w:rsidR="00FD57A3" w:rsidRPr="00FD57A3" w:rsidRDefault="00FD57A3" w:rsidP="00FD57A3">
      <w:pPr>
        <w:spacing w:after="0" w:line="360" w:lineRule="auto"/>
        <w:textAlignment w:val="baseline"/>
        <w:rPr>
          <w:rFonts w:ascii="Arial" w:hAnsi="Arial" w:cs="Arial"/>
          <w:color w:val="3A3A3A"/>
          <w:sz w:val="20"/>
          <w:szCs w:val="20"/>
        </w:rPr>
      </w:pPr>
      <w:r w:rsidRPr="00FD57A3">
        <w:rPr>
          <w:rFonts w:ascii="Arial" w:eastAsia="Times New Roman" w:hAnsi="Arial" w:cs="Arial"/>
          <w:sz w:val="20"/>
          <w:szCs w:val="20"/>
        </w:rPr>
        <w:t xml:space="preserve">Isaacs, S. </w:t>
      </w:r>
      <w:hyperlink r:id="rId19" w:history="1">
        <w:r w:rsidRPr="00FD57A3">
          <w:rPr>
            <w:rFonts w:ascii="Arial" w:hAnsi="Arial" w:cs="Arial"/>
            <w:bCs/>
            <w:i/>
            <w:sz w:val="20"/>
            <w:szCs w:val="20"/>
          </w:rPr>
          <w:t>The nursery years : the mind of the child from birth to six years.</w:t>
        </w:r>
      </w:hyperlink>
      <w:r w:rsidRPr="00FD57A3">
        <w:rPr>
          <w:rFonts w:ascii="Arial" w:hAnsi="Arial" w:cs="Arial"/>
          <w:i/>
          <w:sz w:val="20"/>
          <w:szCs w:val="20"/>
        </w:rPr>
        <w:t xml:space="preserve"> </w:t>
      </w:r>
      <w:r w:rsidRPr="00FD57A3">
        <w:rPr>
          <w:rFonts w:ascii="Arial" w:hAnsi="Arial" w:cs="Arial"/>
          <w:color w:val="3A3A3A"/>
          <w:sz w:val="20"/>
          <w:szCs w:val="20"/>
        </w:rPr>
        <w:t>London : Routledge &amp; Kegan Paul 1932</w:t>
      </w:r>
    </w:p>
    <w:p w:rsidR="00FD57A3" w:rsidRPr="00FD57A3" w:rsidRDefault="00FD57A3" w:rsidP="00FD57A3">
      <w:pPr>
        <w:spacing w:after="0" w:line="360" w:lineRule="auto"/>
        <w:textAlignment w:val="baseline"/>
        <w:rPr>
          <w:rFonts w:ascii="Arial" w:hAnsi="Arial" w:cs="Arial"/>
          <w:color w:val="3A3A3A"/>
          <w:sz w:val="20"/>
          <w:szCs w:val="20"/>
        </w:rPr>
      </w:pPr>
    </w:p>
    <w:p w:rsidR="00FD57A3" w:rsidRPr="00FD57A3" w:rsidRDefault="00FD57A3" w:rsidP="00FD57A3">
      <w:pPr>
        <w:spacing w:after="0" w:line="360" w:lineRule="auto"/>
        <w:textAlignment w:val="baseline"/>
        <w:rPr>
          <w:rFonts w:ascii="Arial" w:hAnsi="Arial" w:cs="Arial"/>
          <w:color w:val="333333"/>
          <w:sz w:val="20"/>
          <w:szCs w:val="20"/>
        </w:rPr>
      </w:pPr>
      <w:r w:rsidRPr="00FD57A3">
        <w:rPr>
          <w:rFonts w:ascii="Arial" w:eastAsia="Times New Roman" w:hAnsi="Arial" w:cs="Arial"/>
          <w:sz w:val="20"/>
          <w:szCs w:val="20"/>
        </w:rPr>
        <w:t xml:space="preserve">J, Howard and K, McInnes. (2013) ‘The impact of children’s perception of an activity as play rather than not play on emotional well-being’, </w:t>
      </w:r>
      <w:r w:rsidRPr="00FD57A3">
        <w:rPr>
          <w:rFonts w:ascii="Arial" w:eastAsia="Times New Roman" w:hAnsi="Arial" w:cs="Arial"/>
          <w:i/>
          <w:sz w:val="20"/>
          <w:szCs w:val="20"/>
        </w:rPr>
        <w:t xml:space="preserve">Child: care, health and development, </w:t>
      </w:r>
      <w:r w:rsidRPr="00FD57A3">
        <w:rPr>
          <w:rFonts w:ascii="Arial" w:eastAsia="Times New Roman" w:hAnsi="Arial" w:cs="Arial"/>
          <w:sz w:val="20"/>
          <w:szCs w:val="20"/>
        </w:rPr>
        <w:t>39(5), pp.737-742. Accessed: 01/01/19, DOI:</w:t>
      </w:r>
      <w:r w:rsidRPr="00FD57A3">
        <w:rPr>
          <w:rFonts w:ascii="Arial" w:hAnsi="Arial" w:cs="Arial"/>
          <w:color w:val="333333"/>
          <w:sz w:val="20"/>
          <w:szCs w:val="20"/>
        </w:rPr>
        <w:t xml:space="preserve"> 10.1111/j.1365-2214.2012.01405.x</w:t>
      </w:r>
    </w:p>
    <w:p w:rsidR="00FD57A3" w:rsidRPr="00FD57A3" w:rsidRDefault="00FD57A3" w:rsidP="00FD57A3">
      <w:pPr>
        <w:spacing w:after="0" w:line="360" w:lineRule="auto"/>
        <w:textAlignment w:val="baseline"/>
        <w:rPr>
          <w:rFonts w:ascii="Arial" w:hAnsi="Arial" w:cs="Arial"/>
          <w:color w:val="333333"/>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Jarvis, P and George, J. (2010) ‘thinking it through, rough and tumble play’, in Moyles, J </w:t>
      </w:r>
      <w:r w:rsidRPr="00FD57A3">
        <w:rPr>
          <w:rFonts w:ascii="Arial" w:hAnsi="Arial" w:cs="Arial"/>
          <w:i/>
          <w:color w:val="000000" w:themeColor="text1"/>
          <w:sz w:val="20"/>
          <w:szCs w:val="20"/>
        </w:rPr>
        <w:t xml:space="preserve">Thinking about play. </w:t>
      </w:r>
      <w:r w:rsidRPr="00FD57A3">
        <w:rPr>
          <w:rFonts w:ascii="Arial" w:hAnsi="Arial" w:cs="Arial"/>
          <w:color w:val="000000" w:themeColor="text1"/>
          <w:sz w:val="20"/>
          <w:szCs w:val="20"/>
        </w:rPr>
        <w:t>England: open University press.</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eastAsia="Times New Roman" w:hAnsi="Arial" w:cs="Arial"/>
          <w:sz w:val="20"/>
          <w:szCs w:val="20"/>
        </w:rPr>
        <w:t>L, McFarland and Laird, S. (</w:t>
      </w:r>
      <w:r w:rsidRPr="00FD57A3">
        <w:rPr>
          <w:rFonts w:ascii="Arial" w:eastAsia="Times New Roman" w:hAnsi="Arial" w:cs="Arial"/>
          <w:color w:val="000000" w:themeColor="text1"/>
          <w:sz w:val="20"/>
          <w:szCs w:val="20"/>
        </w:rPr>
        <w:t>2018) ‘</w:t>
      </w:r>
      <w:r w:rsidRPr="00FD57A3">
        <w:rPr>
          <w:rFonts w:ascii="Arial" w:hAnsi="Arial" w:cs="Arial"/>
          <w:color w:val="000000" w:themeColor="text1"/>
          <w:sz w:val="20"/>
          <w:szCs w:val="20"/>
        </w:rPr>
        <w:t xml:space="preserve">Parents’ and Early Childhood Educators’ Attitudes and Practices in Relation to Children’s Outdoor Risky Play’, </w:t>
      </w:r>
      <w:hyperlink r:id="rId20" w:tooltip="Early Childhood Education Journal" w:history="1">
        <w:r w:rsidRPr="00FD57A3">
          <w:rPr>
            <w:rFonts w:ascii="Arial" w:hAnsi="Arial" w:cs="Arial"/>
            <w:i/>
            <w:color w:val="000000" w:themeColor="text1"/>
            <w:spacing w:val="2"/>
            <w:sz w:val="20"/>
            <w:szCs w:val="20"/>
          </w:rPr>
          <w:t>Early Childhood Education Journal</w:t>
        </w:r>
      </w:hyperlink>
      <w:r w:rsidRPr="00FD57A3">
        <w:rPr>
          <w:rFonts w:ascii="Arial" w:hAnsi="Arial" w:cs="Arial"/>
          <w:i/>
          <w:color w:val="000000" w:themeColor="text1"/>
          <w:sz w:val="20"/>
          <w:szCs w:val="20"/>
        </w:rPr>
        <w:t xml:space="preserve">. 46 </w:t>
      </w:r>
      <w:r w:rsidRPr="00FD57A3">
        <w:rPr>
          <w:rFonts w:ascii="Arial" w:hAnsi="Arial" w:cs="Arial"/>
          <w:color w:val="000000" w:themeColor="text1"/>
          <w:sz w:val="20"/>
          <w:szCs w:val="20"/>
        </w:rPr>
        <w:t>(2), pp. 159-168. Accessed: 5</w:t>
      </w:r>
      <w:r w:rsidRPr="00FD57A3">
        <w:rPr>
          <w:rFonts w:ascii="Arial" w:hAnsi="Arial" w:cs="Arial"/>
          <w:color w:val="000000" w:themeColor="text1"/>
          <w:sz w:val="20"/>
          <w:szCs w:val="20"/>
          <w:vertAlign w:val="superscript"/>
        </w:rPr>
        <w:t>th</w:t>
      </w:r>
      <w:r w:rsidRPr="00FD57A3">
        <w:rPr>
          <w:rFonts w:ascii="Arial" w:hAnsi="Arial" w:cs="Arial"/>
          <w:color w:val="000000" w:themeColor="text1"/>
          <w:sz w:val="20"/>
          <w:szCs w:val="20"/>
        </w:rPr>
        <w:t xml:space="preserve"> January 2019. DOI: 10.1007/s10643-017-0856-8.</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Little, H. Wyver, S and Gibson, F. (2011) </w:t>
      </w:r>
      <w:r w:rsidRPr="00FD57A3">
        <w:rPr>
          <w:rFonts w:ascii="Arial" w:eastAsia="Times New Roman" w:hAnsi="Arial" w:cs="Arial"/>
          <w:i/>
          <w:sz w:val="20"/>
          <w:szCs w:val="20"/>
        </w:rPr>
        <w:t>The influence of play context and adult attitudes on young children's physical risk</w:t>
      </w:r>
      <w:r w:rsidRPr="00FD57A3">
        <w:rPr>
          <w:rFonts w:ascii="Cambria Math" w:eastAsia="Times New Roman" w:hAnsi="Cambria Math" w:cs="Cambria Math"/>
          <w:i/>
          <w:sz w:val="20"/>
          <w:szCs w:val="20"/>
        </w:rPr>
        <w:t>‐</w:t>
      </w:r>
      <w:r w:rsidRPr="00FD57A3">
        <w:rPr>
          <w:rFonts w:ascii="Arial" w:eastAsia="Times New Roman" w:hAnsi="Arial" w:cs="Arial"/>
          <w:i/>
          <w:sz w:val="20"/>
          <w:szCs w:val="20"/>
        </w:rPr>
        <w:t xml:space="preserve">taking during outdoor play. </w:t>
      </w:r>
      <w:r w:rsidRPr="00FD57A3">
        <w:rPr>
          <w:rFonts w:ascii="Arial" w:eastAsia="Times New Roman" w:hAnsi="Arial" w:cs="Arial"/>
          <w:sz w:val="20"/>
          <w:szCs w:val="20"/>
        </w:rPr>
        <w:t xml:space="preserve">London: Routledge. </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Maynard, T and Waters, J. (2014) </w:t>
      </w:r>
      <w:r w:rsidRPr="00FD57A3">
        <w:rPr>
          <w:rFonts w:ascii="Arial" w:eastAsia="Times New Roman" w:hAnsi="Arial" w:cs="Arial"/>
          <w:i/>
          <w:sz w:val="20"/>
          <w:szCs w:val="20"/>
        </w:rPr>
        <w:t xml:space="preserve">exploring outdoor play in the early years. </w:t>
      </w:r>
      <w:r w:rsidRPr="00FD57A3">
        <w:rPr>
          <w:rFonts w:ascii="Arial" w:eastAsia="Times New Roman" w:hAnsi="Arial" w:cs="Arial"/>
          <w:sz w:val="20"/>
          <w:szCs w:val="20"/>
        </w:rPr>
        <w:t>Berkshire: open University press.</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Moyles, J. (2013) </w:t>
      </w:r>
      <w:r w:rsidRPr="00FD57A3">
        <w:rPr>
          <w:rFonts w:ascii="Arial" w:eastAsia="Times New Roman" w:hAnsi="Arial" w:cs="Arial"/>
          <w:i/>
          <w:sz w:val="20"/>
          <w:szCs w:val="20"/>
        </w:rPr>
        <w:t>Play and early years: birth to seven years</w:t>
      </w:r>
      <w:r w:rsidRPr="00FD57A3">
        <w:rPr>
          <w:rFonts w:ascii="Arial" w:eastAsia="Times New Roman" w:hAnsi="Arial" w:cs="Arial"/>
          <w:sz w:val="20"/>
          <w:szCs w:val="20"/>
        </w:rPr>
        <w:t xml:space="preserve">. Available at: </w:t>
      </w:r>
      <w:hyperlink r:id="rId21" w:history="1">
        <w:r w:rsidRPr="00FD57A3">
          <w:rPr>
            <w:rFonts w:ascii="Arial" w:eastAsia="Times New Roman" w:hAnsi="Arial" w:cs="Arial"/>
            <w:color w:val="0563C1" w:themeColor="hyperlink"/>
            <w:sz w:val="20"/>
            <w:szCs w:val="20"/>
            <w:u w:val="single"/>
          </w:rPr>
          <w:t>file:///C:/Users/jones/AppData/Local/Packages/Microsoft.MicrosoftEdge_8wekyb3d8bbwe/TempState/Downloads/play+and+early+years%20(1).pdf</w:t>
        </w:r>
      </w:hyperlink>
      <w:r w:rsidRPr="00FD57A3">
        <w:rPr>
          <w:rFonts w:ascii="Arial" w:eastAsia="Times New Roman" w:hAnsi="Arial" w:cs="Arial"/>
          <w:sz w:val="20"/>
          <w:szCs w:val="20"/>
        </w:rPr>
        <w:t xml:space="preserve"> (Accessed: 10</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eastAsia="Times New Roman" w:hAnsi="Arial" w:cs="Arial"/>
          <w:sz w:val="20"/>
          <w:szCs w:val="20"/>
        </w:rPr>
        <w:t xml:space="preserve">Nutbrown, C. (2005) </w:t>
      </w:r>
      <w:r w:rsidRPr="00FD57A3">
        <w:rPr>
          <w:rFonts w:ascii="Arial" w:hAnsi="Arial" w:cs="Arial"/>
          <w:i/>
          <w:color w:val="000000" w:themeColor="text1"/>
          <w:sz w:val="20"/>
          <w:szCs w:val="20"/>
        </w:rPr>
        <w:t xml:space="preserve">Key Concepts in Early Childhood Education and Care. </w:t>
      </w:r>
      <w:r w:rsidRPr="00FD57A3">
        <w:rPr>
          <w:rFonts w:ascii="Arial" w:hAnsi="Arial" w:cs="Arial"/>
          <w:color w:val="000000" w:themeColor="text1"/>
          <w:sz w:val="20"/>
          <w:szCs w:val="20"/>
        </w:rPr>
        <w:t>London: SAGE Publications.</w:t>
      </w:r>
    </w:p>
    <w:p w:rsidR="00FD57A3" w:rsidRPr="00FD57A3" w:rsidRDefault="00FD57A3" w:rsidP="00FD57A3">
      <w:pPr>
        <w:spacing w:after="0" w:line="360" w:lineRule="auto"/>
        <w:textAlignment w:val="baseline"/>
        <w:rPr>
          <w:rFonts w:ascii="Arial" w:hAnsi="Arial" w:cs="Arial"/>
          <w:sz w:val="20"/>
          <w:szCs w:val="20"/>
        </w:rPr>
      </w:pPr>
    </w:p>
    <w:p w:rsidR="00FD57A3" w:rsidRPr="00FD57A3" w:rsidRDefault="00FD57A3" w:rsidP="00FD57A3">
      <w:pPr>
        <w:spacing w:after="0" w:line="360" w:lineRule="auto"/>
        <w:textAlignment w:val="baseline"/>
        <w:rPr>
          <w:rFonts w:ascii="Arial" w:hAnsi="Arial" w:cs="Arial"/>
          <w:bCs/>
          <w:color w:val="2A2A2A"/>
          <w:sz w:val="20"/>
          <w:szCs w:val="20"/>
        </w:rPr>
      </w:pPr>
      <w:r w:rsidRPr="00FD57A3">
        <w:rPr>
          <w:rFonts w:ascii="Arial" w:hAnsi="Arial" w:cs="Arial"/>
          <w:bCs/>
          <w:sz w:val="20"/>
          <w:szCs w:val="20"/>
        </w:rPr>
        <w:t xml:space="preserve">Play Wales (no date) </w:t>
      </w:r>
      <w:r w:rsidRPr="00FD57A3">
        <w:rPr>
          <w:rFonts w:ascii="Arial" w:hAnsi="Arial" w:cs="Arial"/>
          <w:bCs/>
          <w:i/>
          <w:sz w:val="20"/>
          <w:szCs w:val="20"/>
        </w:rPr>
        <w:t xml:space="preserve">Let us out of the bubble-wrap. How adults can support children’s need for risky play. </w:t>
      </w:r>
      <w:r w:rsidRPr="00FD57A3">
        <w:rPr>
          <w:rFonts w:ascii="Arial" w:hAnsi="Arial" w:cs="Arial"/>
          <w:bCs/>
          <w:color w:val="2A2A2A"/>
          <w:sz w:val="20"/>
          <w:szCs w:val="20"/>
        </w:rPr>
        <w:t>Available at:</w:t>
      </w:r>
      <w:r w:rsidRPr="00FD57A3">
        <w:rPr>
          <w:rFonts w:ascii="Arial" w:hAnsi="Arial" w:cs="Arial"/>
        </w:rPr>
        <w:t xml:space="preserve">  </w:t>
      </w:r>
      <w:hyperlink r:id="rId22" w:history="1">
        <w:r w:rsidRPr="00FD57A3">
          <w:rPr>
            <w:rFonts w:ascii="Arial" w:hAnsi="Arial" w:cs="Arial"/>
            <w:bCs/>
            <w:color w:val="0563C1" w:themeColor="hyperlink"/>
            <w:sz w:val="20"/>
            <w:szCs w:val="20"/>
            <w:u w:val="single"/>
          </w:rPr>
          <w:t>http://playwales.org.uk/login/uploaded/documents/INFORMATION%20SHEETS/Let%20us%20out%20of%20the%20bubble%20wrap%20.pdf</w:t>
        </w:r>
      </w:hyperlink>
      <w:r w:rsidRPr="00FD57A3">
        <w:rPr>
          <w:rFonts w:ascii="Arial" w:hAnsi="Arial" w:cs="Arial"/>
          <w:bCs/>
          <w:color w:val="2A2A2A"/>
          <w:sz w:val="20"/>
          <w:szCs w:val="20"/>
        </w:rPr>
        <w:t xml:space="preserve"> (Accessed: 5</w:t>
      </w:r>
      <w:r w:rsidRPr="00FD57A3">
        <w:rPr>
          <w:rFonts w:ascii="Arial" w:hAnsi="Arial" w:cs="Arial"/>
          <w:bCs/>
          <w:color w:val="2A2A2A"/>
          <w:sz w:val="20"/>
          <w:szCs w:val="20"/>
          <w:vertAlign w:val="superscript"/>
        </w:rPr>
        <w:t>th</w:t>
      </w:r>
      <w:r w:rsidRPr="00FD57A3">
        <w:rPr>
          <w:rFonts w:ascii="Arial" w:hAnsi="Arial" w:cs="Arial"/>
          <w:bCs/>
          <w:color w:val="2A2A2A"/>
          <w:sz w:val="20"/>
          <w:szCs w:val="20"/>
        </w:rPr>
        <w:t xml:space="preserve"> January 2019).</w:t>
      </w:r>
    </w:p>
    <w:p w:rsidR="00FD57A3" w:rsidRPr="00FD57A3" w:rsidRDefault="00FD57A3" w:rsidP="00FD57A3">
      <w:pPr>
        <w:spacing w:after="0" w:line="360" w:lineRule="auto"/>
        <w:textAlignment w:val="baseline"/>
        <w:rPr>
          <w:rFonts w:ascii="Arial" w:eastAsia="Times New Roman" w:hAnsi="Arial" w:cs="Arial"/>
          <w:sz w:val="20"/>
          <w:szCs w:val="20"/>
        </w:rPr>
      </w:pPr>
    </w:p>
    <w:p w:rsidR="00FD57A3" w:rsidRPr="00FD57A3" w:rsidRDefault="00FD57A3" w:rsidP="00FD57A3">
      <w:pPr>
        <w:spacing w:after="0" w:line="360" w:lineRule="auto"/>
        <w:textAlignment w:val="baseline"/>
        <w:rPr>
          <w:rFonts w:ascii="Arial" w:hAnsi="Arial" w:cs="Arial"/>
          <w:color w:val="000000" w:themeColor="text1"/>
          <w:sz w:val="20"/>
          <w:szCs w:val="20"/>
        </w:rPr>
      </w:pPr>
      <w:r w:rsidRPr="00FD57A3">
        <w:rPr>
          <w:rFonts w:ascii="Arial" w:eastAsia="Times New Roman" w:hAnsi="Arial" w:cs="Arial"/>
          <w:color w:val="000000" w:themeColor="text1"/>
          <w:sz w:val="20"/>
          <w:szCs w:val="20"/>
        </w:rPr>
        <w:t>Reed and Brown. (2000) ‘</w:t>
      </w:r>
      <w:r w:rsidRPr="00FD57A3">
        <w:rPr>
          <w:rFonts w:ascii="Arial" w:eastAsia="Times New Roman" w:hAnsi="Arial" w:cs="Arial"/>
          <w:bCs/>
          <w:color w:val="000000" w:themeColor="text1"/>
          <w:kern w:val="36"/>
          <w:sz w:val="20"/>
          <w:szCs w:val="20"/>
          <w:bdr w:val="none" w:sz="0" w:space="0" w:color="auto" w:frame="1"/>
        </w:rPr>
        <w:t>The expression of care in the rough and tumble play of boys’</w:t>
      </w:r>
      <w:r w:rsidRPr="00FD57A3">
        <w:rPr>
          <w:rFonts w:ascii="Arial" w:eastAsia="Times New Roman" w:hAnsi="Arial" w:cs="Arial"/>
          <w:bCs/>
          <w:i/>
          <w:color w:val="000000" w:themeColor="text1"/>
          <w:kern w:val="36"/>
          <w:sz w:val="20"/>
          <w:szCs w:val="20"/>
          <w:bdr w:val="none" w:sz="0" w:space="0" w:color="auto" w:frame="1"/>
        </w:rPr>
        <w:t>,</w:t>
      </w:r>
      <w:r w:rsidRPr="00FD57A3">
        <w:rPr>
          <w:rFonts w:ascii="Arial" w:eastAsia="Times New Roman" w:hAnsi="Arial" w:cs="Arial"/>
          <w:b/>
          <w:bCs/>
          <w:i/>
          <w:color w:val="000000" w:themeColor="text1"/>
          <w:kern w:val="36"/>
          <w:sz w:val="20"/>
          <w:szCs w:val="20"/>
          <w:bdr w:val="none" w:sz="0" w:space="0" w:color="auto" w:frame="1"/>
        </w:rPr>
        <w:t xml:space="preserve"> </w:t>
      </w:r>
      <w:hyperlink r:id="rId23" w:tooltip="Search for Journal of Research in Childhood Education" w:history="1">
        <w:r w:rsidRPr="00FD57A3">
          <w:rPr>
            <w:rFonts w:ascii="Arial" w:eastAsia="Times New Roman" w:hAnsi="Arial" w:cs="Arial"/>
            <w:i/>
            <w:color w:val="000000" w:themeColor="text1"/>
            <w:sz w:val="20"/>
            <w:szCs w:val="20"/>
            <w:bdr w:val="none" w:sz="0" w:space="0" w:color="auto" w:frame="1"/>
          </w:rPr>
          <w:t>Journal of Research in Childhood Education</w:t>
        </w:r>
      </w:hyperlink>
      <w:r w:rsidRPr="00FD57A3">
        <w:rPr>
          <w:rFonts w:ascii="Arial" w:eastAsia="Times New Roman" w:hAnsi="Arial" w:cs="Arial"/>
          <w:color w:val="000000" w:themeColor="text1"/>
          <w:sz w:val="20"/>
          <w:szCs w:val="20"/>
        </w:rPr>
        <w:t xml:space="preserve">, 15(1), pp 104-116. Accessed: 19/12/2018, DOI: </w:t>
      </w:r>
      <w:r w:rsidRPr="00FD57A3">
        <w:rPr>
          <w:rFonts w:ascii="Arial" w:hAnsi="Arial" w:cs="Arial"/>
          <w:color w:val="000000" w:themeColor="text1"/>
          <w:sz w:val="20"/>
          <w:szCs w:val="20"/>
        </w:rPr>
        <w:t>10.1080/02568540009594779.</w:t>
      </w:r>
    </w:p>
    <w:p w:rsidR="00FD57A3" w:rsidRPr="00FD57A3" w:rsidRDefault="00FD57A3" w:rsidP="00FD57A3">
      <w:pPr>
        <w:spacing w:after="0" w:line="360" w:lineRule="auto"/>
        <w:textAlignment w:val="baseline"/>
        <w:rPr>
          <w:rFonts w:ascii="Arial" w:hAnsi="Arial" w:cs="Arial"/>
          <w:color w:val="000000" w:themeColor="text1"/>
          <w:sz w:val="20"/>
          <w:szCs w:val="20"/>
        </w:rPr>
      </w:pPr>
    </w:p>
    <w:p w:rsidR="00FD57A3" w:rsidRPr="00FD57A3" w:rsidRDefault="00FD57A3" w:rsidP="00FD57A3">
      <w:pPr>
        <w:spacing w:after="0" w:line="360" w:lineRule="auto"/>
        <w:textAlignment w:val="baseline"/>
        <w:rPr>
          <w:rFonts w:ascii="Arial" w:hAnsi="Arial" w:cs="Arial"/>
          <w:bCs/>
          <w:color w:val="2A2A2A"/>
          <w:sz w:val="20"/>
          <w:szCs w:val="20"/>
        </w:rPr>
      </w:pPr>
      <w:r w:rsidRPr="00FD57A3">
        <w:rPr>
          <w:rFonts w:ascii="Arial" w:eastAsia="Times New Roman" w:hAnsi="Arial" w:cs="Arial"/>
          <w:sz w:val="20"/>
          <w:szCs w:val="20"/>
        </w:rPr>
        <w:t xml:space="preserve">Serenella et al. (2017) </w:t>
      </w:r>
      <w:r w:rsidRPr="00FD57A3">
        <w:rPr>
          <w:rFonts w:ascii="Arial" w:hAnsi="Arial" w:cs="Arial"/>
          <w:bCs/>
          <w:i/>
          <w:sz w:val="20"/>
          <w:szCs w:val="20"/>
        </w:rPr>
        <w:t xml:space="preserve">Play development in children with disabilities. </w:t>
      </w:r>
      <w:r w:rsidRPr="00FD57A3">
        <w:rPr>
          <w:rFonts w:ascii="Arial" w:hAnsi="Arial" w:cs="Arial"/>
          <w:bCs/>
          <w:sz w:val="20"/>
          <w:szCs w:val="20"/>
        </w:rPr>
        <w:t xml:space="preserve">Berlin: De Gruyter Open </w:t>
      </w:r>
      <w:r w:rsidRPr="00FD57A3">
        <w:rPr>
          <w:rFonts w:ascii="Arial" w:hAnsi="Arial" w:cs="Arial"/>
          <w:bCs/>
          <w:color w:val="2A2A2A"/>
          <w:sz w:val="20"/>
          <w:szCs w:val="20"/>
        </w:rPr>
        <w:t>Ltd.</w:t>
      </w:r>
    </w:p>
    <w:p w:rsidR="00FD57A3" w:rsidRPr="00FD57A3" w:rsidRDefault="00FD57A3" w:rsidP="00FD57A3">
      <w:pPr>
        <w:spacing w:after="0" w:line="360" w:lineRule="auto"/>
        <w:textAlignment w:val="baseline"/>
        <w:rPr>
          <w:rFonts w:ascii="Arial" w:hAnsi="Arial" w:cs="Arial"/>
          <w:bCs/>
          <w:color w:val="2A2A2A"/>
          <w:sz w:val="20"/>
          <w:szCs w:val="20"/>
        </w:rPr>
      </w:pPr>
    </w:p>
    <w:p w:rsidR="00FD57A3" w:rsidRPr="00FD57A3" w:rsidRDefault="00FD57A3" w:rsidP="00FD57A3">
      <w:pPr>
        <w:spacing w:after="0" w:line="360" w:lineRule="auto"/>
        <w:textAlignment w:val="baseline"/>
        <w:rPr>
          <w:rFonts w:ascii="Arial" w:hAnsi="Arial" w:cs="Arial"/>
          <w:color w:val="222222"/>
          <w:sz w:val="20"/>
          <w:szCs w:val="20"/>
        </w:rPr>
      </w:pPr>
      <w:r w:rsidRPr="00FD57A3">
        <w:rPr>
          <w:rFonts w:ascii="Arial" w:eastAsia="Times New Roman" w:hAnsi="Arial" w:cs="Arial"/>
          <w:sz w:val="20"/>
          <w:szCs w:val="20"/>
          <w:bdr w:val="none" w:sz="0" w:space="0" w:color="auto" w:frame="1"/>
        </w:rPr>
        <w:t>Speilman, A. (2018) ‘</w:t>
      </w:r>
      <w:r w:rsidRPr="00FD57A3">
        <w:rPr>
          <w:rFonts w:ascii="Arial" w:hAnsi="Arial" w:cs="Arial"/>
          <w:color w:val="222222"/>
          <w:sz w:val="20"/>
          <w:szCs w:val="20"/>
        </w:rPr>
        <w:t xml:space="preserve">Children's development being 'stifled' by nursery bosses' fear of health and safety laws, Ofsted warns’, </w:t>
      </w:r>
      <w:r w:rsidRPr="00FD57A3">
        <w:rPr>
          <w:rFonts w:ascii="Arial" w:hAnsi="Arial" w:cs="Arial"/>
          <w:i/>
          <w:color w:val="222222"/>
          <w:sz w:val="20"/>
          <w:szCs w:val="20"/>
        </w:rPr>
        <w:t xml:space="preserve">The Guardian. </w:t>
      </w:r>
      <w:r w:rsidRPr="00FD57A3">
        <w:rPr>
          <w:rFonts w:ascii="Arial" w:hAnsi="Arial" w:cs="Arial"/>
          <w:color w:val="222222"/>
          <w:sz w:val="20"/>
          <w:szCs w:val="20"/>
        </w:rPr>
        <w:t>4</w:t>
      </w:r>
      <w:r w:rsidRPr="00FD57A3">
        <w:rPr>
          <w:rFonts w:ascii="Arial" w:hAnsi="Arial" w:cs="Arial"/>
          <w:color w:val="222222"/>
          <w:sz w:val="20"/>
          <w:szCs w:val="20"/>
          <w:vertAlign w:val="superscript"/>
        </w:rPr>
        <w:t>th</w:t>
      </w:r>
      <w:r w:rsidRPr="00FD57A3">
        <w:rPr>
          <w:rFonts w:ascii="Arial" w:hAnsi="Arial" w:cs="Arial"/>
          <w:color w:val="222222"/>
          <w:sz w:val="20"/>
          <w:szCs w:val="20"/>
        </w:rPr>
        <w:t xml:space="preserve"> December. Available at: </w:t>
      </w:r>
      <w:hyperlink r:id="rId24" w:history="1">
        <w:r w:rsidRPr="00FD57A3">
          <w:rPr>
            <w:rFonts w:ascii="Arial" w:hAnsi="Arial" w:cs="Arial"/>
            <w:color w:val="0563C1" w:themeColor="hyperlink"/>
            <w:sz w:val="20"/>
            <w:szCs w:val="20"/>
            <w:u w:val="single"/>
          </w:rPr>
          <w:t>https://www.telegraph.co.uk/news/2018/12/04/thousands-pupils-could-disappearing-illegally-boost-schools/amp/?__twitter_impression=true</w:t>
        </w:r>
      </w:hyperlink>
      <w:r w:rsidRPr="00FD57A3">
        <w:rPr>
          <w:rFonts w:ascii="Arial" w:hAnsi="Arial" w:cs="Arial"/>
          <w:color w:val="222222"/>
          <w:sz w:val="20"/>
          <w:szCs w:val="20"/>
        </w:rPr>
        <w:t xml:space="preserve"> (Accessed 12</w:t>
      </w:r>
      <w:r w:rsidRPr="00FD57A3">
        <w:rPr>
          <w:rFonts w:ascii="Arial" w:hAnsi="Arial" w:cs="Arial"/>
          <w:color w:val="222222"/>
          <w:sz w:val="20"/>
          <w:szCs w:val="20"/>
          <w:vertAlign w:val="superscript"/>
        </w:rPr>
        <w:t>th</w:t>
      </w:r>
      <w:r w:rsidRPr="00FD57A3">
        <w:rPr>
          <w:rFonts w:ascii="Arial" w:hAnsi="Arial" w:cs="Arial"/>
          <w:color w:val="222222"/>
          <w:sz w:val="20"/>
          <w:szCs w:val="20"/>
        </w:rPr>
        <w:t xml:space="preserve"> January 2019).</w:t>
      </w:r>
    </w:p>
    <w:p w:rsidR="00FD57A3" w:rsidRPr="00FD57A3" w:rsidRDefault="00FD57A3" w:rsidP="00FD57A3">
      <w:pPr>
        <w:spacing w:after="0" w:line="360" w:lineRule="auto"/>
        <w:textAlignment w:val="baseline"/>
        <w:rPr>
          <w:rFonts w:ascii="Arial" w:hAnsi="Arial" w:cs="Arial"/>
          <w:color w:val="222222"/>
          <w:sz w:val="20"/>
          <w:szCs w:val="20"/>
        </w:rPr>
      </w:pPr>
    </w:p>
    <w:p w:rsidR="00FD57A3" w:rsidRPr="00FD57A3" w:rsidRDefault="00FD57A3" w:rsidP="00FD57A3">
      <w:pPr>
        <w:spacing w:after="0" w:line="360" w:lineRule="auto"/>
        <w:textAlignment w:val="baseline"/>
        <w:rPr>
          <w:rFonts w:ascii="Arial" w:eastAsia="Times New Roman" w:hAnsi="Arial" w:cs="Arial"/>
          <w:sz w:val="20"/>
          <w:szCs w:val="20"/>
          <w:bdr w:val="none" w:sz="0" w:space="0" w:color="auto" w:frame="1"/>
        </w:rPr>
      </w:pPr>
      <w:r w:rsidRPr="00FD57A3">
        <w:rPr>
          <w:rFonts w:ascii="Arial" w:eastAsia="Times New Roman" w:hAnsi="Arial" w:cs="Arial"/>
          <w:sz w:val="20"/>
          <w:szCs w:val="20"/>
        </w:rPr>
        <w:t>Tannock, M. (2011) ‘</w:t>
      </w:r>
      <w:r w:rsidRPr="00FD57A3">
        <w:rPr>
          <w:rFonts w:ascii="Arial" w:eastAsia="Times New Roman" w:hAnsi="Arial" w:cs="Arial"/>
          <w:sz w:val="20"/>
          <w:szCs w:val="20"/>
          <w:bdr w:val="none" w:sz="0" w:space="0" w:color="auto" w:frame="1"/>
        </w:rPr>
        <w:t xml:space="preserve">Young Children's Rough and Tumble Play: Apprehensions and Opportunities’, </w:t>
      </w:r>
      <w:hyperlink r:id="rId25" w:tooltip="Search for Canadian Children" w:history="1">
        <w:r w:rsidRPr="00FD57A3">
          <w:rPr>
            <w:rFonts w:ascii="Arial" w:eastAsia="Times New Roman" w:hAnsi="Arial" w:cs="Arial"/>
            <w:i/>
            <w:sz w:val="20"/>
            <w:szCs w:val="20"/>
            <w:bdr w:val="none" w:sz="0" w:space="0" w:color="auto" w:frame="1"/>
          </w:rPr>
          <w:t>Canadian Children</w:t>
        </w:r>
      </w:hyperlink>
      <w:r w:rsidRPr="00FD57A3">
        <w:rPr>
          <w:rFonts w:ascii="Arial" w:eastAsia="Times New Roman" w:hAnsi="Arial" w:cs="Arial"/>
          <w:i/>
          <w:sz w:val="20"/>
          <w:szCs w:val="20"/>
          <w:bdr w:val="none" w:sz="0" w:space="0" w:color="auto" w:frame="1"/>
        </w:rPr>
        <w:t xml:space="preserve">, </w:t>
      </w:r>
      <w:r w:rsidRPr="00FD57A3">
        <w:rPr>
          <w:rFonts w:ascii="Arial" w:eastAsia="Times New Roman" w:hAnsi="Arial" w:cs="Arial"/>
          <w:sz w:val="20"/>
          <w:szCs w:val="20"/>
          <w:bdr w:val="none" w:sz="0" w:space="0" w:color="auto" w:frame="1"/>
        </w:rPr>
        <w:t>36 (1), pp.4-12. Accessed: 20/12/2018, URL:</w:t>
      </w:r>
      <w:r w:rsidRPr="00FD57A3">
        <w:rPr>
          <w:rFonts w:ascii="Arial" w:hAnsi="Arial" w:cs="Arial"/>
          <w:sz w:val="20"/>
          <w:szCs w:val="20"/>
        </w:rPr>
        <w:t xml:space="preserve"> </w:t>
      </w:r>
      <w:hyperlink r:id="rId26" w:history="1">
        <w:r w:rsidRPr="00FD57A3">
          <w:rPr>
            <w:rFonts w:ascii="Arial" w:eastAsia="Times New Roman" w:hAnsi="Arial" w:cs="Arial"/>
            <w:color w:val="0563C1" w:themeColor="hyperlink"/>
            <w:sz w:val="20"/>
            <w:szCs w:val="20"/>
            <w:u w:val="single"/>
            <w:bdr w:val="none" w:sz="0" w:space="0" w:color="auto" w:frame="1"/>
          </w:rPr>
          <w:t>https://web-b-ebscohost-com.ezproxy.uwtsd.ac.uk/ehost/pdfviewer/pdfviewer?vid=1&amp;sid=6342483b-702e-4580-ab75-2fbbeba69019%40sessionmgr101</w:t>
        </w:r>
      </w:hyperlink>
    </w:p>
    <w:p w:rsidR="00FD57A3" w:rsidRPr="00FD57A3" w:rsidRDefault="00FD57A3" w:rsidP="00FD57A3">
      <w:pPr>
        <w:spacing w:after="0" w:line="360" w:lineRule="auto"/>
        <w:textAlignment w:val="baseline"/>
        <w:rPr>
          <w:rFonts w:ascii="Arial" w:eastAsia="Times New Roman" w:hAnsi="Arial" w:cs="Arial"/>
          <w:sz w:val="20"/>
          <w:szCs w:val="20"/>
          <w:bdr w:val="none" w:sz="0" w:space="0" w:color="auto" w:frame="1"/>
        </w:rPr>
      </w:pPr>
    </w:p>
    <w:p w:rsidR="00FD57A3" w:rsidRPr="00FD57A3" w:rsidRDefault="00FD57A3" w:rsidP="00FD57A3">
      <w:pPr>
        <w:keepNext/>
        <w:keepLines/>
        <w:spacing w:after="0" w:line="360" w:lineRule="auto"/>
        <w:textAlignment w:val="baseline"/>
        <w:outlineLvl w:val="1"/>
        <w:rPr>
          <w:rFonts w:ascii="Arial" w:eastAsia="Times New Roman" w:hAnsi="Arial" w:cs="Arial"/>
          <w:bCs/>
          <w:color w:val="000000" w:themeColor="text1"/>
          <w:kern w:val="36"/>
          <w:sz w:val="20"/>
          <w:szCs w:val="20"/>
          <w:bdr w:val="none" w:sz="0" w:space="0" w:color="auto" w:frame="1"/>
        </w:rPr>
      </w:pPr>
      <w:r w:rsidRPr="00FD57A3">
        <w:rPr>
          <w:rFonts w:ascii="Arial" w:eastAsia="Times New Roman" w:hAnsi="Arial" w:cs="Arial"/>
          <w:color w:val="000000" w:themeColor="text1"/>
          <w:sz w:val="20"/>
          <w:szCs w:val="20"/>
        </w:rPr>
        <w:t xml:space="preserve">Tassoni, P. (2011) </w:t>
      </w:r>
      <w:r w:rsidRPr="00FD57A3">
        <w:rPr>
          <w:rFonts w:ascii="Arial" w:eastAsia="Times New Roman" w:hAnsi="Arial" w:cs="Arial"/>
          <w:bCs/>
          <w:color w:val="000000" w:themeColor="text1"/>
          <w:sz w:val="20"/>
          <w:szCs w:val="20"/>
        </w:rPr>
        <w:t>‘</w:t>
      </w:r>
      <w:r w:rsidRPr="00FD57A3">
        <w:rPr>
          <w:rFonts w:ascii="Arial" w:eastAsia="Times New Roman" w:hAnsi="Arial" w:cs="Arial"/>
          <w:bCs/>
          <w:color w:val="000000" w:themeColor="text1"/>
          <w:kern w:val="36"/>
          <w:sz w:val="20"/>
          <w:szCs w:val="20"/>
          <w:bdr w:val="none" w:sz="0" w:space="0" w:color="auto" w:frame="1"/>
        </w:rPr>
        <w:t xml:space="preserve">A parent's guide to treasure baskets’, </w:t>
      </w:r>
      <w:r w:rsidRPr="00FD57A3">
        <w:rPr>
          <w:rFonts w:ascii="Arial" w:eastAsia="Times New Roman" w:hAnsi="Arial" w:cs="Arial"/>
          <w:bCs/>
          <w:i/>
          <w:color w:val="000000" w:themeColor="text1"/>
          <w:kern w:val="36"/>
          <w:sz w:val="20"/>
          <w:szCs w:val="20"/>
          <w:bdr w:val="none" w:sz="0" w:space="0" w:color="auto" w:frame="1"/>
        </w:rPr>
        <w:t>Nursery world</w:t>
      </w:r>
      <w:r w:rsidRPr="00FD57A3">
        <w:rPr>
          <w:rFonts w:ascii="Arial" w:eastAsia="Times New Roman" w:hAnsi="Arial" w:cs="Arial"/>
          <w:bCs/>
          <w:color w:val="000000" w:themeColor="text1"/>
          <w:kern w:val="36"/>
          <w:sz w:val="20"/>
          <w:szCs w:val="20"/>
          <w:bdr w:val="none" w:sz="0" w:space="0" w:color="auto" w:frame="1"/>
        </w:rPr>
        <w:t>, 7</w:t>
      </w:r>
      <w:r w:rsidRPr="00FD57A3">
        <w:rPr>
          <w:rFonts w:ascii="Arial" w:eastAsia="Times New Roman" w:hAnsi="Arial" w:cs="Arial"/>
          <w:bCs/>
          <w:color w:val="000000" w:themeColor="text1"/>
          <w:kern w:val="36"/>
          <w:sz w:val="20"/>
          <w:szCs w:val="20"/>
          <w:bdr w:val="none" w:sz="0" w:space="0" w:color="auto" w:frame="1"/>
          <w:vertAlign w:val="superscript"/>
        </w:rPr>
        <w:t>th</w:t>
      </w:r>
      <w:r w:rsidRPr="00FD57A3">
        <w:rPr>
          <w:rFonts w:ascii="Arial" w:eastAsia="Times New Roman" w:hAnsi="Arial" w:cs="Arial"/>
          <w:bCs/>
          <w:color w:val="000000" w:themeColor="text1"/>
          <w:kern w:val="36"/>
          <w:sz w:val="20"/>
          <w:szCs w:val="20"/>
          <w:bdr w:val="none" w:sz="0" w:space="0" w:color="auto" w:frame="1"/>
        </w:rPr>
        <w:t xml:space="preserve"> December, p.22.</w:t>
      </w:r>
    </w:p>
    <w:p w:rsidR="001B3A71" w:rsidRDefault="00FD57A3"/>
    <w:sectPr w:rsidR="001B3A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6862795"/>
      <w:docPartObj>
        <w:docPartGallery w:val="Page Numbers (Bottom of Page)"/>
        <w:docPartUnique/>
      </w:docPartObj>
    </w:sdtPr>
    <w:sdtEndPr>
      <w:rPr>
        <w:noProof/>
      </w:rPr>
    </w:sdtEndPr>
    <w:sdtContent>
      <w:p w:rsidR="00922ABF" w:rsidRDefault="00FD57A3">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rsidR="00922ABF" w:rsidRDefault="00FD57A3">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2ABF" w:rsidRDefault="00FD57A3" w:rsidP="004C5747">
    <w:pPr>
      <w:pStyle w:val="Header"/>
    </w:pPr>
    <w:r>
      <w:t xml:space="preserve">1805988 </w:t>
    </w:r>
  </w:p>
  <w:p w:rsidR="00922ABF" w:rsidRPr="004C5747" w:rsidRDefault="00FD57A3" w:rsidP="004C5747">
    <w:pPr>
      <w:pStyle w:val="Header"/>
    </w:pPr>
    <w:r>
      <w:t>EAEE4004/C</w:t>
    </w:r>
    <w:r>
      <w:tab/>
      <w:t>Word count: 3488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7A3"/>
    <w:rsid w:val="00757290"/>
    <w:rsid w:val="00E86871"/>
    <w:rsid w:val="00FD5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491BCC-5237-44D6-A07E-F1E3C130F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D57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D57A3"/>
  </w:style>
  <w:style w:type="paragraph" w:styleId="Footer">
    <w:name w:val="footer"/>
    <w:basedOn w:val="Normal"/>
    <w:link w:val="FooterChar"/>
    <w:uiPriority w:val="99"/>
    <w:unhideWhenUsed/>
    <w:rsid w:val="00FD57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57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wales.org.uk/login/uploaded/documents/Play%20and%20Challenge/Managing%20Risk%20in%20Play%20Provision.pdf" TargetMode="External"/><Relationship Id="rId13" Type="http://schemas.openxmlformats.org/officeDocument/2006/relationships/hyperlink" Target="https://whel-primo.hosted.exlibrisgroup.com/primo-explore/fulldisplay?docid=44UWTSD_ALMA51173539140002421&amp;context=L&amp;vid=44WHELF_UWTSD_VU1&amp;lang=en_US&amp;search_scope=CSCOP_EVERYTHING&amp;adaptor=Local%20Search%20Engine&amp;tab=tab1&amp;query=any,contains,Making%20sense%20of%20play%20:%20Supporting%20children%20in%20their%20play&amp;sortby=rank&amp;offset=0" TargetMode="External"/><Relationship Id="rId18" Type="http://schemas.openxmlformats.org/officeDocument/2006/relationships/hyperlink" Target="https://www.lawgazette.co.uk/news/compensation-culture-stats-reveal-claims-numbers-in-freefall/5065804.article" TargetMode="External"/><Relationship Id="rId26" Type="http://schemas.openxmlformats.org/officeDocument/2006/relationships/hyperlink" Target="https://web-b-ebscohost-com.ezproxy.uwtsd.ac.uk/ehost/pdfviewer/pdfviewer?vid=1&amp;sid=6342483b-702e-4580-ab75-2fbbeba69019%40sessionmgr101" TargetMode="External"/><Relationship Id="rId3" Type="http://schemas.openxmlformats.org/officeDocument/2006/relationships/webSettings" Target="webSettings.xml"/><Relationship Id="rId21" Type="http://schemas.openxmlformats.org/officeDocument/2006/relationships/hyperlink" Target="file:///C:/Users/jones/AppData/Local/Packages/Microsoft.MicrosoftEdge_8wekyb3d8bbwe/TempState/Downloads/play+and+early+years%20(1).pdf" TargetMode="External"/><Relationship Id="rId7" Type="http://schemas.openxmlformats.org/officeDocument/2006/relationships/footer" Target="footer1.xml"/><Relationship Id="rId12" Type="http://schemas.openxmlformats.org/officeDocument/2006/relationships/hyperlink" Target="http://learning.gov.wales/docs/learningwales/publications/140828-foundation-phase-outdoor-learning-handbook-en.pdf" TargetMode="External"/><Relationship Id="rId17" Type="http://schemas.openxmlformats.org/officeDocument/2006/relationships/hyperlink" Target="http://www.hse.gov.uk/entertainment/childs-play-statement.htm" TargetMode="External"/><Relationship Id="rId25" Type="http://schemas.openxmlformats.org/officeDocument/2006/relationships/hyperlink" Target="javascript:__doLinkPostBack('','mdb~~eue%7C%7Cjdb~~euejnh%7C%7Css~~JN%20%22Canadian%20Children%22%7C%7Csl~~jh','');" TargetMode="External"/><Relationship Id="rId2" Type="http://schemas.openxmlformats.org/officeDocument/2006/relationships/settings" Target="settings.xml"/><Relationship Id="rId16" Type="http://schemas.openxmlformats.org/officeDocument/2006/relationships/hyperlink" Target="http://www.hse.gov.uk/services/education/school-trips.pdf" TargetMode="External"/><Relationship Id="rId20" Type="http://schemas.openxmlformats.org/officeDocument/2006/relationships/hyperlink" Target="https://link-springer-com.ezproxy.uwtsd.ac.uk/journal/10643"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file:///C:/Users/jones/AppData/Local/Packages/Microsoft.MicrosoftEdge_8wekyb3d8bbwe/TempState/Downloads/Play%20for%20Wales%20Autumn%202017%20issue%2049%20(1).pdf" TargetMode="External"/><Relationship Id="rId24" Type="http://schemas.openxmlformats.org/officeDocument/2006/relationships/hyperlink" Target="https://www.telegraph.co.uk/news/2018/12/04/thousands-pupils-could-disappearing-illegally-boost-schools/amp/?__twitter_impression=true" TargetMode="External"/><Relationship Id="rId5" Type="http://schemas.openxmlformats.org/officeDocument/2006/relationships/hyperlink" Target="https://link-springer-com.ezproxy.uwtsd.ac.uk/article/10.1007/s10643-017-0856-8" TargetMode="External"/><Relationship Id="rId15" Type="http://schemas.openxmlformats.org/officeDocument/2006/relationships/hyperlink" Target="https://gulbenkian.pt/uk-branch/publication/no-fear/" TargetMode="External"/><Relationship Id="rId23" Type="http://schemas.openxmlformats.org/officeDocument/2006/relationships/hyperlink" Target="javascript:__doLinkPostBack('','mdb~~eue%7C%7Cjdb~~euejnh%7C%7Css~~JN%20%22Journal%20of%20Research%20in%20Childhood%20Education%22%7C%7Csl~~jh','');" TargetMode="External"/><Relationship Id="rId28" Type="http://schemas.openxmlformats.org/officeDocument/2006/relationships/theme" Target="theme/theme1.xml"/><Relationship Id="rId10" Type="http://schemas.openxmlformats.org/officeDocument/2006/relationships/hyperlink" Target="https://whel-primo.hosted.exlibrisgroup.com/primo-explore/fulldisplay?docid=44UWTSD_ALMA21163454210002421&amp;context=L&amp;vid=44WHELF_UWTSD_VU1&amp;lang=en_US&amp;search_scope=CSCOP_EVERYTHING&amp;adaptor=Local%20Search%20Engine&amp;isFrbr=true&amp;tab=tab1&amp;query=any,contains,tina%20bruce&amp;sortby=date&amp;facet=frbrgroupid,include,252737524&amp;offset=0" TargetMode="External"/><Relationship Id="rId19" Type="http://schemas.openxmlformats.org/officeDocument/2006/relationships/hyperlink" Target="https://whel-primo.hosted.exlibrisgroup.com/primo-explore/fulldisplay?docid=44UWTSD_ALMA21160911240002421&amp;context=L&amp;vid=44WHELF_UWTSD_VU1&amp;lang=en_US&amp;search_scope=CSCOP_EVERYTHING&amp;adaptor=Local%20Search%20Engine&amp;tab=tab1&amp;query=any,contains,isaacs%20the%20nursery%20years&amp;offset=0" TargetMode="External"/><Relationship Id="rId4" Type="http://schemas.openxmlformats.org/officeDocument/2006/relationships/hyperlink" Target="https://link-springer-com.ezproxy.uwtsd.ac.uk/article/10.1007/s10643-017-0856-8" TargetMode="External"/><Relationship Id="rId9" Type="http://schemas.openxmlformats.org/officeDocument/2006/relationships/hyperlink" Target="file:///C:/Users/jones/AppData/Local/Packages/Microsoft.MicrosoftEdge_8wekyb3d8bbwe/TempState/Downloads/A%20playworkers%20guide%20to%20risk%20(1).pdf" TargetMode="External"/><Relationship Id="rId14" Type="http://schemas.openxmlformats.org/officeDocument/2006/relationships/hyperlink" Target="file:///C:/Users/jones/AppData/Local/Packages/Microsoft.MicrosoftEdge_8wekyb3d8bbwe/TempState/Downloads/Let%20us%20out%20of%20the%20bubble%20wrap%20%20(1).pdf" TargetMode="External"/><Relationship Id="rId22" Type="http://schemas.openxmlformats.org/officeDocument/2006/relationships/hyperlink" Target="http://playwales.org.uk/login/uploaded/documents/INFORMATION%20SHEETS/Let%20us%20out%20of%20the%20bubble%20wrap%20.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4558</Words>
  <Characters>25986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dc:creator>
  <cp:keywords/>
  <dc:description/>
  <cp:lastModifiedBy>Rebecca Morris</cp:lastModifiedBy>
  <cp:revision>1</cp:revision>
  <dcterms:created xsi:type="dcterms:W3CDTF">2019-01-15T19:08:00Z</dcterms:created>
  <dcterms:modified xsi:type="dcterms:W3CDTF">2019-01-15T19:08:00Z</dcterms:modified>
</cp:coreProperties>
</file>