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1E60C4E4"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3C72CF">
        <w:rPr>
          <w:rFonts w:ascii="Arial" w:hAnsi="Arial" w:cs="Arial"/>
          <w:sz w:val="28"/>
          <w:szCs w:val="28"/>
          <w:lang w:val="nl-NL"/>
        </w:rPr>
        <w:t xml:space="preserve"> Aissata Camara </w:t>
      </w:r>
    </w:p>
    <w:p w14:paraId="18D88AE2" w14:textId="4BDFB4D0"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3761FD">
        <w:rPr>
          <w:rFonts w:ascii="Arial" w:hAnsi="Arial" w:cs="Arial"/>
          <w:sz w:val="28"/>
          <w:szCs w:val="28"/>
          <w:lang w:val="nl-NL"/>
        </w:rPr>
        <w:t xml:space="preserve"> 2424904</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535508FA"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A949E2">
        <w:rPr>
          <w:rFonts w:ascii="Arial" w:hAnsi="Arial" w:cs="Arial"/>
          <w:sz w:val="28"/>
          <w:szCs w:val="28"/>
          <w:lang w:val="nl-NL"/>
        </w:rPr>
        <w:t xml:space="preserve"> Principles of </w:t>
      </w:r>
      <w:r w:rsidR="00276534">
        <w:rPr>
          <w:rFonts w:ascii="Arial" w:hAnsi="Arial" w:cs="Arial"/>
          <w:sz w:val="28"/>
          <w:szCs w:val="28"/>
          <w:lang w:val="nl-NL"/>
        </w:rPr>
        <w:t xml:space="preserve">Health </w:t>
      </w:r>
      <w:r w:rsidR="003B78EC">
        <w:rPr>
          <w:rFonts w:ascii="Arial" w:hAnsi="Arial" w:cs="Arial"/>
          <w:sz w:val="28"/>
          <w:szCs w:val="28"/>
          <w:lang w:val="nl-NL"/>
        </w:rPr>
        <w:t>and</w:t>
      </w:r>
      <w:r w:rsidR="000D651F">
        <w:rPr>
          <w:rFonts w:ascii="Arial" w:hAnsi="Arial" w:cs="Arial"/>
          <w:sz w:val="28"/>
          <w:szCs w:val="28"/>
          <w:lang w:val="nl-NL"/>
        </w:rPr>
        <w:t xml:space="preserve"> Social </w:t>
      </w:r>
      <w:r w:rsidR="00F127C3">
        <w:rPr>
          <w:rFonts w:ascii="Arial" w:hAnsi="Arial" w:cs="Arial"/>
          <w:sz w:val="28"/>
          <w:szCs w:val="28"/>
          <w:lang w:val="nl-NL"/>
        </w:rPr>
        <w:t xml:space="preserve">Care </w:t>
      </w:r>
      <w:r w:rsidR="00C32B0F">
        <w:rPr>
          <w:rFonts w:ascii="Arial" w:hAnsi="Arial" w:cs="Arial"/>
          <w:sz w:val="28"/>
          <w:szCs w:val="28"/>
          <w:lang w:val="nl-NL"/>
        </w:rPr>
        <w:t xml:space="preserve">Practice </w:t>
      </w:r>
    </w:p>
    <w:p w14:paraId="7DB3261D" w14:textId="7E4010EF"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sidR="006617C0">
        <w:rPr>
          <w:rFonts w:ascii="Arial" w:hAnsi="Arial" w:cs="Arial"/>
          <w:sz w:val="28"/>
          <w:szCs w:val="28"/>
        </w:rPr>
        <w:t>(</w:t>
      </w:r>
      <w:r w:rsidR="00140CEE">
        <w:rPr>
          <w:rFonts w:ascii="Arial" w:hAnsi="Arial" w:cs="Arial"/>
          <w:sz w:val="28"/>
          <w:szCs w:val="28"/>
        </w:rPr>
        <w:t>BMHP</w:t>
      </w:r>
      <w:r w:rsidR="002C2061">
        <w:rPr>
          <w:rFonts w:ascii="Arial" w:hAnsi="Arial" w:cs="Arial"/>
          <w:sz w:val="28"/>
          <w:szCs w:val="28"/>
        </w:rPr>
        <w:t>50</w:t>
      </w:r>
      <w:r w:rsidR="008E2C5E">
        <w:rPr>
          <w:rFonts w:ascii="Arial" w:hAnsi="Arial" w:cs="Arial"/>
          <w:sz w:val="28"/>
          <w:szCs w:val="28"/>
        </w:rPr>
        <w:t>16</w:t>
      </w:r>
      <w:r w:rsidR="006617C0">
        <w:rPr>
          <w:rFonts w:ascii="Arial" w:hAnsi="Arial" w:cs="Arial"/>
          <w:sz w:val="28"/>
          <w:szCs w:val="28"/>
        </w:rPr>
        <w:t>)</w:t>
      </w:r>
    </w:p>
    <w:p w14:paraId="5CCA350C" w14:textId="3AA420EE"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413C3C">
        <w:rPr>
          <w:rFonts w:ascii="Arial" w:hAnsi="Arial" w:cs="Arial"/>
          <w:sz w:val="28"/>
          <w:szCs w:val="28"/>
        </w:rPr>
        <w:t>Dr</w:t>
      </w:r>
      <w:r w:rsidR="004B4369">
        <w:rPr>
          <w:rFonts w:ascii="Arial" w:hAnsi="Arial" w:cs="Arial"/>
          <w:sz w:val="28"/>
          <w:szCs w:val="28"/>
        </w:rPr>
        <w:t xml:space="preserve"> </w:t>
      </w:r>
      <w:r w:rsidR="00944FDE">
        <w:rPr>
          <w:rFonts w:ascii="Arial" w:hAnsi="Arial" w:cs="Arial"/>
          <w:sz w:val="28"/>
          <w:szCs w:val="28"/>
        </w:rPr>
        <w:t xml:space="preserve">Itse </w:t>
      </w:r>
      <w:r w:rsidR="00187F28">
        <w:rPr>
          <w:rFonts w:ascii="Arial" w:hAnsi="Arial" w:cs="Arial"/>
          <w:sz w:val="28"/>
          <w:szCs w:val="28"/>
        </w:rPr>
        <w:t xml:space="preserve"> Olaoye</w:t>
      </w:r>
    </w:p>
    <w:p w14:paraId="410CCF1F" w14:textId="77777777" w:rsidR="003C72CF" w:rsidRDefault="003C72CF" w:rsidP="00C558B0">
      <w:pPr>
        <w:tabs>
          <w:tab w:val="left" w:pos="6540"/>
        </w:tabs>
        <w:spacing w:line="360" w:lineRule="auto"/>
        <w:rPr>
          <w:rFonts w:ascii="Arial" w:hAnsi="Arial" w:cs="Arial"/>
          <w:sz w:val="28"/>
          <w:szCs w:val="28"/>
        </w:rPr>
      </w:pPr>
    </w:p>
    <w:p w14:paraId="000539B1" w14:textId="77777777" w:rsidR="003C72CF" w:rsidRDefault="003C72CF" w:rsidP="00C558B0">
      <w:pPr>
        <w:tabs>
          <w:tab w:val="left" w:pos="6540"/>
        </w:tabs>
        <w:spacing w:line="360" w:lineRule="auto"/>
        <w:rPr>
          <w:rFonts w:ascii="Arial" w:hAnsi="Arial" w:cs="Arial"/>
          <w:sz w:val="28"/>
          <w:szCs w:val="28"/>
        </w:rPr>
      </w:pPr>
    </w:p>
    <w:p w14:paraId="33597F96" w14:textId="77777777" w:rsidR="003C72CF" w:rsidRDefault="003C72CF" w:rsidP="00C558B0">
      <w:pPr>
        <w:tabs>
          <w:tab w:val="left" w:pos="6540"/>
        </w:tabs>
        <w:spacing w:line="360" w:lineRule="auto"/>
        <w:rPr>
          <w:rFonts w:ascii="Arial" w:hAnsi="Arial" w:cs="Arial"/>
          <w:sz w:val="28"/>
          <w:szCs w:val="28"/>
        </w:rPr>
      </w:pPr>
    </w:p>
    <w:p w14:paraId="57300EED" w14:textId="77777777" w:rsidR="003C72CF" w:rsidRDefault="003C72CF" w:rsidP="00C558B0">
      <w:pPr>
        <w:tabs>
          <w:tab w:val="left" w:pos="6540"/>
        </w:tabs>
        <w:spacing w:line="360" w:lineRule="auto"/>
        <w:rPr>
          <w:rFonts w:ascii="Arial" w:hAnsi="Arial" w:cs="Arial"/>
          <w:sz w:val="28"/>
          <w:szCs w:val="28"/>
        </w:rPr>
      </w:pPr>
    </w:p>
    <w:p w14:paraId="0AD26DAA" w14:textId="77777777" w:rsidR="003C72CF" w:rsidRDefault="003C72CF" w:rsidP="00C558B0">
      <w:pPr>
        <w:tabs>
          <w:tab w:val="left" w:pos="6540"/>
        </w:tabs>
        <w:spacing w:line="360" w:lineRule="auto"/>
        <w:rPr>
          <w:rFonts w:ascii="Arial" w:hAnsi="Arial" w:cs="Arial"/>
          <w:sz w:val="28"/>
          <w:szCs w:val="28"/>
        </w:rPr>
      </w:pPr>
    </w:p>
    <w:p w14:paraId="504152BC" w14:textId="77777777" w:rsidR="003C72CF" w:rsidRDefault="003C72CF" w:rsidP="00C558B0">
      <w:pPr>
        <w:tabs>
          <w:tab w:val="left" w:pos="6540"/>
        </w:tabs>
        <w:spacing w:line="360" w:lineRule="auto"/>
        <w:rPr>
          <w:rFonts w:ascii="Arial" w:hAnsi="Arial" w:cs="Arial"/>
          <w:sz w:val="28"/>
          <w:szCs w:val="28"/>
        </w:rPr>
      </w:pPr>
    </w:p>
    <w:p w14:paraId="7B1AFB99" w14:textId="77777777" w:rsidR="003C72CF" w:rsidRDefault="003C72CF" w:rsidP="00C558B0">
      <w:pPr>
        <w:tabs>
          <w:tab w:val="left" w:pos="6540"/>
        </w:tabs>
        <w:spacing w:line="360" w:lineRule="auto"/>
        <w:rPr>
          <w:rFonts w:ascii="Arial" w:hAnsi="Arial" w:cs="Arial"/>
          <w:sz w:val="28"/>
          <w:szCs w:val="28"/>
        </w:rPr>
      </w:pPr>
    </w:p>
    <w:p w14:paraId="24FB1BBC" w14:textId="77777777" w:rsidR="003C72CF" w:rsidRDefault="003C72CF" w:rsidP="00C558B0">
      <w:pPr>
        <w:tabs>
          <w:tab w:val="left" w:pos="6540"/>
        </w:tabs>
        <w:spacing w:line="360" w:lineRule="auto"/>
        <w:rPr>
          <w:rFonts w:ascii="Arial" w:hAnsi="Arial" w:cs="Arial"/>
          <w:sz w:val="28"/>
          <w:szCs w:val="28"/>
        </w:rPr>
      </w:pPr>
    </w:p>
    <w:p w14:paraId="1CFDBF0B" w14:textId="77777777" w:rsidR="003C72CF" w:rsidRDefault="003C72CF" w:rsidP="00C558B0">
      <w:pPr>
        <w:tabs>
          <w:tab w:val="left" w:pos="6540"/>
        </w:tabs>
        <w:spacing w:line="360" w:lineRule="auto"/>
        <w:rPr>
          <w:rFonts w:ascii="Arial" w:hAnsi="Arial" w:cs="Arial"/>
          <w:sz w:val="28"/>
          <w:szCs w:val="28"/>
        </w:rPr>
      </w:pPr>
    </w:p>
    <w:p w14:paraId="2A4225B5" w14:textId="77777777" w:rsidR="003C72CF" w:rsidRDefault="003C72CF" w:rsidP="00C558B0">
      <w:pPr>
        <w:tabs>
          <w:tab w:val="left" w:pos="6540"/>
        </w:tabs>
        <w:spacing w:line="360" w:lineRule="auto"/>
        <w:rPr>
          <w:rFonts w:ascii="Arial" w:hAnsi="Arial" w:cs="Arial"/>
          <w:sz w:val="28"/>
          <w:szCs w:val="28"/>
        </w:rPr>
      </w:pPr>
    </w:p>
    <w:p w14:paraId="0615B870" w14:textId="77777777" w:rsidR="003C72CF" w:rsidRDefault="003C72CF" w:rsidP="00C558B0">
      <w:pPr>
        <w:tabs>
          <w:tab w:val="left" w:pos="6540"/>
        </w:tabs>
        <w:spacing w:line="360" w:lineRule="auto"/>
        <w:rPr>
          <w:rFonts w:ascii="Arial" w:hAnsi="Arial" w:cs="Arial"/>
          <w:sz w:val="28"/>
          <w:szCs w:val="28"/>
        </w:rPr>
      </w:pPr>
    </w:p>
    <w:p w14:paraId="6CC9046B" w14:textId="77777777" w:rsidR="003C72CF" w:rsidRDefault="003C72CF" w:rsidP="00C558B0">
      <w:pPr>
        <w:tabs>
          <w:tab w:val="left" w:pos="6540"/>
        </w:tabs>
        <w:spacing w:line="360" w:lineRule="auto"/>
        <w:rPr>
          <w:rFonts w:ascii="Arial" w:hAnsi="Arial" w:cs="Arial"/>
          <w:sz w:val="28"/>
          <w:szCs w:val="28"/>
        </w:rPr>
      </w:pPr>
    </w:p>
    <w:p w14:paraId="1542CD14"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Person-centred care is a fundamental principle of contemporary health and social care practice, placing individuals at the centre of decisions about their care while recognising their values, preferences and rights. It aims to promote dignity, autonomy and independence by ensuring that services are tailored to meet each person’s unique needs rather than adopting a one-size-fits-all approach (Health Foundation, 2014). One of the key concepts underpinning person-centred care is the Social Model of Disability, which challenges traditional views of disability by arguing that people are disabled not by their impairments, but by physical, social and attitudinal barriers within society (Oliver, 1990). This perspective has significantly influenced disability rights movements and the development of policies that promote equality, accessibility and inclusion within health and social care.</w:t>
      </w:r>
    </w:p>
    <w:p w14:paraId="3EC2333C"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This essay critically discusses the Social Model of Disability and examines its contribution to person-centred care. It begins by exploring the origins and development of the model, including its key principles, strengths and criticisms, together with responses to these critiques. The discussion then considers how the Social Model has influenced health and social care policy and practice, highlighting both its benefits and the challenges associated with its implementation. Finally, the essay provides recommendations for improving policy and practice before concluding with an evaluation of the model’s continuing importance in supporting inclusive and person-centred care.</w:t>
      </w:r>
    </w:p>
    <w:p w14:paraId="3B345CC3" w14:textId="77777777" w:rsidR="003C72CF" w:rsidRPr="003C72CF" w:rsidRDefault="003C72CF" w:rsidP="003C72CF">
      <w:pPr>
        <w:tabs>
          <w:tab w:val="left" w:pos="6540"/>
        </w:tabs>
        <w:spacing w:line="360" w:lineRule="auto"/>
        <w:rPr>
          <w:rFonts w:ascii="Arial" w:hAnsi="Arial" w:cs="Arial"/>
          <w:sz w:val="22"/>
        </w:rPr>
      </w:pPr>
    </w:p>
    <w:p w14:paraId="62D7881E" w14:textId="6C9C09BC"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The Social Model of Disability emerged during the 1970s as a response to the dominance of the medical model, which viewed disability primarily as an individual’s impairment or medical condition requiring treatment or rehabilitation. Disability activists, particularly the Union of the Physically Impaired Against Segregation (UPIAS), challenged this perspective by arguing that people with impairments were disabled by societal barriers rather than by their physical or mental conditions. UPIAS (1976) distinguished between impairment, referring to an individual’s physical or mental difference, and disability, which it defined as the disadvantage imposed by inaccessible environments, discriminatory attitudes and exclusionary practices. This represented a significant shift from focusing on what was perceived to be ‘wrong’ with the individual towards recognising the responsibility of society to remove barriers and promote equal participation. Building upon the work of UPIAS, Oliver (1990) developed the Social Model into a theoretical framework that has had a profound influence on disability studies and public policy. Oliver argued that disability is socially constructed through environmental, institutional and attitudinal barriers that restrict participation in education, employment and healthcare. Consequently, the model advocates structural change rather</w:t>
      </w:r>
      <w:r>
        <w:rPr>
          <w:rFonts w:ascii="Arial" w:hAnsi="Arial" w:cs="Arial"/>
          <w:sz w:val="22"/>
        </w:rPr>
        <w:t xml:space="preserve"> </w:t>
      </w:r>
      <w:r w:rsidRPr="003C72CF">
        <w:rPr>
          <w:rFonts w:ascii="Arial" w:hAnsi="Arial" w:cs="Arial"/>
          <w:sz w:val="22"/>
        </w:rPr>
        <w:lastRenderedPageBreak/>
        <w:t>than attempting to ‘fix’ individuals. This approach aligns closely with principles of equality, human rights and social justice, underpinning policies that seek to promote accessibility and inclusion. Oliver’s interpretation also challenged traditional power relationships within health and social care by emphasising the importance of listening to disabled people’s own experiences. Rather than professionals making decisions based solely on medical expertise, the Social Model encourages collaboration with individuals to identify barriers and develop solutions that support independence. This approach has influenced the development of co-production, where disabled people are actively involved in designing, delivering and evaluating services that affect their lives. By recognising lived experience as a valuable source of knowledge, the model promotes greater empowerment and respects individuals’ rights to make informed choices about their own care and support.</w:t>
      </w:r>
    </w:p>
    <w:p w14:paraId="018DDA98"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The Social Model has become closely associated with person-centred care because it encourages practitioners to focus on an individual’s goals, preferences and capabilities instead of defining them solely by diagnosis or impairment. Rather than asking what a person cannot do, the model encourages professionals to consider what adjustments are required to enable meaningful participation. This perspective has influenced legislation and policy aimed at reducing discrimination and promoting independent living.</w:t>
      </w:r>
    </w:p>
    <w:p w14:paraId="3A0797B7"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In practice, applying the Social Model may involve making reasonable adjustments to ensure services are accessible to everyone. Examples include providing information in alternative formats such as Braille or easy-read documents, installing ramps and lifts, offering sign language interpreters, or adapting appointment systems to meet individual needs. These adjustments enable disabled people to participate more fully in healthcare, education and employment while reducing unnecessary barriers. This demonstrates that disability is often created by the way services are organised rather than by the impairment itself.</w:t>
      </w:r>
    </w:p>
    <w:p w14:paraId="50541E8C"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 xml:space="preserve">Despite its influence, the Social Model has attracted substantial criticism. Shakespeare (2018) argues that the model can oversimplify the complex relationship between impairment and disability by placing almost exclusive emphasis on social barriers. While inaccessible environments undoubtedly create disadvantage, many individuals experience pain, fatigue or progressive health conditions that cannot be explained solely through social exclusion. Critics therefore contend that the model risks overlooking the lived experience of impairment and the importance of appropriate healthcare and treatment. Another criticism concerns the model’s limited consideration of diversity within disabled people’s experiences. Scholars adopting an intersectional perspective argue that disability often interacts with factors such as gender, ethnicity, age and socioeconomic status, producing forms of disadvantage that extend beyond environmental barriers alone. As a result, some argue that the original Social </w:t>
      </w:r>
      <w:r w:rsidRPr="003C72CF">
        <w:rPr>
          <w:rFonts w:ascii="Arial" w:hAnsi="Arial" w:cs="Arial"/>
          <w:sz w:val="22"/>
        </w:rPr>
        <w:lastRenderedPageBreak/>
        <w:t>Model does not fully account for the complexity of multiple identities and inequalities. In response to these criticisms, contemporary disability scholars have sought to refine rather than abandon the Social Model. Thomas (2017) , for example, proposed developments that recognise both the disabling effects of social barriers and the personal impacts of impairment. This more balanced interpretation acknowledges that although impairments may involve pain or functional limitations, many disadvantages experienced by disabled people continue to arise from inaccessible services, discriminatory attitudes and inadequate support. Such developments demonstrate that the Social Model remains a dynamic framework capable of adapting to contemporary understandings of disability.</w:t>
      </w:r>
    </w:p>
    <w:p w14:paraId="4624C8B6"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Overall, the Social Model represented a transformative shift in thinking by relocating responsibility for disability from the individual to society. Although legitimate criticisms have highlighted the need to recognise impairment alongside social exclusion, the model continues to provide an influential foundation for person-centred care by promoting autonomy, inclusion and equal opportunities. Its emphasis on removing barriers rather than changing individuals remains highly relevant to contemporary health and social care practice.</w:t>
      </w:r>
    </w:p>
    <w:p w14:paraId="0C34BE85"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br/>
      </w:r>
    </w:p>
    <w:p w14:paraId="5E7DA3F8"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 xml:space="preserve">The Social Model of Disability has significantly influenced the delivery of person-centred care by encouraging health and social care professionals to recognise that many of the challenges experienced by disabled people arise from societal barriers rather than their impairments alone. This perspective requires practitioners to move beyond a purely medical understanding of disability and instead consider how physical environments, organisational policies and attitudes can either promote or restrict an individual’s independence and participation. In practice, this means that professionals should work collaboratively with service users to identify barriers and implement reasonable adjustments that enable individuals to exercise choice and control over their own care. Such an approach reflects the core principles of person-centred care, including respect for autonomy, dignity and shared decision-making (Health Foundation, 2014). This approach also encourages professionals to recognise the strengths, preferences and capabilities of individuals rather than focusing solely on their limitations. By adopting a strengths-based approach, practitioners can support disabled people to achieve greater independence, improve confidence and participate more fully in decisions about their health and wellbeing. The influence of the Social Model can be seen in UK legislation and policy, particularly the Equality Act 2010, which places a legal duty on organisations to make reasonable adjustments for disabled people and protect them </w:t>
      </w:r>
      <w:r w:rsidRPr="003C72CF">
        <w:rPr>
          <w:rFonts w:ascii="Arial" w:hAnsi="Arial" w:cs="Arial"/>
          <w:sz w:val="22"/>
        </w:rPr>
        <w:lastRenderedPageBreak/>
        <w:t xml:space="preserve">from discrimination. Within healthcare settings, these adjustments may include providing accessible information in alternative formats, ensuring physical access to buildings, or adapting communication methods to meet individual needs. Similarly, the Care Act 2014 emphasises promoting individual wellbeing, independence and personalised support, reflecting the Social Model’s belief that people should be empowered to live fulfilling lives within their communities rather than being defined by their impairments. These policies demonstrate a shift towards recognising disabled people as active partners in planning and delivering their care, rather than passive recipients of professional intervention. They also reinforce the expectation that care should be tailored to individual needs, ensuring that disabled people are involved in decisions about the support they receive. Despite these policy developments, implementing the Social Model consistently across health and social care remains challenging. Research suggests that disabled people continue to experience barriers when accessing healthcare, including inaccessible facilities, communication difficulties and negative attitudes from professionals (Shakespeare, 2018). Financial pressures, workforce shortages and increasing demand for services can also limit the ability of organisations to provide genuinely person-centred care. For example, staff may have insufficient time to involve service users fully in decision-making or to arrange the adjustments required to support independent participation. Consequently, although legislation provides an important framework for promoting equality, the practical application of the Social Model often depends on organisational culture, leadership and the availability of resources. These challenges have led some researchers to argue that policy aspirations are not always reflected in everyday practice. While laws such as the Equality Act 2010 establish important rights, enforcement can be inconsistent, and disabled people continue to report inequalities in health outcomes and access to services. This highlights the importance of ongoing staff education and training to challenge unconscious bias and improve understanding of disability as a social issue rather than solely a medical condition. It also reinforces the need for co-production, whereby disabled people are actively involved in designing, delivering and evaluating services. Co-production ensures that services are shaped by the experiences of those who use them, making care more responsive, inclusive and person-centred. Furthermore, embedding the Social Model within professional practice requires reflective practice and continuous professional development. Practitioners should regularly evaluate whether their own attitudes or organisational procedures unintentionally create barriers to participation. Developing inclusive practice not only improves the quality of care but also helps organisations meet their legal and ethical responsibilities while promoting equality, diversity and inclusion across health and social care services. Overall, the Social Model continues to provide a valuable framework for improving health and social care practice by encouraging professionals to remove barriers, promote inclusion and empower </w:t>
      </w:r>
      <w:r w:rsidRPr="003C72CF">
        <w:rPr>
          <w:rFonts w:ascii="Arial" w:hAnsi="Arial" w:cs="Arial"/>
          <w:sz w:val="22"/>
        </w:rPr>
        <w:lastRenderedPageBreak/>
        <w:t>disabled people to participate fully in decisions affecting their lives. However, achieving these aims requires more than legislative compliance; it depends on sustained investment, organisational commitment and a genuine willingness to embed person-centred principles throughout service delivery.</w:t>
      </w:r>
    </w:p>
    <w:p w14:paraId="15084F04" w14:textId="77777777" w:rsidR="003C72CF" w:rsidRPr="003C72CF" w:rsidRDefault="003C72CF" w:rsidP="003C72CF">
      <w:pPr>
        <w:tabs>
          <w:tab w:val="left" w:pos="6540"/>
        </w:tabs>
        <w:spacing w:line="360" w:lineRule="auto"/>
        <w:rPr>
          <w:rFonts w:ascii="Arial" w:hAnsi="Arial" w:cs="Arial"/>
          <w:sz w:val="22"/>
        </w:rPr>
      </w:pPr>
    </w:p>
    <w:p w14:paraId="7ACC11D5" w14:textId="77777777"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To strengthen the application of the Social Model of Disability within health and social care, policymakers and organisations should prioritise improving accessibility, promoting inclusion and embedding person-centred care across all services. Although legislation such as the Equality Act 2010 and the Care Act 2014 has established legal protections for disabled people, greater efforts are needed to ensure these policies are consistently implemented in practice. Healthcare providers should invest in regular disability awareness and equality training to help professionals recognise and challenge unconscious bias while improving their understanding of the social barriers faced by disabled people. In addition, services should adopt a co-production approach by actively involving disabled people in the planning, delivery and evaluation of health and social care services. This would ensure that policies and care plans better reflect the needs and preferences of service users, leading to more inclusive and effective care (NICE, 2021). Furthermore, increased government funding is required to improve the accessibility of healthcare facilities, transport and digital services. Investing in accessible infrastructure and assistive technologies would reduce barriers to accessing care and support greater independence. Finally, organisations should regularly monitor and evaluate their compliance with equality legislation to identify areas for improvement and ensure that person-centred care is delivered consistently. By implementing these recommendations, health and social care services can better reflect the principles of the Social Model of Disability and promote equality, autonomy and participation for all individuals.</w:t>
      </w:r>
    </w:p>
    <w:p w14:paraId="01D5203A" w14:textId="77777777" w:rsidR="003C72CF" w:rsidRPr="003C72CF" w:rsidRDefault="003C72CF" w:rsidP="003C72CF">
      <w:pPr>
        <w:tabs>
          <w:tab w:val="left" w:pos="6540"/>
        </w:tabs>
        <w:spacing w:line="360" w:lineRule="auto"/>
        <w:rPr>
          <w:rFonts w:ascii="Arial" w:hAnsi="Arial" w:cs="Arial"/>
          <w:sz w:val="22"/>
        </w:rPr>
      </w:pPr>
    </w:p>
    <w:p w14:paraId="684210AF" w14:textId="6065A131" w:rsidR="003C72CF" w:rsidRPr="003C72CF" w:rsidRDefault="003C72CF" w:rsidP="003C72CF">
      <w:pPr>
        <w:tabs>
          <w:tab w:val="left" w:pos="6540"/>
        </w:tabs>
        <w:spacing w:line="360" w:lineRule="auto"/>
        <w:rPr>
          <w:rFonts w:ascii="Arial" w:hAnsi="Arial" w:cs="Arial"/>
          <w:sz w:val="22"/>
        </w:rPr>
      </w:pPr>
      <w:r w:rsidRPr="003C72CF">
        <w:rPr>
          <w:rFonts w:ascii="Arial" w:hAnsi="Arial" w:cs="Arial"/>
          <w:sz w:val="22"/>
        </w:rPr>
        <w:t>In conclusion, the Social Model of Disability has transformed the understanding of disability by shifting the focus from individual impairment to the social barriers that restrict participation and inclusion. Its emphasis on equality, empowerment and accessibility has made it a fundamental concept underpinning person-centred care and has influenced health and social care policy, including the Equality Act 2010 and the Care Act 2014. Although the model has been criticised for overlooking the effects of impairment and the diversity of disabled people’s experiences, it remains highly relevant. Continued investment in inclusive policies, professional education and accessible services is essential to ensure person-centred care is delivered effectively and equitably for all individuals.</w:t>
      </w:r>
      <w:r>
        <w:rPr>
          <w:rFonts w:ascii="Arial" w:hAnsi="Arial" w:cs="Arial"/>
          <w:sz w:val="22"/>
        </w:rPr>
        <w:t xml:space="preserve"> </w:t>
      </w:r>
    </w:p>
    <w:p w14:paraId="4986EB95" w14:textId="77777777" w:rsidR="003C72CF" w:rsidRPr="003C72CF" w:rsidRDefault="003C72CF" w:rsidP="003C72CF">
      <w:pPr>
        <w:tabs>
          <w:tab w:val="left" w:pos="6540"/>
        </w:tabs>
        <w:spacing w:line="360" w:lineRule="auto"/>
        <w:rPr>
          <w:rFonts w:ascii="Arial" w:hAnsi="Arial" w:cs="Arial"/>
          <w:sz w:val="22"/>
        </w:rPr>
      </w:pPr>
    </w:p>
    <w:p w14:paraId="4F9B4244" w14:textId="77777777" w:rsidR="003D5D7E" w:rsidRPr="001F7D22" w:rsidRDefault="003D5D7E" w:rsidP="003D5D7E">
      <w:pPr>
        <w:spacing w:after="240" w:line="360" w:lineRule="auto"/>
        <w:rPr>
          <w:sz w:val="22"/>
        </w:rPr>
      </w:pPr>
      <w:r w:rsidRPr="001F7D22">
        <w:rPr>
          <w:sz w:val="22"/>
        </w:rPr>
        <w:t>Reference list</w:t>
      </w:r>
    </w:p>
    <w:p w14:paraId="124A0DB0" w14:textId="77777777" w:rsidR="003D5D7E" w:rsidRPr="001F7D22" w:rsidRDefault="003D5D7E" w:rsidP="003D5D7E">
      <w:pPr>
        <w:spacing w:after="240" w:line="360" w:lineRule="auto"/>
        <w:rPr>
          <w:sz w:val="22"/>
        </w:rPr>
      </w:pPr>
      <w:r w:rsidRPr="001F7D22">
        <w:rPr>
          <w:sz w:val="22"/>
        </w:rPr>
        <w:t xml:space="preserve">Baldwinson, T. (2019). </w:t>
      </w:r>
      <w:r w:rsidRPr="001F7D22">
        <w:rPr>
          <w:i/>
          <w:iCs/>
          <w:sz w:val="22"/>
        </w:rPr>
        <w:t>Upias - the union of physically impaired against segregation (1972-1990) : A public record from ... private files.</w:t>
      </w:r>
    </w:p>
    <w:p w14:paraId="3DFBCA64" w14:textId="77777777" w:rsidR="003D5D7E" w:rsidRPr="001F7D22" w:rsidRDefault="003D5D7E" w:rsidP="003D5D7E">
      <w:pPr>
        <w:spacing w:after="240" w:line="360" w:lineRule="auto"/>
        <w:rPr>
          <w:sz w:val="22"/>
        </w:rPr>
      </w:pPr>
      <w:r w:rsidRPr="001F7D22">
        <w:rPr>
          <w:sz w:val="22"/>
        </w:rPr>
        <w:t xml:space="preserve">Care Act (2014). </w:t>
      </w:r>
      <w:r w:rsidRPr="001F7D22">
        <w:rPr>
          <w:i/>
          <w:iCs/>
          <w:sz w:val="22"/>
        </w:rPr>
        <w:t>Care act 2014</w:t>
      </w:r>
      <w:r w:rsidRPr="001F7D22">
        <w:rPr>
          <w:sz w:val="22"/>
        </w:rPr>
        <w:t xml:space="preserve">. [online] </w:t>
      </w:r>
      <w:r w:rsidRPr="001F7D22">
        <w:rPr>
          <w:i/>
          <w:iCs/>
          <w:sz w:val="22"/>
        </w:rPr>
        <w:t>Legislation.gov.uk</w:t>
      </w:r>
      <w:r w:rsidRPr="001F7D22">
        <w:rPr>
          <w:sz w:val="22"/>
        </w:rPr>
        <w:t>. Available at: https://www.legislation.gov.uk/ukpga/2014/23/contents [Accessed 6 Aug. 2026].</w:t>
      </w:r>
    </w:p>
    <w:p w14:paraId="7F9033AB" w14:textId="77777777" w:rsidR="003D5D7E" w:rsidRPr="001F7D22" w:rsidRDefault="003D5D7E" w:rsidP="003D5D7E">
      <w:pPr>
        <w:spacing w:after="240" w:line="360" w:lineRule="auto"/>
        <w:rPr>
          <w:sz w:val="22"/>
        </w:rPr>
      </w:pPr>
      <w:r w:rsidRPr="001F7D22">
        <w:rPr>
          <w:sz w:val="22"/>
        </w:rPr>
        <w:t xml:space="preserve">GOV.UK (2010). </w:t>
      </w:r>
      <w:r w:rsidRPr="001F7D22">
        <w:rPr>
          <w:i/>
          <w:iCs/>
          <w:sz w:val="22"/>
        </w:rPr>
        <w:t>Equality act 2010</w:t>
      </w:r>
      <w:r w:rsidRPr="001F7D22">
        <w:rPr>
          <w:sz w:val="22"/>
        </w:rPr>
        <w:t xml:space="preserve">. [online] </w:t>
      </w:r>
      <w:r w:rsidRPr="001F7D22">
        <w:rPr>
          <w:i/>
          <w:iCs/>
          <w:sz w:val="22"/>
        </w:rPr>
        <w:t>Legislation.gov.uk</w:t>
      </w:r>
      <w:r w:rsidRPr="001F7D22">
        <w:rPr>
          <w:sz w:val="22"/>
        </w:rPr>
        <w:t>. Gov.uk. Available at: https://www.legislation.gov.uk/ukpga/2010/15/contents [Accessed 6 Aug. 2026].</w:t>
      </w:r>
    </w:p>
    <w:p w14:paraId="5A1B230D" w14:textId="77777777" w:rsidR="003D5D7E" w:rsidRPr="001F7D22" w:rsidRDefault="003D5D7E" w:rsidP="003D5D7E">
      <w:pPr>
        <w:spacing w:after="240" w:line="360" w:lineRule="auto"/>
        <w:rPr>
          <w:sz w:val="22"/>
        </w:rPr>
      </w:pPr>
      <w:r w:rsidRPr="001F7D22">
        <w:rPr>
          <w:sz w:val="22"/>
        </w:rPr>
        <w:t xml:space="preserve">National Institute for Health and Care Excellence (2021). </w:t>
      </w:r>
      <w:r w:rsidRPr="001F7D22">
        <w:rPr>
          <w:i/>
          <w:iCs/>
          <w:sz w:val="22"/>
        </w:rPr>
        <w:t>Overview | shared decision making | guidance | NICE</w:t>
      </w:r>
      <w:r w:rsidRPr="001F7D22">
        <w:rPr>
          <w:sz w:val="22"/>
        </w:rPr>
        <w:t xml:space="preserve">. [online] </w:t>
      </w:r>
      <w:r w:rsidRPr="001F7D22">
        <w:rPr>
          <w:i/>
          <w:iCs/>
          <w:sz w:val="22"/>
        </w:rPr>
        <w:t>www.nice.org.uk</w:t>
      </w:r>
      <w:r w:rsidRPr="001F7D22">
        <w:rPr>
          <w:sz w:val="22"/>
        </w:rPr>
        <w:t>. Available at: https://www.nice.org.uk/guidance/ng197 [Accessed 6 Aug. 2026].</w:t>
      </w:r>
    </w:p>
    <w:p w14:paraId="5E1C9458" w14:textId="77777777" w:rsidR="003D5D7E" w:rsidRPr="001F7D22" w:rsidRDefault="003D5D7E" w:rsidP="003D5D7E">
      <w:pPr>
        <w:spacing w:after="240" w:line="360" w:lineRule="auto"/>
        <w:rPr>
          <w:sz w:val="22"/>
        </w:rPr>
      </w:pPr>
      <w:r w:rsidRPr="001F7D22">
        <w:rPr>
          <w:sz w:val="22"/>
        </w:rPr>
        <w:t xml:space="preserve">Oliver, M. (1990). </w:t>
      </w:r>
      <w:r w:rsidRPr="001F7D22">
        <w:rPr>
          <w:i/>
          <w:iCs/>
          <w:sz w:val="22"/>
        </w:rPr>
        <w:t>The politics of disablement</w:t>
      </w:r>
      <w:r w:rsidRPr="001F7D22">
        <w:rPr>
          <w:sz w:val="22"/>
        </w:rPr>
        <w:t>. [online] London: Macmillan Education UK. doi:10.1007/978-1-349-20895-1.</w:t>
      </w:r>
    </w:p>
    <w:p w14:paraId="0973E005" w14:textId="77777777" w:rsidR="003D5D7E" w:rsidRPr="001F7D22" w:rsidRDefault="003D5D7E" w:rsidP="003D5D7E">
      <w:pPr>
        <w:spacing w:after="240" w:line="360" w:lineRule="auto"/>
        <w:rPr>
          <w:sz w:val="22"/>
        </w:rPr>
      </w:pPr>
      <w:r w:rsidRPr="001F7D22">
        <w:rPr>
          <w:sz w:val="22"/>
        </w:rPr>
        <w:t xml:space="preserve">Shakespeare, T. (2018). </w:t>
      </w:r>
      <w:r w:rsidRPr="001F7D22">
        <w:rPr>
          <w:i/>
          <w:iCs/>
          <w:sz w:val="22"/>
        </w:rPr>
        <w:t>Disability</w:t>
      </w:r>
      <w:r w:rsidRPr="001F7D22">
        <w:rPr>
          <w:sz w:val="22"/>
        </w:rPr>
        <w:t>. Routledge.</w:t>
      </w:r>
    </w:p>
    <w:p w14:paraId="3D65D072" w14:textId="77777777" w:rsidR="003D5D7E" w:rsidRPr="001F7D22" w:rsidRDefault="003D5D7E" w:rsidP="003D5D7E">
      <w:pPr>
        <w:spacing w:after="240" w:line="360" w:lineRule="auto"/>
        <w:rPr>
          <w:sz w:val="22"/>
        </w:rPr>
      </w:pPr>
      <w:r w:rsidRPr="001F7D22">
        <w:rPr>
          <w:sz w:val="22"/>
        </w:rPr>
        <w:t xml:space="preserve">The Health Foundation (2014). </w:t>
      </w:r>
      <w:r w:rsidRPr="001F7D22">
        <w:rPr>
          <w:i/>
          <w:iCs/>
          <w:sz w:val="22"/>
        </w:rPr>
        <w:t>Person-centred care made simple</w:t>
      </w:r>
      <w:r w:rsidRPr="001F7D22">
        <w:rPr>
          <w:sz w:val="22"/>
        </w:rPr>
        <w:t xml:space="preserve">. [online] </w:t>
      </w:r>
      <w:r w:rsidRPr="001F7D22">
        <w:rPr>
          <w:i/>
          <w:iCs/>
          <w:sz w:val="22"/>
        </w:rPr>
        <w:t>The Health Foundation</w:t>
      </w:r>
      <w:r w:rsidRPr="001F7D22">
        <w:rPr>
          <w:sz w:val="22"/>
        </w:rPr>
        <w:t>. Available at: https://www.health.org.uk/resources-and-toolkits/quick-guides/person-centred-care-made-simple [Accessed 6 Aug. 2026].</w:t>
      </w:r>
    </w:p>
    <w:p w14:paraId="05FA7AD6" w14:textId="77777777" w:rsidR="003D5D7E" w:rsidRPr="001F7D22" w:rsidRDefault="003D5D7E" w:rsidP="003D5D7E">
      <w:pPr>
        <w:spacing w:after="240" w:line="360" w:lineRule="auto"/>
        <w:rPr>
          <w:sz w:val="22"/>
        </w:rPr>
      </w:pPr>
      <w:r w:rsidRPr="001F7D22">
        <w:rPr>
          <w:sz w:val="22"/>
        </w:rPr>
        <w:t xml:space="preserve">Thomas, C. (2017). </w:t>
      </w:r>
      <w:r w:rsidRPr="001F7D22">
        <w:rPr>
          <w:i/>
          <w:iCs/>
          <w:sz w:val="22"/>
        </w:rPr>
        <w:t>Sociologies of disability and illness</w:t>
      </w:r>
      <w:r w:rsidRPr="001F7D22">
        <w:rPr>
          <w:sz w:val="22"/>
        </w:rPr>
        <w:t>. Bloomsbury Publishing.</w:t>
      </w:r>
    </w:p>
    <w:p w14:paraId="11163B19" w14:textId="4CBE713F" w:rsidR="003C72CF" w:rsidRPr="003C72CF" w:rsidRDefault="003C72CF" w:rsidP="00C558B0">
      <w:pPr>
        <w:tabs>
          <w:tab w:val="left" w:pos="6540"/>
        </w:tabs>
        <w:spacing w:line="360" w:lineRule="auto"/>
        <w:rPr>
          <w:rFonts w:ascii="Arial" w:hAnsi="Arial" w:cs="Arial"/>
          <w:sz w:val="22"/>
        </w:rPr>
      </w:pP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3F1FD9A8" w14:textId="500F7F26" w:rsidR="004A5A64" w:rsidRPr="003C72CF" w:rsidRDefault="004A5A64" w:rsidP="004A5A64">
      <w:pPr>
        <w:spacing w:line="360" w:lineRule="auto"/>
        <w:rPr>
          <w:rFonts w:ascii="Arial" w:hAnsi="Arial" w:cs="Arial"/>
          <w:color w:val="00B0F0"/>
          <w:sz w:val="22"/>
        </w:rPr>
      </w:pPr>
    </w:p>
    <w:sectPr w:rsidR="004A5A64" w:rsidRPr="003C72C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C3FA04" w14:textId="77777777" w:rsidR="00EF0F05" w:rsidRDefault="00EF0F05" w:rsidP="00032A5B">
      <w:pPr>
        <w:spacing w:after="0" w:line="240" w:lineRule="auto"/>
      </w:pPr>
      <w:r>
        <w:separator/>
      </w:r>
    </w:p>
  </w:endnote>
  <w:endnote w:type="continuationSeparator" w:id="0">
    <w:p w14:paraId="6C63EA0F" w14:textId="77777777" w:rsidR="00EF0F05" w:rsidRDefault="00EF0F05"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09538718"/>
      <w:docPartObj>
        <w:docPartGallery w:val="Page Numbers (Bottom of Page)"/>
        <w:docPartUnique/>
      </w:docPartObj>
    </w:sdtPr>
    <w:sdtEndPr>
      <w:rPr>
        <w:rStyle w:val="PageNumber"/>
      </w:rPr>
    </w:sdtEndPr>
    <w:sdtContent>
      <w:p w14:paraId="7F9E945A" w14:textId="1555BC4C" w:rsidR="00086558" w:rsidRDefault="00086558" w:rsidP="00572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F3706" w14:textId="77777777" w:rsidR="00086558" w:rsidRDefault="00086558" w:rsidP="000865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26573192"/>
      <w:docPartObj>
        <w:docPartGallery w:val="Page Numbers (Bottom of Page)"/>
        <w:docPartUnique/>
      </w:docPartObj>
    </w:sdtPr>
    <w:sdtEndPr>
      <w:rPr>
        <w:rStyle w:val="PageNumber"/>
      </w:rPr>
    </w:sdtEndPr>
    <w:sdtContent>
      <w:p w14:paraId="612030ED" w14:textId="6A19EE01" w:rsidR="00086558" w:rsidRDefault="00086558" w:rsidP="00572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1261E" w14:textId="77777777" w:rsidR="00086558" w:rsidRDefault="00086558" w:rsidP="000865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4C95C1" w14:textId="77777777" w:rsidR="00EF0F05" w:rsidRDefault="00EF0F05" w:rsidP="00032A5B">
      <w:pPr>
        <w:spacing w:after="0" w:line="240" w:lineRule="auto"/>
      </w:pPr>
      <w:r>
        <w:separator/>
      </w:r>
    </w:p>
  </w:footnote>
  <w:footnote w:type="continuationSeparator" w:id="0">
    <w:p w14:paraId="6D44DEB9" w14:textId="77777777" w:rsidR="00EF0F05" w:rsidRDefault="00EF0F05"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86558"/>
    <w:rsid w:val="000C5FC9"/>
    <w:rsid w:val="000D651F"/>
    <w:rsid w:val="001333C2"/>
    <w:rsid w:val="00140CEE"/>
    <w:rsid w:val="00187F28"/>
    <w:rsid w:val="00276534"/>
    <w:rsid w:val="002C2061"/>
    <w:rsid w:val="00317E3D"/>
    <w:rsid w:val="0032347E"/>
    <w:rsid w:val="0032791E"/>
    <w:rsid w:val="003761FD"/>
    <w:rsid w:val="003B78EC"/>
    <w:rsid w:val="003C72CF"/>
    <w:rsid w:val="003D5D7E"/>
    <w:rsid w:val="003E4ED4"/>
    <w:rsid w:val="00413C3C"/>
    <w:rsid w:val="004A5A64"/>
    <w:rsid w:val="004B4369"/>
    <w:rsid w:val="00561FC0"/>
    <w:rsid w:val="0058218C"/>
    <w:rsid w:val="006524ED"/>
    <w:rsid w:val="006617C0"/>
    <w:rsid w:val="006A3E63"/>
    <w:rsid w:val="006D2F2D"/>
    <w:rsid w:val="006E1FF9"/>
    <w:rsid w:val="00785886"/>
    <w:rsid w:val="007F3A6A"/>
    <w:rsid w:val="008E2C5E"/>
    <w:rsid w:val="00941BA8"/>
    <w:rsid w:val="00944FDE"/>
    <w:rsid w:val="009E71F3"/>
    <w:rsid w:val="00A14675"/>
    <w:rsid w:val="00A949E2"/>
    <w:rsid w:val="00B215B2"/>
    <w:rsid w:val="00BC79FE"/>
    <w:rsid w:val="00C32B0F"/>
    <w:rsid w:val="00C558B0"/>
    <w:rsid w:val="00D545BA"/>
    <w:rsid w:val="00E81204"/>
    <w:rsid w:val="00E9668F"/>
    <w:rsid w:val="00EF0F05"/>
    <w:rsid w:val="00F127C3"/>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PageNumber">
    <w:name w:val="page number"/>
    <w:basedOn w:val="DefaultParagraphFont"/>
    <w:uiPriority w:val="99"/>
    <w:semiHidden/>
    <w:unhideWhenUsed/>
    <w:rsid w:val="00086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80905280">
      <w:bodyDiv w:val="1"/>
      <w:marLeft w:val="0"/>
      <w:marRight w:val="0"/>
      <w:marTop w:val="0"/>
      <w:marBottom w:val="0"/>
      <w:divBdr>
        <w:top w:val="none" w:sz="0" w:space="0" w:color="auto"/>
        <w:left w:val="none" w:sz="0" w:space="0" w:color="auto"/>
        <w:bottom w:val="none" w:sz="0" w:space="0" w:color="auto"/>
        <w:right w:val="none" w:sz="0" w:space="0" w:color="auto"/>
      </w:divBdr>
    </w:div>
    <w:div w:id="1155225879">
      <w:bodyDiv w:val="1"/>
      <w:marLeft w:val="0"/>
      <w:marRight w:val="0"/>
      <w:marTop w:val="0"/>
      <w:marBottom w:val="0"/>
      <w:divBdr>
        <w:top w:val="none" w:sz="0" w:space="0" w:color="auto"/>
        <w:left w:val="none" w:sz="0" w:space="0" w:color="auto"/>
        <w:bottom w:val="none" w:sz="0" w:space="0" w:color="auto"/>
        <w:right w:val="none" w:sz="0" w:space="0" w:color="auto"/>
      </w:divBdr>
    </w:div>
    <w:div w:id="1323045696">
      <w:bodyDiv w:val="1"/>
      <w:marLeft w:val="0"/>
      <w:marRight w:val="0"/>
      <w:marTop w:val="0"/>
      <w:marBottom w:val="0"/>
      <w:divBdr>
        <w:top w:val="none" w:sz="0" w:space="0" w:color="auto"/>
        <w:left w:val="none" w:sz="0" w:space="0" w:color="auto"/>
        <w:bottom w:val="none" w:sz="0" w:space="0" w:color="auto"/>
        <w:right w:val="none" w:sz="0" w:space="0" w:color="auto"/>
      </w:divBdr>
    </w:div>
    <w:div w:id="1528837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69df091-b013-40e3-86ee-bd9cb9e25814}" enabled="0" method="" siteId="{569df091-b013-40e3-86ee-bd9cb9e25814}" removed="1"/>
</clbl:labelList>
</file>

<file path=docProps/app.xml><?xml version="1.0" encoding="utf-8"?>
<Properties xmlns="http://schemas.openxmlformats.org/officeDocument/2006/extended-properties" xmlns:vt="http://schemas.openxmlformats.org/officeDocument/2006/docPropsVTypes">
  <Template>Normal</Template>
  <TotalTime>1</TotalTime>
  <Pages>8</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Aissata Camara (2424904)</cp:lastModifiedBy>
  <cp:revision>2</cp:revision>
  <dcterms:created xsi:type="dcterms:W3CDTF">2026-08-07T12:01:00Z</dcterms:created>
  <dcterms:modified xsi:type="dcterms:W3CDTF">2026-08-07T12:01:00Z</dcterms:modified>
</cp:coreProperties>
</file>