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99B9130" w14:textId="77777777" w:rsidR="006A766D" w:rsidRDefault="006A766D" w:rsidP="00647DF7">
      <w:pPr>
        <w:jc w:val="center"/>
        <w:rPr>
          <w:rFonts w:cs="Times New Roman"/>
          <w:sz w:val="40"/>
          <w:szCs w:val="40"/>
        </w:rPr>
      </w:pPr>
    </w:p>
    <w:p w14:paraId="0956D0FA" w14:textId="77777777" w:rsidR="006A766D" w:rsidRDefault="006A766D" w:rsidP="00647DF7">
      <w:pPr>
        <w:jc w:val="center"/>
        <w:rPr>
          <w:rFonts w:cs="Times New Roman"/>
          <w:sz w:val="40"/>
          <w:szCs w:val="40"/>
        </w:rPr>
      </w:pPr>
    </w:p>
    <w:p w14:paraId="388B2890" w14:textId="77777777" w:rsidR="00C1276A" w:rsidRDefault="00C1276A" w:rsidP="00647DF7">
      <w:pPr>
        <w:jc w:val="center"/>
        <w:rPr>
          <w:rFonts w:cs="Times New Roman"/>
          <w:sz w:val="36"/>
          <w:szCs w:val="36"/>
        </w:rPr>
      </w:pPr>
    </w:p>
    <w:p w14:paraId="3A595F53" w14:textId="05F23941" w:rsidR="00647DF7" w:rsidRPr="00C1276A" w:rsidRDefault="00647DF7" w:rsidP="00647DF7">
      <w:pPr>
        <w:jc w:val="center"/>
        <w:rPr>
          <w:rFonts w:cs="Times New Roman"/>
          <w:sz w:val="36"/>
          <w:szCs w:val="36"/>
        </w:rPr>
      </w:pPr>
      <w:bookmarkStart w:id="0" w:name="_GoBack"/>
      <w:bookmarkEnd w:id="0"/>
      <w:r w:rsidRPr="00C1276A">
        <w:rPr>
          <w:rFonts w:cs="Times New Roman"/>
          <w:sz w:val="36"/>
          <w:szCs w:val="36"/>
        </w:rPr>
        <w:t>Healthcare and Healing in Early Christianity: How early Christianity facilitated a place in society for the sick and diseased</w:t>
      </w:r>
    </w:p>
    <w:p w14:paraId="0536D10C" w14:textId="77777777" w:rsidR="00C1276A" w:rsidRDefault="00C1276A" w:rsidP="00647DF7">
      <w:pPr>
        <w:jc w:val="center"/>
        <w:rPr>
          <w:rFonts w:cs="Times New Roman"/>
          <w:sz w:val="40"/>
          <w:szCs w:val="40"/>
        </w:rPr>
      </w:pPr>
    </w:p>
    <w:p w14:paraId="0D850DDD" w14:textId="77777777" w:rsidR="00C1276A" w:rsidRDefault="00C1276A" w:rsidP="00647DF7">
      <w:pPr>
        <w:jc w:val="center"/>
        <w:rPr>
          <w:rFonts w:cs="Times New Roman"/>
          <w:sz w:val="40"/>
          <w:szCs w:val="40"/>
        </w:rPr>
      </w:pPr>
    </w:p>
    <w:p w14:paraId="1658950F" w14:textId="77777777" w:rsidR="00C1276A" w:rsidRDefault="00C1276A" w:rsidP="00647DF7">
      <w:pPr>
        <w:jc w:val="center"/>
        <w:rPr>
          <w:rFonts w:cs="Times New Roman"/>
          <w:sz w:val="32"/>
          <w:szCs w:val="32"/>
        </w:rPr>
      </w:pPr>
    </w:p>
    <w:p w14:paraId="357FA09C" w14:textId="77777777" w:rsidR="00C1276A" w:rsidRDefault="00C1276A" w:rsidP="00647DF7">
      <w:pPr>
        <w:jc w:val="center"/>
        <w:rPr>
          <w:rFonts w:cs="Times New Roman"/>
          <w:sz w:val="32"/>
          <w:szCs w:val="32"/>
        </w:rPr>
      </w:pPr>
    </w:p>
    <w:p w14:paraId="0D99250F" w14:textId="5E45C411" w:rsidR="00647DF7" w:rsidRPr="00C1276A" w:rsidRDefault="00647DF7" w:rsidP="00647DF7">
      <w:pPr>
        <w:jc w:val="center"/>
        <w:rPr>
          <w:rFonts w:cs="Times New Roman"/>
          <w:sz w:val="28"/>
          <w:szCs w:val="28"/>
        </w:rPr>
      </w:pPr>
      <w:r w:rsidRPr="00C1276A">
        <w:rPr>
          <w:rFonts w:cs="Times New Roman"/>
          <w:sz w:val="28"/>
          <w:szCs w:val="28"/>
        </w:rPr>
        <w:t xml:space="preserve">Word Count: 9,000 </w:t>
      </w:r>
    </w:p>
    <w:p w14:paraId="012A7D42" w14:textId="36D9BE6B" w:rsidR="00A65FDC" w:rsidRPr="00C1276A" w:rsidRDefault="00A65FDC" w:rsidP="00647DF7">
      <w:pPr>
        <w:jc w:val="center"/>
        <w:rPr>
          <w:rFonts w:cs="Times New Roman"/>
          <w:sz w:val="28"/>
          <w:szCs w:val="28"/>
        </w:rPr>
      </w:pPr>
      <w:r w:rsidRPr="00C1276A">
        <w:rPr>
          <w:rFonts w:cs="Times New Roman"/>
          <w:sz w:val="28"/>
          <w:szCs w:val="28"/>
        </w:rPr>
        <w:t xml:space="preserve">1501271 </w:t>
      </w:r>
    </w:p>
    <w:p w14:paraId="4509505E" w14:textId="77777777" w:rsidR="00C1276A" w:rsidRPr="00C1276A" w:rsidRDefault="00C1276A" w:rsidP="00C1276A">
      <w:pPr>
        <w:jc w:val="center"/>
        <w:rPr>
          <w:rFonts w:cs="Times New Roman"/>
          <w:sz w:val="28"/>
          <w:szCs w:val="28"/>
        </w:rPr>
      </w:pPr>
      <w:r w:rsidRPr="00C1276A">
        <w:rPr>
          <w:rFonts w:cs="Times New Roman"/>
          <w:sz w:val="28"/>
          <w:szCs w:val="28"/>
        </w:rPr>
        <w:t>By</w:t>
      </w:r>
    </w:p>
    <w:p w14:paraId="5A6AED81" w14:textId="4BE4AEE2" w:rsidR="00C1276A" w:rsidRPr="00C1276A" w:rsidRDefault="00C1276A" w:rsidP="00C1276A">
      <w:pPr>
        <w:jc w:val="center"/>
        <w:rPr>
          <w:rFonts w:cs="Times New Roman"/>
          <w:sz w:val="28"/>
          <w:szCs w:val="28"/>
        </w:rPr>
      </w:pPr>
      <w:r w:rsidRPr="00C1276A">
        <w:rPr>
          <w:rFonts w:cs="Times New Roman"/>
          <w:sz w:val="28"/>
          <w:szCs w:val="28"/>
        </w:rPr>
        <w:t>Kathleen-Jane Goldstone-Carroll</w:t>
      </w:r>
    </w:p>
    <w:p w14:paraId="1F15F67D" w14:textId="79660AF9" w:rsidR="00C1276A" w:rsidRDefault="00C1276A" w:rsidP="00C1276A">
      <w:pPr>
        <w:jc w:val="center"/>
        <w:rPr>
          <w:rFonts w:cs="Times New Roman"/>
          <w:sz w:val="32"/>
          <w:szCs w:val="32"/>
        </w:rPr>
      </w:pPr>
    </w:p>
    <w:p w14:paraId="5ABFF355" w14:textId="3ABA119F" w:rsidR="00C1276A" w:rsidRDefault="00C1276A" w:rsidP="00C1276A">
      <w:pPr>
        <w:jc w:val="center"/>
        <w:rPr>
          <w:rFonts w:cs="Times New Roman"/>
          <w:sz w:val="32"/>
          <w:szCs w:val="32"/>
        </w:rPr>
      </w:pPr>
    </w:p>
    <w:p w14:paraId="0F42CC25" w14:textId="305CFCA2" w:rsidR="00C1276A" w:rsidRDefault="00C1276A" w:rsidP="00C1276A">
      <w:pPr>
        <w:jc w:val="center"/>
        <w:rPr>
          <w:rFonts w:cs="Times New Roman"/>
          <w:sz w:val="32"/>
          <w:szCs w:val="32"/>
        </w:rPr>
      </w:pPr>
    </w:p>
    <w:p w14:paraId="7A54A379" w14:textId="49527488" w:rsidR="00C1276A" w:rsidRDefault="00C1276A" w:rsidP="00C1276A">
      <w:pPr>
        <w:jc w:val="center"/>
        <w:rPr>
          <w:rFonts w:cs="Times New Roman"/>
          <w:sz w:val="32"/>
          <w:szCs w:val="32"/>
        </w:rPr>
      </w:pPr>
    </w:p>
    <w:p w14:paraId="7B4D5E6B" w14:textId="77777777" w:rsidR="00C1276A" w:rsidRDefault="00C1276A" w:rsidP="00C1276A">
      <w:pPr>
        <w:jc w:val="center"/>
        <w:rPr>
          <w:rFonts w:cs="Times New Roman"/>
          <w:sz w:val="32"/>
          <w:szCs w:val="32"/>
        </w:rPr>
      </w:pPr>
    </w:p>
    <w:p w14:paraId="7DB5028C" w14:textId="2A72FD4F" w:rsidR="006A766D" w:rsidRPr="00C1276A" w:rsidRDefault="006A766D" w:rsidP="006A766D">
      <w:pPr>
        <w:jc w:val="center"/>
        <w:rPr>
          <w:rFonts w:cs="Times New Roman"/>
          <w:sz w:val="28"/>
          <w:szCs w:val="28"/>
        </w:rPr>
      </w:pPr>
      <w:r w:rsidRPr="00C1276A">
        <w:rPr>
          <w:rFonts w:cs="Times New Roman"/>
          <w:sz w:val="28"/>
          <w:szCs w:val="28"/>
        </w:rPr>
        <w:t>Thesis s</w:t>
      </w:r>
      <w:r w:rsidR="00A65FDC" w:rsidRPr="00C1276A">
        <w:rPr>
          <w:rFonts w:cs="Times New Roman"/>
          <w:sz w:val="28"/>
          <w:szCs w:val="28"/>
        </w:rPr>
        <w:t>ubmitted in par</w:t>
      </w:r>
      <w:r w:rsidRPr="00C1276A">
        <w:rPr>
          <w:rFonts w:cs="Times New Roman"/>
          <w:sz w:val="28"/>
          <w:szCs w:val="28"/>
        </w:rPr>
        <w:t>tial fulfilment of a BA Hons in Ancient History at the University of Wales Trinity Saint David</w:t>
      </w:r>
    </w:p>
    <w:p w14:paraId="7F7277F6" w14:textId="3CA12870" w:rsidR="00660ECA" w:rsidRPr="00647DF7" w:rsidRDefault="00660ECA" w:rsidP="00647DF7">
      <w:pPr>
        <w:jc w:val="center"/>
        <w:rPr>
          <w:rFonts w:cs="Times New Roman"/>
          <w:sz w:val="40"/>
          <w:szCs w:val="40"/>
        </w:rPr>
      </w:pPr>
      <w:r w:rsidRPr="00647DF7">
        <w:rPr>
          <w:rFonts w:cs="Times New Roman"/>
          <w:sz w:val="40"/>
          <w:szCs w:val="40"/>
        </w:rPr>
        <w:br w:type="page"/>
      </w:r>
    </w:p>
    <w:sdt>
      <w:sdtPr>
        <w:rPr>
          <w:rFonts w:asciiTheme="minorHAnsi" w:eastAsiaTheme="minorHAnsi" w:hAnsiTheme="minorHAnsi" w:cstheme="minorBidi"/>
          <w:color w:val="auto"/>
          <w:sz w:val="22"/>
          <w:szCs w:val="22"/>
          <w:lang w:val="en-GB"/>
        </w:rPr>
        <w:id w:val="2075006775"/>
        <w:docPartObj>
          <w:docPartGallery w:val="Table of Contents"/>
          <w:docPartUnique/>
        </w:docPartObj>
      </w:sdtPr>
      <w:sdtEndPr>
        <w:rPr>
          <w:rFonts w:ascii="Times New Roman" w:hAnsi="Times New Roman" w:cs="Times New Roman"/>
          <w:b/>
          <w:bCs/>
          <w:noProof/>
          <w:color w:val="000000" w:themeColor="text1"/>
          <w:sz w:val="24"/>
        </w:rPr>
      </w:sdtEndPr>
      <w:sdtContent>
        <w:p w14:paraId="7DFD5530" w14:textId="539330D5" w:rsidR="00660ECA" w:rsidRPr="00375288" w:rsidRDefault="00346E39" w:rsidP="00346E39">
          <w:pPr>
            <w:pStyle w:val="TOCHeading"/>
            <w:jc w:val="center"/>
            <w:rPr>
              <w:rFonts w:ascii="Times New Roman" w:hAnsi="Times New Roman" w:cs="Times New Roman"/>
              <w:color w:val="auto"/>
            </w:rPr>
          </w:pPr>
          <w:r w:rsidRPr="00375288">
            <w:rPr>
              <w:rFonts w:ascii="Times New Roman" w:hAnsi="Times New Roman" w:cs="Times New Roman"/>
              <w:color w:val="auto"/>
            </w:rPr>
            <w:t>Contents</w:t>
          </w:r>
        </w:p>
        <w:p w14:paraId="59B868C7" w14:textId="28E3E846" w:rsidR="000A3E81" w:rsidRDefault="00660ECA">
          <w:pPr>
            <w:pStyle w:val="TOC2"/>
            <w:tabs>
              <w:tab w:val="right" w:leader="dot" w:pos="9016"/>
            </w:tabs>
            <w:rPr>
              <w:rFonts w:asciiTheme="minorHAnsi" w:eastAsiaTheme="minorEastAsia" w:hAnsiTheme="minorHAnsi"/>
              <w:noProof/>
              <w:color w:val="auto"/>
              <w:sz w:val="22"/>
              <w:lang w:eastAsia="en-GB"/>
            </w:rPr>
          </w:pPr>
          <w:r w:rsidRPr="00346E39">
            <w:rPr>
              <w:rFonts w:cs="Times New Roman"/>
              <w:sz w:val="32"/>
              <w:szCs w:val="32"/>
            </w:rPr>
            <w:fldChar w:fldCharType="begin"/>
          </w:r>
          <w:r w:rsidRPr="00346E39">
            <w:rPr>
              <w:rFonts w:cs="Times New Roman"/>
              <w:sz w:val="32"/>
              <w:szCs w:val="32"/>
            </w:rPr>
            <w:instrText xml:space="preserve"> TOC \o "1-3" \h \z \u </w:instrText>
          </w:r>
          <w:r w:rsidRPr="00346E39">
            <w:rPr>
              <w:rFonts w:cs="Times New Roman"/>
              <w:sz w:val="32"/>
              <w:szCs w:val="32"/>
            </w:rPr>
            <w:fldChar w:fldCharType="separate"/>
          </w:r>
          <w:hyperlink w:anchor="_Toc513777950" w:history="1">
            <w:r w:rsidR="000A3E81" w:rsidRPr="002B71D5">
              <w:rPr>
                <w:rStyle w:val="Hyperlink"/>
                <w:noProof/>
              </w:rPr>
              <w:t>Acknowledgements</w:t>
            </w:r>
            <w:r w:rsidR="000A3E81">
              <w:rPr>
                <w:noProof/>
                <w:webHidden/>
              </w:rPr>
              <w:tab/>
            </w:r>
            <w:r w:rsidR="000A3E81">
              <w:rPr>
                <w:noProof/>
                <w:webHidden/>
              </w:rPr>
              <w:fldChar w:fldCharType="begin"/>
            </w:r>
            <w:r w:rsidR="000A3E81">
              <w:rPr>
                <w:noProof/>
                <w:webHidden/>
              </w:rPr>
              <w:instrText xml:space="preserve"> PAGEREF _Toc513777950 \h </w:instrText>
            </w:r>
            <w:r w:rsidR="000A3E81">
              <w:rPr>
                <w:noProof/>
                <w:webHidden/>
              </w:rPr>
            </w:r>
            <w:r w:rsidR="000A3E81">
              <w:rPr>
                <w:noProof/>
                <w:webHidden/>
              </w:rPr>
              <w:fldChar w:fldCharType="separate"/>
            </w:r>
            <w:r w:rsidR="00C1276A">
              <w:rPr>
                <w:noProof/>
                <w:webHidden/>
              </w:rPr>
              <w:t>3</w:t>
            </w:r>
            <w:r w:rsidR="000A3E81">
              <w:rPr>
                <w:noProof/>
                <w:webHidden/>
              </w:rPr>
              <w:fldChar w:fldCharType="end"/>
            </w:r>
          </w:hyperlink>
        </w:p>
        <w:p w14:paraId="1298819F" w14:textId="64E8AF08" w:rsidR="000A3E81" w:rsidRDefault="00461ACC">
          <w:pPr>
            <w:pStyle w:val="TOC2"/>
            <w:tabs>
              <w:tab w:val="right" w:leader="dot" w:pos="9016"/>
            </w:tabs>
            <w:rPr>
              <w:rFonts w:asciiTheme="minorHAnsi" w:eastAsiaTheme="minorEastAsia" w:hAnsiTheme="minorHAnsi"/>
              <w:noProof/>
              <w:color w:val="auto"/>
              <w:sz w:val="22"/>
              <w:lang w:eastAsia="en-GB"/>
            </w:rPr>
          </w:pPr>
          <w:hyperlink w:anchor="_Toc513777951" w:history="1">
            <w:r w:rsidR="000A3E81" w:rsidRPr="002B71D5">
              <w:rPr>
                <w:rStyle w:val="Hyperlink"/>
                <w:noProof/>
              </w:rPr>
              <w:t>Introduction</w:t>
            </w:r>
            <w:r w:rsidR="000A3E81">
              <w:rPr>
                <w:noProof/>
                <w:webHidden/>
              </w:rPr>
              <w:tab/>
            </w:r>
            <w:r w:rsidR="000A3E81">
              <w:rPr>
                <w:noProof/>
                <w:webHidden/>
              </w:rPr>
              <w:fldChar w:fldCharType="begin"/>
            </w:r>
            <w:r w:rsidR="000A3E81">
              <w:rPr>
                <w:noProof/>
                <w:webHidden/>
              </w:rPr>
              <w:instrText xml:space="preserve"> PAGEREF _Toc513777951 \h </w:instrText>
            </w:r>
            <w:r w:rsidR="000A3E81">
              <w:rPr>
                <w:noProof/>
                <w:webHidden/>
              </w:rPr>
            </w:r>
            <w:r w:rsidR="000A3E81">
              <w:rPr>
                <w:noProof/>
                <w:webHidden/>
              </w:rPr>
              <w:fldChar w:fldCharType="separate"/>
            </w:r>
            <w:r w:rsidR="00C1276A">
              <w:rPr>
                <w:noProof/>
                <w:webHidden/>
              </w:rPr>
              <w:t>4</w:t>
            </w:r>
            <w:r w:rsidR="000A3E81">
              <w:rPr>
                <w:noProof/>
                <w:webHidden/>
              </w:rPr>
              <w:fldChar w:fldCharType="end"/>
            </w:r>
          </w:hyperlink>
        </w:p>
        <w:p w14:paraId="7FB176BE" w14:textId="1C03FC23" w:rsidR="000A3E81" w:rsidRDefault="00461ACC">
          <w:pPr>
            <w:pStyle w:val="TOC2"/>
            <w:tabs>
              <w:tab w:val="right" w:leader="dot" w:pos="9016"/>
            </w:tabs>
            <w:rPr>
              <w:rFonts w:asciiTheme="minorHAnsi" w:eastAsiaTheme="minorEastAsia" w:hAnsiTheme="minorHAnsi"/>
              <w:noProof/>
              <w:color w:val="auto"/>
              <w:sz w:val="22"/>
              <w:lang w:eastAsia="en-GB"/>
            </w:rPr>
          </w:pPr>
          <w:hyperlink w:anchor="_Toc513777952" w:history="1">
            <w:r w:rsidR="000A3E81" w:rsidRPr="002B71D5">
              <w:rPr>
                <w:rStyle w:val="Hyperlink"/>
                <w:noProof/>
              </w:rPr>
              <w:t>Source Criticism</w:t>
            </w:r>
            <w:r w:rsidR="000A3E81">
              <w:rPr>
                <w:noProof/>
                <w:webHidden/>
              </w:rPr>
              <w:tab/>
            </w:r>
            <w:r w:rsidR="000A3E81">
              <w:rPr>
                <w:noProof/>
                <w:webHidden/>
              </w:rPr>
              <w:fldChar w:fldCharType="begin"/>
            </w:r>
            <w:r w:rsidR="000A3E81">
              <w:rPr>
                <w:noProof/>
                <w:webHidden/>
              </w:rPr>
              <w:instrText xml:space="preserve"> PAGEREF _Toc513777952 \h </w:instrText>
            </w:r>
            <w:r w:rsidR="000A3E81">
              <w:rPr>
                <w:noProof/>
                <w:webHidden/>
              </w:rPr>
            </w:r>
            <w:r w:rsidR="000A3E81">
              <w:rPr>
                <w:noProof/>
                <w:webHidden/>
              </w:rPr>
              <w:fldChar w:fldCharType="separate"/>
            </w:r>
            <w:r w:rsidR="00C1276A">
              <w:rPr>
                <w:noProof/>
                <w:webHidden/>
              </w:rPr>
              <w:t>8</w:t>
            </w:r>
            <w:r w:rsidR="000A3E81">
              <w:rPr>
                <w:noProof/>
                <w:webHidden/>
              </w:rPr>
              <w:fldChar w:fldCharType="end"/>
            </w:r>
          </w:hyperlink>
        </w:p>
        <w:p w14:paraId="562549E3" w14:textId="0F5B87D8" w:rsidR="000A3E81" w:rsidRDefault="00461ACC">
          <w:pPr>
            <w:pStyle w:val="TOC2"/>
            <w:tabs>
              <w:tab w:val="right" w:leader="dot" w:pos="9016"/>
            </w:tabs>
            <w:rPr>
              <w:rFonts w:asciiTheme="minorHAnsi" w:eastAsiaTheme="minorEastAsia" w:hAnsiTheme="minorHAnsi"/>
              <w:noProof/>
              <w:color w:val="auto"/>
              <w:sz w:val="22"/>
              <w:lang w:eastAsia="en-GB"/>
            </w:rPr>
          </w:pPr>
          <w:hyperlink w:anchor="_Toc513777953" w:history="1">
            <w:r w:rsidR="000A3E81" w:rsidRPr="002B71D5">
              <w:rPr>
                <w:rStyle w:val="Hyperlink"/>
                <w:noProof/>
              </w:rPr>
              <w:t>Chapter One</w:t>
            </w:r>
            <w:r w:rsidR="000A3E81">
              <w:rPr>
                <w:noProof/>
                <w:webHidden/>
              </w:rPr>
              <w:tab/>
            </w:r>
            <w:r w:rsidR="000A3E81">
              <w:rPr>
                <w:noProof/>
                <w:webHidden/>
              </w:rPr>
              <w:fldChar w:fldCharType="begin"/>
            </w:r>
            <w:r w:rsidR="000A3E81">
              <w:rPr>
                <w:noProof/>
                <w:webHidden/>
              </w:rPr>
              <w:instrText xml:space="preserve"> PAGEREF _Toc513777953 \h </w:instrText>
            </w:r>
            <w:r w:rsidR="000A3E81">
              <w:rPr>
                <w:noProof/>
                <w:webHidden/>
              </w:rPr>
            </w:r>
            <w:r w:rsidR="000A3E81">
              <w:rPr>
                <w:noProof/>
                <w:webHidden/>
              </w:rPr>
              <w:fldChar w:fldCharType="separate"/>
            </w:r>
            <w:r w:rsidR="00C1276A">
              <w:rPr>
                <w:noProof/>
                <w:webHidden/>
              </w:rPr>
              <w:t>10</w:t>
            </w:r>
            <w:r w:rsidR="000A3E81">
              <w:rPr>
                <w:noProof/>
                <w:webHidden/>
              </w:rPr>
              <w:fldChar w:fldCharType="end"/>
            </w:r>
          </w:hyperlink>
        </w:p>
        <w:p w14:paraId="6F9074D6" w14:textId="095B7686" w:rsidR="000A3E81" w:rsidRDefault="00461ACC">
          <w:pPr>
            <w:pStyle w:val="TOC3"/>
            <w:tabs>
              <w:tab w:val="left" w:pos="1100"/>
              <w:tab w:val="right" w:leader="dot" w:pos="9016"/>
            </w:tabs>
            <w:rPr>
              <w:rFonts w:asciiTheme="minorHAnsi" w:eastAsiaTheme="minorEastAsia" w:hAnsiTheme="minorHAnsi"/>
              <w:noProof/>
              <w:color w:val="auto"/>
              <w:sz w:val="22"/>
              <w:lang w:eastAsia="en-GB"/>
            </w:rPr>
          </w:pPr>
          <w:hyperlink w:anchor="_Toc513777954" w:history="1">
            <w:r w:rsidR="000A3E81" w:rsidRPr="002B71D5">
              <w:rPr>
                <w:rStyle w:val="Hyperlink"/>
                <w:noProof/>
              </w:rPr>
              <w:t>1.1</w:t>
            </w:r>
            <w:r w:rsidR="00F7125B">
              <w:rPr>
                <w:rFonts w:asciiTheme="minorHAnsi" w:eastAsiaTheme="minorEastAsia" w:hAnsiTheme="minorHAnsi"/>
                <w:noProof/>
                <w:color w:val="auto"/>
                <w:sz w:val="22"/>
                <w:lang w:eastAsia="en-GB"/>
              </w:rPr>
              <w:t xml:space="preserve"> </w:t>
            </w:r>
            <w:r w:rsidR="000A3E81" w:rsidRPr="002B71D5">
              <w:rPr>
                <w:rStyle w:val="Hyperlink"/>
                <w:noProof/>
              </w:rPr>
              <w:t>Comparative healthcare</w:t>
            </w:r>
            <w:r w:rsidR="000A3E81">
              <w:rPr>
                <w:noProof/>
                <w:webHidden/>
              </w:rPr>
              <w:tab/>
            </w:r>
            <w:r w:rsidR="000A3E81">
              <w:rPr>
                <w:noProof/>
                <w:webHidden/>
              </w:rPr>
              <w:fldChar w:fldCharType="begin"/>
            </w:r>
            <w:r w:rsidR="000A3E81">
              <w:rPr>
                <w:noProof/>
                <w:webHidden/>
              </w:rPr>
              <w:instrText xml:space="preserve"> PAGEREF _Toc513777954 \h </w:instrText>
            </w:r>
            <w:r w:rsidR="000A3E81">
              <w:rPr>
                <w:noProof/>
                <w:webHidden/>
              </w:rPr>
            </w:r>
            <w:r w:rsidR="000A3E81">
              <w:rPr>
                <w:noProof/>
                <w:webHidden/>
              </w:rPr>
              <w:fldChar w:fldCharType="separate"/>
            </w:r>
            <w:r w:rsidR="00C1276A">
              <w:rPr>
                <w:noProof/>
                <w:webHidden/>
              </w:rPr>
              <w:t>10</w:t>
            </w:r>
            <w:r w:rsidR="000A3E81">
              <w:rPr>
                <w:noProof/>
                <w:webHidden/>
              </w:rPr>
              <w:fldChar w:fldCharType="end"/>
            </w:r>
          </w:hyperlink>
        </w:p>
        <w:p w14:paraId="13DF1AC0" w14:textId="3DD82FD9" w:rsidR="000A3E81" w:rsidRDefault="00461ACC">
          <w:pPr>
            <w:pStyle w:val="TOC3"/>
            <w:tabs>
              <w:tab w:val="right" w:leader="dot" w:pos="9016"/>
            </w:tabs>
            <w:rPr>
              <w:rFonts w:asciiTheme="minorHAnsi" w:eastAsiaTheme="minorEastAsia" w:hAnsiTheme="minorHAnsi"/>
              <w:noProof/>
              <w:color w:val="auto"/>
              <w:sz w:val="22"/>
              <w:lang w:eastAsia="en-GB"/>
            </w:rPr>
          </w:pPr>
          <w:hyperlink w:anchor="_Toc513777955" w:history="1">
            <w:r w:rsidR="000A3E81" w:rsidRPr="002B71D5">
              <w:rPr>
                <w:rStyle w:val="Hyperlink"/>
                <w:noProof/>
              </w:rPr>
              <w:t>1.2 The rising popularity of Christianity</w:t>
            </w:r>
            <w:r w:rsidR="000A3E81">
              <w:rPr>
                <w:noProof/>
                <w:webHidden/>
              </w:rPr>
              <w:tab/>
            </w:r>
            <w:r w:rsidR="000A3E81">
              <w:rPr>
                <w:noProof/>
                <w:webHidden/>
              </w:rPr>
              <w:fldChar w:fldCharType="begin"/>
            </w:r>
            <w:r w:rsidR="000A3E81">
              <w:rPr>
                <w:noProof/>
                <w:webHidden/>
              </w:rPr>
              <w:instrText xml:space="preserve"> PAGEREF _Toc513777955 \h </w:instrText>
            </w:r>
            <w:r w:rsidR="000A3E81">
              <w:rPr>
                <w:noProof/>
                <w:webHidden/>
              </w:rPr>
            </w:r>
            <w:r w:rsidR="000A3E81">
              <w:rPr>
                <w:noProof/>
                <w:webHidden/>
              </w:rPr>
              <w:fldChar w:fldCharType="separate"/>
            </w:r>
            <w:r w:rsidR="00C1276A">
              <w:rPr>
                <w:noProof/>
                <w:webHidden/>
              </w:rPr>
              <w:t>13</w:t>
            </w:r>
            <w:r w:rsidR="000A3E81">
              <w:rPr>
                <w:noProof/>
                <w:webHidden/>
              </w:rPr>
              <w:fldChar w:fldCharType="end"/>
            </w:r>
          </w:hyperlink>
        </w:p>
        <w:p w14:paraId="7111E587" w14:textId="716480E3" w:rsidR="000A3E81" w:rsidRDefault="00461ACC">
          <w:pPr>
            <w:pStyle w:val="TOC3"/>
            <w:tabs>
              <w:tab w:val="right" w:leader="dot" w:pos="9016"/>
            </w:tabs>
            <w:rPr>
              <w:rFonts w:asciiTheme="minorHAnsi" w:eastAsiaTheme="minorEastAsia" w:hAnsiTheme="minorHAnsi"/>
              <w:noProof/>
              <w:color w:val="auto"/>
              <w:sz w:val="22"/>
              <w:lang w:eastAsia="en-GB"/>
            </w:rPr>
          </w:pPr>
          <w:hyperlink w:anchor="_Toc513777956" w:history="1">
            <w:r w:rsidR="000A3E81" w:rsidRPr="002B71D5">
              <w:rPr>
                <w:rStyle w:val="Hyperlink"/>
                <w:noProof/>
              </w:rPr>
              <w:t>1.3 ‘Monotheism Vs. Polytheism’</w:t>
            </w:r>
            <w:r w:rsidR="000A3E81">
              <w:rPr>
                <w:noProof/>
                <w:webHidden/>
              </w:rPr>
              <w:tab/>
            </w:r>
            <w:r w:rsidR="000A3E81">
              <w:rPr>
                <w:noProof/>
                <w:webHidden/>
              </w:rPr>
              <w:fldChar w:fldCharType="begin"/>
            </w:r>
            <w:r w:rsidR="000A3E81">
              <w:rPr>
                <w:noProof/>
                <w:webHidden/>
              </w:rPr>
              <w:instrText xml:space="preserve"> PAGEREF _Toc513777956 \h </w:instrText>
            </w:r>
            <w:r w:rsidR="000A3E81">
              <w:rPr>
                <w:noProof/>
                <w:webHidden/>
              </w:rPr>
            </w:r>
            <w:r w:rsidR="000A3E81">
              <w:rPr>
                <w:noProof/>
                <w:webHidden/>
              </w:rPr>
              <w:fldChar w:fldCharType="separate"/>
            </w:r>
            <w:r w:rsidR="00C1276A">
              <w:rPr>
                <w:noProof/>
                <w:webHidden/>
              </w:rPr>
              <w:t>16</w:t>
            </w:r>
            <w:r w:rsidR="000A3E81">
              <w:rPr>
                <w:noProof/>
                <w:webHidden/>
              </w:rPr>
              <w:fldChar w:fldCharType="end"/>
            </w:r>
          </w:hyperlink>
        </w:p>
        <w:p w14:paraId="569F6B92" w14:textId="2D082ACD" w:rsidR="000A3E81" w:rsidRDefault="00461ACC">
          <w:pPr>
            <w:pStyle w:val="TOC2"/>
            <w:tabs>
              <w:tab w:val="right" w:leader="dot" w:pos="9016"/>
            </w:tabs>
            <w:rPr>
              <w:rFonts w:asciiTheme="minorHAnsi" w:eastAsiaTheme="minorEastAsia" w:hAnsiTheme="minorHAnsi"/>
              <w:noProof/>
              <w:color w:val="auto"/>
              <w:sz w:val="22"/>
              <w:lang w:eastAsia="en-GB"/>
            </w:rPr>
          </w:pPr>
          <w:hyperlink w:anchor="_Toc513777957" w:history="1">
            <w:r w:rsidR="000A3E81" w:rsidRPr="002B71D5">
              <w:rPr>
                <w:rStyle w:val="Hyperlink"/>
                <w:noProof/>
              </w:rPr>
              <w:t>Chapter Two</w:t>
            </w:r>
            <w:r w:rsidR="000A3E81">
              <w:rPr>
                <w:noProof/>
                <w:webHidden/>
              </w:rPr>
              <w:tab/>
            </w:r>
            <w:r w:rsidR="000A3E81">
              <w:rPr>
                <w:noProof/>
                <w:webHidden/>
              </w:rPr>
              <w:fldChar w:fldCharType="begin"/>
            </w:r>
            <w:r w:rsidR="000A3E81">
              <w:rPr>
                <w:noProof/>
                <w:webHidden/>
              </w:rPr>
              <w:instrText xml:space="preserve"> PAGEREF _Toc513777957 \h </w:instrText>
            </w:r>
            <w:r w:rsidR="000A3E81">
              <w:rPr>
                <w:noProof/>
                <w:webHidden/>
              </w:rPr>
            </w:r>
            <w:r w:rsidR="000A3E81">
              <w:rPr>
                <w:noProof/>
                <w:webHidden/>
              </w:rPr>
              <w:fldChar w:fldCharType="separate"/>
            </w:r>
            <w:r w:rsidR="00C1276A">
              <w:rPr>
                <w:noProof/>
                <w:webHidden/>
              </w:rPr>
              <w:t>19</w:t>
            </w:r>
            <w:r w:rsidR="000A3E81">
              <w:rPr>
                <w:noProof/>
                <w:webHidden/>
              </w:rPr>
              <w:fldChar w:fldCharType="end"/>
            </w:r>
          </w:hyperlink>
        </w:p>
        <w:p w14:paraId="3CEE9FDF" w14:textId="29D2F4EF" w:rsidR="000A3E81" w:rsidRDefault="00461ACC">
          <w:pPr>
            <w:pStyle w:val="TOC3"/>
            <w:tabs>
              <w:tab w:val="right" w:leader="dot" w:pos="9016"/>
            </w:tabs>
            <w:rPr>
              <w:rFonts w:asciiTheme="minorHAnsi" w:eastAsiaTheme="minorEastAsia" w:hAnsiTheme="minorHAnsi"/>
              <w:noProof/>
              <w:color w:val="auto"/>
              <w:sz w:val="22"/>
              <w:lang w:eastAsia="en-GB"/>
            </w:rPr>
          </w:pPr>
          <w:hyperlink w:anchor="_Toc513777958" w:history="1">
            <w:r w:rsidR="000A3E81" w:rsidRPr="002B71D5">
              <w:rPr>
                <w:rStyle w:val="Hyperlink"/>
                <w:noProof/>
              </w:rPr>
              <w:t>2.1 Healthcare crises in the late-second to mid-third century</w:t>
            </w:r>
            <w:r w:rsidR="000A3E81">
              <w:rPr>
                <w:noProof/>
                <w:webHidden/>
              </w:rPr>
              <w:tab/>
            </w:r>
            <w:r w:rsidR="000A3E81">
              <w:rPr>
                <w:noProof/>
                <w:webHidden/>
              </w:rPr>
              <w:fldChar w:fldCharType="begin"/>
            </w:r>
            <w:r w:rsidR="000A3E81">
              <w:rPr>
                <w:noProof/>
                <w:webHidden/>
              </w:rPr>
              <w:instrText xml:space="preserve"> PAGEREF _Toc513777958 \h </w:instrText>
            </w:r>
            <w:r w:rsidR="000A3E81">
              <w:rPr>
                <w:noProof/>
                <w:webHidden/>
              </w:rPr>
            </w:r>
            <w:r w:rsidR="000A3E81">
              <w:rPr>
                <w:noProof/>
                <w:webHidden/>
              </w:rPr>
              <w:fldChar w:fldCharType="separate"/>
            </w:r>
            <w:r w:rsidR="00C1276A">
              <w:rPr>
                <w:noProof/>
                <w:webHidden/>
              </w:rPr>
              <w:t>19</w:t>
            </w:r>
            <w:r w:rsidR="000A3E81">
              <w:rPr>
                <w:noProof/>
                <w:webHidden/>
              </w:rPr>
              <w:fldChar w:fldCharType="end"/>
            </w:r>
          </w:hyperlink>
        </w:p>
        <w:p w14:paraId="29781411" w14:textId="54C48DB7" w:rsidR="000A3E81" w:rsidRDefault="00461ACC">
          <w:pPr>
            <w:pStyle w:val="TOC3"/>
            <w:tabs>
              <w:tab w:val="right" w:leader="dot" w:pos="9016"/>
            </w:tabs>
            <w:rPr>
              <w:rFonts w:asciiTheme="minorHAnsi" w:eastAsiaTheme="minorEastAsia" w:hAnsiTheme="minorHAnsi"/>
              <w:noProof/>
              <w:color w:val="auto"/>
              <w:sz w:val="22"/>
              <w:lang w:eastAsia="en-GB"/>
            </w:rPr>
          </w:pPr>
          <w:hyperlink w:anchor="_Toc513777959" w:history="1">
            <w:r w:rsidR="000A3E81" w:rsidRPr="002B71D5">
              <w:rPr>
                <w:rStyle w:val="Hyperlink"/>
                <w:noProof/>
              </w:rPr>
              <w:t>2.2 Galenic Medicine</w:t>
            </w:r>
            <w:r w:rsidR="000A3E81">
              <w:rPr>
                <w:noProof/>
                <w:webHidden/>
              </w:rPr>
              <w:tab/>
            </w:r>
            <w:r w:rsidR="000A3E81">
              <w:rPr>
                <w:noProof/>
                <w:webHidden/>
              </w:rPr>
              <w:fldChar w:fldCharType="begin"/>
            </w:r>
            <w:r w:rsidR="000A3E81">
              <w:rPr>
                <w:noProof/>
                <w:webHidden/>
              </w:rPr>
              <w:instrText xml:space="preserve"> PAGEREF _Toc513777959 \h </w:instrText>
            </w:r>
            <w:r w:rsidR="000A3E81">
              <w:rPr>
                <w:noProof/>
                <w:webHidden/>
              </w:rPr>
            </w:r>
            <w:r w:rsidR="000A3E81">
              <w:rPr>
                <w:noProof/>
                <w:webHidden/>
              </w:rPr>
              <w:fldChar w:fldCharType="separate"/>
            </w:r>
            <w:r w:rsidR="00C1276A">
              <w:rPr>
                <w:noProof/>
                <w:webHidden/>
              </w:rPr>
              <w:t>22</w:t>
            </w:r>
            <w:r w:rsidR="000A3E81">
              <w:rPr>
                <w:noProof/>
                <w:webHidden/>
              </w:rPr>
              <w:fldChar w:fldCharType="end"/>
            </w:r>
          </w:hyperlink>
        </w:p>
        <w:p w14:paraId="7EA692C9" w14:textId="51A6D1A8" w:rsidR="000A3E81" w:rsidRDefault="00461ACC">
          <w:pPr>
            <w:pStyle w:val="TOC2"/>
            <w:tabs>
              <w:tab w:val="right" w:leader="dot" w:pos="9016"/>
            </w:tabs>
            <w:rPr>
              <w:rFonts w:asciiTheme="minorHAnsi" w:eastAsiaTheme="minorEastAsia" w:hAnsiTheme="minorHAnsi"/>
              <w:noProof/>
              <w:color w:val="auto"/>
              <w:sz w:val="22"/>
              <w:lang w:eastAsia="en-GB"/>
            </w:rPr>
          </w:pPr>
          <w:hyperlink w:anchor="_Toc513777960" w:history="1">
            <w:r w:rsidR="000A3E81" w:rsidRPr="002B71D5">
              <w:rPr>
                <w:rStyle w:val="Hyperlink"/>
                <w:noProof/>
              </w:rPr>
              <w:t>Chapter Three</w:t>
            </w:r>
            <w:r w:rsidR="000A3E81">
              <w:rPr>
                <w:noProof/>
                <w:webHidden/>
              </w:rPr>
              <w:tab/>
            </w:r>
            <w:r w:rsidR="000A3E81">
              <w:rPr>
                <w:noProof/>
                <w:webHidden/>
              </w:rPr>
              <w:fldChar w:fldCharType="begin"/>
            </w:r>
            <w:r w:rsidR="000A3E81">
              <w:rPr>
                <w:noProof/>
                <w:webHidden/>
              </w:rPr>
              <w:instrText xml:space="preserve"> PAGEREF _Toc513777960 \h </w:instrText>
            </w:r>
            <w:r w:rsidR="000A3E81">
              <w:rPr>
                <w:noProof/>
                <w:webHidden/>
              </w:rPr>
            </w:r>
            <w:r w:rsidR="000A3E81">
              <w:rPr>
                <w:noProof/>
                <w:webHidden/>
              </w:rPr>
              <w:fldChar w:fldCharType="separate"/>
            </w:r>
            <w:r w:rsidR="00C1276A">
              <w:rPr>
                <w:noProof/>
                <w:webHidden/>
              </w:rPr>
              <w:t>26</w:t>
            </w:r>
            <w:r w:rsidR="000A3E81">
              <w:rPr>
                <w:noProof/>
                <w:webHidden/>
              </w:rPr>
              <w:fldChar w:fldCharType="end"/>
            </w:r>
          </w:hyperlink>
        </w:p>
        <w:p w14:paraId="575A1537" w14:textId="5231CC46" w:rsidR="000A3E81" w:rsidRDefault="00461ACC">
          <w:pPr>
            <w:pStyle w:val="TOC3"/>
            <w:tabs>
              <w:tab w:val="right" w:leader="dot" w:pos="9016"/>
            </w:tabs>
            <w:rPr>
              <w:rFonts w:asciiTheme="minorHAnsi" w:eastAsiaTheme="minorEastAsia" w:hAnsiTheme="minorHAnsi"/>
              <w:noProof/>
              <w:color w:val="auto"/>
              <w:sz w:val="22"/>
              <w:lang w:eastAsia="en-GB"/>
            </w:rPr>
          </w:pPr>
          <w:hyperlink w:anchor="_Toc513777961" w:history="1">
            <w:r w:rsidR="000A3E81" w:rsidRPr="002B71D5">
              <w:rPr>
                <w:rStyle w:val="Hyperlink"/>
                <w:noProof/>
              </w:rPr>
              <w:t>3.1 Salvation as Causation: A theological perspective of disease</w:t>
            </w:r>
            <w:r w:rsidR="000A3E81">
              <w:rPr>
                <w:noProof/>
                <w:webHidden/>
              </w:rPr>
              <w:tab/>
            </w:r>
            <w:r w:rsidR="000A3E81">
              <w:rPr>
                <w:noProof/>
                <w:webHidden/>
              </w:rPr>
              <w:fldChar w:fldCharType="begin"/>
            </w:r>
            <w:r w:rsidR="000A3E81">
              <w:rPr>
                <w:noProof/>
                <w:webHidden/>
              </w:rPr>
              <w:instrText xml:space="preserve"> PAGEREF _Toc513777961 \h </w:instrText>
            </w:r>
            <w:r w:rsidR="000A3E81">
              <w:rPr>
                <w:noProof/>
                <w:webHidden/>
              </w:rPr>
            </w:r>
            <w:r w:rsidR="000A3E81">
              <w:rPr>
                <w:noProof/>
                <w:webHidden/>
              </w:rPr>
              <w:fldChar w:fldCharType="separate"/>
            </w:r>
            <w:r w:rsidR="00C1276A">
              <w:rPr>
                <w:noProof/>
                <w:webHidden/>
              </w:rPr>
              <w:t>26</w:t>
            </w:r>
            <w:r w:rsidR="000A3E81">
              <w:rPr>
                <w:noProof/>
                <w:webHidden/>
              </w:rPr>
              <w:fldChar w:fldCharType="end"/>
            </w:r>
          </w:hyperlink>
        </w:p>
        <w:p w14:paraId="35ECC3E9" w14:textId="6D52EBA7" w:rsidR="000A3E81" w:rsidRDefault="00461ACC">
          <w:pPr>
            <w:pStyle w:val="TOC2"/>
            <w:tabs>
              <w:tab w:val="right" w:leader="dot" w:pos="9016"/>
            </w:tabs>
            <w:rPr>
              <w:rFonts w:asciiTheme="minorHAnsi" w:eastAsiaTheme="minorEastAsia" w:hAnsiTheme="minorHAnsi"/>
              <w:noProof/>
              <w:color w:val="auto"/>
              <w:sz w:val="22"/>
              <w:lang w:eastAsia="en-GB"/>
            </w:rPr>
          </w:pPr>
          <w:hyperlink w:anchor="_Toc513777962" w:history="1">
            <w:r w:rsidR="000A3E81" w:rsidRPr="002B71D5">
              <w:rPr>
                <w:rStyle w:val="Hyperlink"/>
                <w:noProof/>
              </w:rPr>
              <w:t>Conclusion</w:t>
            </w:r>
            <w:r w:rsidR="000A3E81">
              <w:rPr>
                <w:noProof/>
                <w:webHidden/>
              </w:rPr>
              <w:tab/>
            </w:r>
            <w:r w:rsidR="000A3E81">
              <w:rPr>
                <w:noProof/>
                <w:webHidden/>
              </w:rPr>
              <w:fldChar w:fldCharType="begin"/>
            </w:r>
            <w:r w:rsidR="000A3E81">
              <w:rPr>
                <w:noProof/>
                <w:webHidden/>
              </w:rPr>
              <w:instrText xml:space="preserve"> PAGEREF _Toc513777962 \h </w:instrText>
            </w:r>
            <w:r w:rsidR="000A3E81">
              <w:rPr>
                <w:noProof/>
                <w:webHidden/>
              </w:rPr>
            </w:r>
            <w:r w:rsidR="000A3E81">
              <w:rPr>
                <w:noProof/>
                <w:webHidden/>
              </w:rPr>
              <w:fldChar w:fldCharType="separate"/>
            </w:r>
            <w:r w:rsidR="00C1276A">
              <w:rPr>
                <w:noProof/>
                <w:webHidden/>
              </w:rPr>
              <w:t>30</w:t>
            </w:r>
            <w:r w:rsidR="000A3E81">
              <w:rPr>
                <w:noProof/>
                <w:webHidden/>
              </w:rPr>
              <w:fldChar w:fldCharType="end"/>
            </w:r>
          </w:hyperlink>
        </w:p>
        <w:p w14:paraId="57248ED2" w14:textId="7F95CC84" w:rsidR="000A3E81" w:rsidRDefault="00461ACC">
          <w:pPr>
            <w:pStyle w:val="TOC2"/>
            <w:tabs>
              <w:tab w:val="right" w:leader="dot" w:pos="9016"/>
            </w:tabs>
            <w:rPr>
              <w:rFonts w:asciiTheme="minorHAnsi" w:eastAsiaTheme="minorEastAsia" w:hAnsiTheme="minorHAnsi"/>
              <w:noProof/>
              <w:color w:val="auto"/>
              <w:sz w:val="22"/>
              <w:lang w:eastAsia="en-GB"/>
            </w:rPr>
          </w:pPr>
          <w:hyperlink w:anchor="_Toc513777963" w:history="1">
            <w:r w:rsidR="000A3E81" w:rsidRPr="002B71D5">
              <w:rPr>
                <w:rStyle w:val="Hyperlink"/>
                <w:noProof/>
              </w:rPr>
              <w:t>Bibliography</w:t>
            </w:r>
            <w:r w:rsidR="000A3E81">
              <w:rPr>
                <w:noProof/>
                <w:webHidden/>
              </w:rPr>
              <w:tab/>
            </w:r>
            <w:r w:rsidR="000A3E81">
              <w:rPr>
                <w:noProof/>
                <w:webHidden/>
              </w:rPr>
              <w:fldChar w:fldCharType="begin"/>
            </w:r>
            <w:r w:rsidR="000A3E81">
              <w:rPr>
                <w:noProof/>
                <w:webHidden/>
              </w:rPr>
              <w:instrText xml:space="preserve"> PAGEREF _Toc513777963 \h </w:instrText>
            </w:r>
            <w:r w:rsidR="000A3E81">
              <w:rPr>
                <w:noProof/>
                <w:webHidden/>
              </w:rPr>
            </w:r>
            <w:r w:rsidR="000A3E81">
              <w:rPr>
                <w:noProof/>
                <w:webHidden/>
              </w:rPr>
              <w:fldChar w:fldCharType="separate"/>
            </w:r>
            <w:r w:rsidR="00C1276A">
              <w:rPr>
                <w:noProof/>
                <w:webHidden/>
              </w:rPr>
              <w:t>34</w:t>
            </w:r>
            <w:r w:rsidR="000A3E81">
              <w:rPr>
                <w:noProof/>
                <w:webHidden/>
              </w:rPr>
              <w:fldChar w:fldCharType="end"/>
            </w:r>
          </w:hyperlink>
        </w:p>
        <w:p w14:paraId="3087EB93" w14:textId="4C0442EE" w:rsidR="000A3E81" w:rsidRDefault="00461ACC">
          <w:pPr>
            <w:pStyle w:val="TOC3"/>
            <w:tabs>
              <w:tab w:val="right" w:leader="dot" w:pos="9016"/>
            </w:tabs>
            <w:rPr>
              <w:rFonts w:asciiTheme="minorHAnsi" w:eastAsiaTheme="minorEastAsia" w:hAnsiTheme="minorHAnsi"/>
              <w:noProof/>
              <w:color w:val="auto"/>
              <w:sz w:val="22"/>
              <w:lang w:eastAsia="en-GB"/>
            </w:rPr>
          </w:pPr>
          <w:hyperlink w:anchor="_Toc513777964" w:history="1">
            <w:r w:rsidR="000A3E81" w:rsidRPr="002B71D5">
              <w:rPr>
                <w:rStyle w:val="Hyperlink"/>
                <w:noProof/>
              </w:rPr>
              <w:t>Ancient Sources</w:t>
            </w:r>
            <w:r w:rsidR="000A3E81">
              <w:rPr>
                <w:noProof/>
                <w:webHidden/>
              </w:rPr>
              <w:tab/>
            </w:r>
            <w:r w:rsidR="000A3E81">
              <w:rPr>
                <w:noProof/>
                <w:webHidden/>
              </w:rPr>
              <w:fldChar w:fldCharType="begin"/>
            </w:r>
            <w:r w:rsidR="000A3E81">
              <w:rPr>
                <w:noProof/>
                <w:webHidden/>
              </w:rPr>
              <w:instrText xml:space="preserve"> PAGEREF _Toc513777964 \h </w:instrText>
            </w:r>
            <w:r w:rsidR="000A3E81">
              <w:rPr>
                <w:noProof/>
                <w:webHidden/>
              </w:rPr>
            </w:r>
            <w:r w:rsidR="000A3E81">
              <w:rPr>
                <w:noProof/>
                <w:webHidden/>
              </w:rPr>
              <w:fldChar w:fldCharType="separate"/>
            </w:r>
            <w:r w:rsidR="00C1276A">
              <w:rPr>
                <w:noProof/>
                <w:webHidden/>
              </w:rPr>
              <w:t>34</w:t>
            </w:r>
            <w:r w:rsidR="000A3E81">
              <w:rPr>
                <w:noProof/>
                <w:webHidden/>
              </w:rPr>
              <w:fldChar w:fldCharType="end"/>
            </w:r>
          </w:hyperlink>
        </w:p>
        <w:p w14:paraId="696545B5" w14:textId="425C3665" w:rsidR="000A3E81" w:rsidRDefault="00461ACC">
          <w:pPr>
            <w:pStyle w:val="TOC3"/>
            <w:tabs>
              <w:tab w:val="right" w:leader="dot" w:pos="9016"/>
            </w:tabs>
            <w:rPr>
              <w:rFonts w:asciiTheme="minorHAnsi" w:eastAsiaTheme="minorEastAsia" w:hAnsiTheme="minorHAnsi"/>
              <w:noProof/>
              <w:color w:val="auto"/>
              <w:sz w:val="22"/>
              <w:lang w:eastAsia="en-GB"/>
            </w:rPr>
          </w:pPr>
          <w:hyperlink w:anchor="_Toc513777965" w:history="1">
            <w:r w:rsidR="000A3E81" w:rsidRPr="002B71D5">
              <w:rPr>
                <w:rStyle w:val="Hyperlink"/>
                <w:noProof/>
              </w:rPr>
              <w:t>Modern Scholarship</w:t>
            </w:r>
            <w:r w:rsidR="000A3E81">
              <w:rPr>
                <w:noProof/>
                <w:webHidden/>
              </w:rPr>
              <w:tab/>
            </w:r>
            <w:r w:rsidR="000A3E81">
              <w:rPr>
                <w:noProof/>
                <w:webHidden/>
              </w:rPr>
              <w:fldChar w:fldCharType="begin"/>
            </w:r>
            <w:r w:rsidR="000A3E81">
              <w:rPr>
                <w:noProof/>
                <w:webHidden/>
              </w:rPr>
              <w:instrText xml:space="preserve"> PAGEREF _Toc513777965 \h </w:instrText>
            </w:r>
            <w:r w:rsidR="000A3E81">
              <w:rPr>
                <w:noProof/>
                <w:webHidden/>
              </w:rPr>
            </w:r>
            <w:r w:rsidR="000A3E81">
              <w:rPr>
                <w:noProof/>
                <w:webHidden/>
              </w:rPr>
              <w:fldChar w:fldCharType="separate"/>
            </w:r>
            <w:r w:rsidR="00C1276A">
              <w:rPr>
                <w:noProof/>
                <w:webHidden/>
              </w:rPr>
              <w:t>35</w:t>
            </w:r>
            <w:r w:rsidR="000A3E81">
              <w:rPr>
                <w:noProof/>
                <w:webHidden/>
              </w:rPr>
              <w:fldChar w:fldCharType="end"/>
            </w:r>
          </w:hyperlink>
        </w:p>
        <w:p w14:paraId="7ABA0753" w14:textId="37DDF979" w:rsidR="00660ECA" w:rsidRPr="00346E39" w:rsidRDefault="00660ECA">
          <w:pPr>
            <w:rPr>
              <w:rFonts w:cs="Times New Roman"/>
              <w:sz w:val="32"/>
              <w:szCs w:val="32"/>
            </w:rPr>
          </w:pPr>
          <w:r w:rsidRPr="00346E39">
            <w:rPr>
              <w:rFonts w:cs="Times New Roman"/>
              <w:b/>
              <w:bCs/>
              <w:noProof/>
              <w:sz w:val="32"/>
              <w:szCs w:val="32"/>
            </w:rPr>
            <w:fldChar w:fldCharType="end"/>
          </w:r>
        </w:p>
      </w:sdtContent>
    </w:sdt>
    <w:p w14:paraId="29085192" w14:textId="13BAC70A" w:rsidR="00E82C8A" w:rsidRDefault="00E82C8A">
      <w:pPr>
        <w:rPr>
          <w:rFonts w:cs="Times New Roman"/>
        </w:rPr>
      </w:pPr>
      <w:r>
        <w:rPr>
          <w:rFonts w:cs="Times New Roman"/>
        </w:rPr>
        <w:br w:type="page"/>
      </w:r>
    </w:p>
    <w:p w14:paraId="645FA5F3" w14:textId="77777777" w:rsidR="000049F3" w:rsidRDefault="00E82C8A" w:rsidP="000A5F5A">
      <w:pPr>
        <w:pStyle w:val="Heading2"/>
      </w:pPr>
      <w:bookmarkStart w:id="1" w:name="_Toc513777950"/>
      <w:r>
        <w:lastRenderedPageBreak/>
        <w:t>Acknowledgements</w:t>
      </w:r>
      <w:bookmarkEnd w:id="1"/>
    </w:p>
    <w:p w14:paraId="5A76706D" w14:textId="51A01DD0" w:rsidR="00DA4A88" w:rsidRDefault="00DA4A88" w:rsidP="00375288">
      <w:r>
        <w:t xml:space="preserve">First and foremost, I would like to dedicate my dissertation to my Nanna Frances; who I know would be immensely proud of me for completing my degree. </w:t>
      </w:r>
    </w:p>
    <w:p w14:paraId="37057DFE" w14:textId="22C9C3BB" w:rsidR="00CE6CC5" w:rsidRDefault="000049F3" w:rsidP="00375288">
      <w:r>
        <w:t xml:space="preserve">I would like </w:t>
      </w:r>
      <w:r w:rsidR="00DA4A88">
        <w:t xml:space="preserve">to thank </w:t>
      </w:r>
      <w:r>
        <w:t xml:space="preserve">my mum for all her support throughout my education. Without her unwavering belief in my ability, I would not have continued here at UWTSD. </w:t>
      </w:r>
      <w:r w:rsidR="00CE6CC5">
        <w:t>I would also like to extend</w:t>
      </w:r>
      <w:r w:rsidR="00DA4A88">
        <w:t xml:space="preserve"> this</w:t>
      </w:r>
      <w:r w:rsidR="00CE6CC5">
        <w:t xml:space="preserve"> thanks to my Nanna Goldstone</w:t>
      </w:r>
      <w:r w:rsidR="00DA4A88">
        <w:t>;</w:t>
      </w:r>
      <w:r w:rsidR="00CE6CC5">
        <w:t xml:space="preserve"> for the various random care packages, letters</w:t>
      </w:r>
      <w:r w:rsidR="00DA4A88">
        <w:t>,</w:t>
      </w:r>
      <w:r w:rsidR="00CE6CC5">
        <w:t xml:space="preserve"> and photos from events I was unable to a</w:t>
      </w:r>
      <w:r w:rsidR="00DA4A88">
        <w:t xml:space="preserve">ttend while at university. </w:t>
      </w:r>
    </w:p>
    <w:p w14:paraId="001EF422" w14:textId="5B8C78DC" w:rsidR="00CE6CC5" w:rsidRDefault="000049F3" w:rsidP="00375288">
      <w:r>
        <w:t xml:space="preserve">I would also like to acknowledge Marika and Erik Hills for their supportive snapchats throughout writing this paper. </w:t>
      </w:r>
    </w:p>
    <w:p w14:paraId="100F2E08" w14:textId="6145C237" w:rsidR="00CE6CC5" w:rsidRDefault="00CE6CC5" w:rsidP="00375288">
      <w:pPr>
        <w:rPr>
          <w:rFonts w:cs="Times New Roman"/>
        </w:rPr>
      </w:pPr>
      <w:r>
        <w:t>Shout-out to Alex Branch, Hannah Kozdoj, and Eleanor Travers for</w:t>
      </w:r>
      <w:r w:rsidR="00DA4A88">
        <w:t xml:space="preserve"> being the cynical and dry humoured people you are,</w:t>
      </w:r>
      <w:r>
        <w:t xml:space="preserve"> supporting me through my entire university </w:t>
      </w:r>
      <w:r w:rsidR="00DA4A88">
        <w:t xml:space="preserve">career and </w:t>
      </w:r>
      <w:r>
        <w:t>most importantly</w:t>
      </w:r>
      <w:r w:rsidR="00DA4A88">
        <w:t>,</w:t>
      </w:r>
      <w:r>
        <w:t xml:space="preserve"> second year. You’re the real MVP’s.</w:t>
      </w:r>
      <w:r w:rsidR="000049F3">
        <w:rPr>
          <w:rFonts w:cs="Times New Roman"/>
        </w:rPr>
        <w:t xml:space="preserve"> </w:t>
      </w:r>
    </w:p>
    <w:p w14:paraId="2554E8EF" w14:textId="34216C55" w:rsidR="00CE6CC5" w:rsidRDefault="00CE6CC5" w:rsidP="00375288">
      <w:pPr>
        <w:rPr>
          <w:rFonts w:cs="Times New Roman"/>
        </w:rPr>
      </w:pPr>
      <w:r>
        <w:rPr>
          <w:rFonts w:cs="Times New Roman"/>
        </w:rPr>
        <w:t>Special thanks to</w:t>
      </w:r>
      <w:r w:rsidR="000049F3">
        <w:rPr>
          <w:rFonts w:cs="Times New Roman"/>
        </w:rPr>
        <w:t xml:space="preserve"> Dr. Brenda Llewellyn-Ihssen for all the time she ga</w:t>
      </w:r>
      <w:r>
        <w:rPr>
          <w:rFonts w:cs="Times New Roman"/>
        </w:rPr>
        <w:t xml:space="preserve">ve guiding </w:t>
      </w:r>
      <w:r w:rsidR="000049F3">
        <w:rPr>
          <w:rFonts w:cs="Times New Roman"/>
        </w:rPr>
        <w:t>me</w:t>
      </w:r>
      <w:r>
        <w:rPr>
          <w:rFonts w:cs="Times New Roman"/>
        </w:rPr>
        <w:t xml:space="preserve"> to</w:t>
      </w:r>
      <w:r w:rsidR="000049F3">
        <w:rPr>
          <w:rFonts w:cs="Times New Roman"/>
        </w:rPr>
        <w:t xml:space="preserve"> write this paper, which would not have been completed without her supervision. I am extremely grateful for all your help throughout the past academic year. </w:t>
      </w:r>
    </w:p>
    <w:p w14:paraId="13D7C10E" w14:textId="242927B3" w:rsidR="00CB4323" w:rsidRPr="00CB4323" w:rsidRDefault="00CE6CC5" w:rsidP="00375288">
      <w:pPr>
        <w:rPr>
          <w:rFonts w:cs="Times New Roman"/>
        </w:rPr>
      </w:pPr>
      <w:r>
        <w:rPr>
          <w:rFonts w:cs="Times New Roman"/>
        </w:rPr>
        <w:t xml:space="preserve">I would also like to thank Jordanne Kelsey Gray for being the best human being ever, especially over the last year. She never fails to go above and beyond for me and I can only hope there will be a time I can repay the favour: even if it’s just bringing her Fanta and popcorn while she’s completing an assignment in solitude, as she has done for me. </w:t>
      </w:r>
    </w:p>
    <w:p w14:paraId="212C2F45" w14:textId="77777777" w:rsidR="00CB4323" w:rsidRDefault="00CE6CC5" w:rsidP="00375288">
      <w:pPr>
        <w:rPr>
          <w:rFonts w:cs="Times New Roman"/>
        </w:rPr>
      </w:pPr>
      <w:r>
        <w:rPr>
          <w:rFonts w:cs="Times New Roman"/>
        </w:rPr>
        <w:t>And last, but not least, I would like to thank Thomas Michael Hills for his constant support over the last 3 yea</w:t>
      </w:r>
      <w:r w:rsidR="00DA4A88">
        <w:rPr>
          <w:rFonts w:cs="Times New Roman"/>
        </w:rPr>
        <w:t>rs. I could not imagine my life without you by my side. Thank you for everything you have done for me ov</w:t>
      </w:r>
      <w:r w:rsidR="00CB4323">
        <w:rPr>
          <w:rFonts w:cs="Times New Roman"/>
        </w:rPr>
        <w:t xml:space="preserve">er our time at university. </w:t>
      </w:r>
    </w:p>
    <w:p w14:paraId="5DEA73AE" w14:textId="77777777" w:rsidR="00CB4323" w:rsidRDefault="00CB4323" w:rsidP="00375288">
      <w:pPr>
        <w:rPr>
          <w:rFonts w:cs="Times New Roman"/>
        </w:rPr>
      </w:pPr>
    </w:p>
    <w:p w14:paraId="3A8B1567" w14:textId="77777777" w:rsidR="00CB4323" w:rsidRDefault="00CB4323" w:rsidP="00375288">
      <w:pPr>
        <w:rPr>
          <w:rFonts w:cs="Times New Roman"/>
        </w:rPr>
      </w:pPr>
      <w:r>
        <w:rPr>
          <w:rFonts w:cs="Times New Roman"/>
        </w:rPr>
        <w:t xml:space="preserve">To all, </w:t>
      </w:r>
    </w:p>
    <w:p w14:paraId="2A54460E" w14:textId="6EF807DA" w:rsidR="00CB4323" w:rsidRDefault="00CB4323" w:rsidP="00375288">
      <w:pPr>
        <w:rPr>
          <w:rFonts w:eastAsiaTheme="majorEastAsia" w:cs="Times New Roman"/>
          <w:szCs w:val="26"/>
        </w:rPr>
      </w:pPr>
      <w:r>
        <w:rPr>
          <w:rFonts w:cs="Times New Roman"/>
        </w:rPr>
        <w:tab/>
        <w:t>Sissy that walk.</w:t>
      </w:r>
      <w:r>
        <w:rPr>
          <w:rFonts w:cs="Times New Roman"/>
        </w:rPr>
        <w:br w:type="page"/>
      </w:r>
    </w:p>
    <w:p w14:paraId="42C2F5CE" w14:textId="77777777" w:rsidR="00E82C8A" w:rsidRPr="00CE6CC5" w:rsidRDefault="00E82C8A" w:rsidP="00CE6CC5">
      <w:pPr>
        <w:pStyle w:val="Heading2"/>
        <w:jc w:val="left"/>
        <w:rPr>
          <w:rFonts w:cs="Times New Roman"/>
        </w:rPr>
      </w:pPr>
    </w:p>
    <w:p w14:paraId="36C92C1F" w14:textId="038242F5" w:rsidR="002635CA" w:rsidRDefault="002635CA" w:rsidP="0038017A">
      <w:pPr>
        <w:pStyle w:val="Heading2"/>
        <w:spacing w:line="480" w:lineRule="auto"/>
      </w:pPr>
      <w:bookmarkStart w:id="2" w:name="_Toc513777951"/>
      <w:r>
        <w:t>Introduction</w:t>
      </w:r>
      <w:bookmarkEnd w:id="2"/>
    </w:p>
    <w:p w14:paraId="374F6CB9" w14:textId="77777777" w:rsidR="000A3279" w:rsidRPr="000A3279" w:rsidRDefault="000A3279" w:rsidP="0038017A">
      <w:pPr>
        <w:spacing w:line="480" w:lineRule="auto"/>
      </w:pPr>
    </w:p>
    <w:p w14:paraId="5EAE6CCA" w14:textId="7B7E681B" w:rsidR="002635CA" w:rsidRDefault="002635CA" w:rsidP="0038017A">
      <w:pPr>
        <w:spacing w:line="480" w:lineRule="auto"/>
        <w:rPr>
          <w:rFonts w:cs="Times New Roman"/>
        </w:rPr>
      </w:pPr>
      <w:r>
        <w:rPr>
          <w:rFonts w:cs="Times New Roman"/>
        </w:rPr>
        <w:t>Healthcare is a fundamental part of al</w:t>
      </w:r>
      <w:r w:rsidR="000A3279">
        <w:rPr>
          <w:rFonts w:cs="Times New Roman"/>
        </w:rPr>
        <w:t>l societies, modern and ancient. I</w:t>
      </w:r>
      <w:r>
        <w:rPr>
          <w:rFonts w:cs="Times New Roman"/>
        </w:rPr>
        <w:t>t’s a cross cultural necessity and is practice</w:t>
      </w:r>
      <w:r w:rsidR="0070330E">
        <w:rPr>
          <w:rFonts w:cs="Times New Roman"/>
        </w:rPr>
        <w:t>d</w:t>
      </w:r>
      <w:r>
        <w:rPr>
          <w:rFonts w:cs="Times New Roman"/>
        </w:rPr>
        <w:t xml:space="preserve"> in many different forms. The type of healthcare provided in a society varies depen</w:t>
      </w:r>
      <w:r w:rsidR="0070330E">
        <w:rPr>
          <w:rFonts w:cs="Times New Roman"/>
        </w:rPr>
        <w:t>ding on numerous factors, but religion</w:t>
      </w:r>
      <w:r>
        <w:rPr>
          <w:rFonts w:cs="Times New Roman"/>
        </w:rPr>
        <w:t xml:space="preserve"> is inarguably importan</w:t>
      </w:r>
      <w:r w:rsidR="0070330E">
        <w:rPr>
          <w:rFonts w:cs="Times New Roman"/>
        </w:rPr>
        <w:t>t for, and the development of, a societies healthcare model</w:t>
      </w:r>
      <w:r w:rsidR="0094354A">
        <w:rPr>
          <w:rFonts w:cs="Times New Roman"/>
        </w:rPr>
        <w:t xml:space="preserve">. The moral and ethical standards that are written into </w:t>
      </w:r>
      <w:r w:rsidR="00763421">
        <w:rPr>
          <w:rFonts w:cs="Times New Roman"/>
        </w:rPr>
        <w:t>the framework of a developing healthcare system corresponds to the moral and ethical standards of the religion</w:t>
      </w:r>
      <w:r w:rsidR="0094354A">
        <w:rPr>
          <w:rFonts w:cs="Times New Roman"/>
        </w:rPr>
        <w:t xml:space="preserve"> that it is developed under</w:t>
      </w:r>
      <w:r>
        <w:rPr>
          <w:rFonts w:cs="Times New Roman"/>
        </w:rPr>
        <w:t>.</w:t>
      </w:r>
      <w:r w:rsidR="0094354A">
        <w:rPr>
          <w:rStyle w:val="FootnoteReference"/>
          <w:rFonts w:cs="Times New Roman"/>
        </w:rPr>
        <w:footnoteReference w:id="2"/>
      </w:r>
      <w:r>
        <w:rPr>
          <w:rFonts w:cs="Times New Roman"/>
        </w:rPr>
        <w:t xml:space="preserve"> In the modern era, there is more focus than ever on the intrusion of religion in medicine, with little regard to healthcare’s roots as an early Christian movement. Mainstream ideology concerning religion and medicinal healthcare frameworks often calls for a separation between church and state. It is within this modern phenomenon that classicists have attempted to salvage the positive influence religion has had on healthcare practice and vice-versa. </w:t>
      </w:r>
      <w:r w:rsidR="00544A7E">
        <w:rPr>
          <w:rFonts w:cs="Times New Roman"/>
        </w:rPr>
        <w:t xml:space="preserve">The study of medicinal history within religious frameworks can also aid the modern individual in understanding the ethical or moral implications of a healthcare practice. </w:t>
      </w:r>
      <w:r>
        <w:rPr>
          <w:rFonts w:cs="Times New Roman"/>
        </w:rPr>
        <w:t>Although primitive compared to modern notions of care frameworks, the ancient healthcare frameworks flourished under the direct influence of religious practice. Owing to physicians such as Hippocrates, the implementation of rational and ethical medicine acted as a catalyst for the development of modern medicine. The Hippocratic Corpus was still consulted as late as the 19</w:t>
      </w:r>
      <w:r w:rsidRPr="003D4B74">
        <w:rPr>
          <w:rFonts w:cs="Times New Roman"/>
          <w:vertAlign w:val="superscript"/>
        </w:rPr>
        <w:t>th</w:t>
      </w:r>
      <w:r>
        <w:rPr>
          <w:rFonts w:cs="Times New Roman"/>
        </w:rPr>
        <w:t xml:space="preserve"> century,</w:t>
      </w:r>
      <w:r>
        <w:rPr>
          <w:rStyle w:val="FootnoteReference"/>
          <w:rFonts w:cs="Times New Roman"/>
        </w:rPr>
        <w:footnoteReference w:id="3"/>
      </w:r>
      <w:r>
        <w:rPr>
          <w:rFonts w:cs="Times New Roman"/>
        </w:rPr>
        <w:t xml:space="preserve"> due to its popularity in the development of western medicine. Comparatively, the early Christian healthcare model based itself on healing those of poor health, rather than curing them. This type of healthcare offered free care to those afflicted by poverty and ill-health,</w:t>
      </w:r>
      <w:r>
        <w:rPr>
          <w:rStyle w:val="FootnoteReference"/>
          <w:rFonts w:cs="Times New Roman"/>
        </w:rPr>
        <w:footnoteReference w:id="4"/>
      </w:r>
      <w:r>
        <w:rPr>
          <w:rFonts w:cs="Times New Roman"/>
        </w:rPr>
        <w:t xml:space="preserve"> which became a central theme of the </w:t>
      </w:r>
      <w:r>
        <w:rPr>
          <w:rFonts w:cs="Times New Roman"/>
        </w:rPr>
        <w:lastRenderedPageBreak/>
        <w:t>religion and contributed to its growing popularity among other factors. One of the most fascinating parts of any healthcare model is the circumstances under which it is developed and by whom. The early Christian healthcare model was heavily influenced by the early Christian doctrine and the socio-economic climate under which the religion was developed.</w:t>
      </w:r>
      <w:r w:rsidR="0020524D">
        <w:rPr>
          <w:rStyle w:val="FootnoteReference"/>
          <w:rFonts w:cs="Times New Roman"/>
        </w:rPr>
        <w:footnoteReference w:id="5"/>
      </w:r>
      <w:r>
        <w:rPr>
          <w:rFonts w:cs="Times New Roman"/>
        </w:rPr>
        <w:t xml:space="preserve"> The high levels of poverty, famine and disease in society during the first three centuries of Christianity is emphasised in both the early Christian doctrine and its healthcare model, which intrinsically seek to prevent the spread of such. The reason why Christianity became increasingly focused on the sick and diseased, or rather focused on providing care for those individuals, is still deliberated in scholarship as an influence of the environment under which it was created. However, new theological approaches to the study of early Christian healthcare present a more complex view. Although there have been many studies published on healthcare in late antiquity, few focus solely on the transition from Graeco-Roman to early Christian healthcare or the public perception of healthcare in the late Roman Empire. Until the rise of Christianity, society possesses a relatively low view of the sick, diseased and malnourished,</w:t>
      </w:r>
      <w:r w:rsidR="005D45F8">
        <w:rPr>
          <w:rStyle w:val="FootnoteReference"/>
          <w:rFonts w:cs="Times New Roman"/>
        </w:rPr>
        <w:footnoteReference w:id="6"/>
      </w:r>
      <w:r>
        <w:rPr>
          <w:rFonts w:cs="Times New Roman"/>
        </w:rPr>
        <w:t xml:space="preserve"> and many sought to avoid these individuals;</w:t>
      </w:r>
      <w:r w:rsidR="005D45F8">
        <w:rPr>
          <w:rStyle w:val="FootnoteReference"/>
          <w:rFonts w:cs="Times New Roman"/>
        </w:rPr>
        <w:footnoteReference w:id="7"/>
      </w:r>
      <w:r>
        <w:rPr>
          <w:rFonts w:cs="Times New Roman"/>
        </w:rPr>
        <w:t xml:space="preserve"> as such they often fell on the periphery of society. The difference in the perception of the diseased and their place in society is an important change that Christian healthcare made in late Antiquity. This difference in treatment appears to lie within the boundaries of change between a Polytheistic to Monotheistic religion. Changing perceptions of the religious landscape of the empire led to a full reform of many societal wide understandings of the naturalistic world, including that concerning disease and effective care.</w:t>
      </w:r>
      <w:r w:rsidR="00F5782D">
        <w:rPr>
          <w:rStyle w:val="FootnoteReference"/>
          <w:rFonts w:cs="Times New Roman"/>
        </w:rPr>
        <w:footnoteReference w:id="8"/>
      </w:r>
      <w:r>
        <w:rPr>
          <w:rFonts w:cs="Times New Roman"/>
        </w:rPr>
        <w:t xml:space="preserve"> The transition from a polytheistic to monotheistic religion is discussed, although somewhat briefly, by He</w:t>
      </w:r>
      <w:r w:rsidR="00BE2940">
        <w:rPr>
          <w:rFonts w:cs="Times New Roman"/>
        </w:rPr>
        <w:t>ctor Avalos (1999); and while</w:t>
      </w:r>
      <w:r>
        <w:rPr>
          <w:rFonts w:cs="Times New Roman"/>
        </w:rPr>
        <w:t xml:space="preserve"> Avalos </w:t>
      </w:r>
      <w:r>
        <w:rPr>
          <w:rFonts w:cs="Times New Roman"/>
        </w:rPr>
        <w:lastRenderedPageBreak/>
        <w:t>clearly states the charac</w:t>
      </w:r>
      <w:r w:rsidR="00BE2940">
        <w:rPr>
          <w:rFonts w:cs="Times New Roman"/>
        </w:rPr>
        <w:t>teristics that separate the two but</w:t>
      </w:r>
      <w:r>
        <w:rPr>
          <w:rFonts w:cs="Times New Roman"/>
        </w:rPr>
        <w:t xml:space="preserve"> he does not divulge much detail regarding its effect, perception or implementation in society.</w:t>
      </w:r>
      <w:r>
        <w:rPr>
          <w:rStyle w:val="FootnoteReference"/>
          <w:rFonts w:cs="Times New Roman"/>
        </w:rPr>
        <w:footnoteReference w:id="9"/>
      </w:r>
      <w:r>
        <w:rPr>
          <w:rFonts w:cs="Times New Roman"/>
        </w:rPr>
        <w:t xml:space="preserve"> The same is found in </w:t>
      </w:r>
      <w:r w:rsidR="00704620">
        <w:rPr>
          <w:rFonts w:cs="Times New Roman"/>
        </w:rPr>
        <w:t>Ferngren’s</w:t>
      </w:r>
      <w:r>
        <w:rPr>
          <w:rFonts w:cs="Times New Roman"/>
        </w:rPr>
        <w:t xml:space="preserve"> work (2009, 2014), where the transitionary period between Graeco-Roman and early Christian healthcare is alluded too but not discussed in the depth the subject merits. </w:t>
      </w:r>
      <w:r w:rsidR="00214430">
        <w:rPr>
          <w:rFonts w:cs="Times New Roman"/>
        </w:rPr>
        <w:t>One fundamental difference that separates the early Christian healthcare model from the Graeco-Roman one is the focus on healing and care, rather than treatment and cure. It is at this point that one should clarify that healing and caring are not synonymous with treating or curing.</w:t>
      </w:r>
      <w:r w:rsidR="00214430">
        <w:rPr>
          <w:rStyle w:val="FootnoteReference"/>
          <w:rFonts w:cs="Times New Roman"/>
        </w:rPr>
        <w:footnoteReference w:id="10"/>
      </w:r>
      <w:r w:rsidR="00214430">
        <w:rPr>
          <w:rFonts w:cs="Times New Roman"/>
        </w:rPr>
        <w:t xml:space="preserve"> The early Christian healthcare model did now seek to cure, it simply sought to heal. Either spiritually (through conversion, presumably) or physically (providing the malnourished with food).   </w:t>
      </w:r>
      <w:r>
        <w:rPr>
          <w:rFonts w:cs="Times New Roman"/>
        </w:rPr>
        <w:t xml:space="preserve">Scholarship surrounding Graeco-Roman and early Christian healthcare provides an increasingly disjointed view of societal perceptions of </w:t>
      </w:r>
      <w:r w:rsidR="00214430">
        <w:rPr>
          <w:rFonts w:cs="Times New Roman"/>
        </w:rPr>
        <w:t>healthcare that</w:t>
      </w:r>
      <w:r>
        <w:rPr>
          <w:rFonts w:cs="Times New Roman"/>
        </w:rPr>
        <w:t xml:space="preserve"> </w:t>
      </w:r>
      <w:r w:rsidR="00214430">
        <w:rPr>
          <w:rFonts w:cs="Times New Roman"/>
        </w:rPr>
        <w:t xml:space="preserve">inherently </w:t>
      </w:r>
      <w:r>
        <w:rPr>
          <w:rFonts w:cs="Times New Roman"/>
        </w:rPr>
        <w:t>relies on the socio-economic status of a patient in the ancient world.</w:t>
      </w:r>
      <w:r w:rsidR="00E82C8A">
        <w:rPr>
          <w:rFonts w:cs="Times New Roman"/>
        </w:rPr>
        <w:t xml:space="preserve"> The same is found within the work of Early Christians and their Roman counterparts, and so </w:t>
      </w:r>
      <w:r w:rsidR="002771E2">
        <w:rPr>
          <w:rFonts w:cs="Times New Roman"/>
        </w:rPr>
        <w:t xml:space="preserve">it is the prerogative of the modern reader to establish how these ancient Roman and early Christian sources present a realistic or distorted view of healthcare under both respective healthcare systems. </w:t>
      </w:r>
      <w:r w:rsidR="003D1FC5">
        <w:rPr>
          <w:rFonts w:cs="Times New Roman"/>
        </w:rPr>
        <w:t xml:space="preserve">Using Roman literary sources such as Galen’s </w:t>
      </w:r>
      <w:r w:rsidR="003D1FC5">
        <w:rPr>
          <w:rFonts w:cs="Times New Roman"/>
          <w:i/>
        </w:rPr>
        <w:t xml:space="preserve">The Art of Medicine, </w:t>
      </w:r>
      <w:r w:rsidR="003D1FC5">
        <w:rPr>
          <w:rFonts w:cs="Times New Roman"/>
        </w:rPr>
        <w:t xml:space="preserve">Hippocrates’ </w:t>
      </w:r>
      <w:r w:rsidR="003D1FC5">
        <w:rPr>
          <w:rFonts w:cs="Times New Roman"/>
          <w:i/>
        </w:rPr>
        <w:t>Hippocratic Corpus</w:t>
      </w:r>
      <w:r w:rsidR="003D1FC5">
        <w:rPr>
          <w:rFonts w:cs="Times New Roman"/>
        </w:rPr>
        <w:t xml:space="preserve"> and Suetonius’ </w:t>
      </w:r>
      <w:r w:rsidR="003D1FC5">
        <w:rPr>
          <w:rFonts w:cs="Times New Roman"/>
          <w:i/>
        </w:rPr>
        <w:t>Lives of the Twelve Caesars</w:t>
      </w:r>
      <w:r w:rsidR="003D1FC5">
        <w:rPr>
          <w:rFonts w:cs="Times New Roman"/>
        </w:rPr>
        <w:t xml:space="preserve">; in conjunction with early Christian literature from Cyprian of Carthage, Eusebius and </w:t>
      </w:r>
      <w:r w:rsidR="00844B73">
        <w:rPr>
          <w:rFonts w:cs="Times New Roman"/>
        </w:rPr>
        <w:t>Gregory of Nazianzus:</w:t>
      </w:r>
      <w:r w:rsidR="002771E2">
        <w:rPr>
          <w:rFonts w:cs="Times New Roman"/>
        </w:rPr>
        <w:t xml:space="preserve"> this paper seeks to show the reader the importance of universality of care in the Late Antique Roman Empire. </w:t>
      </w:r>
      <w:r w:rsidR="006244D0">
        <w:rPr>
          <w:rFonts w:cs="Times New Roman"/>
        </w:rPr>
        <w:t>This paper attempts</w:t>
      </w:r>
      <w:r>
        <w:rPr>
          <w:rFonts w:cs="Times New Roman"/>
        </w:rPr>
        <w:t xml:space="preserve"> t</w:t>
      </w:r>
      <w:r w:rsidRPr="001421DD">
        <w:rPr>
          <w:rFonts w:cs="Times New Roman"/>
        </w:rPr>
        <w:t>o show how early Christ</w:t>
      </w:r>
      <w:r>
        <w:rPr>
          <w:rFonts w:cs="Times New Roman"/>
        </w:rPr>
        <w:t>ianity used the notion of universal</w:t>
      </w:r>
      <w:r w:rsidRPr="001421DD">
        <w:rPr>
          <w:rFonts w:cs="Times New Roman"/>
        </w:rPr>
        <w:t xml:space="preserve"> healthcare and wide spread disease to further the religion by encompassing the sick and diseased in society and creating an environment in which</w:t>
      </w:r>
      <w:r>
        <w:rPr>
          <w:rFonts w:cs="Times New Roman"/>
        </w:rPr>
        <w:t xml:space="preserve"> the misfortune of the sick, diseased and poor was no longer viewed with disdain. Creating a society in which individuals were</w:t>
      </w:r>
      <w:r w:rsidRPr="001421DD">
        <w:rPr>
          <w:rFonts w:cs="Times New Roman"/>
        </w:rPr>
        <w:t xml:space="preserve"> enc</w:t>
      </w:r>
      <w:r w:rsidR="0070330E">
        <w:rPr>
          <w:rFonts w:cs="Times New Roman"/>
        </w:rPr>
        <w:t xml:space="preserve">ouraged to aid the </w:t>
      </w:r>
      <w:r w:rsidR="0070330E">
        <w:rPr>
          <w:rFonts w:cs="Times New Roman"/>
        </w:rPr>
        <w:lastRenderedPageBreak/>
        <w:t xml:space="preserve">misfortunate in order to live a virtuous lifestyle and gain salvation </w:t>
      </w:r>
      <w:r>
        <w:rPr>
          <w:rFonts w:cs="Times New Roman"/>
        </w:rPr>
        <w:t xml:space="preserve">in the afterlife. It will also include discussion on Graeco-Roman healthcare to highlight the preliminary changes made by early Christianity in the transitionary period from Polytheism to Monotheism. Simultaneously, it intends to conclude whether the focus on the misfortunate in early Christianity was intentional by exploring different early Christian approaches to healthcare and its implementation in society. Focusing on the ideology that separates the different healthcare views possessed in Late Antiquity, this paper also examines the notions of salvation and causation under the early Christian doctrine. </w:t>
      </w:r>
    </w:p>
    <w:p w14:paraId="62F15257" w14:textId="57D6415B" w:rsidR="00154CB2" w:rsidRPr="00154CB2" w:rsidRDefault="002635CA" w:rsidP="0038017A">
      <w:pPr>
        <w:spacing w:line="480" w:lineRule="auto"/>
        <w:rPr>
          <w:rFonts w:cs="Times New Roman"/>
          <w:color w:val="auto"/>
          <w:sz w:val="22"/>
        </w:rPr>
      </w:pPr>
      <w:r>
        <w:rPr>
          <w:rFonts w:cs="Times New Roman"/>
        </w:rPr>
        <w:br w:type="page"/>
      </w:r>
    </w:p>
    <w:p w14:paraId="64C973BF" w14:textId="62CE80AF" w:rsidR="00154CB2" w:rsidRDefault="000570AE" w:rsidP="0038017A">
      <w:pPr>
        <w:pStyle w:val="Heading2"/>
        <w:spacing w:line="480" w:lineRule="auto"/>
      </w:pPr>
      <w:bookmarkStart w:id="3" w:name="_Toc513777952"/>
      <w:r>
        <w:lastRenderedPageBreak/>
        <w:t>Source Criticism</w:t>
      </w:r>
      <w:bookmarkEnd w:id="3"/>
    </w:p>
    <w:p w14:paraId="272BB1CC" w14:textId="77777777" w:rsidR="00F11E5F" w:rsidRPr="00F11E5F" w:rsidRDefault="00F11E5F" w:rsidP="0038017A">
      <w:pPr>
        <w:spacing w:line="480" w:lineRule="auto"/>
      </w:pPr>
    </w:p>
    <w:p w14:paraId="6E89D283" w14:textId="60AF6FAF" w:rsidR="0072569C" w:rsidRDefault="00154CB2" w:rsidP="0038017A">
      <w:pPr>
        <w:spacing w:line="480" w:lineRule="auto"/>
        <w:rPr>
          <w:rFonts w:cs="Times New Roman"/>
          <w:szCs w:val="24"/>
        </w:rPr>
      </w:pPr>
      <w:r>
        <w:rPr>
          <w:rFonts w:cs="Times New Roman"/>
          <w:szCs w:val="24"/>
        </w:rPr>
        <w:t>The prerequisite to this paper is to remain objective regarding the sources used, particularly Christian literature on the healthcare offered under its doctrine, and the socio-political climate of the Roman Empire according to Suetonius. The early Christian theology used remains just that: theological. While there is evidence that the early Christian doctrine influenced the healthcare system imposed under it, the implementation of a virtuous and philanthropic lifestyle by all those who claimed to follow the early Christian religion is unlikely.</w:t>
      </w:r>
      <w:r w:rsidR="00890AF1">
        <w:rPr>
          <w:rStyle w:val="FootnoteReference"/>
          <w:rFonts w:cs="Times New Roman"/>
          <w:szCs w:val="24"/>
        </w:rPr>
        <w:footnoteReference w:id="11"/>
      </w:r>
      <w:r>
        <w:rPr>
          <w:rFonts w:cs="Times New Roman"/>
          <w:szCs w:val="24"/>
        </w:rPr>
        <w:t xml:space="preserve"> </w:t>
      </w:r>
      <w:r w:rsidR="00890AF1">
        <w:rPr>
          <w:rFonts w:cs="Times New Roman"/>
          <w:szCs w:val="24"/>
        </w:rPr>
        <w:t>Meaning that, in all those who followed early Christianity, it is unlikely all acted as a charitable or selfless Christian at all times.</w:t>
      </w:r>
      <w:r w:rsidR="00177A4B">
        <w:rPr>
          <w:rStyle w:val="FootnoteReference"/>
          <w:rFonts w:cs="Times New Roman"/>
          <w:szCs w:val="24"/>
        </w:rPr>
        <w:footnoteReference w:id="12"/>
      </w:r>
      <w:r w:rsidR="00890AF1">
        <w:rPr>
          <w:rFonts w:cs="Times New Roman"/>
          <w:szCs w:val="24"/>
        </w:rPr>
        <w:t xml:space="preserve"> </w:t>
      </w:r>
      <w:r w:rsidR="0072569C">
        <w:rPr>
          <w:rFonts w:cs="Times New Roman"/>
          <w:szCs w:val="24"/>
        </w:rPr>
        <w:t>Which is even attested to in the New Testament itself;</w:t>
      </w:r>
    </w:p>
    <w:p w14:paraId="3F385F98" w14:textId="77777777" w:rsidR="006160D6" w:rsidRDefault="0072569C" w:rsidP="0038017A">
      <w:pPr>
        <w:spacing w:line="480" w:lineRule="auto"/>
        <w:ind w:left="720"/>
        <w:rPr>
          <w:rFonts w:cs="Times New Roman"/>
          <w:szCs w:val="24"/>
        </w:rPr>
      </w:pPr>
      <w:r w:rsidRPr="0072569C">
        <w:rPr>
          <w:rFonts w:cs="Times New Roman"/>
          <w:szCs w:val="24"/>
        </w:rPr>
        <w:t xml:space="preserve">“Not everyone who says to me, ‘Lord, Lord,’ will enter the kingdom of heaven, but the one who does the will of my Father who is in heaven. On that day many will say to me, ‘Lord, Lord, did we not prophesy in your name, and cast out demons in your name, and do many mighty works in your name?’ And then will I declare to them, ‘I never knew you; depart from </w:t>
      </w:r>
      <w:r w:rsidR="006160D6">
        <w:rPr>
          <w:rFonts w:cs="Times New Roman"/>
          <w:szCs w:val="24"/>
        </w:rPr>
        <w:t>me, you workers of lawlessness.”- Matt. 7:21-23</w:t>
      </w:r>
    </w:p>
    <w:p w14:paraId="0DBE9921" w14:textId="593119AD" w:rsidR="003314D2" w:rsidRDefault="003314D2" w:rsidP="0038017A">
      <w:pPr>
        <w:spacing w:line="480" w:lineRule="auto"/>
      </w:pPr>
      <w:r>
        <w:t xml:space="preserve">As such it is logical to assume that not all followers of Christianity acted as expected in early Christian theological scripture. One can also assume that not all followers of early Christianity, or the Jesus movement, partook in the care of the sick, diseased or dying; or in extension to this, provided sustenance to the malnourished. Even though such was expected of a follower </w:t>
      </w:r>
      <w:r w:rsidR="0057176F">
        <w:t>in</w:t>
      </w:r>
      <w:r>
        <w:t xml:space="preserve"> early </w:t>
      </w:r>
      <w:r w:rsidR="0057176F">
        <w:t>Christian theological text</w:t>
      </w:r>
      <w:r>
        <w:t xml:space="preserve">. </w:t>
      </w:r>
    </w:p>
    <w:p w14:paraId="3FFC3077" w14:textId="382D2449" w:rsidR="0057176F" w:rsidRPr="00D2253A" w:rsidRDefault="00405A2E" w:rsidP="00D2253A">
      <w:pPr>
        <w:spacing w:line="480" w:lineRule="auto"/>
        <w:ind w:firstLine="720"/>
      </w:pPr>
      <w:r>
        <w:t xml:space="preserve">Although there are examples throughout this paper in which Roman sources criticise their own empirical inability to provide healthcare to the population residing under the </w:t>
      </w:r>
      <w:r>
        <w:lastRenderedPageBreak/>
        <w:t>Roman Empire; the simple fact they are a Roman source cannot be us</w:t>
      </w:r>
      <w:r w:rsidR="00F15F6F">
        <w:t>ed to legitimise the authors</w:t>
      </w:r>
      <w:r>
        <w:t xml:space="preserve"> claim. Such we see in Suetonius, whom is unrestrained in his literature on the state of socio-economic stagnation under the Emperors.</w:t>
      </w:r>
      <w:r w:rsidR="00455DDA">
        <w:rPr>
          <w:rStyle w:val="FootnoteReference"/>
        </w:rPr>
        <w:footnoteReference w:id="13"/>
      </w:r>
      <w:r>
        <w:t xml:space="preserve"> However, it is known that Suetonius’ criticisms of the Roman Empire come from a biased nature and dislike of the empirical system.</w:t>
      </w:r>
      <w:r w:rsidR="008B7AA7">
        <w:rPr>
          <w:rStyle w:val="FootnoteReference"/>
        </w:rPr>
        <w:footnoteReference w:id="14"/>
      </w:r>
      <w:r w:rsidR="00CA6E77">
        <w:t xml:space="preserve"> This is also not done through means to endorse the early Christian movement; but projecting the information gained from Suetonius to the arguments for and against Graeco-Roman and early Christian healthcare models does not change the nature of his socio-political standing in </w:t>
      </w:r>
      <w:r w:rsidR="00CA6E77">
        <w:rPr>
          <w:i/>
        </w:rPr>
        <w:t>The Lives of the Twelve Caesars</w:t>
      </w:r>
      <w:r w:rsidR="00CA6E77">
        <w:t xml:space="preserve">. </w:t>
      </w:r>
      <w:r w:rsidR="00C9247A">
        <w:t xml:space="preserve">Similarly, Tacitus’ literature may also be clouded by his own political views. Tacitus’ </w:t>
      </w:r>
      <w:r w:rsidR="00C9247A">
        <w:rPr>
          <w:i/>
        </w:rPr>
        <w:t xml:space="preserve">Annals </w:t>
      </w:r>
      <w:r w:rsidR="00C9247A">
        <w:t>has been the subject of scrutiny in previous scholarship for his portrayal of the Emperor Tiberius.</w:t>
      </w:r>
      <w:r w:rsidR="00C9247A">
        <w:rPr>
          <w:rStyle w:val="FootnoteReference"/>
        </w:rPr>
        <w:footnoteReference w:id="15"/>
      </w:r>
      <w:r w:rsidR="00C9247A">
        <w:t xml:space="preserve"> Again, even though it is a Roman source, the portrayal of the political </w:t>
      </w:r>
      <w:r w:rsidR="00F73953">
        <w:t>events covered in his work may not reflect the Roman Empire truthfully and so it lends itself to being unreliable.</w:t>
      </w:r>
      <w:r w:rsidR="00F303CE">
        <w:rPr>
          <w:rStyle w:val="FootnoteReference"/>
        </w:rPr>
        <w:footnoteReference w:id="16"/>
      </w:r>
      <w:r w:rsidR="00F73953">
        <w:t xml:space="preserve"> </w:t>
      </w:r>
      <w:r w:rsidR="009254F4">
        <w:t>It is necessary to separate the idealism from reality within the early Christian theological texts, as failing to do so provides a limited understanding of the environment which Christianity prospered.</w:t>
      </w:r>
      <w:r w:rsidR="009254F4">
        <w:rPr>
          <w:rStyle w:val="FootnoteReference"/>
        </w:rPr>
        <w:footnoteReference w:id="17"/>
      </w:r>
      <w:r w:rsidR="009254F4">
        <w:t xml:space="preserve"> </w:t>
      </w:r>
      <w:r w:rsidR="0057176F">
        <w:t xml:space="preserve">It is harmful to the study of early Christian healthcare to conclude on these sources alone, that, Christian healthcare was superior to that of the Graeco-Romans; and it is not the aim of the paper to conclude such. </w:t>
      </w:r>
      <w:r w:rsidR="009348E7">
        <w:t xml:space="preserve">These texts have been selected to assist in deciphering the cultural implications of the transition between a Polytheistic to a Monotheistic religion. In order to show the wider societal perceptions of healthcare under both; literary sources from varying levels of social, theological and philosophical authors are used to demonstrate the differences not only in perception but understanding. </w:t>
      </w:r>
    </w:p>
    <w:p w14:paraId="666BF4D9" w14:textId="7AA250A1" w:rsidR="00DF6FCB" w:rsidRDefault="00DF6FCB" w:rsidP="0038017A">
      <w:pPr>
        <w:pStyle w:val="Heading2"/>
        <w:spacing w:line="480" w:lineRule="auto"/>
      </w:pPr>
      <w:bookmarkStart w:id="4" w:name="_Toc513777953"/>
      <w:r w:rsidRPr="00660ECA">
        <w:lastRenderedPageBreak/>
        <w:t>Chapter One</w:t>
      </w:r>
      <w:bookmarkEnd w:id="4"/>
    </w:p>
    <w:p w14:paraId="57E6DAE3" w14:textId="77777777" w:rsidR="00A14493" w:rsidRPr="00A14493" w:rsidRDefault="00A14493" w:rsidP="0038017A">
      <w:pPr>
        <w:spacing w:line="480" w:lineRule="auto"/>
      </w:pPr>
    </w:p>
    <w:p w14:paraId="1C4B6BD0" w14:textId="43DA776B" w:rsidR="00660A82" w:rsidRDefault="00CD23C9" w:rsidP="0038017A">
      <w:pPr>
        <w:pStyle w:val="Heading3"/>
        <w:numPr>
          <w:ilvl w:val="1"/>
          <w:numId w:val="4"/>
        </w:numPr>
        <w:spacing w:line="480" w:lineRule="auto"/>
      </w:pPr>
      <w:bookmarkStart w:id="5" w:name="_Toc513777954"/>
      <w:r w:rsidRPr="00660ECA">
        <w:t xml:space="preserve">Comparative </w:t>
      </w:r>
      <w:bookmarkEnd w:id="5"/>
      <w:r w:rsidR="00CF1E58">
        <w:t>Healthcare Models</w:t>
      </w:r>
    </w:p>
    <w:p w14:paraId="71A8150F" w14:textId="77777777" w:rsidR="00A14493" w:rsidRPr="00A14493" w:rsidRDefault="00A14493" w:rsidP="0038017A">
      <w:pPr>
        <w:spacing w:line="480" w:lineRule="auto"/>
      </w:pPr>
    </w:p>
    <w:p w14:paraId="375B3A35" w14:textId="5200FC45" w:rsidR="00660A82" w:rsidRDefault="009A39A5" w:rsidP="0038017A">
      <w:pPr>
        <w:spacing w:line="480" w:lineRule="auto"/>
        <w:rPr>
          <w:rFonts w:cs="Times New Roman"/>
        </w:rPr>
      </w:pPr>
      <w:r w:rsidRPr="00660ECA">
        <w:rPr>
          <w:rFonts w:cs="Times New Roman"/>
        </w:rPr>
        <w:t xml:space="preserve">Healthcare models in antiquity continue to arouse the interest of scholars; </w:t>
      </w:r>
      <w:r w:rsidR="008775D7" w:rsidRPr="00660ECA">
        <w:rPr>
          <w:rFonts w:cs="Times New Roman"/>
        </w:rPr>
        <w:t>which is reflected in the quantity</w:t>
      </w:r>
      <w:r w:rsidRPr="00660ECA">
        <w:rPr>
          <w:rFonts w:cs="Times New Roman"/>
        </w:rPr>
        <w:t xml:space="preserve"> of published research ava</w:t>
      </w:r>
      <w:r w:rsidR="00F16C09" w:rsidRPr="00660ECA">
        <w:rPr>
          <w:rFonts w:cs="Times New Roman"/>
        </w:rPr>
        <w:t>ilable on the subject</w:t>
      </w:r>
      <w:r w:rsidR="00F66D60" w:rsidRPr="00660ECA">
        <w:rPr>
          <w:rFonts w:cs="Times New Roman"/>
        </w:rPr>
        <w:t>. The transition from the Graeco-Roman to the early Christian</w:t>
      </w:r>
      <w:r w:rsidRPr="00660ECA">
        <w:rPr>
          <w:rFonts w:cs="Times New Roman"/>
        </w:rPr>
        <w:t xml:space="preserve"> mode of healthcare is conflicting, though, and requires m</w:t>
      </w:r>
      <w:r w:rsidR="00BE02D8" w:rsidRPr="00660ECA">
        <w:rPr>
          <w:rFonts w:cs="Times New Roman"/>
        </w:rPr>
        <w:t>ore in-depth analysis</w:t>
      </w:r>
      <w:r w:rsidRPr="00660ECA">
        <w:rPr>
          <w:rFonts w:cs="Times New Roman"/>
        </w:rPr>
        <w:t xml:space="preserve"> than </w:t>
      </w:r>
      <w:r w:rsidR="00BE02D8" w:rsidRPr="00660ECA">
        <w:rPr>
          <w:rFonts w:cs="Times New Roman"/>
        </w:rPr>
        <w:t>what is currently available. Particularly in areas relating to</w:t>
      </w:r>
      <w:r w:rsidRPr="00660ECA">
        <w:rPr>
          <w:rFonts w:cs="Times New Roman"/>
        </w:rPr>
        <w:t xml:space="preserve"> the changing mode of healthcare between the late 3rd century and early 4th century AD.</w:t>
      </w:r>
      <w:r w:rsidR="009338CA">
        <w:rPr>
          <w:rStyle w:val="FootnoteReference"/>
          <w:rFonts w:cs="Times New Roman"/>
        </w:rPr>
        <w:footnoteReference w:id="18"/>
      </w:r>
      <w:r w:rsidRPr="00660ECA">
        <w:rPr>
          <w:rFonts w:cs="Times New Roman"/>
        </w:rPr>
        <w:t xml:space="preserve"> This is not to say that current published research lacks analysis on the period itself; just the stages of transition from a Greco-Roman polytheistic based healthcare model, to an early Christian monotheistic based model. Scholars such as Avalo</w:t>
      </w:r>
      <w:r w:rsidR="004218CB" w:rsidRPr="00660ECA">
        <w:rPr>
          <w:rFonts w:cs="Times New Roman"/>
        </w:rPr>
        <w:t>s (1997), Ferngren (2009, 2014) have discussed thi</w:t>
      </w:r>
      <w:r w:rsidR="008B40D9" w:rsidRPr="00660ECA">
        <w:rPr>
          <w:rFonts w:cs="Times New Roman"/>
        </w:rPr>
        <w:t xml:space="preserve">s transition, but only briefly; as such, it appears there is more to be understood regarding this religious transition and its implications in Late Antiquity. </w:t>
      </w:r>
      <w:r w:rsidR="00C34961" w:rsidRPr="00660ECA">
        <w:rPr>
          <w:rFonts w:cs="Times New Roman"/>
        </w:rPr>
        <w:t xml:space="preserve">One </w:t>
      </w:r>
      <w:r w:rsidR="00CB6C05" w:rsidRPr="00660ECA">
        <w:rPr>
          <w:rFonts w:cs="Times New Roman"/>
        </w:rPr>
        <w:t>fundamental difference</w:t>
      </w:r>
      <w:r w:rsidRPr="00660ECA">
        <w:rPr>
          <w:rFonts w:cs="Times New Roman"/>
        </w:rPr>
        <w:t xml:space="preserve"> between Graeco-Roman and early Christian healthcare is </w:t>
      </w:r>
      <w:r w:rsidR="00FD1D4E" w:rsidRPr="00660ECA">
        <w:rPr>
          <w:rFonts w:cs="Times New Roman"/>
        </w:rPr>
        <w:t>the universality</w:t>
      </w:r>
      <w:r w:rsidRPr="00660ECA">
        <w:rPr>
          <w:rFonts w:cs="Times New Roman"/>
        </w:rPr>
        <w:t xml:space="preserve"> healthcare. This manifests in multiple ways including cost, eligibility and access.</w:t>
      </w:r>
      <w:r w:rsidR="00DF03B3">
        <w:rPr>
          <w:rStyle w:val="FootnoteReference"/>
          <w:rFonts w:cs="Times New Roman"/>
        </w:rPr>
        <w:footnoteReference w:id="19"/>
      </w:r>
      <w:r w:rsidRPr="00660ECA">
        <w:rPr>
          <w:rFonts w:cs="Times New Roman"/>
        </w:rPr>
        <w:t xml:space="preserve"> The Graeco-Roman healt</w:t>
      </w:r>
      <w:r w:rsidR="00C67C8B" w:rsidRPr="00660ECA">
        <w:rPr>
          <w:rFonts w:cs="Times New Roman"/>
        </w:rPr>
        <w:t>hcare model stresses illness</w:t>
      </w:r>
      <w:r w:rsidRPr="00660ECA">
        <w:rPr>
          <w:rFonts w:cs="Times New Roman"/>
        </w:rPr>
        <w:t xml:space="preserve"> as a</w:t>
      </w:r>
      <w:r w:rsidR="00C67C8B" w:rsidRPr="00660ECA">
        <w:rPr>
          <w:rFonts w:cs="Times New Roman"/>
        </w:rPr>
        <w:t>n individual experience, which can affect those surrounding the sick individual</w:t>
      </w:r>
      <w:r w:rsidR="006B43AA">
        <w:rPr>
          <w:rFonts w:cs="Times New Roman"/>
        </w:rPr>
        <w:t>, rather than a social issue that can effect individuals</w:t>
      </w:r>
      <w:r w:rsidRPr="00660ECA">
        <w:rPr>
          <w:rFonts w:cs="Times New Roman"/>
        </w:rPr>
        <w:t>.</w:t>
      </w:r>
      <w:r w:rsidR="00792F9B" w:rsidRPr="00660ECA">
        <w:rPr>
          <w:rStyle w:val="FootnoteReference"/>
          <w:rFonts w:cs="Times New Roman"/>
        </w:rPr>
        <w:footnoteReference w:id="20"/>
      </w:r>
      <w:r w:rsidRPr="00660ECA">
        <w:rPr>
          <w:rFonts w:cs="Times New Roman"/>
        </w:rPr>
        <w:t xml:space="preserve"> </w:t>
      </w:r>
      <w:r w:rsidR="006B43AA">
        <w:rPr>
          <w:rFonts w:cs="Times New Roman"/>
        </w:rPr>
        <w:t>This approach benefitted those who could afford private physicians, especially if the same physician tended the entire family, as knowledge of family history and other sickness’ would have allowed the physician to treat them effectively.</w:t>
      </w:r>
      <w:r w:rsidR="006B43AA">
        <w:rPr>
          <w:rStyle w:val="FootnoteReference"/>
          <w:rFonts w:cs="Times New Roman"/>
        </w:rPr>
        <w:footnoteReference w:id="21"/>
      </w:r>
      <w:r w:rsidR="002A3452">
        <w:rPr>
          <w:rFonts w:cs="Times New Roman"/>
        </w:rPr>
        <w:t xml:space="preserve"> </w:t>
      </w:r>
      <w:r w:rsidRPr="00660ECA">
        <w:rPr>
          <w:rFonts w:cs="Times New Roman"/>
        </w:rPr>
        <w:t xml:space="preserve">Similar is seen in current healthcare </w:t>
      </w:r>
      <w:r w:rsidRPr="00660ECA">
        <w:rPr>
          <w:rFonts w:cs="Times New Roman"/>
        </w:rPr>
        <w:lastRenderedPageBreak/>
        <w:t xml:space="preserve">models, such as the National Health Service (NHS) in the UK, where patients (and families of) tend to be registered with the same general practice doctor as they are aware of all family sickness, both previous and current. </w:t>
      </w:r>
      <w:r w:rsidR="00C67C8B" w:rsidRPr="00660ECA">
        <w:rPr>
          <w:rFonts w:cs="Times New Roman"/>
        </w:rPr>
        <w:t>W</w:t>
      </w:r>
      <w:r w:rsidRPr="00660ECA">
        <w:rPr>
          <w:rFonts w:cs="Times New Roman"/>
        </w:rPr>
        <w:t>ithin the Graeco-Roman healthca</w:t>
      </w:r>
      <w:r w:rsidR="00214A75" w:rsidRPr="00660ECA">
        <w:rPr>
          <w:rFonts w:cs="Times New Roman"/>
        </w:rPr>
        <w:t>re model, there are few widely available options</w:t>
      </w:r>
      <w:r w:rsidRPr="00660ECA">
        <w:rPr>
          <w:rFonts w:cs="Times New Roman"/>
        </w:rPr>
        <w:t xml:space="preserve"> because</w:t>
      </w:r>
      <w:r w:rsidR="000B42C7" w:rsidRPr="00660ECA">
        <w:rPr>
          <w:rFonts w:cs="Times New Roman"/>
        </w:rPr>
        <w:t xml:space="preserve"> emphasis is placed on disease as </w:t>
      </w:r>
      <w:r w:rsidR="00214A75" w:rsidRPr="00660ECA">
        <w:rPr>
          <w:rFonts w:cs="Times New Roman"/>
        </w:rPr>
        <w:t>an individual issue and not an issue pertinent to society as a whole</w:t>
      </w:r>
      <w:r w:rsidRPr="00660ECA">
        <w:rPr>
          <w:rFonts w:cs="Times New Roman"/>
        </w:rPr>
        <w:t>.</w:t>
      </w:r>
      <w:r w:rsidR="00C67C8B" w:rsidRPr="00660ECA">
        <w:rPr>
          <w:rFonts w:cs="Times New Roman"/>
        </w:rPr>
        <w:t xml:space="preserve"> Pilch</w:t>
      </w:r>
      <w:r w:rsidR="005D3D50" w:rsidRPr="00660ECA">
        <w:rPr>
          <w:rFonts w:cs="Times New Roman"/>
        </w:rPr>
        <w:t xml:space="preserve"> (2000)</w:t>
      </w:r>
      <w:r w:rsidR="00C67C8B" w:rsidRPr="00660ECA">
        <w:rPr>
          <w:rFonts w:cs="Times New Roman"/>
        </w:rPr>
        <w:t xml:space="preserve"> defines</w:t>
      </w:r>
      <w:r w:rsidR="00C67C8B" w:rsidRPr="00660ECA">
        <w:rPr>
          <w:rFonts w:cs="Times New Roman"/>
          <w:i/>
          <w:iCs/>
        </w:rPr>
        <w:t xml:space="preserve"> </w:t>
      </w:r>
      <w:r w:rsidR="00C67C8B" w:rsidRPr="00660ECA">
        <w:rPr>
          <w:rFonts w:cs="Times New Roman"/>
        </w:rPr>
        <w:t xml:space="preserve">illness in ancient societies as </w:t>
      </w:r>
      <w:r w:rsidR="00C67C8B" w:rsidRPr="00660ECA">
        <w:rPr>
          <w:rFonts w:cs="Times New Roman"/>
          <w:i/>
          <w:iCs/>
        </w:rPr>
        <w:t>lack of health</w:t>
      </w:r>
      <w:r w:rsidR="00A23B61" w:rsidRPr="00660ECA">
        <w:rPr>
          <w:rFonts w:cs="Times New Roman"/>
        </w:rPr>
        <w:t>;</w:t>
      </w:r>
      <w:r w:rsidR="00C67C8B" w:rsidRPr="00660ECA">
        <w:rPr>
          <w:rStyle w:val="FootnoteReference"/>
          <w:rFonts w:cs="Times New Roman"/>
        </w:rPr>
        <w:footnoteReference w:id="22"/>
      </w:r>
      <w:r w:rsidR="00A23B61" w:rsidRPr="00660ECA">
        <w:rPr>
          <w:rFonts w:cs="Times New Roman"/>
        </w:rPr>
        <w:t xml:space="preserve"> as </w:t>
      </w:r>
      <w:r w:rsidR="00A23B61" w:rsidRPr="00660ECA">
        <w:rPr>
          <w:rFonts w:cs="Times New Roman"/>
          <w:i/>
          <w:iCs/>
        </w:rPr>
        <w:t>disease</w:t>
      </w:r>
      <w:r w:rsidR="00A23B61" w:rsidRPr="00660ECA">
        <w:rPr>
          <w:rFonts w:cs="Times New Roman"/>
        </w:rPr>
        <w:t xml:space="preserve"> implies knowledge of pathological germs</w:t>
      </w:r>
      <w:r w:rsidR="007134F0" w:rsidRPr="00660ECA">
        <w:rPr>
          <w:rFonts w:cs="Times New Roman"/>
        </w:rPr>
        <w:t>, and as such is a modern biomedical term</w:t>
      </w:r>
      <w:r w:rsidR="005D3D50" w:rsidRPr="00660ECA">
        <w:rPr>
          <w:rFonts w:cs="Times New Roman"/>
        </w:rPr>
        <w:t>.</w:t>
      </w:r>
      <w:r w:rsidR="005D3D50" w:rsidRPr="00660ECA">
        <w:rPr>
          <w:rStyle w:val="FootnoteReference"/>
          <w:rFonts w:cs="Times New Roman"/>
        </w:rPr>
        <w:footnoteReference w:id="23"/>
      </w:r>
      <w:r w:rsidR="005D3D50" w:rsidRPr="00660ECA">
        <w:rPr>
          <w:rFonts w:cs="Times New Roman"/>
        </w:rPr>
        <w:t xml:space="preserve"> </w:t>
      </w:r>
      <w:r w:rsidR="00CB6C05" w:rsidRPr="00660ECA">
        <w:rPr>
          <w:rFonts w:cs="Times New Roman"/>
        </w:rPr>
        <w:t>It is necessary to disregard modern notions of pathology, but not of healthcare entirely</w:t>
      </w:r>
      <w:r w:rsidR="00F66D60" w:rsidRPr="00660ECA">
        <w:rPr>
          <w:rFonts w:cs="Times New Roman"/>
        </w:rPr>
        <w:t xml:space="preserve">. Although modern healthcare models are more complex, they derived from the ones in Late Antiquity. </w:t>
      </w:r>
      <w:r w:rsidR="0032535C" w:rsidRPr="00660ECA">
        <w:rPr>
          <w:rFonts w:cs="Times New Roman"/>
        </w:rPr>
        <w:t xml:space="preserve">If one considers </w:t>
      </w:r>
      <w:r w:rsidR="007134F0" w:rsidRPr="00660ECA">
        <w:rPr>
          <w:rFonts w:cs="Times New Roman"/>
        </w:rPr>
        <w:t>the notion of ‘evil spirits’</w:t>
      </w:r>
      <w:r w:rsidR="0032535C" w:rsidRPr="00660ECA">
        <w:rPr>
          <w:rFonts w:cs="Times New Roman"/>
        </w:rPr>
        <w:t xml:space="preserve"> causing ill health; one will find it is a </w:t>
      </w:r>
      <w:r w:rsidR="007134F0" w:rsidRPr="00660ECA">
        <w:rPr>
          <w:rFonts w:cs="Times New Roman"/>
        </w:rPr>
        <w:t>cross cultural</w:t>
      </w:r>
      <w:r w:rsidR="0032535C" w:rsidRPr="00660ECA">
        <w:rPr>
          <w:rFonts w:cs="Times New Roman"/>
        </w:rPr>
        <w:t xml:space="preserve"> understanding</w:t>
      </w:r>
      <w:r w:rsidR="007134F0" w:rsidRPr="00660ECA">
        <w:rPr>
          <w:rFonts w:cs="Times New Roman"/>
        </w:rPr>
        <w:t>.</w:t>
      </w:r>
      <w:r w:rsidR="00B876AB">
        <w:rPr>
          <w:rStyle w:val="FootnoteReference"/>
          <w:rFonts w:cs="Times New Roman"/>
        </w:rPr>
        <w:footnoteReference w:id="24"/>
      </w:r>
      <w:r w:rsidR="007134F0" w:rsidRPr="00660ECA">
        <w:rPr>
          <w:rFonts w:cs="Times New Roman"/>
        </w:rPr>
        <w:t xml:space="preserve"> This means that there are several societies that identify the causation of lack of health as something external to the human body, and not an extension of it.</w:t>
      </w:r>
      <w:r w:rsidR="00DF03B3">
        <w:rPr>
          <w:rStyle w:val="FootnoteReference"/>
          <w:rFonts w:cs="Times New Roman"/>
        </w:rPr>
        <w:footnoteReference w:id="25"/>
      </w:r>
      <w:r w:rsidR="007134F0" w:rsidRPr="00660ECA">
        <w:rPr>
          <w:rFonts w:cs="Times New Roman"/>
        </w:rPr>
        <w:t xml:space="preserve"> </w:t>
      </w:r>
      <w:r w:rsidR="00CB6C05" w:rsidRPr="00660ECA">
        <w:rPr>
          <w:rFonts w:cs="Times New Roman"/>
        </w:rPr>
        <w:t>It relies on the premise that the ancient societies believed sickness was caused by an outside agent taking something from the body (health), rather than an outside agent bringing something into the body (disease).</w:t>
      </w:r>
      <w:r w:rsidR="00DF03B3">
        <w:rPr>
          <w:rStyle w:val="FootnoteReference"/>
          <w:rFonts w:cs="Times New Roman"/>
        </w:rPr>
        <w:footnoteReference w:id="26"/>
      </w:r>
      <w:r w:rsidR="00DB4AA0" w:rsidRPr="00660ECA">
        <w:rPr>
          <w:rFonts w:cs="Times New Roman"/>
        </w:rPr>
        <w:t xml:space="preserve"> Although they did not identify pathologic causation</w:t>
      </w:r>
      <w:r w:rsidR="00925419" w:rsidRPr="00660ECA">
        <w:rPr>
          <w:rFonts w:cs="Times New Roman"/>
        </w:rPr>
        <w:t>,</w:t>
      </w:r>
      <w:r w:rsidR="00C10193" w:rsidRPr="00660ECA">
        <w:rPr>
          <w:rStyle w:val="FootnoteReference"/>
          <w:rFonts w:cs="Times New Roman"/>
        </w:rPr>
        <w:footnoteReference w:id="27"/>
      </w:r>
      <w:r w:rsidR="00DB4AA0" w:rsidRPr="00660ECA">
        <w:rPr>
          <w:rFonts w:cs="Times New Roman"/>
        </w:rPr>
        <w:t xml:space="preserve"> they were aware that causation came from an external source</w:t>
      </w:r>
      <w:r w:rsidR="00925419" w:rsidRPr="00660ECA">
        <w:rPr>
          <w:rFonts w:cs="Times New Roman"/>
        </w:rPr>
        <w:t xml:space="preserve">. </w:t>
      </w:r>
      <w:r w:rsidR="00866782" w:rsidRPr="00660ECA">
        <w:rPr>
          <w:rFonts w:cs="Times New Roman"/>
        </w:rPr>
        <w:t>Even though their work depends on imbalances within the human body, both Galen and Hippocrates acknowledge that external factors cause such imbalances; resulting in ill-health.</w:t>
      </w:r>
      <w:r w:rsidR="008723E3">
        <w:rPr>
          <w:rStyle w:val="FootnoteReference"/>
          <w:rFonts w:cs="Times New Roman"/>
        </w:rPr>
        <w:footnoteReference w:id="28"/>
      </w:r>
      <w:r w:rsidR="00866782" w:rsidRPr="00660ECA">
        <w:rPr>
          <w:rFonts w:cs="Times New Roman"/>
        </w:rPr>
        <w:t xml:space="preserve"> </w:t>
      </w:r>
      <w:r w:rsidR="00C34961" w:rsidRPr="00660ECA">
        <w:rPr>
          <w:rFonts w:cs="Times New Roman"/>
        </w:rPr>
        <w:t>This considered, it is not necessary to the study of ancient healthcare to disregard modern knowledge of disease, but it is necessary to acknowledge the place of h</w:t>
      </w:r>
      <w:r w:rsidR="00F66D60" w:rsidRPr="00660ECA">
        <w:rPr>
          <w:rFonts w:cs="Times New Roman"/>
        </w:rPr>
        <w:t xml:space="preserve">ealthcare in ancient society as </w:t>
      </w:r>
      <w:r w:rsidR="00C34961" w:rsidRPr="00660ECA">
        <w:rPr>
          <w:rFonts w:cs="Times New Roman"/>
        </w:rPr>
        <w:t>diffe</w:t>
      </w:r>
      <w:r w:rsidR="00F66D60" w:rsidRPr="00660ECA">
        <w:rPr>
          <w:rFonts w:cs="Times New Roman"/>
        </w:rPr>
        <w:t>rent to modern society</w:t>
      </w:r>
      <w:r w:rsidR="00DB4AA0" w:rsidRPr="00660ECA">
        <w:rPr>
          <w:rFonts w:cs="Times New Roman"/>
        </w:rPr>
        <w:t xml:space="preserve">. </w:t>
      </w:r>
      <w:r w:rsidR="00C10193" w:rsidRPr="00660ECA">
        <w:rPr>
          <w:rFonts w:cs="Times New Roman"/>
        </w:rPr>
        <w:t>Christian h</w:t>
      </w:r>
      <w:r w:rsidR="00315801" w:rsidRPr="00660ECA">
        <w:rPr>
          <w:rFonts w:cs="Times New Roman"/>
        </w:rPr>
        <w:t xml:space="preserve">ealthcare in late antiquity </w:t>
      </w:r>
      <w:r w:rsidR="001310D1" w:rsidRPr="00660ECA">
        <w:rPr>
          <w:rFonts w:cs="Times New Roman"/>
        </w:rPr>
        <w:t>focused</w:t>
      </w:r>
      <w:r w:rsidR="00315801" w:rsidRPr="00660ECA">
        <w:rPr>
          <w:rFonts w:cs="Times New Roman"/>
        </w:rPr>
        <w:t xml:space="preserve"> primarily </w:t>
      </w:r>
      <w:r w:rsidR="00315801" w:rsidRPr="00660ECA">
        <w:rPr>
          <w:rFonts w:cs="Times New Roman"/>
        </w:rPr>
        <w:lastRenderedPageBreak/>
        <w:t>on helping the afflicted to cope with their lack</w:t>
      </w:r>
      <w:r w:rsidR="00AD118D" w:rsidRPr="00660ECA">
        <w:rPr>
          <w:rFonts w:cs="Times New Roman"/>
        </w:rPr>
        <w:t xml:space="preserve"> of health, rather than cure it.</w:t>
      </w:r>
      <w:r w:rsidR="00315801" w:rsidRPr="00660ECA">
        <w:rPr>
          <w:rFonts w:cs="Times New Roman"/>
        </w:rPr>
        <w:t xml:space="preserve"> Whereas, the Graeco-Roman healthcare model centred on causation, symptoms and, subsequently, treatment.</w:t>
      </w:r>
      <w:r w:rsidR="00E36CE5" w:rsidRPr="00660ECA">
        <w:rPr>
          <w:rFonts w:cs="Times New Roman"/>
        </w:rPr>
        <w:t xml:space="preserve"> </w:t>
      </w:r>
      <w:r w:rsidR="009C689D" w:rsidRPr="00660ECA">
        <w:rPr>
          <w:rFonts w:cs="Times New Roman"/>
        </w:rPr>
        <w:t>The Christian model looked to treat people too, but through a less formal medium than the Graeco-Roman</w:t>
      </w:r>
      <w:r w:rsidR="00315801" w:rsidRPr="00660ECA">
        <w:rPr>
          <w:rFonts w:cs="Times New Roman"/>
        </w:rPr>
        <w:t xml:space="preserve">. For example, the early Christian </w:t>
      </w:r>
      <w:r w:rsidR="00740D07" w:rsidRPr="00660ECA">
        <w:rPr>
          <w:rFonts w:cs="Times New Roman"/>
        </w:rPr>
        <w:t>healthcare model aimed to meet the basic needs of those in its care</w:t>
      </w:r>
      <w:r w:rsidR="00315801" w:rsidRPr="00660ECA">
        <w:rPr>
          <w:rFonts w:cs="Times New Roman"/>
        </w:rPr>
        <w:t>.</w:t>
      </w:r>
      <w:r w:rsidR="00C10193" w:rsidRPr="00660ECA">
        <w:rPr>
          <w:rStyle w:val="FootnoteReference"/>
          <w:rFonts w:cs="Times New Roman"/>
        </w:rPr>
        <w:footnoteReference w:id="29"/>
      </w:r>
      <w:r w:rsidR="00740D07" w:rsidRPr="00660ECA">
        <w:rPr>
          <w:rFonts w:cs="Times New Roman"/>
        </w:rPr>
        <w:t xml:space="preserve"> This meant while caring for the poorest of society, they would provide anything from medicinal and bedside care for the sick, to simply feeding the hungry</w:t>
      </w:r>
      <w:r w:rsidR="00315801" w:rsidRPr="00660ECA">
        <w:rPr>
          <w:rFonts w:cs="Times New Roman"/>
        </w:rPr>
        <w:t>. Whereas, the Graeco-Roman healthcare model only catered to those who lacked health and could afford to seek treatment from physicians</w:t>
      </w:r>
      <w:r w:rsidR="007605F1" w:rsidRPr="00660ECA">
        <w:rPr>
          <w:rFonts w:cs="Times New Roman"/>
        </w:rPr>
        <w:t>, temples</w:t>
      </w:r>
      <w:r w:rsidR="00B14F06" w:rsidRPr="00660ECA">
        <w:rPr>
          <w:rFonts w:cs="Times New Roman"/>
        </w:rPr>
        <w:t xml:space="preserve"> or folk healers.</w:t>
      </w:r>
      <w:r w:rsidR="00F66D60" w:rsidRPr="00660ECA">
        <w:rPr>
          <w:rStyle w:val="FootnoteReference"/>
          <w:rFonts w:cs="Times New Roman"/>
        </w:rPr>
        <w:footnoteReference w:id="30"/>
      </w:r>
      <w:r w:rsidR="00B14F06" w:rsidRPr="00660ECA">
        <w:rPr>
          <w:rFonts w:cs="Times New Roman"/>
        </w:rPr>
        <w:t xml:space="preserve"> Amundsen (1996) desc</w:t>
      </w:r>
      <w:r w:rsidR="00447C67" w:rsidRPr="00660ECA">
        <w:rPr>
          <w:rFonts w:cs="Times New Roman"/>
        </w:rPr>
        <w:t xml:space="preserve">ribes two different Christian </w:t>
      </w:r>
      <w:r w:rsidR="00B14F06" w:rsidRPr="00660ECA">
        <w:rPr>
          <w:rFonts w:cs="Times New Roman"/>
        </w:rPr>
        <w:t>perspectives of disease; those who believe that natural causation</w:t>
      </w:r>
      <w:r w:rsidR="00F66D60" w:rsidRPr="00660ECA">
        <w:rPr>
          <w:rFonts w:cs="Times New Roman"/>
        </w:rPr>
        <w:t xml:space="preserve"> ultimately</w:t>
      </w:r>
      <w:r w:rsidR="00B14F06" w:rsidRPr="00660ECA">
        <w:rPr>
          <w:rFonts w:cs="Times New Roman"/>
        </w:rPr>
        <w:t xml:space="preserve"> came from divine causation, and those who believed solely in divi</w:t>
      </w:r>
      <w:r w:rsidR="0083124B" w:rsidRPr="00660ECA">
        <w:rPr>
          <w:rFonts w:cs="Times New Roman"/>
        </w:rPr>
        <w:t>ne causation. Both are rife throughout early Christian medical texts, however there is evidence of a third perspective on causation that involves both perspec</w:t>
      </w:r>
      <w:r w:rsidR="00740D07" w:rsidRPr="00660ECA">
        <w:rPr>
          <w:rFonts w:cs="Times New Roman"/>
        </w:rPr>
        <w:t>tives given by Amundsen</w:t>
      </w:r>
      <w:r w:rsidR="00BA1A49" w:rsidRPr="00660ECA">
        <w:rPr>
          <w:rFonts w:cs="Times New Roman"/>
        </w:rPr>
        <w:t>. The salvation of humanity comes from Christians living to fulfil healing in the same way Jesus did,</w:t>
      </w:r>
      <w:r w:rsidR="00DF2721">
        <w:rPr>
          <w:rStyle w:val="FootnoteReference"/>
          <w:rFonts w:cs="Times New Roman"/>
        </w:rPr>
        <w:footnoteReference w:id="31"/>
      </w:r>
      <w:r w:rsidR="00BA1A49" w:rsidRPr="00660ECA">
        <w:rPr>
          <w:rFonts w:cs="Times New Roman"/>
        </w:rPr>
        <w:t xml:space="preserve"> and so the causation of disease comes from salvation. I.e. people need to be salvaged, so plagues of disease exist.</w:t>
      </w:r>
      <w:r w:rsidR="00BA1A49" w:rsidRPr="00660ECA">
        <w:rPr>
          <w:rStyle w:val="FootnoteReference"/>
          <w:rFonts w:cs="Times New Roman"/>
        </w:rPr>
        <w:footnoteReference w:id="32"/>
      </w:r>
      <w:r w:rsidR="005F2B4E" w:rsidRPr="00660ECA">
        <w:rPr>
          <w:rFonts w:cs="Times New Roman"/>
        </w:rPr>
        <w:t xml:space="preserve"> </w:t>
      </w:r>
      <w:r w:rsidR="00740D07" w:rsidRPr="00660ECA">
        <w:rPr>
          <w:rFonts w:cs="Times New Roman"/>
        </w:rPr>
        <w:t>As such,</w:t>
      </w:r>
      <w:r w:rsidR="00E4154F" w:rsidRPr="00660ECA">
        <w:rPr>
          <w:rFonts w:cs="Times New Roman"/>
        </w:rPr>
        <w:t xml:space="preserve"> it can be argued that</w:t>
      </w:r>
      <w:r w:rsidR="00740D07" w:rsidRPr="00660ECA">
        <w:rPr>
          <w:rFonts w:cs="Times New Roman"/>
        </w:rPr>
        <w:t xml:space="preserve"> causation is directly linked to the necessity of salvation in the early Christian healthcare framework. </w:t>
      </w:r>
      <w:r w:rsidR="00751064" w:rsidRPr="00660ECA">
        <w:rPr>
          <w:rFonts w:cs="Times New Roman"/>
        </w:rPr>
        <w:t>It is not shocking that during times of economic or social discomfort, individuals turn to their faith or religion to comfort them; or that new innovative religious cults emerge under the strain of widespread misfortune. The most intriguing part of early Christianity is its ability to withstand these disasters and continue to grow from a small religious cult no different than any other in ant</w:t>
      </w:r>
      <w:r w:rsidR="009D5BFB" w:rsidRPr="00660ECA">
        <w:rPr>
          <w:rFonts w:cs="Times New Roman"/>
        </w:rPr>
        <w:t xml:space="preserve">iquity, to a mainstream religion. </w:t>
      </w:r>
    </w:p>
    <w:p w14:paraId="1A49A32A" w14:textId="77777777" w:rsidR="00A14493" w:rsidRPr="00660ECA" w:rsidRDefault="00A14493" w:rsidP="0038017A">
      <w:pPr>
        <w:spacing w:line="480" w:lineRule="auto"/>
        <w:rPr>
          <w:rFonts w:cs="Times New Roman"/>
        </w:rPr>
      </w:pPr>
    </w:p>
    <w:p w14:paraId="3E502BED" w14:textId="3215542E" w:rsidR="00F3237E" w:rsidRDefault="0089623A" w:rsidP="0038017A">
      <w:pPr>
        <w:pStyle w:val="Heading3"/>
        <w:spacing w:line="480" w:lineRule="auto"/>
      </w:pPr>
      <w:bookmarkStart w:id="6" w:name="_Toc513777955"/>
      <w:r w:rsidRPr="00660ECA">
        <w:t>1</w:t>
      </w:r>
      <w:r w:rsidR="00F3237E" w:rsidRPr="00660ECA">
        <w:t>.2 The rising popularity of Christianity</w:t>
      </w:r>
      <w:bookmarkEnd w:id="6"/>
      <w:r w:rsidR="00F3237E" w:rsidRPr="00660ECA">
        <w:t xml:space="preserve"> </w:t>
      </w:r>
    </w:p>
    <w:p w14:paraId="774B2C38" w14:textId="77777777" w:rsidR="00A14493" w:rsidRPr="00A14493" w:rsidRDefault="00A14493" w:rsidP="0038017A">
      <w:pPr>
        <w:spacing w:line="480" w:lineRule="auto"/>
      </w:pPr>
    </w:p>
    <w:p w14:paraId="5F58F6F5" w14:textId="7C1CCB0C" w:rsidR="006D3A7F" w:rsidRDefault="009E0CCB" w:rsidP="0038017A">
      <w:pPr>
        <w:spacing w:line="480" w:lineRule="auto"/>
        <w:rPr>
          <w:rFonts w:cs="Times New Roman"/>
        </w:rPr>
      </w:pPr>
      <w:r w:rsidRPr="00660ECA">
        <w:rPr>
          <w:rFonts w:cs="Times New Roman"/>
        </w:rPr>
        <w:t xml:space="preserve">With </w:t>
      </w:r>
      <w:r w:rsidR="00377FDE" w:rsidRPr="00660ECA">
        <w:rPr>
          <w:rFonts w:cs="Times New Roman"/>
        </w:rPr>
        <w:t>the overwhelming population that now resided under the Roman Empire, it is of no surprise that people sought distinction by practicing ancient rites and religious cult worship; attempting to prevent the loss of cul</w:t>
      </w:r>
      <w:r w:rsidR="0053782A" w:rsidRPr="00660ECA">
        <w:rPr>
          <w:rFonts w:cs="Times New Roman"/>
        </w:rPr>
        <w:t>tural difference</w:t>
      </w:r>
      <w:r w:rsidR="00377FDE" w:rsidRPr="00660ECA">
        <w:rPr>
          <w:rFonts w:cs="Times New Roman"/>
        </w:rPr>
        <w:t xml:space="preserve"> that separated each part of the empire</w:t>
      </w:r>
      <w:r w:rsidRPr="00660ECA">
        <w:rPr>
          <w:rFonts w:cs="Times New Roman"/>
        </w:rPr>
        <w:t>.</w:t>
      </w:r>
      <w:r w:rsidRPr="00660ECA">
        <w:rPr>
          <w:rStyle w:val="FootnoteReference"/>
          <w:rFonts w:cs="Times New Roman"/>
        </w:rPr>
        <w:footnoteReference w:id="33"/>
      </w:r>
      <w:r w:rsidR="00377FDE" w:rsidRPr="00660ECA">
        <w:rPr>
          <w:rFonts w:cs="Times New Roman"/>
        </w:rPr>
        <w:t xml:space="preserve"> It is also unsurprising that economic struggle inevitably struck the Empire, causing famine and consequentially, disease. </w:t>
      </w:r>
      <w:r w:rsidR="005001AA" w:rsidRPr="00660ECA">
        <w:rPr>
          <w:rFonts w:cs="Times New Roman"/>
        </w:rPr>
        <w:t>It is clear through the</w:t>
      </w:r>
      <w:r w:rsidR="007F439F" w:rsidRPr="00660ECA">
        <w:rPr>
          <w:rFonts w:cs="Times New Roman"/>
        </w:rPr>
        <w:t xml:space="preserve"> work </w:t>
      </w:r>
      <w:r w:rsidR="005001AA" w:rsidRPr="00660ECA">
        <w:rPr>
          <w:rFonts w:cs="Times New Roman"/>
        </w:rPr>
        <w:t>of ancient historians</w:t>
      </w:r>
      <w:r w:rsidR="00C26545" w:rsidRPr="00660ECA">
        <w:rPr>
          <w:rFonts w:cs="Times New Roman"/>
        </w:rPr>
        <w:t xml:space="preserve"> such as Suetonius</w:t>
      </w:r>
      <w:r w:rsidR="005001AA" w:rsidRPr="00660ECA">
        <w:rPr>
          <w:rFonts w:cs="Times New Roman"/>
        </w:rPr>
        <w:t xml:space="preserve"> that the state of public healthcare under the Julio-Claudian </w:t>
      </w:r>
      <w:r w:rsidR="00C26545" w:rsidRPr="00660ECA">
        <w:rPr>
          <w:rFonts w:cs="Times New Roman"/>
        </w:rPr>
        <w:t>dynasty was catastrophic</w:t>
      </w:r>
      <w:r w:rsidR="005001AA" w:rsidRPr="00660ECA">
        <w:rPr>
          <w:rFonts w:cs="Times New Roman"/>
        </w:rPr>
        <w:t xml:space="preserve">. </w:t>
      </w:r>
      <w:r w:rsidR="00F61069" w:rsidRPr="00660ECA">
        <w:rPr>
          <w:rFonts w:cs="Times New Roman"/>
        </w:rPr>
        <w:t>Entwined within the frameworks of a polytheistic religion meant that access to healthcare relied on the status of the individual; and</w:t>
      </w:r>
      <w:r w:rsidR="00A178B4" w:rsidRPr="00660ECA">
        <w:rPr>
          <w:rFonts w:cs="Times New Roman"/>
        </w:rPr>
        <w:t xml:space="preserve"> as</w:t>
      </w:r>
      <w:r w:rsidR="00C26545" w:rsidRPr="00660ECA">
        <w:rPr>
          <w:rFonts w:cs="Times New Roman"/>
        </w:rPr>
        <w:t xml:space="preserve"> a</w:t>
      </w:r>
      <w:r w:rsidR="00F61069" w:rsidRPr="00660ECA">
        <w:rPr>
          <w:rFonts w:cs="Times New Roman"/>
        </w:rPr>
        <w:t xml:space="preserve"> matter of the individual too.</w:t>
      </w:r>
      <w:r w:rsidR="00F61069" w:rsidRPr="00660ECA">
        <w:rPr>
          <w:rStyle w:val="FootnoteReference"/>
          <w:rFonts w:cs="Times New Roman"/>
        </w:rPr>
        <w:footnoteReference w:id="34"/>
      </w:r>
      <w:r w:rsidR="00F61069" w:rsidRPr="00660ECA">
        <w:rPr>
          <w:rFonts w:cs="Times New Roman"/>
        </w:rPr>
        <w:t xml:space="preserve"> Despite the </w:t>
      </w:r>
      <w:r w:rsidR="00377FDE" w:rsidRPr="00660ECA">
        <w:rPr>
          <w:rFonts w:cs="Times New Roman"/>
        </w:rPr>
        <w:t xml:space="preserve">high </w:t>
      </w:r>
      <w:r w:rsidR="00F61069" w:rsidRPr="00660ECA">
        <w:rPr>
          <w:rFonts w:cs="Times New Roman"/>
        </w:rPr>
        <w:t xml:space="preserve">taxation within the empire, there was no form of universal healthcare. Even though such was needed in society. The lack of access to healthcare under the polytheistic healthcare model ultimately led to its demise. </w:t>
      </w:r>
      <w:r w:rsidR="00C53A21" w:rsidRPr="00660ECA">
        <w:rPr>
          <w:rFonts w:cs="Times New Roman"/>
        </w:rPr>
        <w:t xml:space="preserve">Under the emperor Tiberius, </w:t>
      </w:r>
      <w:r w:rsidR="005C5833" w:rsidRPr="00660ECA">
        <w:rPr>
          <w:rFonts w:cs="Times New Roman"/>
        </w:rPr>
        <w:t>160,000 poor, sick and diseased people were sacrificed in his honour.</w:t>
      </w:r>
      <w:r w:rsidR="005C5833" w:rsidRPr="00660ECA">
        <w:rPr>
          <w:rStyle w:val="FootnoteReference"/>
          <w:rFonts w:cs="Times New Roman"/>
        </w:rPr>
        <w:footnoteReference w:id="35"/>
      </w:r>
      <w:r w:rsidR="005C5833" w:rsidRPr="00660ECA">
        <w:rPr>
          <w:rFonts w:cs="Times New Roman"/>
        </w:rPr>
        <w:t xml:space="preserve"> Although this figure is exaggerated, the sacrifices undoubtedly took place. This shows a complete disregard for the lives of the sick and diseased under Roman polytheism and was not limited to the emperors. The wider societal implica</w:t>
      </w:r>
      <w:r w:rsidR="00225DB4" w:rsidRPr="00660ECA">
        <w:rPr>
          <w:rFonts w:cs="Times New Roman"/>
        </w:rPr>
        <w:t xml:space="preserve">tions of </w:t>
      </w:r>
      <w:r w:rsidR="005C5833" w:rsidRPr="00660ECA">
        <w:rPr>
          <w:rFonts w:cs="Times New Roman"/>
        </w:rPr>
        <w:t xml:space="preserve">such an act affected the social stance of the sick </w:t>
      </w:r>
      <w:r w:rsidR="00225DB4" w:rsidRPr="00660ECA">
        <w:rPr>
          <w:rFonts w:cs="Times New Roman"/>
        </w:rPr>
        <w:t xml:space="preserve">and diseased, causing them to be </w:t>
      </w:r>
      <w:r w:rsidR="005C5833" w:rsidRPr="00660ECA">
        <w:rPr>
          <w:rFonts w:cs="Times New Roman"/>
        </w:rPr>
        <w:t xml:space="preserve">on the periphery of society. </w:t>
      </w:r>
      <w:r w:rsidR="00225DB4" w:rsidRPr="00660ECA">
        <w:rPr>
          <w:rFonts w:cs="Times New Roman"/>
        </w:rPr>
        <w:t>Tiberius was not alone in his abuse of the impoverished and diseased;</w:t>
      </w:r>
      <w:r w:rsidR="00C279FB" w:rsidRPr="00660ECA">
        <w:rPr>
          <w:rFonts w:cs="Times New Roman"/>
        </w:rPr>
        <w:t xml:space="preserve"> the emperor</w:t>
      </w:r>
      <w:r w:rsidR="00225DB4" w:rsidRPr="00660ECA">
        <w:rPr>
          <w:rFonts w:cs="Times New Roman"/>
        </w:rPr>
        <w:t xml:space="preserve"> Caligula fed cakes laced with poison to the starving people of Rome, causing the death of many.</w:t>
      </w:r>
      <w:r w:rsidR="00225DB4" w:rsidRPr="00660ECA">
        <w:rPr>
          <w:rStyle w:val="FootnoteReference"/>
          <w:rFonts w:cs="Times New Roman"/>
        </w:rPr>
        <w:footnoteReference w:id="36"/>
      </w:r>
      <w:r w:rsidR="00225DB4" w:rsidRPr="00660ECA">
        <w:rPr>
          <w:rFonts w:cs="Times New Roman"/>
        </w:rPr>
        <w:t xml:space="preserve"> </w:t>
      </w:r>
      <w:r w:rsidR="00C279FB" w:rsidRPr="00660ECA">
        <w:rPr>
          <w:rFonts w:cs="Times New Roman"/>
        </w:rPr>
        <w:t>However, upon learning of his ill health, the cit</w:t>
      </w:r>
      <w:r w:rsidR="0063472D" w:rsidRPr="00660ECA">
        <w:rPr>
          <w:rFonts w:cs="Times New Roman"/>
        </w:rPr>
        <w:t xml:space="preserve">y of Rome fell </w:t>
      </w:r>
      <w:r w:rsidR="0063472D" w:rsidRPr="00660ECA">
        <w:rPr>
          <w:rFonts w:cs="Times New Roman"/>
        </w:rPr>
        <w:lastRenderedPageBreak/>
        <w:t>into mourning,</w:t>
      </w:r>
      <w:r w:rsidR="0063472D" w:rsidRPr="00660ECA">
        <w:rPr>
          <w:rStyle w:val="FootnoteReference"/>
          <w:rFonts w:cs="Times New Roman"/>
        </w:rPr>
        <w:footnoteReference w:id="37"/>
      </w:r>
      <w:r w:rsidR="0063472D" w:rsidRPr="00660ECA">
        <w:rPr>
          <w:rFonts w:cs="Times New Roman"/>
        </w:rPr>
        <w:t xml:space="preserve"> affirming that the status of a patient directly impacted their access to, and perspective of, healthcare. Influenced by those of a higher authority, the average member of society had little regard for those suffering from disease or poverty. Tacitus’ </w:t>
      </w:r>
      <w:r w:rsidR="0063472D" w:rsidRPr="00660ECA">
        <w:rPr>
          <w:rFonts w:cs="Times New Roman"/>
          <w:i/>
        </w:rPr>
        <w:t>Annals</w:t>
      </w:r>
      <w:r w:rsidR="0063472D" w:rsidRPr="00660ECA">
        <w:rPr>
          <w:rFonts w:cs="Times New Roman"/>
        </w:rPr>
        <w:t xml:space="preserve"> describes scenes of widespread famine, chaos </w:t>
      </w:r>
      <w:r w:rsidR="0063601E" w:rsidRPr="00660ECA">
        <w:rPr>
          <w:rFonts w:cs="Times New Roman"/>
        </w:rPr>
        <w:t>and poverty under emperor Claudius,</w:t>
      </w:r>
      <w:r w:rsidR="0063601E" w:rsidRPr="00660ECA">
        <w:rPr>
          <w:rStyle w:val="FootnoteReference"/>
          <w:rFonts w:cs="Times New Roman"/>
        </w:rPr>
        <w:footnoteReference w:id="38"/>
      </w:r>
      <w:r w:rsidR="0063601E" w:rsidRPr="00660ECA">
        <w:rPr>
          <w:rFonts w:cs="Times New Roman"/>
        </w:rPr>
        <w:t xml:space="preserve"> that lead to him being publicly attacked by mobs for failing to provide grain to the starving population.</w:t>
      </w:r>
      <w:r w:rsidR="0063601E" w:rsidRPr="00660ECA">
        <w:rPr>
          <w:rStyle w:val="FootnoteReference"/>
          <w:rFonts w:cs="Times New Roman"/>
        </w:rPr>
        <w:footnoteReference w:id="39"/>
      </w:r>
      <w:r w:rsidR="0063601E" w:rsidRPr="00660ECA">
        <w:rPr>
          <w:rFonts w:cs="Times New Roman"/>
        </w:rPr>
        <w:t xml:space="preserve"> Although Claudius is said to have attempted to prevent famine for future generations by introducing the ‘Augury for the Welfare of Rome’,</w:t>
      </w:r>
      <w:r w:rsidR="0063601E" w:rsidRPr="00660ECA">
        <w:rPr>
          <w:rStyle w:val="FootnoteReference"/>
          <w:rFonts w:cs="Times New Roman"/>
        </w:rPr>
        <w:footnoteReference w:id="40"/>
      </w:r>
      <w:r w:rsidR="0063601E" w:rsidRPr="00660ECA">
        <w:rPr>
          <w:rFonts w:cs="Times New Roman"/>
        </w:rPr>
        <w:t xml:space="preserve"> the public required physical impleme</w:t>
      </w:r>
      <w:r w:rsidR="00AD175B" w:rsidRPr="00660ECA">
        <w:rPr>
          <w:rFonts w:cs="Times New Roman"/>
        </w:rPr>
        <w:t>ntation of healthcare measures</w:t>
      </w:r>
      <w:r w:rsidR="00377FDE" w:rsidRPr="00660ECA">
        <w:rPr>
          <w:rFonts w:cs="Times New Roman"/>
        </w:rPr>
        <w:t xml:space="preserve"> much </w:t>
      </w:r>
      <w:r w:rsidR="00363BA3" w:rsidRPr="00660ECA">
        <w:rPr>
          <w:rFonts w:cs="Times New Roman"/>
        </w:rPr>
        <w:t>more</w:t>
      </w:r>
      <w:r w:rsidR="00AD175B" w:rsidRPr="00660ECA">
        <w:rPr>
          <w:rFonts w:cs="Times New Roman"/>
        </w:rPr>
        <w:t xml:space="preserve"> than a decree for the future. </w:t>
      </w:r>
      <w:r w:rsidR="00975ED0" w:rsidRPr="00660ECA">
        <w:rPr>
          <w:rFonts w:cs="Times New Roman"/>
        </w:rPr>
        <w:t xml:space="preserve">It is under this dynasty that the Jesus movement flourished. </w:t>
      </w:r>
      <w:r w:rsidR="002F63D3" w:rsidRPr="00660ECA">
        <w:rPr>
          <w:rFonts w:cs="Times New Roman"/>
        </w:rPr>
        <w:t xml:space="preserve">The widespread popularity of Jesus’ healings presented the opportunity for a reform in healthcare, which the Apostles and early Christians took upon themselves </w:t>
      </w:r>
      <w:r w:rsidR="00AA2C08" w:rsidRPr="00660ECA">
        <w:rPr>
          <w:rFonts w:cs="Times New Roman"/>
        </w:rPr>
        <w:t>to atta</w:t>
      </w:r>
      <w:r w:rsidR="008A6E8D" w:rsidRPr="00660ECA">
        <w:rPr>
          <w:rFonts w:cs="Times New Roman"/>
        </w:rPr>
        <w:t>in.</w:t>
      </w:r>
      <w:r w:rsidR="004E36F9">
        <w:rPr>
          <w:rStyle w:val="FootnoteReference"/>
          <w:rFonts w:cs="Times New Roman"/>
        </w:rPr>
        <w:footnoteReference w:id="41"/>
      </w:r>
      <w:r w:rsidR="008A6E8D" w:rsidRPr="00660ECA">
        <w:rPr>
          <w:rFonts w:cs="Times New Roman"/>
        </w:rPr>
        <w:t xml:space="preserve"> There are three</w:t>
      </w:r>
      <w:r w:rsidR="0090174C" w:rsidRPr="00660ECA">
        <w:rPr>
          <w:rFonts w:cs="Times New Roman"/>
        </w:rPr>
        <w:t xml:space="preserve"> factors</w:t>
      </w:r>
      <w:r w:rsidR="008A6E8D" w:rsidRPr="00660ECA">
        <w:rPr>
          <w:rFonts w:cs="Times New Roman"/>
        </w:rPr>
        <w:t xml:space="preserve"> that contribute</w:t>
      </w:r>
      <w:r w:rsidR="0090174C" w:rsidRPr="00660ECA">
        <w:rPr>
          <w:rFonts w:cs="Times New Roman"/>
        </w:rPr>
        <w:t xml:space="preserve"> to the rise of Christianity</w:t>
      </w:r>
      <w:r w:rsidR="008A6E8D" w:rsidRPr="00660ECA">
        <w:rPr>
          <w:rFonts w:cs="Times New Roman"/>
        </w:rPr>
        <w:t>, from a healthcare perspective,</w:t>
      </w:r>
      <w:r w:rsidR="0090174C" w:rsidRPr="00660ECA">
        <w:rPr>
          <w:rFonts w:cs="Times New Roman"/>
        </w:rPr>
        <w:t xml:space="preserve"> in the first and second century that will be considered here. The first bein</w:t>
      </w:r>
      <w:r w:rsidR="003105F7" w:rsidRPr="00660ECA">
        <w:rPr>
          <w:rFonts w:cs="Times New Roman"/>
        </w:rPr>
        <w:t>g incorporating the marginalised people of society, the second being the Jesus movement and the third being the sense of community and network within early Christian congregations.</w:t>
      </w:r>
      <w:r w:rsidR="0090174C" w:rsidRPr="00660ECA">
        <w:rPr>
          <w:rFonts w:cs="Times New Roman"/>
        </w:rPr>
        <w:t xml:space="preserve"> It is within this that one encounters the work of Stark (1996), who concluded that Christianity did not flourish due to the miracles it was founded on, </w:t>
      </w:r>
      <w:r w:rsidR="00FF48C8" w:rsidRPr="00660ECA">
        <w:rPr>
          <w:rFonts w:cs="Times New Roman"/>
        </w:rPr>
        <w:t>the religious tolerance given under Constantine, or martyrs; but the organisation of its communities and the efforts of its converts.</w:t>
      </w:r>
      <w:r w:rsidR="00FF48C8" w:rsidRPr="00660ECA">
        <w:rPr>
          <w:rStyle w:val="FootnoteReference"/>
          <w:rFonts w:cs="Times New Roman"/>
        </w:rPr>
        <w:footnoteReference w:id="42"/>
      </w:r>
      <w:r w:rsidR="00FF48C8" w:rsidRPr="00660ECA">
        <w:rPr>
          <w:rFonts w:cs="Times New Roman"/>
        </w:rPr>
        <w:t xml:space="preserve"> However, the fundamentals of its organisational and systemic approach were maintained through a societal need for universal healthcare. </w:t>
      </w:r>
      <w:r w:rsidR="008A40CF" w:rsidRPr="00660ECA">
        <w:rPr>
          <w:rFonts w:cs="Times New Roman"/>
        </w:rPr>
        <w:t>As such, the efforts of its converts included caring for th</w:t>
      </w:r>
      <w:r w:rsidR="006C3E88" w:rsidRPr="00660ECA">
        <w:rPr>
          <w:rFonts w:cs="Times New Roman"/>
        </w:rPr>
        <w:t>e sick</w:t>
      </w:r>
      <w:r w:rsidR="008A40CF" w:rsidRPr="00660ECA">
        <w:rPr>
          <w:rFonts w:cs="Times New Roman"/>
        </w:rPr>
        <w:t xml:space="preserve"> and attracting the conversion of these people through the care they received. </w:t>
      </w:r>
      <w:r w:rsidR="00600550" w:rsidRPr="00660ECA">
        <w:rPr>
          <w:rFonts w:cs="Times New Roman"/>
        </w:rPr>
        <w:t xml:space="preserve">Those who were previously outcast in society, </w:t>
      </w:r>
      <w:r w:rsidR="00600550" w:rsidRPr="00660ECA">
        <w:rPr>
          <w:rFonts w:cs="Times New Roman"/>
        </w:rPr>
        <w:lastRenderedPageBreak/>
        <w:t xml:space="preserve">began to have a place within it. </w:t>
      </w:r>
      <w:r w:rsidR="003105F7" w:rsidRPr="00660ECA">
        <w:rPr>
          <w:rFonts w:cs="Times New Roman"/>
        </w:rPr>
        <w:t>It is through the poor, diseased, disabled and elderly people in society that Christianity began to gain credibility as a religion of healing.</w:t>
      </w:r>
      <w:r w:rsidR="009464EC">
        <w:rPr>
          <w:rStyle w:val="FootnoteReference"/>
          <w:rFonts w:cs="Times New Roman"/>
        </w:rPr>
        <w:footnoteReference w:id="43"/>
      </w:r>
      <w:r w:rsidR="003105F7" w:rsidRPr="00660ECA">
        <w:rPr>
          <w:rFonts w:cs="Times New Roman"/>
        </w:rPr>
        <w:t xml:space="preserve"> Thus, one of the fundamental factors to Christianity’s expansion relied on its ability to incorporate the marginalised communities in society. </w:t>
      </w:r>
      <w:r w:rsidR="00CF216B" w:rsidRPr="00660ECA">
        <w:rPr>
          <w:rFonts w:cs="Times New Roman"/>
        </w:rPr>
        <w:t xml:space="preserve">This </w:t>
      </w:r>
      <w:r w:rsidR="00640B6A" w:rsidRPr="00660ECA">
        <w:rPr>
          <w:rFonts w:cs="Times New Roman"/>
        </w:rPr>
        <w:t>philanthropic treatment originates from the Jesu</w:t>
      </w:r>
      <w:r w:rsidR="008A6E8D" w:rsidRPr="00660ECA">
        <w:rPr>
          <w:rFonts w:cs="Times New Roman"/>
        </w:rPr>
        <w:t>s movement. Avalos (1997) states that traditional research fails to recognise healing or healthcare as an important focus within the Jesus movement.</w:t>
      </w:r>
      <w:r w:rsidR="002B3326" w:rsidRPr="00660ECA">
        <w:rPr>
          <w:rFonts w:cs="Times New Roman"/>
        </w:rPr>
        <w:t xml:space="preserve"> </w:t>
      </w:r>
      <w:r w:rsidR="00AC4896" w:rsidRPr="00660ECA">
        <w:rPr>
          <w:rFonts w:cs="Times New Roman"/>
        </w:rPr>
        <w:t>Traditional research also tends to focus on ‘historical Jesus’</w:t>
      </w:r>
      <w:r w:rsidR="00EA0783" w:rsidRPr="00660ECA">
        <w:rPr>
          <w:rFonts w:cs="Times New Roman"/>
        </w:rPr>
        <w:t xml:space="preserve"> and try to </w:t>
      </w:r>
      <w:r w:rsidR="00AC4896" w:rsidRPr="00660ECA">
        <w:rPr>
          <w:rFonts w:cs="Times New Roman"/>
        </w:rPr>
        <w:t>decipher what Jesus did and did not do historically, however this research undermines the impo</w:t>
      </w:r>
      <w:r w:rsidR="00EA0783" w:rsidRPr="00660ECA">
        <w:rPr>
          <w:rFonts w:cs="Times New Roman"/>
        </w:rPr>
        <w:t>rtance of the healing narratives</w:t>
      </w:r>
      <w:r w:rsidR="00AC4896" w:rsidRPr="00660ECA">
        <w:rPr>
          <w:rFonts w:cs="Times New Roman"/>
        </w:rPr>
        <w:t xml:space="preserve"> impact. Debates surrounding the likelihood of healing taking place during</w:t>
      </w:r>
      <w:r w:rsidR="00A231FA" w:rsidRPr="00660ECA">
        <w:rPr>
          <w:rFonts w:cs="Times New Roman"/>
        </w:rPr>
        <w:t xml:space="preserve"> these miracle narratives are </w:t>
      </w:r>
      <w:r w:rsidR="00AC4896" w:rsidRPr="00660ECA">
        <w:rPr>
          <w:rFonts w:cs="Times New Roman"/>
        </w:rPr>
        <w:t>unimportant and should not be the focus of scholars when discussing the Jesus Movement. Instead, focus should shift to the societal perception of such miracles and its widespread popularity.</w:t>
      </w:r>
      <w:r w:rsidR="0087319A" w:rsidRPr="00660ECA">
        <w:rPr>
          <w:rStyle w:val="FootnoteReference"/>
          <w:rFonts w:cs="Times New Roman"/>
        </w:rPr>
        <w:footnoteReference w:id="44"/>
      </w:r>
      <w:r w:rsidR="0098206F">
        <w:rPr>
          <w:rFonts w:cs="Times New Roman"/>
        </w:rPr>
        <w:t xml:space="preserve"> The quick growth of the Jesus movement and popular response from societies who readily welcomed the notion of a miracle healer proves that healthcare was at the forefront of many individuals conscience.</w:t>
      </w:r>
      <w:r w:rsidR="0098206F">
        <w:rPr>
          <w:rStyle w:val="FootnoteReference"/>
          <w:rFonts w:cs="Times New Roman"/>
        </w:rPr>
        <w:footnoteReference w:id="45"/>
      </w:r>
      <w:r w:rsidR="00AC4896" w:rsidRPr="00660ECA">
        <w:rPr>
          <w:rFonts w:cs="Times New Roman"/>
        </w:rPr>
        <w:t xml:space="preserve"> In its simplest form, the Jesus movement was started by a folk-healer who gained popularity</w:t>
      </w:r>
      <w:r w:rsidR="00EA0783" w:rsidRPr="00660ECA">
        <w:rPr>
          <w:rFonts w:cs="Times New Roman"/>
        </w:rPr>
        <w:t xml:space="preserve"> by</w:t>
      </w:r>
      <w:r w:rsidR="00AC4896" w:rsidRPr="00660ECA">
        <w:rPr>
          <w:rFonts w:cs="Times New Roman"/>
        </w:rPr>
        <w:t xml:space="preserve"> performing acts of healing the incurable, marginalised people of society</w:t>
      </w:r>
      <w:r w:rsidR="00CC4073" w:rsidRPr="00660ECA">
        <w:rPr>
          <w:rFonts w:cs="Times New Roman"/>
        </w:rPr>
        <w:t xml:space="preserve">. Which, coincidentally, took place under a society that had little to no regard for the poor, sick or diseased population. Subsequently, Jesus became popular for providing the poorest with access to some form of healthcare. </w:t>
      </w:r>
      <w:r w:rsidR="00A231FA" w:rsidRPr="00660ECA">
        <w:rPr>
          <w:rFonts w:cs="Times New Roman"/>
        </w:rPr>
        <w:t>These people must have been failed by the healthcare model they lived under to take such an avid interest in the Jesus Movement.</w:t>
      </w:r>
      <w:r w:rsidR="00EA0783" w:rsidRPr="00660ECA">
        <w:rPr>
          <w:rFonts w:cs="Times New Roman"/>
        </w:rPr>
        <w:t xml:space="preserve"> </w:t>
      </w:r>
      <w:r w:rsidR="005451AB" w:rsidRPr="00660ECA">
        <w:rPr>
          <w:rFonts w:cs="Times New Roman"/>
        </w:rPr>
        <w:t>The systemic organisation of the early Christian communities came from the missionaries taken by the Apostles to try and attract converts.</w:t>
      </w:r>
      <w:r w:rsidR="008261EA">
        <w:rPr>
          <w:rStyle w:val="FootnoteReference"/>
          <w:rFonts w:cs="Times New Roman"/>
        </w:rPr>
        <w:footnoteReference w:id="46"/>
      </w:r>
      <w:r w:rsidR="005451AB" w:rsidRPr="00660ECA">
        <w:rPr>
          <w:rFonts w:cs="Times New Roman"/>
        </w:rPr>
        <w:t xml:space="preserve"> The idea of creating a ‘new’, and therefore better, society for people to be a part of wa</w:t>
      </w:r>
      <w:r w:rsidR="005558BE" w:rsidRPr="00660ECA">
        <w:rPr>
          <w:rFonts w:cs="Times New Roman"/>
        </w:rPr>
        <w:t>s attractive to th</w:t>
      </w:r>
      <w:r w:rsidR="00F60A47" w:rsidRPr="00660ECA">
        <w:rPr>
          <w:rFonts w:cs="Times New Roman"/>
        </w:rPr>
        <w:t xml:space="preserve">e poor, sick </w:t>
      </w:r>
      <w:r w:rsidR="00F60A47" w:rsidRPr="00660ECA">
        <w:rPr>
          <w:rFonts w:cs="Times New Roman"/>
        </w:rPr>
        <w:lastRenderedPageBreak/>
        <w:t xml:space="preserve">and diseased. </w:t>
      </w:r>
      <w:r w:rsidR="0012309A" w:rsidRPr="00660ECA">
        <w:rPr>
          <w:rFonts w:cs="Times New Roman"/>
        </w:rPr>
        <w:t>They received free care within Christian circles, as the Christians aimed to follow Jesus’ philanthropic ways.</w:t>
      </w:r>
      <w:r w:rsidR="0087319A" w:rsidRPr="00660ECA">
        <w:rPr>
          <w:rStyle w:val="FootnoteReference"/>
          <w:rFonts w:cs="Times New Roman"/>
        </w:rPr>
        <w:footnoteReference w:id="47"/>
      </w:r>
      <w:r w:rsidR="0012309A" w:rsidRPr="00660ECA">
        <w:rPr>
          <w:rFonts w:cs="Times New Roman"/>
        </w:rPr>
        <w:t xml:space="preserve"> </w:t>
      </w:r>
      <w:r w:rsidR="006D3A7F">
        <w:rPr>
          <w:rFonts w:cs="Times New Roman"/>
        </w:rPr>
        <w:t>As sickness and the experience of</w:t>
      </w:r>
      <w:r w:rsidR="00837FCF">
        <w:rPr>
          <w:rFonts w:cs="Times New Roman"/>
        </w:rPr>
        <w:t xml:space="preserve"> such</w:t>
      </w:r>
      <w:r w:rsidR="006D3A7F">
        <w:rPr>
          <w:rFonts w:cs="Times New Roman"/>
        </w:rPr>
        <w:t xml:space="preserve"> was a societal experience, not an individual one, it can be assumed that the approach to religious outlook was also a shared experience; at least certainly more so than in the Polytheistic Roman religion. There is also a sense of comradery that comes with residing in circles that suit an individual’s outward perspective of their surroundings. </w:t>
      </w:r>
      <w:r w:rsidR="004F1322" w:rsidRPr="00660ECA">
        <w:rPr>
          <w:rFonts w:cs="Times New Roman"/>
        </w:rPr>
        <w:t>Considering the stark differences of the treatment of the poorer population under Christian communities and the traditional Graeco-Roman ones, it is clear to see why early Christianity would have been a beneficial religion for the marginalised in society, who helped to popularise it.</w:t>
      </w:r>
      <w:r w:rsidR="00332B65">
        <w:rPr>
          <w:rStyle w:val="FootnoteReference"/>
          <w:rFonts w:cs="Times New Roman"/>
        </w:rPr>
        <w:footnoteReference w:id="48"/>
      </w:r>
      <w:r w:rsidR="004F1322" w:rsidRPr="00660ECA">
        <w:rPr>
          <w:rFonts w:cs="Times New Roman"/>
        </w:rPr>
        <w:t xml:space="preserve"> </w:t>
      </w:r>
    </w:p>
    <w:p w14:paraId="568012A1" w14:textId="5FF3E536" w:rsidR="00F3237E" w:rsidRDefault="00C3210E" w:rsidP="0038017A">
      <w:pPr>
        <w:spacing w:line="480" w:lineRule="auto"/>
        <w:ind w:firstLine="720"/>
        <w:rPr>
          <w:rFonts w:cs="Times New Roman"/>
        </w:rPr>
      </w:pPr>
      <w:r>
        <w:rPr>
          <w:rFonts w:cs="Times New Roman"/>
        </w:rPr>
        <w:t>This change in healthcare model has been characterised by Ferngren (2011) as a ‘new moral culture</w:t>
      </w:r>
      <w:r w:rsidR="006D3A7F">
        <w:rPr>
          <w:rFonts w:cs="Times New Roman"/>
        </w:rPr>
        <w:t>’ which sought to revolutionise the contemporary morality of society.</w:t>
      </w:r>
      <w:r w:rsidR="006D3A7F">
        <w:rPr>
          <w:rStyle w:val="FootnoteReference"/>
          <w:rFonts w:cs="Times New Roman"/>
        </w:rPr>
        <w:footnoteReference w:id="49"/>
      </w:r>
      <w:r w:rsidR="006D3A7F">
        <w:rPr>
          <w:rFonts w:cs="Times New Roman"/>
        </w:rPr>
        <w:t xml:space="preserve"> Far from the uncompassionate world that the f</w:t>
      </w:r>
      <w:r w:rsidR="00D53591">
        <w:rPr>
          <w:rFonts w:cs="Times New Roman"/>
        </w:rPr>
        <w:t>ollowers of Polytheism lived in, the early Christians sought to reform the moral view of the</w:t>
      </w:r>
      <w:r w:rsidR="00AA4F0F">
        <w:rPr>
          <w:rFonts w:cs="Times New Roman"/>
        </w:rPr>
        <w:t xml:space="preserve"> sick, diseased and disabled. There was little available to the most impoverished of society, and the dying were often refused entry to temples in fear they would corrupt the sanctity.</w:t>
      </w:r>
      <w:r w:rsidR="00AA4F0F">
        <w:rPr>
          <w:rStyle w:val="FootnoteReference"/>
          <w:rFonts w:cs="Times New Roman"/>
        </w:rPr>
        <w:footnoteReference w:id="50"/>
      </w:r>
      <w:r w:rsidR="00AA4F0F">
        <w:rPr>
          <w:rFonts w:cs="Times New Roman"/>
        </w:rPr>
        <w:t xml:space="preserve"> </w:t>
      </w:r>
    </w:p>
    <w:p w14:paraId="2AAD4407" w14:textId="77777777" w:rsidR="00A14493" w:rsidRPr="00660ECA" w:rsidRDefault="00A14493" w:rsidP="0038017A">
      <w:pPr>
        <w:spacing w:line="480" w:lineRule="auto"/>
        <w:ind w:firstLine="720"/>
        <w:rPr>
          <w:rFonts w:cs="Times New Roman"/>
        </w:rPr>
      </w:pPr>
    </w:p>
    <w:p w14:paraId="3F7D9040" w14:textId="42B3233A" w:rsidR="0089623A" w:rsidRDefault="0089623A" w:rsidP="0038017A">
      <w:pPr>
        <w:pStyle w:val="Heading3"/>
        <w:spacing w:line="480" w:lineRule="auto"/>
      </w:pPr>
      <w:bookmarkStart w:id="7" w:name="_Toc513777956"/>
      <w:r w:rsidRPr="00660ECA">
        <w:t>1.3</w:t>
      </w:r>
      <w:r w:rsidR="00660ECA">
        <w:t xml:space="preserve"> </w:t>
      </w:r>
      <w:r w:rsidRPr="00660ECA">
        <w:t>‘Monotheism Vs. Polytheism’</w:t>
      </w:r>
      <w:bookmarkEnd w:id="7"/>
      <w:r w:rsidRPr="00660ECA">
        <w:t xml:space="preserve"> </w:t>
      </w:r>
    </w:p>
    <w:p w14:paraId="6D5B3B03" w14:textId="77777777" w:rsidR="00A14493" w:rsidRPr="00A14493" w:rsidRDefault="00A14493" w:rsidP="0038017A">
      <w:pPr>
        <w:spacing w:line="480" w:lineRule="auto"/>
      </w:pPr>
    </w:p>
    <w:p w14:paraId="7426DE7F" w14:textId="26180A32" w:rsidR="00660ECA" w:rsidRPr="00660ECA" w:rsidRDefault="0089623A" w:rsidP="0038017A">
      <w:pPr>
        <w:spacing w:line="480" w:lineRule="auto"/>
        <w:rPr>
          <w:rFonts w:cs="Times New Roman"/>
        </w:rPr>
      </w:pPr>
      <w:r w:rsidRPr="00660ECA">
        <w:rPr>
          <w:rFonts w:cs="Times New Roman"/>
        </w:rPr>
        <w:t xml:space="preserve">Polytheism, a religion of multiple gods, and Monotheism, a religion of one god, present the basics of the healthcare models available in late Antiquity. Healing cults dedicated to one god </w:t>
      </w:r>
      <w:r w:rsidRPr="00660ECA">
        <w:rPr>
          <w:rFonts w:cs="Times New Roman"/>
        </w:rPr>
        <w:lastRenderedPageBreak/>
        <w:t>existed in polytheism but were still considered part of the overall Polytheistic religion of the Roman Empire.</w:t>
      </w:r>
      <w:r w:rsidR="00567564">
        <w:rPr>
          <w:rStyle w:val="FootnoteReference"/>
          <w:rFonts w:cs="Times New Roman"/>
        </w:rPr>
        <w:footnoteReference w:id="51"/>
      </w:r>
      <w:r w:rsidRPr="00660ECA">
        <w:rPr>
          <w:rFonts w:cs="Times New Roman"/>
        </w:rPr>
        <w:t xml:space="preserve"> This is seen in the healing cult of Asclepius, where people worshipped Asclepius for cures to their diseases and sought medical help at the temples of the god.</w:t>
      </w:r>
      <w:r w:rsidR="00567564">
        <w:rPr>
          <w:rStyle w:val="FootnoteReference"/>
          <w:rFonts w:cs="Times New Roman"/>
        </w:rPr>
        <w:footnoteReference w:id="52"/>
      </w:r>
      <w:r w:rsidRPr="00660ECA">
        <w:rPr>
          <w:rFonts w:cs="Times New Roman"/>
        </w:rPr>
        <w:t xml:space="preserve"> While these healing cults offered care, it was not free and often became time costly. The healing cults were not on the periphery of society either, they were very much mainstream healthcare options to the public. Brown (2004) discusses the instance of Aelius Aristides, who became convinced that his life was shaped by the god Asclepius, and detailed that the god saw him through the ‘breakdowns’ one may experience in everyday life.</w:t>
      </w:r>
      <w:r w:rsidRPr="00660ECA">
        <w:rPr>
          <w:rStyle w:val="FootnoteReference"/>
          <w:rFonts w:cs="Times New Roman"/>
        </w:rPr>
        <w:footnoteReference w:id="53"/>
      </w:r>
      <w:r w:rsidRPr="00660ECA">
        <w:rPr>
          <w:rFonts w:cs="Times New Roman"/>
        </w:rPr>
        <w:t xml:space="preserve"> This is a perfect example of the cross between Polytheism and Monotheism, as Aelius worships Asclepius as an individual, not as part of a multitude of gods. Despite this, he was a man that did not stray from the traditional Polytheistic lifestyle.</w:t>
      </w:r>
      <w:r w:rsidRPr="00660ECA">
        <w:rPr>
          <w:rStyle w:val="FootnoteReference"/>
          <w:rFonts w:cs="Times New Roman"/>
        </w:rPr>
        <w:footnoteReference w:id="54"/>
      </w:r>
      <w:r w:rsidRPr="00660ECA">
        <w:rPr>
          <w:rFonts w:cs="Times New Roman"/>
        </w:rPr>
        <w:t xml:space="preserve"> This was common practice, and cults dedicated to individual gods can be seen throughout the history of the Graeco-Roman Polytheistic religion. Similarly, the Monotheistic Christian religion has a multitude of patron saints. All of which are dedicated to different purposes, for followers to pray to. This element of Polytheistic based worship shows how alike both Monotheism and Polytheism are. Both contain accents of the other echoed throughout their practice. One can argue against this, as the transition of power in the Monotheistic Christian religion is believed to come directly from God. If this is the case, as Christian Theology states frequently, then the flow of power invariab</w:t>
      </w:r>
      <w:r w:rsidR="002F3AF8">
        <w:rPr>
          <w:rFonts w:cs="Times New Roman"/>
        </w:rPr>
        <w:t>ly comes from God, to the saint</w:t>
      </w:r>
      <w:r w:rsidRPr="00660ECA">
        <w:rPr>
          <w:rFonts w:cs="Times New Roman"/>
        </w:rPr>
        <w:t>, to the individual. Counter to this, the flow of power does not involve the individual but comes to the individual either through the saint prayed to, or God himself</w:t>
      </w:r>
      <w:r w:rsidR="002F3AF8">
        <w:rPr>
          <w:rFonts w:cs="Times New Roman"/>
        </w:rPr>
        <w:t>, and so</w:t>
      </w:r>
      <w:r w:rsidR="002A2D00">
        <w:rPr>
          <w:rFonts w:cs="Times New Roman"/>
        </w:rPr>
        <w:t xml:space="preserve"> there is fundamentally more than one divine being to pray to</w:t>
      </w:r>
      <w:r w:rsidRPr="00660ECA">
        <w:rPr>
          <w:rFonts w:cs="Times New Roman"/>
        </w:rPr>
        <w:t>. Thus, the debate of Monotheism versus Polytheism is moot and unimportant to the overall theme religious transition as both present examples of the respective other throughout ideology.</w:t>
      </w:r>
      <w:r w:rsidR="002A0CDA">
        <w:rPr>
          <w:rFonts w:cs="Times New Roman"/>
        </w:rPr>
        <w:t xml:space="preserve"> </w:t>
      </w:r>
      <w:r w:rsidR="002A0CDA">
        <w:rPr>
          <w:rFonts w:cs="Times New Roman"/>
        </w:rPr>
        <w:lastRenderedPageBreak/>
        <w:t>Monotheism and Polytheism are important to healthcare as each change the paradigm of options available to an individual. Avalos (1997) categorises Polytheism as having more healthcare options available to an individual because there is more than a singular god, and so if they did not receive a cure from one god, they could pray to another.</w:t>
      </w:r>
      <w:r w:rsidR="002A0CDA">
        <w:rPr>
          <w:rStyle w:val="FootnoteReference"/>
          <w:rFonts w:cs="Times New Roman"/>
        </w:rPr>
        <w:footnoteReference w:id="55"/>
      </w:r>
    </w:p>
    <w:p w14:paraId="4357B59F" w14:textId="77777777" w:rsidR="000A3E81" w:rsidRDefault="000A3E81" w:rsidP="0038017A">
      <w:pPr>
        <w:spacing w:line="480" w:lineRule="auto"/>
        <w:rPr>
          <w:rFonts w:eastAsiaTheme="majorEastAsia" w:cstheme="majorBidi"/>
          <w:szCs w:val="26"/>
        </w:rPr>
      </w:pPr>
      <w:r>
        <w:br w:type="page"/>
      </w:r>
    </w:p>
    <w:p w14:paraId="3E094956" w14:textId="18A9C0D7" w:rsidR="00660ECA" w:rsidRDefault="00660ECA" w:rsidP="0038017A">
      <w:pPr>
        <w:pStyle w:val="Heading2"/>
        <w:spacing w:line="480" w:lineRule="auto"/>
      </w:pPr>
      <w:bookmarkStart w:id="8" w:name="_Toc513777957"/>
      <w:r w:rsidRPr="00660ECA">
        <w:lastRenderedPageBreak/>
        <w:t>Chapter Two</w:t>
      </w:r>
      <w:bookmarkEnd w:id="8"/>
    </w:p>
    <w:p w14:paraId="06AB157E" w14:textId="77777777" w:rsidR="00660ECA" w:rsidRPr="00660ECA" w:rsidRDefault="00660ECA" w:rsidP="0038017A">
      <w:pPr>
        <w:spacing w:line="480" w:lineRule="auto"/>
      </w:pPr>
    </w:p>
    <w:p w14:paraId="75AC5854" w14:textId="00663280" w:rsidR="00660ECA" w:rsidRDefault="00CD23C9" w:rsidP="0038017A">
      <w:pPr>
        <w:pStyle w:val="Heading3"/>
        <w:spacing w:line="480" w:lineRule="auto"/>
      </w:pPr>
      <w:bookmarkStart w:id="9" w:name="_Toc513777958"/>
      <w:r w:rsidRPr="00660ECA">
        <w:t>2</w:t>
      </w:r>
      <w:r w:rsidR="0089623A" w:rsidRPr="00660ECA">
        <w:t>.1</w:t>
      </w:r>
      <w:r w:rsidR="00F3237E" w:rsidRPr="00660ECA">
        <w:t xml:space="preserve"> Health</w:t>
      </w:r>
      <w:r w:rsidR="00640B6A" w:rsidRPr="00660ECA">
        <w:t>care crises in the late-second to</w:t>
      </w:r>
      <w:r w:rsidR="00F3237E" w:rsidRPr="00660ECA">
        <w:t xml:space="preserve"> mid-third century</w:t>
      </w:r>
      <w:bookmarkEnd w:id="9"/>
    </w:p>
    <w:p w14:paraId="6BAC0E72" w14:textId="77777777" w:rsidR="00A14493" w:rsidRPr="00A14493" w:rsidRDefault="00A14493" w:rsidP="0038017A">
      <w:pPr>
        <w:spacing w:line="480" w:lineRule="auto"/>
      </w:pPr>
    </w:p>
    <w:p w14:paraId="175A122B" w14:textId="7F40D7DF" w:rsidR="008877EE" w:rsidRPr="00660ECA" w:rsidRDefault="00583B8F" w:rsidP="0038017A">
      <w:pPr>
        <w:spacing w:line="480" w:lineRule="auto"/>
        <w:rPr>
          <w:rFonts w:cs="Times New Roman"/>
        </w:rPr>
      </w:pPr>
      <w:r w:rsidRPr="00660ECA">
        <w:rPr>
          <w:rFonts w:cs="Times New Roman"/>
        </w:rPr>
        <w:t>In the late second to mid</w:t>
      </w:r>
      <w:r w:rsidR="0083124B" w:rsidRPr="00660ECA">
        <w:rPr>
          <w:rFonts w:cs="Times New Roman"/>
        </w:rPr>
        <w:t xml:space="preserve"> third </w:t>
      </w:r>
      <w:r w:rsidRPr="00660ECA">
        <w:rPr>
          <w:rFonts w:cs="Times New Roman"/>
        </w:rPr>
        <w:t>century</w:t>
      </w:r>
      <w:r w:rsidR="00F10F55" w:rsidRPr="00660ECA">
        <w:rPr>
          <w:rFonts w:cs="Times New Roman"/>
        </w:rPr>
        <w:t>,</w:t>
      </w:r>
      <w:r w:rsidR="0083124B" w:rsidRPr="00660ECA">
        <w:rPr>
          <w:rFonts w:cs="Times New Roman"/>
        </w:rPr>
        <w:t xml:space="preserve"> there is</w:t>
      </w:r>
      <w:r w:rsidR="00F10F55" w:rsidRPr="00660ECA">
        <w:rPr>
          <w:rFonts w:cs="Times New Roman"/>
        </w:rPr>
        <w:t xml:space="preserve"> evidence of healthcare crises; in the form of widespread disease</w:t>
      </w:r>
      <w:r w:rsidR="002F1552" w:rsidRPr="00660ECA">
        <w:rPr>
          <w:rFonts w:cs="Times New Roman"/>
        </w:rPr>
        <w:t>, famine and poverty</w:t>
      </w:r>
      <w:r w:rsidR="0083124B" w:rsidRPr="00660ECA">
        <w:rPr>
          <w:rFonts w:cs="Times New Roman"/>
        </w:rPr>
        <w:t>.</w:t>
      </w:r>
      <w:r w:rsidR="002F1552" w:rsidRPr="00660ECA">
        <w:rPr>
          <w:rFonts w:cs="Times New Roman"/>
        </w:rPr>
        <w:t xml:space="preserve"> The Roman Empire did not appear to have the means necessary to contain, or limit, the damage done through this;</w:t>
      </w:r>
      <w:r w:rsidR="00A85729">
        <w:rPr>
          <w:rStyle w:val="FootnoteReference"/>
          <w:rFonts w:cs="Times New Roman"/>
        </w:rPr>
        <w:footnoteReference w:id="56"/>
      </w:r>
      <w:r w:rsidR="002F1552" w:rsidRPr="00660ECA">
        <w:rPr>
          <w:rFonts w:cs="Times New Roman"/>
        </w:rPr>
        <w:t xml:space="preserve"> as such the population turned to their religion, or the religious, to aid them.</w:t>
      </w:r>
      <w:r w:rsidR="0083124B" w:rsidRPr="00660ECA">
        <w:rPr>
          <w:rFonts w:cs="Times New Roman"/>
        </w:rPr>
        <w:t xml:space="preserve"> The first outbreak is thought to have begun in Mesopotamia during the Parthian campaign.</w:t>
      </w:r>
      <w:r w:rsidR="0083124B" w:rsidRPr="00660ECA">
        <w:rPr>
          <w:rFonts w:cs="Times New Roman"/>
          <w:vertAlign w:val="superscript"/>
        </w:rPr>
        <w:footnoteReference w:id="57"/>
      </w:r>
      <w:r w:rsidR="0083124B" w:rsidRPr="00660ECA">
        <w:rPr>
          <w:rFonts w:cs="Times New Roman"/>
        </w:rPr>
        <w:t xml:space="preserve"> The emperor Lucius Verus succumbed to the disease among much of the population</w:t>
      </w:r>
      <w:r w:rsidR="0083124B" w:rsidRPr="00660ECA">
        <w:rPr>
          <w:rFonts w:cs="Times New Roman"/>
          <w:vertAlign w:val="superscript"/>
        </w:rPr>
        <w:footnoteReference w:id="58"/>
      </w:r>
      <w:r w:rsidR="0083124B" w:rsidRPr="00660ECA">
        <w:rPr>
          <w:rFonts w:cs="Times New Roman"/>
        </w:rPr>
        <w:t xml:space="preserve"> and the outbreak is thought to have ended when Marcus Aurelius died in 180. However, Cassius Dio documents an outbreak in 189 that caused up to 2,000 deaths a day in Rome, as well as a wide spread famine.</w:t>
      </w:r>
      <w:r w:rsidR="0083124B" w:rsidRPr="00660ECA">
        <w:rPr>
          <w:rFonts w:cs="Times New Roman"/>
          <w:vertAlign w:val="superscript"/>
        </w:rPr>
        <w:footnoteReference w:id="59"/>
      </w:r>
      <w:r w:rsidR="0083124B" w:rsidRPr="00660ECA">
        <w:rPr>
          <w:rFonts w:cs="Times New Roman"/>
        </w:rPr>
        <w:t xml:space="preserve"> It is uncertain whether the two plagues were caused by the same disease, however, it is evident that health care became a predominant issue in society</w:t>
      </w:r>
      <w:r w:rsidR="00F10F55" w:rsidRPr="00660ECA">
        <w:rPr>
          <w:rFonts w:cs="Times New Roman"/>
        </w:rPr>
        <w:t xml:space="preserve"> by the mid third century. </w:t>
      </w:r>
      <w:r w:rsidR="0083124B" w:rsidRPr="00660ECA">
        <w:rPr>
          <w:rFonts w:cs="Times New Roman"/>
        </w:rPr>
        <w:t>These outbreaks have been attributed to three main factors: fast urbanization, increase in trade links and malnutrition.</w:t>
      </w:r>
      <w:r w:rsidR="0083124B" w:rsidRPr="00660ECA">
        <w:rPr>
          <w:rFonts w:cs="Times New Roman"/>
          <w:vertAlign w:val="superscript"/>
        </w:rPr>
        <w:footnoteReference w:id="60"/>
      </w:r>
      <w:r w:rsidR="0083124B" w:rsidRPr="00660ECA">
        <w:rPr>
          <w:rFonts w:cs="Times New Roman"/>
        </w:rPr>
        <w:t xml:space="preserve"> Fast urbanization and sharp increases in population present the perfect climate for mass outbreaks of disease. Spreading from one person to another quickly, the disease can sustain itself in densely populated areas.</w:t>
      </w:r>
      <w:r w:rsidR="0083124B" w:rsidRPr="00660ECA">
        <w:rPr>
          <w:rFonts w:cs="Times New Roman"/>
          <w:vertAlign w:val="superscript"/>
        </w:rPr>
        <w:footnoteReference w:id="61"/>
      </w:r>
      <w:r w:rsidR="0083124B" w:rsidRPr="00660ECA">
        <w:rPr>
          <w:rFonts w:cs="Times New Roman"/>
        </w:rPr>
        <w:t xml:space="preserve"> Although there were efforts to contain outbreaks,</w:t>
      </w:r>
      <w:r w:rsidR="00567564">
        <w:rPr>
          <w:rFonts w:cs="Times New Roman"/>
        </w:rPr>
        <w:t xml:space="preserve"> such as cremation,</w:t>
      </w:r>
      <w:r w:rsidR="00567564">
        <w:rPr>
          <w:rStyle w:val="FootnoteReference"/>
          <w:rFonts w:cs="Times New Roman"/>
        </w:rPr>
        <w:footnoteReference w:id="62"/>
      </w:r>
      <w:r w:rsidR="00567564">
        <w:rPr>
          <w:rFonts w:cs="Times New Roman"/>
        </w:rPr>
        <w:t xml:space="preserve"> some methods</w:t>
      </w:r>
      <w:r w:rsidR="0083124B" w:rsidRPr="00660ECA">
        <w:rPr>
          <w:rFonts w:cs="Times New Roman"/>
        </w:rPr>
        <w:t xml:space="preserve"> may have encouraged it to spread. Containing those who are sick in one area, such as a temple, would have meant people </w:t>
      </w:r>
      <w:r w:rsidR="0083124B" w:rsidRPr="00660ECA">
        <w:rPr>
          <w:rFonts w:cs="Times New Roman"/>
        </w:rPr>
        <w:lastRenderedPageBreak/>
        <w:t>previously unaffected by said plague would contract it when visiting, thus continually spreading it.</w:t>
      </w:r>
      <w:r w:rsidR="0083124B" w:rsidRPr="00660ECA">
        <w:rPr>
          <w:rFonts w:cs="Times New Roman"/>
          <w:vertAlign w:val="superscript"/>
        </w:rPr>
        <w:footnoteReference w:id="63"/>
      </w:r>
      <w:r w:rsidR="0083124B" w:rsidRPr="00660ECA">
        <w:rPr>
          <w:rFonts w:cs="Times New Roman"/>
        </w:rPr>
        <w:t xml:space="preserve"> Outbreaks of plague usually began within the Roman Army; travelling through different parts of the empire and encountering different people (some sick) meant they were more susceptible to diseases and plagues than any other people of the empire. Similarly, the influx of trade from newly conquered areas </w:t>
      </w:r>
      <w:r w:rsidR="00740D07" w:rsidRPr="00660ECA">
        <w:rPr>
          <w:rFonts w:cs="Times New Roman"/>
        </w:rPr>
        <w:t xml:space="preserve">of the empire also brought </w:t>
      </w:r>
      <w:r w:rsidR="0083124B" w:rsidRPr="00660ECA">
        <w:rPr>
          <w:rFonts w:cs="Times New Roman"/>
        </w:rPr>
        <w:t>new diseases</w:t>
      </w:r>
      <w:r w:rsidR="00740D07" w:rsidRPr="00660ECA">
        <w:rPr>
          <w:rFonts w:cs="Times New Roman"/>
        </w:rPr>
        <w:t xml:space="preserve">. These factors combined </w:t>
      </w:r>
      <w:r w:rsidR="0083124B" w:rsidRPr="00660ECA">
        <w:rPr>
          <w:rFonts w:cs="Times New Roman"/>
        </w:rPr>
        <w:t xml:space="preserve">created an environment in which the Roman Empire facilitated the spread of disease. </w:t>
      </w:r>
      <w:r w:rsidR="00A259A2" w:rsidRPr="00660ECA">
        <w:rPr>
          <w:rFonts w:cs="Times New Roman"/>
        </w:rPr>
        <w:t>This increase of disease in the Empire created a high demand for healthcare practice</w:t>
      </w:r>
      <w:r w:rsidR="0083124B" w:rsidRPr="00660ECA">
        <w:rPr>
          <w:rFonts w:cs="Times New Roman"/>
        </w:rPr>
        <w:t>. Physicians would not treat patients they thought were too sick</w:t>
      </w:r>
      <w:r w:rsidR="00A259A2" w:rsidRPr="00660ECA">
        <w:rPr>
          <w:rFonts w:cs="Times New Roman"/>
        </w:rPr>
        <w:t>, or were suffering long-term health problems</w:t>
      </w:r>
      <w:r w:rsidR="0083124B" w:rsidRPr="00660ECA">
        <w:rPr>
          <w:rFonts w:cs="Times New Roman"/>
        </w:rPr>
        <w:t xml:space="preserve">, so as </w:t>
      </w:r>
      <w:r w:rsidR="00AD5A72" w:rsidRPr="00660ECA">
        <w:rPr>
          <w:rFonts w:cs="Times New Roman"/>
        </w:rPr>
        <w:t>not to affect their reputation as a medical professional</w:t>
      </w:r>
      <w:r w:rsidR="00A259A2" w:rsidRPr="00660ECA">
        <w:rPr>
          <w:rFonts w:cs="Times New Roman"/>
        </w:rPr>
        <w:t>.</w:t>
      </w:r>
      <w:r w:rsidR="00AD5A72" w:rsidRPr="00660ECA">
        <w:rPr>
          <w:rStyle w:val="FootnoteReference"/>
          <w:rFonts w:cs="Times New Roman"/>
        </w:rPr>
        <w:footnoteReference w:id="64"/>
      </w:r>
      <w:r w:rsidR="00A259A2" w:rsidRPr="00660ECA">
        <w:rPr>
          <w:rFonts w:cs="Times New Roman"/>
        </w:rPr>
        <w:t xml:space="preserve"> They also charged their patients considerably high amounts</w:t>
      </w:r>
      <w:r w:rsidR="0083124B" w:rsidRPr="00660ECA">
        <w:rPr>
          <w:rFonts w:cs="Times New Roman"/>
        </w:rPr>
        <w:t xml:space="preserve"> for treatment and care, making acc</w:t>
      </w:r>
      <w:r w:rsidR="002C390F" w:rsidRPr="00660ECA">
        <w:rPr>
          <w:rFonts w:cs="Times New Roman"/>
        </w:rPr>
        <w:t>ess to healthcare difficult. As aforementioned, the</w:t>
      </w:r>
      <w:r w:rsidR="0083124B" w:rsidRPr="00660ECA">
        <w:rPr>
          <w:rFonts w:cs="Times New Roman"/>
        </w:rPr>
        <w:t xml:space="preserve"> universality of healthcare also greatly affected who could receive treatment. For ex</w:t>
      </w:r>
      <w:r w:rsidR="00A259A2" w:rsidRPr="00660ECA">
        <w:rPr>
          <w:rFonts w:cs="Times New Roman"/>
        </w:rPr>
        <w:t xml:space="preserve">ample, the richer patient </w:t>
      </w:r>
      <w:r w:rsidR="0083124B" w:rsidRPr="00660ECA">
        <w:rPr>
          <w:rFonts w:cs="Times New Roman"/>
        </w:rPr>
        <w:t>receive</w:t>
      </w:r>
      <w:r w:rsidR="00A259A2" w:rsidRPr="00660ECA">
        <w:rPr>
          <w:rFonts w:cs="Times New Roman"/>
        </w:rPr>
        <w:t>d</w:t>
      </w:r>
      <w:r w:rsidR="0083124B" w:rsidRPr="00660ECA">
        <w:rPr>
          <w:rFonts w:cs="Times New Roman"/>
        </w:rPr>
        <w:t xml:space="preserve"> high standards</w:t>
      </w:r>
      <w:r w:rsidR="00A259A2" w:rsidRPr="00660ECA">
        <w:rPr>
          <w:rFonts w:cs="Times New Roman"/>
        </w:rPr>
        <w:t xml:space="preserve"> of healthcare because they paid</w:t>
      </w:r>
      <w:r w:rsidR="0083124B" w:rsidRPr="00660ECA">
        <w:rPr>
          <w:rFonts w:cs="Times New Roman"/>
        </w:rPr>
        <w:t xml:space="preserve"> more. Whereas the poor may </w:t>
      </w:r>
      <w:r w:rsidR="00A956C0" w:rsidRPr="00660ECA">
        <w:rPr>
          <w:rFonts w:cs="Times New Roman"/>
        </w:rPr>
        <w:t xml:space="preserve">have </w:t>
      </w:r>
      <w:r w:rsidR="0083124B" w:rsidRPr="00660ECA">
        <w:rPr>
          <w:rFonts w:cs="Times New Roman"/>
        </w:rPr>
        <w:t>receive</w:t>
      </w:r>
      <w:r w:rsidR="00A956C0" w:rsidRPr="00660ECA">
        <w:rPr>
          <w:rFonts w:cs="Times New Roman"/>
        </w:rPr>
        <w:t>d</w:t>
      </w:r>
      <w:r w:rsidR="0083124B" w:rsidRPr="00660ECA">
        <w:rPr>
          <w:rFonts w:cs="Times New Roman"/>
        </w:rPr>
        <w:t xml:space="preserve"> advice on prayer ceremonies they could engage in,</w:t>
      </w:r>
      <w:r w:rsidR="00A956C0" w:rsidRPr="00660ECA">
        <w:rPr>
          <w:rFonts w:cs="Times New Roman"/>
        </w:rPr>
        <w:t xml:space="preserve"> that is if the physician agreed</w:t>
      </w:r>
      <w:r w:rsidR="0083124B" w:rsidRPr="00660ECA">
        <w:rPr>
          <w:rFonts w:cs="Times New Roman"/>
        </w:rPr>
        <w:t xml:space="preserve"> to treat them at all. Healthcare was not free under the Roman Empire, and despite the efforts of priests </w:t>
      </w:r>
      <w:r w:rsidR="00687731" w:rsidRPr="00660ECA">
        <w:rPr>
          <w:rFonts w:cs="Times New Roman"/>
        </w:rPr>
        <w:t>within temples to provide all communities</w:t>
      </w:r>
      <w:r w:rsidR="0083124B" w:rsidRPr="00660ECA">
        <w:rPr>
          <w:rFonts w:cs="Times New Roman"/>
        </w:rPr>
        <w:t xml:space="preserve"> with some</w:t>
      </w:r>
      <w:r w:rsidR="00687731" w:rsidRPr="00660ECA">
        <w:rPr>
          <w:rFonts w:cs="Times New Roman"/>
        </w:rPr>
        <w:t xml:space="preserve"> form of healthcare, there was always s</w:t>
      </w:r>
      <w:r w:rsidR="0083124B" w:rsidRPr="00660ECA">
        <w:rPr>
          <w:rFonts w:cs="Times New Roman"/>
        </w:rPr>
        <w:t>o</w:t>
      </w:r>
      <w:r w:rsidR="00687731" w:rsidRPr="00660ECA">
        <w:rPr>
          <w:rFonts w:cs="Times New Roman"/>
        </w:rPr>
        <w:t xml:space="preserve">me form of cost to the patient. </w:t>
      </w:r>
      <w:r w:rsidR="0083124B" w:rsidRPr="00660ECA">
        <w:rPr>
          <w:rFonts w:cs="Times New Roman"/>
        </w:rPr>
        <w:t>The difference between Graeco-Roman and early Christian healthcare models rests ultimately on the importance of healthcare within the religious frameworks.</w:t>
      </w:r>
      <w:r w:rsidR="0083124B" w:rsidRPr="00660ECA">
        <w:rPr>
          <w:rFonts w:cs="Times New Roman"/>
          <w:vertAlign w:val="superscript"/>
        </w:rPr>
        <w:footnoteReference w:id="65"/>
      </w:r>
      <w:r w:rsidR="0083124B" w:rsidRPr="00660ECA">
        <w:rPr>
          <w:rFonts w:cs="Times New Roman"/>
        </w:rPr>
        <w:t xml:space="preserve"> It is arguable that the Graeco-Roman polytheistic religion considered healthcare important; shown by the quantity of gods devoted to healthcare practices.</w:t>
      </w:r>
      <w:r w:rsidR="0083124B" w:rsidRPr="00660ECA">
        <w:rPr>
          <w:rFonts w:cs="Times New Roman"/>
          <w:vertAlign w:val="superscript"/>
        </w:rPr>
        <w:footnoteReference w:id="66"/>
      </w:r>
      <w:r w:rsidR="0083124B" w:rsidRPr="00660ECA">
        <w:rPr>
          <w:rFonts w:cs="Times New Roman"/>
        </w:rPr>
        <w:t xml:space="preserve"> However, there is more importance placed on healthcare under the early Christian doctrine </w:t>
      </w:r>
      <w:r w:rsidR="0083124B" w:rsidRPr="00660ECA">
        <w:rPr>
          <w:rFonts w:cs="Times New Roman"/>
        </w:rPr>
        <w:lastRenderedPageBreak/>
        <w:t>than the Graeco-Roman one.</w:t>
      </w:r>
      <w:r w:rsidR="0083124B" w:rsidRPr="00660ECA">
        <w:rPr>
          <w:rFonts w:cs="Times New Roman"/>
          <w:vertAlign w:val="superscript"/>
        </w:rPr>
        <w:footnoteReference w:id="67"/>
      </w:r>
      <w:r w:rsidR="00687731" w:rsidRPr="00660ECA">
        <w:rPr>
          <w:rFonts w:cs="Times New Roman"/>
        </w:rPr>
        <w:t xml:space="preserve"> Ultimately, the Graeco-Roman framework viewed healthcare as a privilege of the individual.</w:t>
      </w:r>
      <w:r w:rsidR="008877EE" w:rsidRPr="00660ECA">
        <w:rPr>
          <w:rFonts w:cs="Times New Roman"/>
        </w:rPr>
        <w:t xml:space="preserve"> The Christian communities experienced the same anxieties as the pagan Romans;</w:t>
      </w:r>
      <w:r w:rsidR="00E4154F" w:rsidRPr="00660ECA">
        <w:rPr>
          <w:rStyle w:val="FootnoteReference"/>
          <w:rFonts w:cs="Times New Roman"/>
        </w:rPr>
        <w:footnoteReference w:id="68"/>
      </w:r>
      <w:r w:rsidR="008877EE" w:rsidRPr="00660ECA">
        <w:rPr>
          <w:rFonts w:cs="Times New Roman"/>
        </w:rPr>
        <w:t xml:space="preserve"> they were conscious to the threat of war, natural disasters and plague. The socially organised responses to natural disasters and outbreaks of disease from the small Christian communities throughout the Mediterranean proved useful for attracting converts.</w:t>
      </w:r>
      <w:r w:rsidR="008877EE" w:rsidRPr="00660ECA">
        <w:rPr>
          <w:rFonts w:cs="Times New Roman"/>
          <w:vertAlign w:val="superscript"/>
        </w:rPr>
        <w:footnoteReference w:id="69"/>
      </w:r>
      <w:r w:rsidR="008877EE" w:rsidRPr="00660ECA">
        <w:rPr>
          <w:rFonts w:cs="Times New Roman"/>
        </w:rPr>
        <w:t xml:space="preserve"> The churches prepared, as best possible, for the threat of rampant disease. Such is shown by Cyprian of Carthage who wrote;</w:t>
      </w:r>
    </w:p>
    <w:p w14:paraId="7577B922" w14:textId="436ABF41" w:rsidR="008877EE" w:rsidRPr="00660ECA" w:rsidRDefault="008877EE" w:rsidP="0038017A">
      <w:pPr>
        <w:spacing w:line="480" w:lineRule="auto"/>
        <w:ind w:left="720"/>
        <w:rPr>
          <w:rFonts w:cs="Times New Roman"/>
        </w:rPr>
      </w:pPr>
      <w:r w:rsidRPr="00660ECA">
        <w:rPr>
          <w:rFonts w:cs="Times New Roman"/>
        </w:rPr>
        <w:t>“These events were predicted by the Lord who gave us warnings so as to prepare and strengthen his church and enable it to bear everything that was to come; for he prophesised that wars and famines and earthquakes and plagues would strike everywhere</w:t>
      </w:r>
      <w:r w:rsidR="00814383" w:rsidRPr="00660ECA">
        <w:rPr>
          <w:rFonts w:cs="Times New Roman"/>
        </w:rPr>
        <w:t>.</w:t>
      </w:r>
      <w:r w:rsidRPr="00660ECA">
        <w:rPr>
          <w:rFonts w:cs="Times New Roman"/>
        </w:rPr>
        <w:t>”</w:t>
      </w:r>
      <w:r w:rsidRPr="00660ECA">
        <w:rPr>
          <w:rFonts w:cs="Times New Roman"/>
          <w:vertAlign w:val="superscript"/>
        </w:rPr>
        <w:footnoteReference w:id="70"/>
      </w:r>
    </w:p>
    <w:p w14:paraId="611D12E7" w14:textId="70FDCDAE" w:rsidR="0083124B" w:rsidRDefault="00F10F55" w:rsidP="0038017A">
      <w:pPr>
        <w:spacing w:line="480" w:lineRule="auto"/>
        <w:rPr>
          <w:rFonts w:cs="Times New Roman"/>
        </w:rPr>
      </w:pPr>
      <w:r w:rsidRPr="00660ECA">
        <w:rPr>
          <w:rFonts w:cs="Times New Roman"/>
        </w:rPr>
        <w:t>During the Cyprian plague, it is estimated that 5,000 people died a day, and some areas lost more than half their population.</w:t>
      </w:r>
      <w:r w:rsidRPr="00660ECA">
        <w:rPr>
          <w:rStyle w:val="FootnoteReference"/>
          <w:rFonts w:cs="Times New Roman"/>
        </w:rPr>
        <w:footnoteReference w:id="71"/>
      </w:r>
      <w:r w:rsidRPr="00660ECA">
        <w:rPr>
          <w:rFonts w:cs="Times New Roman"/>
        </w:rPr>
        <w:t xml:space="preserve"> The little effort exuded by the municipal state to control the outbreak or</w:t>
      </w:r>
      <w:r w:rsidR="00F3237E" w:rsidRPr="00660ECA">
        <w:rPr>
          <w:rFonts w:cs="Times New Roman"/>
        </w:rPr>
        <w:t xml:space="preserve"> provide </w:t>
      </w:r>
      <w:r w:rsidRPr="00660ECA">
        <w:rPr>
          <w:rFonts w:cs="Times New Roman"/>
        </w:rPr>
        <w:t>healthcare to those suffering from the disease, meant corpses were left to rot in the streets. As healthcare and wellbeing was regarded as a personal matter, it was the responsibility of the individual to seek or receive treatment, often with whatever resources they possessed.</w:t>
      </w:r>
      <w:r w:rsidRPr="00660ECA">
        <w:rPr>
          <w:rStyle w:val="FootnoteReference"/>
          <w:rFonts w:cs="Times New Roman"/>
        </w:rPr>
        <w:footnoteReference w:id="72"/>
      </w:r>
      <w:r w:rsidRPr="00660ECA">
        <w:rPr>
          <w:rFonts w:cs="Times New Roman"/>
        </w:rPr>
        <w:t xml:space="preserve"> </w:t>
      </w:r>
      <w:r w:rsidR="00931393" w:rsidRPr="00660ECA">
        <w:rPr>
          <w:rFonts w:cs="Times New Roman"/>
        </w:rPr>
        <w:t>The poorest of society were es</w:t>
      </w:r>
      <w:r w:rsidR="00AB1A86" w:rsidRPr="00660ECA">
        <w:rPr>
          <w:rFonts w:cs="Times New Roman"/>
        </w:rPr>
        <w:t xml:space="preserve">sentially </w:t>
      </w:r>
      <w:r w:rsidR="00931393" w:rsidRPr="00660ECA">
        <w:rPr>
          <w:rFonts w:cs="Times New Roman"/>
        </w:rPr>
        <w:t xml:space="preserve">deserted by families and friends for being diseased. </w:t>
      </w:r>
      <w:r w:rsidR="004F2344" w:rsidRPr="00660ECA">
        <w:rPr>
          <w:rFonts w:cs="Times New Roman"/>
        </w:rPr>
        <w:t xml:space="preserve">Although the church had never catered for the sheer volume of people seeking help during this time, the priests, bishops and deacons were all prepared to undertake the brunt of the work caring for these sick members of society. It’s during this, that Dionysus writes of members of the church risking their own health (and by extension, lives) to care for </w:t>
      </w:r>
      <w:r w:rsidR="004F2344" w:rsidRPr="00660ECA">
        <w:rPr>
          <w:rFonts w:cs="Times New Roman"/>
        </w:rPr>
        <w:lastRenderedPageBreak/>
        <w:t>the afflicted.</w:t>
      </w:r>
      <w:r w:rsidR="004F2344" w:rsidRPr="00660ECA">
        <w:rPr>
          <w:rStyle w:val="FootnoteReference"/>
          <w:rFonts w:cs="Times New Roman"/>
        </w:rPr>
        <w:footnoteReference w:id="73"/>
      </w:r>
      <w:r w:rsidR="00BF0DE8" w:rsidRPr="00660ECA">
        <w:rPr>
          <w:rFonts w:cs="Times New Roman"/>
        </w:rPr>
        <w:t xml:space="preserve"> Cyprian appealed to all members of the community to aid caring for the sick and emphasised that the systematic care was for both Christians and non-Christians.</w:t>
      </w:r>
      <w:r w:rsidR="00BF0DE8" w:rsidRPr="00660ECA">
        <w:rPr>
          <w:rStyle w:val="FootnoteReference"/>
          <w:rFonts w:cs="Times New Roman"/>
        </w:rPr>
        <w:footnoteReference w:id="74"/>
      </w:r>
      <w:r w:rsidR="00BF0DE8" w:rsidRPr="00660ECA">
        <w:rPr>
          <w:rFonts w:cs="Times New Roman"/>
        </w:rPr>
        <w:t xml:space="preserve"> The philanthropic background of the church, as seen in the Cyprian plague, is another factor that contributes to the heightened popularity of Christianity in the third century. With care imposed in a systemic manner, the church was able to c</w:t>
      </w:r>
      <w:r w:rsidR="006967A5" w:rsidRPr="00660ECA">
        <w:rPr>
          <w:rFonts w:cs="Times New Roman"/>
        </w:rPr>
        <w:t>ontinue c</w:t>
      </w:r>
      <w:r w:rsidR="00BF0DE8" w:rsidRPr="00660ECA">
        <w:rPr>
          <w:rFonts w:cs="Times New Roman"/>
        </w:rPr>
        <w:t>aring for the unfortunate,</w:t>
      </w:r>
      <w:r w:rsidR="006967A5" w:rsidRPr="00660ECA">
        <w:rPr>
          <w:rFonts w:cs="Times New Roman"/>
        </w:rPr>
        <w:t xml:space="preserve"> even in extreme circumstances.</w:t>
      </w:r>
      <w:r w:rsidR="006967A5" w:rsidRPr="00660ECA">
        <w:rPr>
          <w:rStyle w:val="FootnoteReference"/>
          <w:rFonts w:cs="Times New Roman"/>
        </w:rPr>
        <w:footnoteReference w:id="75"/>
      </w:r>
      <w:r w:rsidR="00377FDE" w:rsidRPr="00660ECA">
        <w:rPr>
          <w:rFonts w:cs="Times New Roman"/>
        </w:rPr>
        <w:t xml:space="preserve"> By the end of the third century, Christianity had flourished from small congregations of Christian communities, to contending with Roman Polytheism </w:t>
      </w:r>
      <w:r w:rsidR="00D51081" w:rsidRPr="00660ECA">
        <w:rPr>
          <w:rFonts w:cs="Times New Roman"/>
        </w:rPr>
        <w:t>as the Empire’s religion.</w:t>
      </w:r>
      <w:r w:rsidR="00D51081" w:rsidRPr="00660ECA">
        <w:rPr>
          <w:rStyle w:val="FootnoteReference"/>
          <w:rFonts w:cs="Times New Roman"/>
        </w:rPr>
        <w:footnoteReference w:id="76"/>
      </w:r>
      <w:r w:rsidR="00D51081" w:rsidRPr="00660ECA">
        <w:rPr>
          <w:rFonts w:cs="Times New Roman"/>
        </w:rPr>
        <w:t xml:space="preserve"> This was achieved through the healthcare framework it provided among other factors that made it the most attractive religion from a plebeian perspective. </w:t>
      </w:r>
    </w:p>
    <w:p w14:paraId="53C87782" w14:textId="77777777" w:rsidR="00A14493" w:rsidRPr="00660ECA" w:rsidRDefault="00A14493" w:rsidP="0038017A">
      <w:pPr>
        <w:spacing w:line="480" w:lineRule="auto"/>
        <w:rPr>
          <w:rFonts w:cs="Times New Roman"/>
        </w:rPr>
      </w:pPr>
    </w:p>
    <w:p w14:paraId="1701D200" w14:textId="37C7BEFB" w:rsidR="0089623A" w:rsidRDefault="0089623A" w:rsidP="0038017A">
      <w:pPr>
        <w:pStyle w:val="Heading3"/>
        <w:spacing w:line="480" w:lineRule="auto"/>
      </w:pPr>
      <w:bookmarkStart w:id="10" w:name="_Toc513777959"/>
      <w:r w:rsidRPr="00660ECA">
        <w:t>2.2 Galenic Medicine</w:t>
      </w:r>
      <w:bookmarkEnd w:id="10"/>
    </w:p>
    <w:p w14:paraId="04F68558" w14:textId="77777777" w:rsidR="00A14493" w:rsidRPr="00A14493" w:rsidRDefault="00A14493" w:rsidP="0038017A">
      <w:pPr>
        <w:spacing w:line="480" w:lineRule="auto"/>
      </w:pPr>
    </w:p>
    <w:p w14:paraId="50A93360" w14:textId="5ED84DB1" w:rsidR="0089623A" w:rsidRPr="00660ECA" w:rsidRDefault="0089623A" w:rsidP="0038017A">
      <w:pPr>
        <w:spacing w:line="480" w:lineRule="auto"/>
        <w:rPr>
          <w:rFonts w:cs="Times New Roman"/>
        </w:rPr>
      </w:pPr>
      <w:r w:rsidRPr="00660ECA">
        <w:rPr>
          <w:rFonts w:cs="Times New Roman"/>
        </w:rPr>
        <w:t>Often considered the forefathers of modern medicine, Hippocrates and Galen are arguably the most prevalent ancient physicians. The theory of the four humours</w:t>
      </w:r>
      <w:r w:rsidR="00354AD1">
        <w:rPr>
          <w:rStyle w:val="FootnoteReference"/>
          <w:rFonts w:cs="Times New Roman"/>
        </w:rPr>
        <w:footnoteReference w:id="77"/>
      </w:r>
      <w:r w:rsidRPr="00660ECA">
        <w:rPr>
          <w:rFonts w:cs="Times New Roman"/>
        </w:rPr>
        <w:t xml:space="preserve"> and theory of opposite treatment</w:t>
      </w:r>
      <w:r w:rsidR="00354AD1">
        <w:rPr>
          <w:rStyle w:val="FootnoteReference"/>
          <w:rFonts w:cs="Times New Roman"/>
        </w:rPr>
        <w:footnoteReference w:id="78"/>
      </w:r>
      <w:r w:rsidRPr="00660ECA">
        <w:rPr>
          <w:rFonts w:cs="Times New Roman"/>
        </w:rPr>
        <w:t xml:space="preserve"> became the foundation of western medicine for over a millennium. Their contributions are widely noted, with the Hippocratic </w:t>
      </w:r>
      <w:r w:rsidR="00660ECA" w:rsidRPr="00660ECA">
        <w:rPr>
          <w:rFonts w:cs="Times New Roman"/>
        </w:rPr>
        <w:t>Oath</w:t>
      </w:r>
      <w:r w:rsidRPr="00660ECA">
        <w:rPr>
          <w:rFonts w:cs="Times New Roman"/>
        </w:rPr>
        <w:t xml:space="preserve"> being considered the first ethical standardisation of practice to regulate the treatment patients received from Hippocratic physicians.</w:t>
      </w:r>
      <w:r w:rsidRPr="00660ECA">
        <w:rPr>
          <w:rStyle w:val="FootnoteReference"/>
          <w:rFonts w:cs="Times New Roman"/>
        </w:rPr>
        <w:footnoteReference w:id="79"/>
      </w:r>
      <w:r w:rsidRPr="00660ECA">
        <w:rPr>
          <w:rFonts w:cs="Times New Roman"/>
        </w:rPr>
        <w:t xml:space="preserve"> Galen, building on the work of Hippocrates in the second century, created the </w:t>
      </w:r>
      <w:r w:rsidRPr="00660ECA">
        <w:rPr>
          <w:rFonts w:cs="Times New Roman"/>
        </w:rPr>
        <w:lastRenderedPageBreak/>
        <w:t>notion of opposite treatment.</w:t>
      </w:r>
      <w:r w:rsidR="00354AD1">
        <w:rPr>
          <w:rStyle w:val="FootnoteReference"/>
          <w:rFonts w:cs="Times New Roman"/>
        </w:rPr>
        <w:footnoteReference w:id="80"/>
      </w:r>
      <w:r w:rsidR="00354AD1">
        <w:rPr>
          <w:rFonts w:cs="Times New Roman"/>
        </w:rPr>
        <w:t xml:space="preserve"> While working as a physician in</w:t>
      </w:r>
      <w:r w:rsidRPr="00660ECA">
        <w:rPr>
          <w:rFonts w:cs="Times New Roman"/>
        </w:rPr>
        <w:t xml:space="preserve"> a gladiator school, he gained experience treating wounds and continued to dissect animals to develop an understanding of the workings of the internal body.</w:t>
      </w:r>
      <w:r w:rsidR="00354AD1">
        <w:rPr>
          <w:rStyle w:val="FootnoteReference"/>
          <w:rFonts w:cs="Times New Roman"/>
        </w:rPr>
        <w:footnoteReference w:id="81"/>
      </w:r>
      <w:r w:rsidRPr="00660ECA">
        <w:rPr>
          <w:rFonts w:cs="Times New Roman"/>
        </w:rPr>
        <w:t xml:space="preserve"> Galen was able to prove to his peers that urine was made in the kidneys, not the liver as was previously thought. With the use of dissection, Galen became relatively proficient in surgical procedures. The high standards of practice exuded by both Hippocrates and Galen were not echoed across their respective Empires though, and the philosophical, medical and scientific advancements both made were simply out of reach for the average individual in society. The standards were widely known, but not widely practiced. The care available to the public was still costly, and so the work of both physicians did little for the universality or access to healthcare. Although, both appear condemned the physicians who practiced solely for profit.</w:t>
      </w:r>
      <w:r w:rsidRPr="00660ECA">
        <w:rPr>
          <w:rStyle w:val="FootnoteReference"/>
          <w:rFonts w:cs="Times New Roman"/>
        </w:rPr>
        <w:footnoteReference w:id="82"/>
      </w:r>
      <w:r w:rsidRPr="00660ECA">
        <w:rPr>
          <w:rFonts w:cs="Times New Roman"/>
        </w:rPr>
        <w:t xml:space="preserve"> The standardisation of practice by Hippocrates highlights two things: the corruptibility of physicians, and the need for quality care at all levels of practice.  </w:t>
      </w:r>
    </w:p>
    <w:p w14:paraId="0624B87B" w14:textId="77777777" w:rsidR="0089623A" w:rsidRPr="00660ECA" w:rsidRDefault="0089623A" w:rsidP="0038017A">
      <w:pPr>
        <w:spacing w:line="480" w:lineRule="auto"/>
        <w:rPr>
          <w:rFonts w:cs="Times New Roman"/>
        </w:rPr>
      </w:pPr>
      <w:r w:rsidRPr="00660ECA">
        <w:rPr>
          <w:rFonts w:cs="Times New Roman"/>
        </w:rPr>
        <w:tab/>
        <w:t xml:space="preserve">Galenic medicine sought to not only cure sickness but decipher its origin. The nosology of diseases was of particular interest to Galen, apparent throughout his </w:t>
      </w:r>
      <w:r w:rsidRPr="00660ECA">
        <w:rPr>
          <w:rFonts w:cs="Times New Roman"/>
          <w:i/>
        </w:rPr>
        <w:t>Method of Medicine.</w:t>
      </w:r>
      <w:r w:rsidRPr="00660ECA">
        <w:rPr>
          <w:rFonts w:cs="Times New Roman"/>
        </w:rPr>
        <w:t xml:space="preserve"> Galen was practicing medicine at the time of a plague which devastated much of the population of Rome.</w:t>
      </w:r>
      <w:r w:rsidRPr="00660ECA">
        <w:rPr>
          <w:rStyle w:val="FootnoteReference"/>
          <w:rFonts w:cs="Times New Roman"/>
        </w:rPr>
        <w:footnoteReference w:id="83"/>
      </w:r>
      <w:r w:rsidRPr="00660ECA">
        <w:rPr>
          <w:rFonts w:cs="Times New Roman"/>
        </w:rPr>
        <w:t xml:space="preserve"> However, the definitive origin of disease was of little use to the general population of the Empire, who were experiencing extortionate levels of taxation and, subsequently, heightened levels of poverty leading to the starvation and spread of disease throughout Rome and other provinces.</w:t>
      </w:r>
      <w:r w:rsidRPr="00660ECA">
        <w:rPr>
          <w:rStyle w:val="FootnoteReference"/>
          <w:rFonts w:cs="Times New Roman"/>
        </w:rPr>
        <w:footnoteReference w:id="84"/>
      </w:r>
      <w:r w:rsidRPr="00660ECA">
        <w:rPr>
          <w:rFonts w:cs="Times New Roman"/>
        </w:rPr>
        <w:t xml:space="preserve"> The healthcare being provided to the public under this plague came predominantly from Christian communities.</w:t>
      </w:r>
      <w:r w:rsidRPr="00660ECA">
        <w:rPr>
          <w:rStyle w:val="FootnoteReference"/>
          <w:rFonts w:cs="Times New Roman"/>
        </w:rPr>
        <w:footnoteReference w:id="85"/>
      </w:r>
      <w:r w:rsidRPr="00660ECA">
        <w:rPr>
          <w:rFonts w:cs="Times New Roman"/>
        </w:rPr>
        <w:t xml:space="preserve">  However, Galen hardly </w:t>
      </w:r>
      <w:r w:rsidRPr="00660ECA">
        <w:rPr>
          <w:rFonts w:cs="Times New Roman"/>
        </w:rPr>
        <w:lastRenderedPageBreak/>
        <w:t xml:space="preserve">makes mention of the early Christians in his texts, and what is written is vague. In </w:t>
      </w:r>
      <w:r w:rsidRPr="00660ECA">
        <w:rPr>
          <w:rFonts w:cs="Times New Roman"/>
          <w:i/>
        </w:rPr>
        <w:t xml:space="preserve">The History of Physicians </w:t>
      </w:r>
      <w:r w:rsidRPr="00660ECA">
        <w:rPr>
          <w:rFonts w:cs="Times New Roman"/>
        </w:rPr>
        <w:t xml:space="preserve">by Ibn Abi Usaibia, the Arabic translation of Galen’s work has been quoted, and survived, to show that he held early Christian healthcare in low regard: </w:t>
      </w:r>
    </w:p>
    <w:p w14:paraId="49C5E88D" w14:textId="77777777" w:rsidR="0089623A" w:rsidRPr="00660ECA" w:rsidRDefault="0089623A" w:rsidP="0038017A">
      <w:pPr>
        <w:spacing w:line="480" w:lineRule="auto"/>
        <w:ind w:left="360"/>
        <w:rPr>
          <w:rFonts w:cs="Times New Roman"/>
        </w:rPr>
      </w:pPr>
      <w:r w:rsidRPr="00660ECA">
        <w:rPr>
          <w:rFonts w:cs="Times New Roman"/>
        </w:rPr>
        <w:t>“If I had in mind people who taught their pupils in the same way as the followers of Moses and Christ teach theirs- for they order them to accept everything on faith- I should not have given you a definition.”</w:t>
      </w:r>
      <w:r w:rsidRPr="00660ECA">
        <w:rPr>
          <w:rStyle w:val="FootnoteReference"/>
          <w:rFonts w:cs="Times New Roman"/>
        </w:rPr>
        <w:footnoteReference w:id="86"/>
      </w:r>
    </w:p>
    <w:p w14:paraId="42C1BD7C" w14:textId="2DDE154B" w:rsidR="00660ECA" w:rsidRPr="00660ECA" w:rsidRDefault="0089623A" w:rsidP="0038017A">
      <w:pPr>
        <w:spacing w:line="480" w:lineRule="auto"/>
        <w:rPr>
          <w:rFonts w:cs="Times New Roman"/>
        </w:rPr>
      </w:pPr>
      <w:r w:rsidRPr="00660ECA">
        <w:rPr>
          <w:rFonts w:cs="Times New Roman"/>
        </w:rPr>
        <w:t xml:space="preserve">Considering Galen’s acute focus on nosology, anatomy and philosophy, it is unsurprising that he finds the early Christian doctrine and healthcare model to be primitive. However, it is surprising that despite writing on the importance of regime, food and diet for health, he makes no mention to the free healthcare provided by the early Christians to the impoverished. Here, we reach a cross roads. The implications that early Christian writers explicitly state that the Christians helped during these times of crises, but an active physician and philosopher makes no mention to this brings authenticity to question for both the Christian and Roman authors. While it is apparent from the above that Galen did not perceive the early Christian healing techniques as legible forms of healthcare, he acknowledges they exist. From this, one can understand that Galen has knowledge of Christian practices, and so it is questionable why he </w:t>
      </w:r>
      <w:r w:rsidR="00501F01">
        <w:rPr>
          <w:rFonts w:cs="Times New Roman"/>
        </w:rPr>
        <w:t xml:space="preserve">made no </w:t>
      </w:r>
      <w:r w:rsidRPr="00660ECA">
        <w:rPr>
          <w:rFonts w:cs="Times New Roman"/>
        </w:rPr>
        <w:t>mention</w:t>
      </w:r>
      <w:r w:rsidR="00501F01">
        <w:rPr>
          <w:rFonts w:cs="Times New Roman"/>
        </w:rPr>
        <w:t xml:space="preserve"> of</w:t>
      </w:r>
      <w:r w:rsidRPr="00660ECA">
        <w:rPr>
          <w:rFonts w:cs="Times New Roman"/>
        </w:rPr>
        <w:t xml:space="preserve"> them under the plague of 180, 189, or thereafter. Realistically, being a firm believer in natural sciences and philosophy, Galen would have no purpose writing about a healthcare system heavily influenced by faith, and in turn, faith healing, as it is unfavourable to the naturalistic interests he held. Similarly, one finds Hippocrates criticising religious healings in </w:t>
      </w:r>
      <w:r w:rsidRPr="00660ECA">
        <w:rPr>
          <w:rFonts w:cs="Times New Roman"/>
          <w:i/>
        </w:rPr>
        <w:t>On the Sacred Disease</w:t>
      </w:r>
      <w:r w:rsidRPr="00660ECA">
        <w:rPr>
          <w:rFonts w:cs="Times New Roman"/>
        </w:rPr>
        <w:t xml:space="preserve">, whom Galen views in reverence. It is not strenuous to connect Galen’s predisposition to negate the effectiveness of religious healing, </w:t>
      </w:r>
      <w:r w:rsidRPr="00660ECA">
        <w:rPr>
          <w:rFonts w:cs="Times New Roman"/>
        </w:rPr>
        <w:lastRenderedPageBreak/>
        <w:t>to his firm belief in medicinal philosophy.</w:t>
      </w:r>
      <w:r w:rsidR="00E0702C">
        <w:rPr>
          <w:rStyle w:val="FootnoteReference"/>
          <w:rFonts w:cs="Times New Roman"/>
        </w:rPr>
        <w:footnoteReference w:id="87"/>
      </w:r>
      <w:r w:rsidRPr="00660ECA">
        <w:rPr>
          <w:rFonts w:cs="Times New Roman"/>
        </w:rPr>
        <w:t xml:space="preserve"> One can assume that Galen’s adverse view of early Christian healthcare reflects that of the empirical too. </w:t>
      </w:r>
      <w:r w:rsidR="00AA4F0F">
        <w:rPr>
          <w:rFonts w:cs="Times New Roman"/>
        </w:rPr>
        <w:t>Galen’s criticism of teaching under the early Christian doctrine is not unfou</w:t>
      </w:r>
      <w:r w:rsidR="00587221">
        <w:rPr>
          <w:rFonts w:cs="Times New Roman"/>
        </w:rPr>
        <w:t>nded; the quality of early Christian texts is inferior to that of classical philosophers</w:t>
      </w:r>
      <w:r w:rsidR="00587221">
        <w:rPr>
          <w:rStyle w:val="FootnoteReference"/>
          <w:rFonts w:cs="Times New Roman"/>
        </w:rPr>
        <w:footnoteReference w:id="88"/>
      </w:r>
      <w:r w:rsidR="00587221">
        <w:rPr>
          <w:rFonts w:cs="Times New Roman"/>
        </w:rPr>
        <w:t xml:space="preserve"> such as Galen himself, and so the very teachings were beneath him, not just as a philosopher but as a medical author, physician, teacher and surgeon. </w:t>
      </w:r>
      <w:r w:rsidR="00912CD6">
        <w:rPr>
          <w:rFonts w:cs="Times New Roman"/>
        </w:rPr>
        <w:t>There are not</w:t>
      </w:r>
      <w:r w:rsidR="00405133">
        <w:rPr>
          <w:rFonts w:cs="Times New Roman"/>
        </w:rPr>
        <w:t xml:space="preserve"> many levels at which the early Christian healing movement would be of interest to Galen, with the potential exception of the universality of it.</w:t>
      </w:r>
      <w:r w:rsidR="00912CD6">
        <w:rPr>
          <w:rFonts w:cs="Times New Roman"/>
        </w:rPr>
        <w:t xml:space="preserve"> </w:t>
      </w:r>
      <w:r w:rsidR="00405133">
        <w:rPr>
          <w:rFonts w:cs="Times New Roman"/>
        </w:rPr>
        <w:t>The fact that care was given without consequential costs being incurred by the patient or the physician</w:t>
      </w:r>
      <w:r w:rsidR="00CE610A">
        <w:rPr>
          <w:rFonts w:cs="Times New Roman"/>
        </w:rPr>
        <w:t>, as the care is del</w:t>
      </w:r>
      <w:r w:rsidR="000570AE">
        <w:rPr>
          <w:rFonts w:cs="Times New Roman"/>
        </w:rPr>
        <w:t>ivered through the philanthropy</w:t>
      </w:r>
      <w:r w:rsidR="00CE610A">
        <w:rPr>
          <w:rFonts w:cs="Times New Roman"/>
        </w:rPr>
        <w:t xml:space="preserve"> of the Christian community. </w:t>
      </w:r>
      <w:r w:rsidR="00912CD6" w:rsidRPr="00912CD6">
        <w:rPr>
          <w:rFonts w:cs="Times New Roman"/>
        </w:rPr>
        <w:t xml:space="preserve">Even so, the above statement leads one to interpret that Galen had little respect for the movement. </w:t>
      </w:r>
      <w:r w:rsidR="00660ECA" w:rsidRPr="00660ECA">
        <w:rPr>
          <w:rFonts w:cs="Times New Roman"/>
        </w:rPr>
        <w:br w:type="page"/>
      </w:r>
    </w:p>
    <w:p w14:paraId="7C3C3936" w14:textId="7D7F01FA" w:rsidR="00660ECA" w:rsidRDefault="00660ECA" w:rsidP="0038017A">
      <w:pPr>
        <w:pStyle w:val="Heading2"/>
        <w:spacing w:line="480" w:lineRule="auto"/>
      </w:pPr>
      <w:bookmarkStart w:id="11" w:name="_Toc513777960"/>
      <w:r w:rsidRPr="00660ECA">
        <w:lastRenderedPageBreak/>
        <w:t>Chapter Three</w:t>
      </w:r>
      <w:bookmarkEnd w:id="11"/>
    </w:p>
    <w:p w14:paraId="0C7BC138" w14:textId="77777777" w:rsidR="00A14493" w:rsidRPr="00A14493" w:rsidRDefault="00A14493" w:rsidP="0038017A">
      <w:pPr>
        <w:spacing w:line="480" w:lineRule="auto"/>
      </w:pPr>
    </w:p>
    <w:p w14:paraId="5F24AA1D" w14:textId="7CC5407C" w:rsidR="00CF283C" w:rsidRDefault="00CD23C9" w:rsidP="0038017A">
      <w:pPr>
        <w:pStyle w:val="Heading3"/>
        <w:spacing w:line="480" w:lineRule="auto"/>
      </w:pPr>
      <w:bookmarkStart w:id="12" w:name="_Toc513777961"/>
      <w:r w:rsidRPr="00660ECA">
        <w:t>3</w:t>
      </w:r>
      <w:r w:rsidR="00CF283C" w:rsidRPr="00660ECA">
        <w:t xml:space="preserve">.1 </w:t>
      </w:r>
      <w:r w:rsidR="00DF6FCB" w:rsidRPr="00660ECA">
        <w:t>Salvation as Causation</w:t>
      </w:r>
      <w:r w:rsidR="00660ECA">
        <w:t>: A theological perspective of disease</w:t>
      </w:r>
      <w:bookmarkEnd w:id="12"/>
    </w:p>
    <w:p w14:paraId="3647D9E5" w14:textId="77777777" w:rsidR="00A14493" w:rsidRPr="00A14493" w:rsidRDefault="00A14493" w:rsidP="0038017A">
      <w:pPr>
        <w:spacing w:line="480" w:lineRule="auto"/>
      </w:pPr>
    </w:p>
    <w:p w14:paraId="7BAEEED3" w14:textId="3D017A7F" w:rsidR="0029472A" w:rsidRDefault="004911D2" w:rsidP="0038017A">
      <w:pPr>
        <w:spacing w:line="480" w:lineRule="auto"/>
        <w:rPr>
          <w:rFonts w:cs="Times New Roman"/>
        </w:rPr>
      </w:pPr>
      <w:r w:rsidRPr="00660ECA">
        <w:rPr>
          <w:rFonts w:cs="Times New Roman"/>
        </w:rPr>
        <w:t>The following is a theological argument that seeks to explain how the early Christian doctrine can be viewed as exploitative. In its simplest form, the Christian healthcare system was built upon the philanthropic lifestyle necessary in the Christian doctrine for an individual to achieve salvation. The importance of providing the lowest classes of society (i.e. the diseased, poor and malnourished) with care originates from the teachings of Jesus and became popularised by the want of salvation by the early Christian communities. Although cynical, it does not diminish the active contribution to healthcare made by the early Christian communities in the late Roman Empire.</w:t>
      </w:r>
      <w:r w:rsidR="00A14493">
        <w:rPr>
          <w:rFonts w:cs="Times New Roman"/>
        </w:rPr>
        <w:t xml:space="preserve"> </w:t>
      </w:r>
      <w:r w:rsidR="00CF283C" w:rsidRPr="00660ECA">
        <w:rPr>
          <w:rFonts w:cs="Times New Roman"/>
        </w:rPr>
        <w:t xml:space="preserve">The aim of this section is to show that divine causation and natural causation cross under Christian healthcare and can sometimes be regarded as synonymous with each other under the notion of salvaging within the Christian healthcare frameworks. As previously discussed, Amundsen (1996) offers two perspectives on causation; the first being natural causation being immediate and divine ultimate, the second is divine causation solely. However, this has rendered the Christian understanding of causation simplistic; which it is not. </w:t>
      </w:r>
    </w:p>
    <w:p w14:paraId="52D6FAF9" w14:textId="3BE3B5D6" w:rsidR="00ED5736" w:rsidRDefault="00CF283C" w:rsidP="0038017A">
      <w:pPr>
        <w:spacing w:line="480" w:lineRule="auto"/>
        <w:ind w:firstLine="720"/>
        <w:rPr>
          <w:rFonts w:cs="Times New Roman"/>
        </w:rPr>
      </w:pPr>
      <w:r w:rsidRPr="00660ECA">
        <w:rPr>
          <w:rFonts w:cs="Times New Roman"/>
        </w:rPr>
        <w:t>Begin by considering the teachings</w:t>
      </w:r>
      <w:r w:rsidR="00431EE8">
        <w:rPr>
          <w:rFonts w:cs="Times New Roman"/>
        </w:rPr>
        <w:t xml:space="preserve"> of Jesus as demonstrated by </w:t>
      </w:r>
      <w:r w:rsidRPr="00660ECA">
        <w:rPr>
          <w:rFonts w:cs="Times New Roman"/>
        </w:rPr>
        <w:t xml:space="preserve">the </w:t>
      </w:r>
      <w:r w:rsidR="00431EE8" w:rsidRPr="00660ECA">
        <w:rPr>
          <w:rFonts w:cs="Times New Roman"/>
        </w:rPr>
        <w:t>Apostles, which</w:t>
      </w:r>
      <w:r w:rsidRPr="00660ECA">
        <w:rPr>
          <w:rFonts w:cs="Times New Roman"/>
        </w:rPr>
        <w:t xml:space="preserve"> showed Jesus as a selfless healer.</w:t>
      </w:r>
      <w:r w:rsidR="0029472A">
        <w:rPr>
          <w:rStyle w:val="FootnoteReference"/>
          <w:rFonts w:cs="Times New Roman"/>
        </w:rPr>
        <w:footnoteReference w:id="89"/>
      </w:r>
      <w:r w:rsidRPr="00660ECA">
        <w:rPr>
          <w:rFonts w:cs="Times New Roman"/>
        </w:rPr>
        <w:t xml:space="preserve"> The goal for an early Christian was to live in the image of Jesus, and they were expected to adopt a philanthropic attitude toward the marginalised in society to do such.</w:t>
      </w:r>
      <w:r w:rsidR="00431EE8">
        <w:rPr>
          <w:rStyle w:val="FootnoteReference"/>
          <w:rFonts w:cs="Times New Roman"/>
        </w:rPr>
        <w:footnoteReference w:id="90"/>
      </w:r>
      <w:r w:rsidRPr="00660ECA">
        <w:rPr>
          <w:rFonts w:cs="Times New Roman"/>
        </w:rPr>
        <w:t xml:space="preserve"> By doing so, the early Christians ultimately create an environment in </w:t>
      </w:r>
      <w:r w:rsidRPr="00660ECA">
        <w:rPr>
          <w:rFonts w:cs="Times New Roman"/>
        </w:rPr>
        <w:lastRenderedPageBreak/>
        <w:t>which the sick and diseased allowed for the salvation of early Christians by accepting their charity.</w:t>
      </w:r>
      <w:r w:rsidRPr="00660ECA">
        <w:rPr>
          <w:rFonts w:cs="Times New Roman"/>
          <w:vertAlign w:val="superscript"/>
        </w:rPr>
        <w:footnoteReference w:id="91"/>
      </w:r>
      <w:r w:rsidRPr="00660ECA">
        <w:rPr>
          <w:rFonts w:cs="Times New Roman"/>
        </w:rPr>
        <w:t xml:space="preserve"> This then allows one to interpret the early Christian understanding of causation as both naturalistic and divine as the diseased are necessary for the salvation of the population.</w:t>
      </w:r>
      <w:r w:rsidRPr="00660ECA">
        <w:rPr>
          <w:rFonts w:cs="Times New Roman"/>
          <w:vertAlign w:val="superscript"/>
        </w:rPr>
        <w:footnoteReference w:id="92"/>
      </w:r>
      <w:r w:rsidRPr="00660ECA">
        <w:rPr>
          <w:rFonts w:cs="Times New Roman"/>
        </w:rPr>
        <w:t xml:space="preserve"> Traditional research into salvation and its place in Christian society focuses on the possibility of salvation after death. Studies such as that of Trumbower (2001) identifies key themes in Christian perspectives on mortality, death and salvation thereafter. The common understanding amongst early Christian authors is that salvation comes from what is done while alive, not after death. Such is found in the New Testament by Paul who states that people must be judged by God for what has been done in body, and the individual will be judged positively or negatively.</w:t>
      </w:r>
      <w:r w:rsidRPr="00660ECA">
        <w:rPr>
          <w:rFonts w:cs="Times New Roman"/>
          <w:vertAlign w:val="superscript"/>
        </w:rPr>
        <w:footnoteReference w:id="93"/>
      </w:r>
      <w:r w:rsidRPr="00660ECA">
        <w:rPr>
          <w:rFonts w:cs="Times New Roman"/>
        </w:rPr>
        <w:t xml:space="preserve"> If the individual is judged based on the fulfilment of righteousness while alive, then it is arguable that the philanthropic approach to healthcare under the early Christian system was crafted with the aim of salvaging the population, not necessarily to care for the sick. Avalos (1997) discusses the importance of religious perspectives to subsequent healthcare systems, and vice versa, and concludes that the healthcare system a religion or culture develops is intricately dependant on the religious contributions from its doctrine.</w:t>
      </w:r>
      <w:r w:rsidRPr="00660ECA">
        <w:rPr>
          <w:rFonts w:cs="Times New Roman"/>
          <w:vertAlign w:val="superscript"/>
        </w:rPr>
        <w:footnoteReference w:id="94"/>
      </w:r>
      <w:r w:rsidRPr="00660ECA">
        <w:rPr>
          <w:rFonts w:cs="Times New Roman"/>
        </w:rPr>
        <w:t xml:space="preserve"> It is then not unjust to connect the nature of salvation and its incorporation in the development of religious healthcare frameworks in the early Christian doctrine. This perspective relies on the premise that the early followers of Christianity understood that the misfortune of others existed to allow individuals to become righteous. That the sick and diseased existed to allow early Christians to show their devotion to </w:t>
      </w:r>
      <w:r w:rsidRPr="00660ECA">
        <w:rPr>
          <w:rFonts w:cs="Times New Roman"/>
        </w:rPr>
        <w:lastRenderedPageBreak/>
        <w:t>becoming righteous and salvaging themselves for judgement.</w:t>
      </w:r>
      <w:r w:rsidR="00FA7F2E">
        <w:rPr>
          <w:rStyle w:val="FootnoteReference"/>
          <w:rFonts w:cs="Times New Roman"/>
        </w:rPr>
        <w:footnoteReference w:id="95"/>
      </w:r>
      <w:r w:rsidRPr="00660ECA">
        <w:rPr>
          <w:rFonts w:cs="Times New Roman"/>
        </w:rPr>
        <w:t xml:space="preserve"> Although cynical, this ideology is present throughout the work of early Christian writers and the New Testament itself, which discuss the salvation of humanity through the philanthropic acts of the individual.</w:t>
      </w:r>
      <w:r w:rsidR="007F4AF6">
        <w:rPr>
          <w:rStyle w:val="FootnoteReference"/>
          <w:rFonts w:cs="Times New Roman"/>
        </w:rPr>
        <w:footnoteReference w:id="96"/>
      </w:r>
      <w:r w:rsidRPr="00660ECA">
        <w:rPr>
          <w:rFonts w:cs="Times New Roman"/>
        </w:rPr>
        <w:t xml:space="preserve"> This lends itself to the notion that the spread of Christianity through marginalised communities was a tactical manoeuvre, and the healthcare the early Christian communities offered was simply a </w:t>
      </w:r>
      <w:r w:rsidR="002A2D00" w:rsidRPr="00660ECA">
        <w:rPr>
          <w:rFonts w:cs="Times New Roman"/>
        </w:rPr>
        <w:t>by-product</w:t>
      </w:r>
      <w:r w:rsidRPr="00660ECA">
        <w:rPr>
          <w:rFonts w:cs="Times New Roman"/>
        </w:rPr>
        <w:t xml:space="preserve"> of its doctrine.</w:t>
      </w:r>
      <w:r w:rsidR="00501F01">
        <w:rPr>
          <w:rStyle w:val="FootnoteReference"/>
          <w:rFonts w:cs="Times New Roman"/>
        </w:rPr>
        <w:footnoteReference w:id="97"/>
      </w:r>
      <w:r w:rsidRPr="00660ECA">
        <w:rPr>
          <w:rFonts w:cs="Times New Roman"/>
        </w:rPr>
        <w:t xml:space="preserve"> That the incorporation of the marginalised communities (such as the diseased) came from the need to guide individuals toward salvation;</w:t>
      </w:r>
      <w:r w:rsidR="0020524D">
        <w:rPr>
          <w:rStyle w:val="FootnoteReference"/>
          <w:rFonts w:cs="Times New Roman"/>
        </w:rPr>
        <w:footnoteReference w:id="98"/>
      </w:r>
      <w:r w:rsidRPr="00660ECA">
        <w:rPr>
          <w:rFonts w:cs="Times New Roman"/>
        </w:rPr>
        <w:t xml:space="preserve"> and with the widespread effects of disease and famine present in the second to third century, these communities were the easiest to entice. Thus, displaying how the early Christian healthcare system facilitated the ideology of salvation as causation. Baptism is a part of the salvation process as attested to by Luke 3:7-11, Eusebius in his </w:t>
      </w:r>
      <w:r w:rsidRPr="00660ECA">
        <w:rPr>
          <w:rFonts w:cs="Times New Roman"/>
          <w:i/>
        </w:rPr>
        <w:t xml:space="preserve">Ecclesiastical History </w:t>
      </w:r>
      <w:r w:rsidRPr="00660ECA">
        <w:rPr>
          <w:rFonts w:cs="Times New Roman"/>
        </w:rPr>
        <w:t xml:space="preserve">and Cyprian of Carthage in his letter </w:t>
      </w:r>
      <w:r w:rsidRPr="00660ECA">
        <w:rPr>
          <w:rFonts w:cs="Times New Roman"/>
          <w:i/>
        </w:rPr>
        <w:t>To Donatus</w:t>
      </w:r>
      <w:r w:rsidRPr="00660ECA">
        <w:rPr>
          <w:rFonts w:cs="Times New Roman"/>
        </w:rPr>
        <w:t>. Baptism in its simplest definition is the purification or regeneration of the body in acceptance to Christ; and appears as the first step toward achieving salvation. The cleansing of the body from sin is designed to accompany the soul that has been cleansed of sin through the philanthropic lifestyle a Christian is expected to lead. As such, the act of baptism alone does not appear to achieve salvation. Which is why in Luke 3:7-11 John the Baptist tells those asking how to achieve salvation to provide food for those who have none or provide clothing for those without. Eusebius also discusses the work of John the Baptist, as well as baptism generally.</w:t>
      </w:r>
      <w:r w:rsidRPr="00660ECA">
        <w:rPr>
          <w:rFonts w:cs="Times New Roman"/>
          <w:vertAlign w:val="superscript"/>
        </w:rPr>
        <w:footnoteReference w:id="99"/>
      </w:r>
      <w:r w:rsidRPr="00660ECA">
        <w:rPr>
          <w:rFonts w:cs="Times New Roman"/>
        </w:rPr>
        <w:t xml:space="preserve"> In which he alludes</w:t>
      </w:r>
      <w:r w:rsidR="0080066E">
        <w:rPr>
          <w:rFonts w:cs="Times New Roman"/>
        </w:rPr>
        <w:t xml:space="preserve"> that baptism provides physical</w:t>
      </w:r>
      <w:r w:rsidRPr="00660ECA">
        <w:rPr>
          <w:rFonts w:cs="Times New Roman"/>
        </w:rPr>
        <w:t xml:space="preserve"> salvation of the body, but ultimate </w:t>
      </w:r>
      <w:r w:rsidRPr="00660ECA">
        <w:rPr>
          <w:rFonts w:cs="Times New Roman"/>
        </w:rPr>
        <w:lastRenderedPageBreak/>
        <w:t>salvation and therefore righteousness comes directly from the cleansing of the soul; attained through living a virtuous lifestyle.</w:t>
      </w:r>
      <w:r w:rsidRPr="00660ECA">
        <w:rPr>
          <w:rFonts w:cs="Times New Roman"/>
          <w:vertAlign w:val="superscript"/>
        </w:rPr>
        <w:footnoteReference w:id="100"/>
      </w:r>
      <w:r w:rsidRPr="00660ECA">
        <w:rPr>
          <w:rFonts w:cs="Times New Roman"/>
        </w:rPr>
        <w:t xml:space="preserve"> Addressing the earlier discussed traditional research of salvation; the body can be purified through baptism, but the soul can only be purified by acts of charity. It is then possible that a person who performs charitable acts in the image of Jesus may still attain righteousness and salvation after death, even though they have not been cleansed physically, as their soul is cleansed. As such, there is the possibility of salvation being attained after death, however it relies on the implementation of a vir</w:t>
      </w:r>
      <w:r w:rsidR="0029472A">
        <w:rPr>
          <w:rFonts w:cs="Times New Roman"/>
        </w:rPr>
        <w:t>tuous lifestyle in physicality.</w:t>
      </w:r>
      <w:r w:rsidR="00BD4756">
        <w:rPr>
          <w:rFonts w:cs="Times New Roman"/>
        </w:rPr>
        <w:t xml:space="preserve"> Pilch (2001)</w:t>
      </w:r>
      <w:r w:rsidR="0029472A">
        <w:rPr>
          <w:rFonts w:cs="Times New Roman"/>
        </w:rPr>
        <w:t xml:space="preserve"> </w:t>
      </w:r>
      <w:r w:rsidR="00BD4756">
        <w:rPr>
          <w:rFonts w:cs="Times New Roman"/>
        </w:rPr>
        <w:t>concludes that the primary interes</w:t>
      </w:r>
      <w:r w:rsidR="006903CF">
        <w:rPr>
          <w:rFonts w:cs="Times New Roman"/>
        </w:rPr>
        <w:t>t of Late</w:t>
      </w:r>
      <w:r w:rsidR="00BD4756">
        <w:rPr>
          <w:rFonts w:cs="Times New Roman"/>
        </w:rPr>
        <w:t xml:space="preserve"> Antiquity was to find meaning for disease and in turn, how to convert this into living a meaningful life</w:t>
      </w:r>
      <w:r w:rsidR="006903CF">
        <w:rPr>
          <w:rFonts w:cs="Times New Roman"/>
        </w:rPr>
        <w:t>; that this was especially popular among early Christian theologists</w:t>
      </w:r>
      <w:r w:rsidR="00BD4756">
        <w:rPr>
          <w:rFonts w:cs="Times New Roman"/>
        </w:rPr>
        <w:t>.</w:t>
      </w:r>
      <w:r w:rsidR="00BD4756">
        <w:rPr>
          <w:rStyle w:val="FootnoteReference"/>
          <w:rFonts w:cs="Times New Roman"/>
        </w:rPr>
        <w:footnoteReference w:id="101"/>
      </w:r>
      <w:r w:rsidR="00BD4756">
        <w:rPr>
          <w:rFonts w:cs="Times New Roman"/>
        </w:rPr>
        <w:t xml:space="preserve"> In agreement with this, the theological understanding of disease in early Christianity is directly influenced by the need to attain righteousness, and in turn, be salvaged.</w:t>
      </w:r>
      <w:r w:rsidR="0070666D">
        <w:rPr>
          <w:rStyle w:val="FootnoteReference"/>
          <w:rFonts w:cs="Times New Roman"/>
        </w:rPr>
        <w:footnoteReference w:id="102"/>
      </w:r>
      <w:r w:rsidR="00BD4756">
        <w:rPr>
          <w:rFonts w:cs="Times New Roman"/>
        </w:rPr>
        <w:t xml:space="preserve"> </w:t>
      </w:r>
      <w:r w:rsidR="00DC3726">
        <w:rPr>
          <w:rFonts w:cs="Times New Roman"/>
        </w:rPr>
        <w:t>This need to understand the meaning</w:t>
      </w:r>
      <w:r w:rsidR="004F7ECD">
        <w:rPr>
          <w:rFonts w:cs="Times New Roman"/>
        </w:rPr>
        <w:t xml:space="preserve"> of disease under the ideology of becoming righteous in the after-life ultimately derives from the necessity to understand the causation of disease. As such, Amundsen’s (1996) detailing of causation in regards </w:t>
      </w:r>
      <w:r w:rsidR="00D10A4F">
        <w:rPr>
          <w:rFonts w:cs="Times New Roman"/>
        </w:rPr>
        <w:t>to causation being understood as predominantly divine stands. While the early Jesus movement may have begun with the Hippocratic or Galenic view that causation was natural, it appears to have developed into being a naturalistic cause given by God to salvage humanity.</w:t>
      </w:r>
      <w:r w:rsidR="00DC3726">
        <w:rPr>
          <w:rStyle w:val="FootnoteReference"/>
          <w:rFonts w:cs="Times New Roman"/>
        </w:rPr>
        <w:footnoteReference w:id="103"/>
      </w:r>
    </w:p>
    <w:p w14:paraId="7625E965" w14:textId="5CE1C65A" w:rsidR="00157E63" w:rsidRDefault="00157E63" w:rsidP="0038017A">
      <w:pPr>
        <w:pStyle w:val="Heading3"/>
        <w:spacing w:line="480" w:lineRule="auto"/>
        <w:jc w:val="left"/>
      </w:pPr>
    </w:p>
    <w:p w14:paraId="390E7002" w14:textId="76A52CC7" w:rsidR="00157E63" w:rsidRDefault="00157E63" w:rsidP="0038017A">
      <w:pPr>
        <w:spacing w:line="480" w:lineRule="auto"/>
        <w:rPr>
          <w:rFonts w:eastAsiaTheme="majorEastAsia" w:cstheme="majorBidi"/>
          <w:szCs w:val="26"/>
        </w:rPr>
      </w:pPr>
      <w:r>
        <w:br w:type="page"/>
      </w:r>
    </w:p>
    <w:p w14:paraId="0DC05B95" w14:textId="2777C6B2" w:rsidR="0083124B" w:rsidRPr="00157E63" w:rsidRDefault="00660ECA" w:rsidP="0038017A">
      <w:pPr>
        <w:pStyle w:val="Heading2"/>
        <w:spacing w:line="480" w:lineRule="auto"/>
      </w:pPr>
      <w:bookmarkStart w:id="13" w:name="_Toc513777962"/>
      <w:r w:rsidRPr="00157E63">
        <w:lastRenderedPageBreak/>
        <w:t>Conclusion</w:t>
      </w:r>
      <w:bookmarkEnd w:id="13"/>
    </w:p>
    <w:p w14:paraId="067DA8C0" w14:textId="77777777" w:rsidR="00196F99" w:rsidRPr="00196F99" w:rsidRDefault="00196F99" w:rsidP="0038017A">
      <w:pPr>
        <w:spacing w:line="480" w:lineRule="auto"/>
      </w:pPr>
    </w:p>
    <w:p w14:paraId="0AA713D1" w14:textId="166CA023" w:rsidR="00CF1E58" w:rsidRDefault="00CF1E58" w:rsidP="0038017A">
      <w:pPr>
        <w:spacing w:line="480" w:lineRule="auto"/>
        <w:rPr>
          <w:rFonts w:cs="Times New Roman"/>
        </w:rPr>
      </w:pPr>
      <w:r>
        <w:rPr>
          <w:rFonts w:cs="Times New Roman"/>
        </w:rPr>
        <w:t xml:space="preserve">Healthcare practice in late Antiquity appears somewhat divided. </w:t>
      </w:r>
      <w:r w:rsidR="000F339A">
        <w:rPr>
          <w:rFonts w:cs="Times New Roman"/>
        </w:rPr>
        <w:t>There is a prolific want of society to understand disease; from a philosophically and scientifically eloquent perspective (As seen with Galen) to a theological one. The pressure on both ideologies to provide some form of guidance toward how one lives a life free of ill-health is evident by the obsession both present with causation.</w:t>
      </w:r>
      <w:r w:rsidR="000F339A">
        <w:rPr>
          <w:rStyle w:val="FootnoteReference"/>
          <w:rFonts w:cs="Times New Roman"/>
        </w:rPr>
        <w:footnoteReference w:id="104"/>
      </w:r>
      <w:r w:rsidR="00755EF7">
        <w:rPr>
          <w:rFonts w:cs="Times New Roman"/>
        </w:rPr>
        <w:t xml:space="preserve"> The desire to understand a prominent and consistent issue faced by society is logical, and so it can be argued both the Graeco-Roman healthcare system and the early Christian one seek to aid society; with </w:t>
      </w:r>
      <w:r w:rsidR="004734FF">
        <w:rPr>
          <w:rFonts w:cs="Times New Roman"/>
        </w:rPr>
        <w:t xml:space="preserve">one relying on divine intervention, and the other considering naturalistic nosology. </w:t>
      </w:r>
    </w:p>
    <w:p w14:paraId="6A73565A" w14:textId="79CEB949" w:rsidR="00FA7F2E" w:rsidRDefault="000F4DE9" w:rsidP="0038017A">
      <w:pPr>
        <w:spacing w:line="480" w:lineRule="auto"/>
        <w:rPr>
          <w:rFonts w:cs="Times New Roman"/>
        </w:rPr>
      </w:pPr>
      <w:r w:rsidRPr="00620227">
        <w:rPr>
          <w:rFonts w:cs="Times New Roman"/>
        </w:rPr>
        <w:t>The circumstances under which early Christian healthcare developed are clear. Firstly, the sick and diseased were of no value to Roman society as they could not contribute or provide anything to the culture or economy.</w:t>
      </w:r>
      <w:r w:rsidR="00620227">
        <w:rPr>
          <w:rStyle w:val="FootnoteReference"/>
          <w:rFonts w:cs="Times New Roman"/>
        </w:rPr>
        <w:footnoteReference w:id="105"/>
      </w:r>
      <w:r w:rsidRPr="00620227">
        <w:rPr>
          <w:rFonts w:cs="Times New Roman"/>
        </w:rPr>
        <w:t xml:space="preserve"> They were viewed predominantly unfavourably by society, and therefore remained on the periphery of it. Many of the sick and diseased were forced to beg at temples for care in which the simplest </w:t>
      </w:r>
      <w:r w:rsidR="00620227" w:rsidRPr="00620227">
        <w:rPr>
          <w:rFonts w:cs="Times New Roman"/>
        </w:rPr>
        <w:t>form of healthcare available still constituted a costly option to those of the lowest tier of society.</w:t>
      </w:r>
      <w:r w:rsidR="00620227" w:rsidRPr="00620227">
        <w:rPr>
          <w:rStyle w:val="FootnoteReference"/>
          <w:rFonts w:cs="Times New Roman"/>
        </w:rPr>
        <w:footnoteReference w:id="106"/>
      </w:r>
      <w:r w:rsidR="00620227" w:rsidRPr="00620227">
        <w:rPr>
          <w:rFonts w:cs="Times New Roman"/>
        </w:rPr>
        <w:t xml:space="preserve"> The prerequisite for care </w:t>
      </w:r>
      <w:r w:rsidR="00620227">
        <w:rPr>
          <w:rFonts w:cs="Times New Roman"/>
        </w:rPr>
        <w:t>in the Roman Empire was that an individual must be of a certain status and stature in society in order to receive care.</w:t>
      </w:r>
      <w:r w:rsidR="00620227">
        <w:rPr>
          <w:rStyle w:val="FootnoteReference"/>
          <w:rFonts w:cs="Times New Roman"/>
        </w:rPr>
        <w:footnoteReference w:id="107"/>
      </w:r>
      <w:r w:rsidR="00FA7F2E">
        <w:rPr>
          <w:rFonts w:cs="Times New Roman"/>
        </w:rPr>
        <w:t xml:space="preserve"> In response to this, the early Christian healthcare system sought to provide care to all that needed it, regardless of religious belief.</w:t>
      </w:r>
      <w:r w:rsidR="00FA7F2E">
        <w:rPr>
          <w:rStyle w:val="FootnoteReference"/>
          <w:rFonts w:cs="Times New Roman"/>
        </w:rPr>
        <w:footnoteReference w:id="108"/>
      </w:r>
      <w:r w:rsidR="00FA7F2E">
        <w:rPr>
          <w:rFonts w:cs="Times New Roman"/>
        </w:rPr>
        <w:t xml:space="preserve"> It aimed to transform the popular opinion of the sick and diseased not contributing to society, by creating </w:t>
      </w:r>
      <w:r w:rsidR="00FA7F2E">
        <w:rPr>
          <w:rFonts w:cs="Times New Roman"/>
        </w:rPr>
        <w:lastRenderedPageBreak/>
        <w:t xml:space="preserve">circumstances under which they did contribute to society; achieved by making the impoverished, sick and diseased the focal point of the Christian doctrine for salvation. </w:t>
      </w:r>
    </w:p>
    <w:p w14:paraId="054E7AF3" w14:textId="75E77C0F" w:rsidR="007C73C3" w:rsidRDefault="00CF1E58" w:rsidP="0038017A">
      <w:pPr>
        <w:spacing w:line="480" w:lineRule="auto"/>
        <w:rPr>
          <w:rFonts w:cs="Times New Roman"/>
        </w:rPr>
      </w:pPr>
      <w:r>
        <w:rPr>
          <w:rFonts w:cs="Times New Roman"/>
        </w:rPr>
        <w:tab/>
        <w:t>Secondly</w:t>
      </w:r>
      <w:r w:rsidR="00FA7F2E">
        <w:rPr>
          <w:rFonts w:cs="Times New Roman"/>
        </w:rPr>
        <w:t>, the socio-political climate under whic</w:t>
      </w:r>
      <w:r w:rsidR="00196F99">
        <w:rPr>
          <w:rFonts w:cs="Times New Roman"/>
        </w:rPr>
        <w:t>h early Christianity developed allowed it to withstand the pressures of persecution, famine and plague in later centuries.</w:t>
      </w:r>
      <w:r w:rsidR="009254F4">
        <w:rPr>
          <w:rStyle w:val="FootnoteReference"/>
          <w:rFonts w:cs="Times New Roman"/>
        </w:rPr>
        <w:footnoteReference w:id="109"/>
      </w:r>
      <w:r w:rsidR="00196F99">
        <w:rPr>
          <w:rFonts w:cs="Times New Roman"/>
        </w:rPr>
        <w:t xml:space="preserve"> As there was little to no focus on the universality of care in the Late Roman Empire, the small early Christian communities learned to withstand high demand by approaching healthcare in a systematic manner,</w:t>
      </w:r>
      <w:r w:rsidR="00157E63">
        <w:rPr>
          <w:rStyle w:val="FootnoteReference"/>
          <w:rFonts w:cs="Times New Roman"/>
        </w:rPr>
        <w:footnoteReference w:id="110"/>
      </w:r>
      <w:r w:rsidR="00196F99">
        <w:rPr>
          <w:rFonts w:cs="Times New Roman"/>
        </w:rPr>
        <w:t xml:space="preserve"> which meant that care could reach more people. The luxurious lifestyle of the empirical families,</w:t>
      </w:r>
      <w:r w:rsidR="0026735B">
        <w:rPr>
          <w:rStyle w:val="FootnoteReference"/>
          <w:rFonts w:cs="Times New Roman"/>
        </w:rPr>
        <w:footnoteReference w:id="111"/>
      </w:r>
      <w:r w:rsidR="00196F99">
        <w:rPr>
          <w:rFonts w:cs="Times New Roman"/>
        </w:rPr>
        <w:t xml:space="preserve"> and the cost to maintain this, also contributed to the need for a reformation in healthcare.</w:t>
      </w:r>
      <w:r w:rsidR="00196F99">
        <w:rPr>
          <w:rStyle w:val="FootnoteReference"/>
          <w:rFonts w:cs="Times New Roman"/>
        </w:rPr>
        <w:footnoteReference w:id="112"/>
      </w:r>
      <w:r w:rsidR="0026735B">
        <w:rPr>
          <w:rFonts w:cs="Times New Roman"/>
        </w:rPr>
        <w:t xml:space="preserve"> </w:t>
      </w:r>
      <w:r w:rsidR="007A664D">
        <w:rPr>
          <w:rFonts w:cs="Times New Roman"/>
        </w:rPr>
        <w:t xml:space="preserve">The treatment of the poor, diseased and disabled by the Roman Emperors, as discussed previously, highlights the little regard Ancient Roman society had for sick. </w:t>
      </w:r>
      <w:r w:rsidR="008261EA">
        <w:rPr>
          <w:rFonts w:cs="Times New Roman"/>
        </w:rPr>
        <w:t>As Brown (2005) states, the early Christian movement prospered because it threatened to fulfil something society was demanding, that traditional Roman Frameworks could not, or would not, provide.</w:t>
      </w:r>
      <w:r w:rsidR="008261EA">
        <w:rPr>
          <w:rStyle w:val="FootnoteReference"/>
          <w:rFonts w:cs="Times New Roman"/>
        </w:rPr>
        <w:footnoteReference w:id="113"/>
      </w:r>
      <w:r w:rsidR="009254F4">
        <w:rPr>
          <w:rFonts w:cs="Times New Roman"/>
        </w:rPr>
        <w:t xml:space="preserve"> </w:t>
      </w:r>
      <w:r w:rsidR="00455DDA">
        <w:rPr>
          <w:rFonts w:cs="Times New Roman"/>
        </w:rPr>
        <w:t xml:space="preserve">As disease began to enter the </w:t>
      </w:r>
      <w:r w:rsidR="00900571">
        <w:rPr>
          <w:rFonts w:cs="Times New Roman"/>
        </w:rPr>
        <w:t>mainstream thoughts</w:t>
      </w:r>
      <w:r w:rsidR="00455DDA">
        <w:rPr>
          <w:rFonts w:cs="Times New Roman"/>
        </w:rPr>
        <w:t xml:space="preserve"> </w:t>
      </w:r>
      <w:r w:rsidR="00900571">
        <w:rPr>
          <w:rFonts w:cs="Times New Roman"/>
        </w:rPr>
        <w:t>of society, healthcare became a priority.</w:t>
      </w:r>
      <w:r w:rsidR="00900571">
        <w:rPr>
          <w:rStyle w:val="FootnoteReference"/>
          <w:rFonts w:cs="Times New Roman"/>
        </w:rPr>
        <w:footnoteReference w:id="114"/>
      </w:r>
      <w:r w:rsidR="00900571">
        <w:rPr>
          <w:rFonts w:cs="Times New Roman"/>
        </w:rPr>
        <w:t xml:space="preserve"> </w:t>
      </w:r>
    </w:p>
    <w:p w14:paraId="78747F9D" w14:textId="2B40228B" w:rsidR="005D41C0" w:rsidRDefault="00CF1E58" w:rsidP="0038017A">
      <w:pPr>
        <w:spacing w:line="480" w:lineRule="auto"/>
        <w:ind w:firstLine="720"/>
        <w:rPr>
          <w:rFonts w:cs="Times New Roman"/>
        </w:rPr>
      </w:pPr>
      <w:r>
        <w:rPr>
          <w:rFonts w:cs="Times New Roman"/>
        </w:rPr>
        <w:t>Thirdly</w:t>
      </w:r>
      <w:r w:rsidR="007C73C3">
        <w:rPr>
          <w:rFonts w:cs="Times New Roman"/>
        </w:rPr>
        <w:t xml:space="preserve">, the theology of what it meant to be a follower of early Christianity greatly influenced its transition to </w:t>
      </w:r>
      <w:r>
        <w:rPr>
          <w:rFonts w:cs="Times New Roman"/>
        </w:rPr>
        <w:t>a mainstream healthcare option. The texts referenced throughout this paper from Cyprian of Carthage exclaim that only those who willingly provide care to the misfortunate, and follow a virtuous lifestyle in pursuit of salvation will achieve righteousness after death.</w:t>
      </w:r>
      <w:r>
        <w:rPr>
          <w:rStyle w:val="FootnoteReference"/>
          <w:rFonts w:cs="Times New Roman"/>
        </w:rPr>
        <w:footnoteReference w:id="115"/>
      </w:r>
      <w:r>
        <w:rPr>
          <w:rFonts w:cs="Times New Roman"/>
        </w:rPr>
        <w:t xml:space="preserve"> The notion that a </w:t>
      </w:r>
      <w:r w:rsidR="00860BC5">
        <w:rPr>
          <w:rFonts w:cs="Times New Roman"/>
        </w:rPr>
        <w:t xml:space="preserve">virtuous lifestyle would bring salvation for those who have acted in a philanthropic manner can be viewed as exploitative of the poorest </w:t>
      </w:r>
      <w:r w:rsidR="00860BC5">
        <w:rPr>
          <w:rFonts w:cs="Times New Roman"/>
        </w:rPr>
        <w:lastRenderedPageBreak/>
        <w:t>in society. Although it is a cynical view of the early Christian movement, it is understandable why it can be seen as such. The prosperity of the early Christian religion depended on the sick, poor, diseased and therefore vulnerable members of society</w:t>
      </w:r>
      <w:r w:rsidR="00077DDA">
        <w:rPr>
          <w:rStyle w:val="FootnoteReference"/>
          <w:rFonts w:cs="Times New Roman"/>
        </w:rPr>
        <w:footnoteReference w:id="116"/>
      </w:r>
      <w:r w:rsidR="00860BC5">
        <w:rPr>
          <w:rFonts w:cs="Times New Roman"/>
        </w:rPr>
        <w:t xml:space="preserve"> as it provided them with </w:t>
      </w:r>
      <w:r w:rsidR="00077DDA">
        <w:rPr>
          <w:rFonts w:cs="Times New Roman"/>
        </w:rPr>
        <w:t>solutions to their needs.</w:t>
      </w:r>
      <w:r w:rsidR="00077DDA">
        <w:rPr>
          <w:rStyle w:val="FootnoteReference"/>
          <w:rFonts w:cs="Times New Roman"/>
        </w:rPr>
        <w:footnoteReference w:id="117"/>
      </w:r>
      <w:r w:rsidR="00077DDA">
        <w:rPr>
          <w:rFonts w:cs="Times New Roman"/>
        </w:rPr>
        <w:t xml:space="preserve"> However, they were perceived in a much kinder perspective than under the Graeco-Roman healthcare system, and so in comparison the early Christian healthcare model benefitted the impoverished more so than the Graeco-Roman one.</w:t>
      </w:r>
      <w:r w:rsidR="00077DDA">
        <w:rPr>
          <w:rStyle w:val="FootnoteReference"/>
          <w:rFonts w:cs="Times New Roman"/>
        </w:rPr>
        <w:footnoteReference w:id="118"/>
      </w:r>
      <w:r w:rsidR="00077DDA">
        <w:rPr>
          <w:rFonts w:cs="Times New Roman"/>
        </w:rPr>
        <w:t xml:space="preserve"> </w:t>
      </w:r>
      <w:r w:rsidR="008B4C48">
        <w:rPr>
          <w:rFonts w:cs="Times New Roman"/>
        </w:rPr>
        <w:t>All these factors combined allowed early Christianity to flourish as a religion of healing</w:t>
      </w:r>
      <w:r w:rsidR="003E206B">
        <w:rPr>
          <w:rFonts w:cs="Times New Roman"/>
        </w:rPr>
        <w:t>.</w:t>
      </w:r>
      <w:r w:rsidR="008B4C48">
        <w:rPr>
          <w:rStyle w:val="FootnoteReference"/>
          <w:rFonts w:cs="Times New Roman"/>
        </w:rPr>
        <w:footnoteReference w:id="119"/>
      </w:r>
      <w:r w:rsidR="003E206B">
        <w:rPr>
          <w:rFonts w:cs="Times New Roman"/>
        </w:rPr>
        <w:t xml:space="preserve"> It appears that the cultural and socio-religious heritage of the Graeco-Roman polytheistic religion catered to the materialistic high class predominantly.</w:t>
      </w:r>
      <w:r w:rsidR="003E206B">
        <w:rPr>
          <w:rStyle w:val="FootnoteReference"/>
          <w:rFonts w:cs="Times New Roman"/>
        </w:rPr>
        <w:footnoteReference w:id="120"/>
      </w:r>
      <w:r w:rsidR="003E206B">
        <w:rPr>
          <w:rFonts w:cs="Times New Roman"/>
        </w:rPr>
        <w:t xml:space="preserve"> </w:t>
      </w:r>
      <w:r w:rsidR="008B4C48">
        <w:rPr>
          <w:rFonts w:cs="Times New Roman"/>
        </w:rPr>
        <w:t xml:space="preserve"> </w:t>
      </w:r>
      <w:r w:rsidR="003E206B">
        <w:rPr>
          <w:rFonts w:cs="Times New Roman"/>
        </w:rPr>
        <w:t>While the early Christian movement was founded on the poorest of society who, failed under the late Roman Empire, sought to reform the inequity that had consumed the Roman Empire in Late Antiquity.</w:t>
      </w:r>
      <w:r w:rsidR="00CF4E05">
        <w:rPr>
          <w:rStyle w:val="FootnoteReference"/>
          <w:rFonts w:cs="Times New Roman"/>
        </w:rPr>
        <w:footnoteReference w:id="121"/>
      </w:r>
      <w:r w:rsidR="003E206B">
        <w:rPr>
          <w:rFonts w:cs="Times New Roman"/>
        </w:rPr>
        <w:t xml:space="preserve"> </w:t>
      </w:r>
      <w:r w:rsidR="00F23EB4">
        <w:rPr>
          <w:rFonts w:cs="Times New Roman"/>
        </w:rPr>
        <w:t xml:space="preserve"> </w:t>
      </w:r>
      <w:r w:rsidR="00E25093">
        <w:rPr>
          <w:rFonts w:cs="Times New Roman"/>
        </w:rPr>
        <w:t>Although scholars such as Ferngren may summarise that there was no real difference between</w:t>
      </w:r>
      <w:r w:rsidR="005D41C0">
        <w:rPr>
          <w:rFonts w:cs="Times New Roman"/>
        </w:rPr>
        <w:t xml:space="preserve"> healthcare</w:t>
      </w:r>
      <w:r w:rsidR="00E25093">
        <w:rPr>
          <w:rFonts w:cs="Times New Roman"/>
        </w:rPr>
        <w:t xml:space="preserve"> practice under early Christianity and Roman Polytheism,</w:t>
      </w:r>
      <w:r w:rsidR="005D41C0">
        <w:rPr>
          <w:rStyle w:val="FootnoteReference"/>
          <w:rFonts w:cs="Times New Roman"/>
        </w:rPr>
        <w:footnoteReference w:id="122"/>
      </w:r>
      <w:r w:rsidR="00E25093">
        <w:rPr>
          <w:rFonts w:cs="Times New Roman"/>
        </w:rPr>
        <w:t xml:space="preserve"> it is clear that the two differ substantially. </w:t>
      </w:r>
      <w:r w:rsidR="005D41C0">
        <w:rPr>
          <w:rFonts w:cs="Times New Roman"/>
        </w:rPr>
        <w:t xml:space="preserve">Not only in religious perspective of healthcare; but in perception of the sick and diseased. While the common Roman practice was to ignore concerns of healthcare if it did not affect themselves, the early Christian perception considered disease a societal wide </w:t>
      </w:r>
      <w:r w:rsidR="008240BD">
        <w:rPr>
          <w:rFonts w:cs="Times New Roman"/>
        </w:rPr>
        <w:t>issue, which</w:t>
      </w:r>
      <w:r w:rsidR="005D41C0">
        <w:rPr>
          <w:rFonts w:cs="Times New Roman"/>
        </w:rPr>
        <w:t xml:space="preserve"> should be dealt as such.</w:t>
      </w:r>
      <w:r w:rsidR="008626B2">
        <w:rPr>
          <w:rStyle w:val="FootnoteReference"/>
          <w:rFonts w:cs="Times New Roman"/>
        </w:rPr>
        <w:footnoteReference w:id="123"/>
      </w:r>
      <w:r w:rsidR="005D41C0">
        <w:rPr>
          <w:rFonts w:cs="Times New Roman"/>
        </w:rPr>
        <w:t xml:space="preserve"> </w:t>
      </w:r>
    </w:p>
    <w:p w14:paraId="7A2266D1" w14:textId="7182CD4A" w:rsidR="00660ECA" w:rsidRPr="00620227" w:rsidRDefault="00BE15F5" w:rsidP="0038017A">
      <w:pPr>
        <w:spacing w:line="480" w:lineRule="auto"/>
        <w:ind w:firstLine="720"/>
        <w:rPr>
          <w:rFonts w:cs="Times New Roman"/>
        </w:rPr>
      </w:pPr>
      <w:r>
        <w:rPr>
          <w:rFonts w:cs="Times New Roman"/>
        </w:rPr>
        <w:t>In conclusion, the rise of Christianity and its healthcare system developed</w:t>
      </w:r>
      <w:r w:rsidR="00A3584D" w:rsidRPr="00A3584D">
        <w:rPr>
          <w:rFonts w:cs="Times New Roman"/>
        </w:rPr>
        <w:t xml:space="preserve"> during</w:t>
      </w:r>
      <w:r>
        <w:rPr>
          <w:rFonts w:cs="Times New Roman"/>
        </w:rPr>
        <w:t xml:space="preserve"> various socio-economic strains</w:t>
      </w:r>
      <w:r w:rsidR="00A3584D">
        <w:rPr>
          <w:rFonts w:cs="Times New Roman"/>
        </w:rPr>
        <w:t xml:space="preserve"> </w:t>
      </w:r>
      <w:r w:rsidR="00A3584D" w:rsidRPr="00A3584D">
        <w:rPr>
          <w:rFonts w:cs="Times New Roman"/>
        </w:rPr>
        <w:t>under</w:t>
      </w:r>
      <w:r>
        <w:rPr>
          <w:rFonts w:cs="Times New Roman"/>
        </w:rPr>
        <w:t xml:space="preserve"> the late Roman Empire.</w:t>
      </w:r>
      <w:r w:rsidR="00A3584D">
        <w:rPr>
          <w:rStyle w:val="FootnoteReference"/>
          <w:rFonts w:cs="Times New Roman"/>
        </w:rPr>
        <w:footnoteReference w:id="124"/>
      </w:r>
      <w:r>
        <w:rPr>
          <w:rFonts w:cs="Times New Roman"/>
        </w:rPr>
        <w:t xml:space="preserve"> Under which</w:t>
      </w:r>
      <w:r w:rsidR="00535B41">
        <w:rPr>
          <w:rFonts w:cs="Times New Roman"/>
        </w:rPr>
        <w:t>,</w:t>
      </w:r>
      <w:r>
        <w:rPr>
          <w:rFonts w:cs="Times New Roman"/>
        </w:rPr>
        <w:t xml:space="preserve"> it flourished as </w:t>
      </w:r>
      <w:r>
        <w:rPr>
          <w:rFonts w:cs="Times New Roman"/>
        </w:rPr>
        <w:lastRenderedPageBreak/>
        <w:t>a religion of healing, and a religion for the poor, sick and diseased.</w:t>
      </w:r>
      <w:r w:rsidR="00A3584D">
        <w:rPr>
          <w:rStyle w:val="FootnoteReference"/>
          <w:rFonts w:cs="Times New Roman"/>
        </w:rPr>
        <w:footnoteReference w:id="125"/>
      </w:r>
      <w:r>
        <w:rPr>
          <w:rFonts w:cs="Times New Roman"/>
        </w:rPr>
        <w:t xml:space="preserve"> </w:t>
      </w:r>
      <w:r w:rsidR="006244D0">
        <w:rPr>
          <w:rFonts w:cs="Times New Roman"/>
        </w:rPr>
        <w:t>It purposely spread through the poorer population, because the doctrine of early Christianity meant it was particularly attractive as a healthcare option;</w:t>
      </w:r>
      <w:r w:rsidR="00A3584D">
        <w:rPr>
          <w:rStyle w:val="FootnoteReference"/>
          <w:rFonts w:cs="Times New Roman"/>
        </w:rPr>
        <w:footnoteReference w:id="126"/>
      </w:r>
      <w:r w:rsidR="006244D0">
        <w:rPr>
          <w:rFonts w:cs="Times New Roman"/>
        </w:rPr>
        <w:t xml:space="preserve"> not necessarily because the religion itself was enticing. </w:t>
      </w:r>
      <w:r>
        <w:rPr>
          <w:rFonts w:cs="Times New Roman"/>
        </w:rPr>
        <w:t>With the pressure placed on followers of early Christianity by its doctrine to act charitably, the movement</w:t>
      </w:r>
      <w:r w:rsidR="00F23EB4">
        <w:rPr>
          <w:rFonts w:cs="Times New Roman"/>
        </w:rPr>
        <w:t xml:space="preserve"> not only created a place for the sick and diseased in society to exist as such and receive care; it also created a need for the sick and diseased so that followers of Christianity could attain salva</w:t>
      </w:r>
      <w:r w:rsidR="00BE7E32">
        <w:rPr>
          <w:rFonts w:cs="Times New Roman"/>
        </w:rPr>
        <w:t>tion and in turn righteousness.</w:t>
      </w:r>
      <w:r w:rsidR="00A3584D">
        <w:rPr>
          <w:rStyle w:val="FootnoteReference"/>
          <w:rFonts w:cs="Times New Roman"/>
        </w:rPr>
        <w:footnoteReference w:id="127"/>
      </w:r>
      <w:r w:rsidR="00660ECA" w:rsidRPr="00620227">
        <w:rPr>
          <w:rFonts w:cs="Times New Roman"/>
        </w:rPr>
        <w:br w:type="page"/>
      </w:r>
    </w:p>
    <w:p w14:paraId="290B4139" w14:textId="7D80B7B2" w:rsidR="00660ECA" w:rsidRDefault="00660ECA" w:rsidP="0038017A">
      <w:pPr>
        <w:pStyle w:val="Heading2"/>
        <w:spacing w:line="480" w:lineRule="auto"/>
      </w:pPr>
      <w:bookmarkStart w:id="14" w:name="_Toc513777963"/>
      <w:r>
        <w:lastRenderedPageBreak/>
        <w:t>Bibliography</w:t>
      </w:r>
      <w:bookmarkEnd w:id="14"/>
    </w:p>
    <w:p w14:paraId="4E142BD6" w14:textId="77777777" w:rsidR="00F11E5F" w:rsidRPr="00F11E5F" w:rsidRDefault="00F11E5F" w:rsidP="0038017A">
      <w:pPr>
        <w:spacing w:line="480" w:lineRule="auto"/>
      </w:pPr>
    </w:p>
    <w:p w14:paraId="322E6250" w14:textId="14E58351" w:rsidR="00660ECA" w:rsidRDefault="00660ECA" w:rsidP="0038017A">
      <w:pPr>
        <w:pStyle w:val="Heading3"/>
        <w:spacing w:line="480" w:lineRule="auto"/>
      </w:pPr>
      <w:bookmarkStart w:id="15" w:name="_Toc513777964"/>
      <w:r>
        <w:t>Ancient Sources</w:t>
      </w:r>
      <w:bookmarkEnd w:id="15"/>
      <w:r>
        <w:t xml:space="preserve"> </w:t>
      </w:r>
    </w:p>
    <w:p w14:paraId="6900F816" w14:textId="77777777" w:rsidR="007E2358" w:rsidRPr="00C65F4A" w:rsidRDefault="007E2358" w:rsidP="0038017A">
      <w:pPr>
        <w:spacing w:line="480" w:lineRule="auto"/>
      </w:pPr>
      <w:r w:rsidRPr="00C65F4A">
        <w:t xml:space="preserve">Galen, On Food and Diet. M. Grant (Trans.). 2000. London: Routledge. </w:t>
      </w:r>
    </w:p>
    <w:p w14:paraId="653A4300" w14:textId="77777777" w:rsidR="007E2358" w:rsidRPr="00C65F4A" w:rsidRDefault="007E2358" w:rsidP="0038017A">
      <w:pPr>
        <w:spacing w:line="480" w:lineRule="auto"/>
      </w:pPr>
      <w:r w:rsidRPr="00C65F4A">
        <w:t xml:space="preserve">Galen, On the Constitution of the Art of Medicine. I. Johnston (Trans.). 2016. Cambridge: Harvard University Press. </w:t>
      </w:r>
    </w:p>
    <w:p w14:paraId="07293D22" w14:textId="77777777" w:rsidR="007E2358" w:rsidRPr="00C65F4A" w:rsidRDefault="007E2358" w:rsidP="0038017A">
      <w:pPr>
        <w:spacing w:line="480" w:lineRule="auto"/>
      </w:pPr>
      <w:r w:rsidRPr="00C65F4A">
        <w:t xml:space="preserve">Gregory of Nazianzus, </w:t>
      </w:r>
      <w:r w:rsidRPr="00C65F4A">
        <w:rPr>
          <w:i/>
        </w:rPr>
        <w:t>The love of the Poor</w:t>
      </w:r>
      <w:r w:rsidRPr="00C65F4A">
        <w:t>, in</w:t>
      </w:r>
      <w:r w:rsidRPr="00C65F4A">
        <w:rPr>
          <w:i/>
        </w:rPr>
        <w:t xml:space="preserve">, The Fathers of the Church: Ascetical Works, </w:t>
      </w:r>
      <w:r w:rsidRPr="00C65F4A">
        <w:t>Trans. Martha Vinson, Washington: The Catholic University of America Press, 2003.</w:t>
      </w:r>
    </w:p>
    <w:p w14:paraId="541AE491" w14:textId="77777777" w:rsidR="007E2358" w:rsidRPr="00C65F4A" w:rsidRDefault="007E2358" w:rsidP="0038017A">
      <w:pPr>
        <w:spacing w:line="480" w:lineRule="auto"/>
      </w:pPr>
      <w:r w:rsidRPr="00C65F4A">
        <w:t xml:space="preserve">Gregory of Nyssa, </w:t>
      </w:r>
      <w:r w:rsidRPr="00C65F4A">
        <w:rPr>
          <w:i/>
        </w:rPr>
        <w:t>The Christian Mode of Life,</w:t>
      </w:r>
      <w:r w:rsidRPr="00C65F4A">
        <w:t xml:space="preserve"> in, The Fathers of the Church: St. Gregory Ascetical Works</w:t>
      </w:r>
      <w:r w:rsidRPr="00C65F4A">
        <w:rPr>
          <w:i/>
        </w:rPr>
        <w:t>.</w:t>
      </w:r>
      <w:r w:rsidRPr="00C65F4A">
        <w:t xml:space="preserve"> Vol. 58.</w:t>
      </w:r>
      <w:r w:rsidRPr="00C65F4A">
        <w:rPr>
          <w:i/>
        </w:rPr>
        <w:t xml:space="preserve"> </w:t>
      </w:r>
      <w:r w:rsidRPr="00C65F4A">
        <w:t xml:space="preserve">Trans. Virginia Woods Callahan, Washington: The Catholic University of America Press, 1999. </w:t>
      </w:r>
    </w:p>
    <w:p w14:paraId="26BF76C1" w14:textId="77777777" w:rsidR="007E2358" w:rsidRPr="00C65F4A" w:rsidRDefault="007E2358" w:rsidP="0038017A">
      <w:pPr>
        <w:spacing w:line="480" w:lineRule="auto"/>
      </w:pPr>
      <w:r w:rsidRPr="00C65F4A">
        <w:t xml:space="preserve">Gregory of Nyssa. </w:t>
      </w:r>
      <w:r w:rsidRPr="00C65F4A">
        <w:rPr>
          <w:i/>
        </w:rPr>
        <w:t>What it Means to Call Oneself a Christian,</w:t>
      </w:r>
      <w:r w:rsidRPr="00C65F4A">
        <w:t xml:space="preserve"> in </w:t>
      </w:r>
      <w:r w:rsidRPr="00C65F4A">
        <w:rPr>
          <w:i/>
        </w:rPr>
        <w:t>The Fathers of the Church: St. Gregory Ascetical Works.</w:t>
      </w:r>
      <w:r w:rsidRPr="00C65F4A">
        <w:t xml:space="preserve"> Vol. 58.</w:t>
      </w:r>
      <w:r w:rsidRPr="00C65F4A">
        <w:rPr>
          <w:i/>
        </w:rPr>
        <w:t xml:space="preserve"> </w:t>
      </w:r>
      <w:r w:rsidRPr="00C65F4A">
        <w:t xml:space="preserve">Trans. Virginia Woods Callahan, Washington: The Catholic University of America Press, 1999. </w:t>
      </w:r>
    </w:p>
    <w:p w14:paraId="1A3B890E" w14:textId="77777777" w:rsidR="007E2358" w:rsidRPr="00C65F4A" w:rsidRDefault="007E2358" w:rsidP="0038017A">
      <w:pPr>
        <w:spacing w:line="480" w:lineRule="auto"/>
      </w:pPr>
      <w:r w:rsidRPr="00C65F4A">
        <w:t xml:space="preserve">Hippocrates. </w:t>
      </w:r>
      <w:r w:rsidRPr="00C65F4A">
        <w:rPr>
          <w:i/>
          <w:iCs/>
        </w:rPr>
        <w:t xml:space="preserve">Ancient Medicine. Airs, Waters, Places. Epidemics 1 and 3. The Oath. Precepts. Nutriment. </w:t>
      </w:r>
      <w:r w:rsidRPr="00C65F4A">
        <w:t>Translated by W. H. S. Jones. Loeb Classical Library 147. Cambridge, MA: Harvard University Press, 1923.</w:t>
      </w:r>
    </w:p>
    <w:p w14:paraId="7905A7BD" w14:textId="77777777" w:rsidR="007E2358" w:rsidRDefault="007E2358" w:rsidP="0038017A">
      <w:pPr>
        <w:spacing w:line="480" w:lineRule="auto"/>
      </w:pPr>
      <w:r w:rsidRPr="00C65F4A">
        <w:t xml:space="preserve">Hippocrates. </w:t>
      </w:r>
      <w:r w:rsidRPr="00C65F4A">
        <w:rPr>
          <w:i/>
          <w:iCs/>
        </w:rPr>
        <w:t xml:space="preserve">Prognostic. Regimen in Acute Diseases. The Sacred Disease. The Art. Breaths. Law. Decorum. Physician (Ch. 1). Dentition. </w:t>
      </w:r>
      <w:r w:rsidRPr="00C65F4A">
        <w:t>Translated by W. H. S. Jones. Loeb Classical Library 148. Cambridge, MA: Harvard University Press, 1923.</w:t>
      </w:r>
    </w:p>
    <w:p w14:paraId="6900ECB4" w14:textId="77777777" w:rsidR="007E2358" w:rsidRPr="00C65F4A" w:rsidRDefault="007E2358" w:rsidP="0038017A">
      <w:pPr>
        <w:spacing w:line="480" w:lineRule="auto"/>
      </w:pPr>
      <w:r w:rsidRPr="00C65F4A">
        <w:t xml:space="preserve">Saint Basil, </w:t>
      </w:r>
      <w:r w:rsidRPr="00C65F4A">
        <w:rPr>
          <w:i/>
        </w:rPr>
        <w:t>Long Rules</w:t>
      </w:r>
      <w:r w:rsidRPr="00C65F4A">
        <w:t xml:space="preserve">, in Ascetical </w:t>
      </w:r>
      <w:proofErr w:type="gramStart"/>
      <w:r w:rsidRPr="00C65F4A">
        <w:t xml:space="preserve">Works </w:t>
      </w:r>
      <w:r w:rsidRPr="00C65F4A">
        <w:rPr>
          <w:i/>
        </w:rPr>
        <w:t>,</w:t>
      </w:r>
      <w:proofErr w:type="gramEnd"/>
      <w:r w:rsidRPr="00C65F4A">
        <w:rPr>
          <w:i/>
        </w:rPr>
        <w:t xml:space="preserve"> </w:t>
      </w:r>
      <w:r w:rsidRPr="00C65F4A">
        <w:t>Trans. Monica Wagner, Washington: The Catholic University of America Press, 1962.</w:t>
      </w:r>
    </w:p>
    <w:p w14:paraId="638596B8" w14:textId="77777777" w:rsidR="007E2358" w:rsidRPr="00C65F4A" w:rsidRDefault="007E2358" w:rsidP="0038017A">
      <w:pPr>
        <w:spacing w:line="480" w:lineRule="auto"/>
      </w:pPr>
      <w:r w:rsidRPr="00C65F4A">
        <w:lastRenderedPageBreak/>
        <w:t xml:space="preserve">Suetonius, The Lives of the Twelve Caesars. H.M. Bird (Trans.). 1997. Hertfordshire: Wordsworth Education Limited. </w:t>
      </w:r>
    </w:p>
    <w:p w14:paraId="16F40F2D" w14:textId="77777777" w:rsidR="007E2358" w:rsidRDefault="007E2358" w:rsidP="0038017A">
      <w:pPr>
        <w:spacing w:line="480" w:lineRule="auto"/>
      </w:pPr>
      <w:r w:rsidRPr="00C65F4A">
        <w:t xml:space="preserve">Tacitus, The Annals of Imperial Rome. M. Grant (Trans.). 1956. Middlesex: Penguin Books Ltd. </w:t>
      </w:r>
    </w:p>
    <w:p w14:paraId="5A848185" w14:textId="475D47AA" w:rsidR="00660ECA" w:rsidRDefault="00660ECA" w:rsidP="0038017A">
      <w:pPr>
        <w:pStyle w:val="Heading3"/>
        <w:spacing w:line="480" w:lineRule="auto"/>
      </w:pPr>
      <w:bookmarkStart w:id="16" w:name="_Toc513777965"/>
      <w:r>
        <w:t>Modern Scholarship</w:t>
      </w:r>
      <w:bookmarkEnd w:id="16"/>
    </w:p>
    <w:p w14:paraId="609329AF" w14:textId="77777777" w:rsidR="00C6712B" w:rsidRPr="00C6712B" w:rsidRDefault="00C6712B" w:rsidP="0038017A">
      <w:pPr>
        <w:spacing w:line="480" w:lineRule="auto"/>
      </w:pPr>
    </w:p>
    <w:p w14:paraId="7E549D85" w14:textId="77777777" w:rsidR="007E2358" w:rsidRPr="00A65FDC" w:rsidRDefault="007E2358" w:rsidP="0038017A">
      <w:pPr>
        <w:spacing w:line="480" w:lineRule="auto"/>
      </w:pPr>
      <w:r w:rsidRPr="00A65FDC">
        <w:t xml:space="preserve">Adams, G. 2005. ‘Suetonius and his treatment of the Emperor Domitian’s favourable accomplishments’ </w:t>
      </w:r>
      <w:proofErr w:type="spellStart"/>
      <w:r w:rsidRPr="00A65FDC">
        <w:t>Studia</w:t>
      </w:r>
      <w:proofErr w:type="spellEnd"/>
      <w:r w:rsidRPr="00A65FDC">
        <w:t xml:space="preserve"> </w:t>
      </w:r>
      <w:proofErr w:type="spellStart"/>
      <w:r w:rsidRPr="00A65FDC">
        <w:t>Humaniora</w:t>
      </w:r>
      <w:proofErr w:type="spellEnd"/>
      <w:r w:rsidRPr="00A65FDC">
        <w:t xml:space="preserve"> </w:t>
      </w:r>
      <w:proofErr w:type="spellStart"/>
      <w:r w:rsidRPr="00A65FDC">
        <w:t>Tartuensia</w:t>
      </w:r>
      <w:proofErr w:type="spellEnd"/>
      <w:r w:rsidRPr="00A65FDC">
        <w:t xml:space="preserve">. 6.3, 1-15. </w:t>
      </w:r>
    </w:p>
    <w:p w14:paraId="0F2BF041" w14:textId="77777777" w:rsidR="007E2358" w:rsidRPr="00C6712B" w:rsidRDefault="007E2358" w:rsidP="0038017A">
      <w:pPr>
        <w:spacing w:line="480" w:lineRule="auto"/>
      </w:pPr>
      <w:r w:rsidRPr="00C6712B">
        <w:t xml:space="preserve">Amundsen, D. W. 1996. </w:t>
      </w:r>
      <w:r w:rsidRPr="00C6712B">
        <w:rPr>
          <w:i/>
        </w:rPr>
        <w:t>Medicine, Society and Faith in the Ancient and Medieval Worlds</w:t>
      </w:r>
      <w:r w:rsidRPr="00C6712B">
        <w:t>. John Hopkins University Press.</w:t>
      </w:r>
    </w:p>
    <w:p w14:paraId="23ACA7AF" w14:textId="77777777" w:rsidR="007E2358" w:rsidRPr="00A65FDC" w:rsidRDefault="007E2358" w:rsidP="0038017A">
      <w:pPr>
        <w:spacing w:line="480" w:lineRule="auto"/>
      </w:pPr>
      <w:proofErr w:type="spellStart"/>
      <w:r>
        <w:t>Athanassiadi</w:t>
      </w:r>
      <w:proofErr w:type="spellEnd"/>
      <w:r>
        <w:t xml:space="preserve">, P. </w:t>
      </w:r>
      <w:r w:rsidRPr="0014348E">
        <w:rPr>
          <w:i/>
        </w:rPr>
        <w:t>1999Pagan</w:t>
      </w:r>
      <w:r w:rsidRPr="00A65FDC">
        <w:t xml:space="preserve"> Monotheism in Late Antiquity Oxford: Clarendon Press </w:t>
      </w:r>
    </w:p>
    <w:p w14:paraId="31A9B5A6" w14:textId="77777777" w:rsidR="007E2358" w:rsidRPr="00C6712B" w:rsidRDefault="007E2358" w:rsidP="0038017A">
      <w:pPr>
        <w:spacing w:line="480" w:lineRule="auto"/>
      </w:pPr>
      <w:r w:rsidRPr="00C6712B">
        <w:t xml:space="preserve">Avalos, H. 1999.  </w:t>
      </w:r>
      <w:r w:rsidRPr="00C6712B">
        <w:rPr>
          <w:i/>
        </w:rPr>
        <w:t>Health Care and the Rise of Christianity</w:t>
      </w:r>
      <w:r w:rsidRPr="00C6712B">
        <w:t>. Baker Academic Edition: 2010.</w:t>
      </w:r>
    </w:p>
    <w:p w14:paraId="56AA694F" w14:textId="77777777" w:rsidR="007E2358" w:rsidRDefault="007E2358" w:rsidP="0038017A">
      <w:pPr>
        <w:spacing w:line="480" w:lineRule="auto"/>
      </w:pPr>
      <w:r>
        <w:t xml:space="preserve">Beal-Preston, R. </w:t>
      </w:r>
      <w:r>
        <w:rPr>
          <w:i/>
        </w:rPr>
        <w:t xml:space="preserve">The Christian Contribution to Medicine. </w:t>
      </w:r>
      <w:r>
        <w:t xml:space="preserve">In </w:t>
      </w:r>
      <w:r>
        <w:rPr>
          <w:i/>
        </w:rPr>
        <w:t xml:space="preserve">Triple Helix, </w:t>
      </w:r>
      <w:r>
        <w:t>Spring 2000.</w:t>
      </w:r>
    </w:p>
    <w:p w14:paraId="6296EAE4" w14:textId="77777777" w:rsidR="007E2358" w:rsidRPr="00C6712B" w:rsidRDefault="007E2358" w:rsidP="0038017A">
      <w:pPr>
        <w:spacing w:line="480" w:lineRule="auto"/>
      </w:pPr>
      <w:proofErr w:type="spellStart"/>
      <w:r w:rsidRPr="00C6712B">
        <w:t>Boorse</w:t>
      </w:r>
      <w:proofErr w:type="spellEnd"/>
      <w:r w:rsidRPr="00C6712B">
        <w:t xml:space="preserve">, C. 2004. ‘On the Distinction between Disease and Illness’ in A. L. Caplan, J. J. McCartney, D. A. </w:t>
      </w:r>
      <w:proofErr w:type="spellStart"/>
      <w:r w:rsidRPr="00C6712B">
        <w:t>Sisti</w:t>
      </w:r>
      <w:proofErr w:type="spellEnd"/>
      <w:r w:rsidRPr="00C6712B">
        <w:t xml:space="preserve"> (eds.), </w:t>
      </w:r>
      <w:r w:rsidRPr="00C6712B">
        <w:rPr>
          <w:i/>
        </w:rPr>
        <w:t xml:space="preserve">Health, Disease, and Illness. Concepts in Medicine. </w:t>
      </w:r>
      <w:r w:rsidRPr="00C6712B">
        <w:t xml:space="preserve">Washington, D.C.: Georgetown University Press. </w:t>
      </w:r>
    </w:p>
    <w:p w14:paraId="52BE1BF2" w14:textId="77777777" w:rsidR="007E2358" w:rsidRPr="00A65FDC" w:rsidRDefault="007E2358" w:rsidP="0038017A">
      <w:pPr>
        <w:spacing w:line="480" w:lineRule="auto"/>
      </w:pPr>
      <w:r w:rsidRPr="00A65FDC">
        <w:t xml:space="preserve">Bowen, E, P. 1913. ‘Did Tacitus in the Annals Traduce the Character of Tiberius?’ The Classical Weekly. 6. 21, 162-166. </w:t>
      </w:r>
    </w:p>
    <w:p w14:paraId="6242FB10" w14:textId="77777777" w:rsidR="007E2358" w:rsidRPr="00A65FDC" w:rsidRDefault="007E2358" w:rsidP="0038017A">
      <w:pPr>
        <w:spacing w:line="480" w:lineRule="auto"/>
      </w:pPr>
      <w:r w:rsidRPr="00A65FDC">
        <w:t xml:space="preserve">Brown, P. 1971 The World of Late Antiquity AD150-750 London: Thames &amp; Hudson Ltd. </w:t>
      </w:r>
    </w:p>
    <w:p w14:paraId="3EA68116" w14:textId="77777777" w:rsidR="007E2358" w:rsidRPr="00A65FDC" w:rsidRDefault="007E2358" w:rsidP="0038017A">
      <w:pPr>
        <w:spacing w:line="480" w:lineRule="auto"/>
      </w:pPr>
      <w:r w:rsidRPr="00A65FDC">
        <w:t xml:space="preserve">Davies O. 1991 Born to New Life: Cyprian of Carthage London: New City Publications. </w:t>
      </w:r>
    </w:p>
    <w:p w14:paraId="14B2EE87" w14:textId="77777777" w:rsidR="007E2358" w:rsidRPr="00C6712B" w:rsidRDefault="007E2358" w:rsidP="0038017A">
      <w:pPr>
        <w:spacing w:line="480" w:lineRule="auto"/>
      </w:pPr>
      <w:r w:rsidRPr="00C6712B">
        <w:lastRenderedPageBreak/>
        <w:t>Edelstein, L. Edelstein, E. J. 1975. ‘Asclepius: A Collection and Interpretation of the Testimonies’</w:t>
      </w:r>
      <w:r w:rsidRPr="00C6712B">
        <w:rPr>
          <w:i/>
        </w:rPr>
        <w:t>.</w:t>
      </w:r>
      <w:r w:rsidRPr="00C6712B">
        <w:t xml:space="preserve"> (Vol. 1 &amp; 2) in W. R. Connor (eds.), </w:t>
      </w:r>
      <w:r w:rsidRPr="00C6712B">
        <w:rPr>
          <w:i/>
        </w:rPr>
        <w:t>Ancient Religion and Mythology,</w:t>
      </w:r>
      <w:r w:rsidRPr="00C6712B">
        <w:t xml:space="preserve"> New-York: Arno Press. </w:t>
      </w:r>
    </w:p>
    <w:p w14:paraId="2F757A19" w14:textId="77777777" w:rsidR="007E2358" w:rsidRPr="00C6712B" w:rsidRDefault="007E2358" w:rsidP="0038017A">
      <w:pPr>
        <w:spacing w:line="480" w:lineRule="auto"/>
      </w:pPr>
      <w:r w:rsidRPr="00C6712B">
        <w:t xml:space="preserve">Edelstein, Ludwig. 1987. </w:t>
      </w:r>
      <w:r w:rsidRPr="00C6712B">
        <w:rPr>
          <w:i/>
        </w:rPr>
        <w:t>Ancient Medicine</w:t>
      </w:r>
      <w:r w:rsidRPr="00C6712B">
        <w:t xml:space="preserve">. John Hopkins Press Paperback Edition. </w:t>
      </w:r>
    </w:p>
    <w:p w14:paraId="48D9EEBE" w14:textId="77777777" w:rsidR="007E2358" w:rsidRPr="00C6712B" w:rsidRDefault="007E2358" w:rsidP="0038017A">
      <w:pPr>
        <w:spacing w:line="480" w:lineRule="auto"/>
      </w:pPr>
      <w:r w:rsidRPr="00C6712B">
        <w:t xml:space="preserve">Ferngren, Gary B. 2009. </w:t>
      </w:r>
      <w:r w:rsidRPr="00C6712B">
        <w:rPr>
          <w:i/>
        </w:rPr>
        <w:t>Medicine &amp; Health Care in Early Christianity</w:t>
      </w:r>
      <w:r w:rsidRPr="00C6712B">
        <w:t>. John Hopkins University Press.</w:t>
      </w:r>
    </w:p>
    <w:p w14:paraId="6BA8CACF" w14:textId="77777777" w:rsidR="007E2358" w:rsidRPr="00C6712B" w:rsidRDefault="007E2358" w:rsidP="0038017A">
      <w:pPr>
        <w:spacing w:line="480" w:lineRule="auto"/>
      </w:pPr>
      <w:r w:rsidRPr="00C6712B">
        <w:t>Ferngren, Gary B. 2014</w:t>
      </w:r>
      <w:r w:rsidRPr="00C6712B">
        <w:rPr>
          <w:i/>
        </w:rPr>
        <w:t>. Medicine and Religion: A Historical Introduction</w:t>
      </w:r>
      <w:r w:rsidRPr="00C6712B">
        <w:t>. John Hopkins University Press.</w:t>
      </w:r>
    </w:p>
    <w:p w14:paraId="45795498" w14:textId="77777777" w:rsidR="007E2358" w:rsidRPr="00C6712B" w:rsidRDefault="007E2358" w:rsidP="0038017A">
      <w:pPr>
        <w:spacing w:line="480" w:lineRule="auto"/>
      </w:pPr>
      <w:r w:rsidRPr="00C6712B">
        <w:t xml:space="preserve">Gregory, A. D. 2016. ‘Magic, Curses, and Healing’, in G. L. Irby (ed.), </w:t>
      </w:r>
      <w:r w:rsidRPr="00C6712B">
        <w:rPr>
          <w:i/>
        </w:rPr>
        <w:t xml:space="preserve">A Companion to Science, Technology, And Medicine in Ancient Greece and Rome’, </w:t>
      </w:r>
      <w:r w:rsidRPr="00C6712B">
        <w:t xml:space="preserve">(Vol.1). Oxford: John Wiley &amp; Sons, Inc. </w:t>
      </w:r>
    </w:p>
    <w:p w14:paraId="5AAF2C8D" w14:textId="77777777" w:rsidR="007E2358" w:rsidRPr="00C6712B" w:rsidRDefault="007E2358" w:rsidP="0038017A">
      <w:pPr>
        <w:spacing w:line="480" w:lineRule="auto"/>
      </w:pPr>
      <w:r w:rsidRPr="00C6712B">
        <w:t>Israelowich, I. 2015. Patients and Healers in the High Roman Empire. John Hopkins University Press.</w:t>
      </w:r>
    </w:p>
    <w:p w14:paraId="0D4CF531" w14:textId="77777777" w:rsidR="007E2358" w:rsidRPr="00C6712B" w:rsidRDefault="007E2358" w:rsidP="0038017A">
      <w:pPr>
        <w:spacing w:line="480" w:lineRule="auto"/>
      </w:pPr>
      <w:r w:rsidRPr="00C6712B">
        <w:t xml:space="preserve">Jones-Lewis, M. 2016. ‘Physicians and “Schools”’, </w:t>
      </w:r>
      <w:bookmarkStart w:id="17" w:name="_Hlk509598481"/>
      <w:r w:rsidRPr="00C6712B">
        <w:t xml:space="preserve">in G. L. Irby (ed.), </w:t>
      </w:r>
      <w:r w:rsidRPr="00C6712B">
        <w:rPr>
          <w:i/>
        </w:rPr>
        <w:t>A Companion to Science, Technology, And Medicine in Ancient Greece and Rome</w:t>
      </w:r>
      <w:r w:rsidRPr="00C6712B">
        <w:t>, (Vol.1). Oxford: John Wiley &amp; Sons, Inc.</w:t>
      </w:r>
      <w:bookmarkEnd w:id="17"/>
    </w:p>
    <w:p w14:paraId="5C6715B7" w14:textId="77777777" w:rsidR="007E2358" w:rsidRPr="00C6712B" w:rsidRDefault="007E2358" w:rsidP="0038017A">
      <w:pPr>
        <w:spacing w:line="480" w:lineRule="auto"/>
      </w:pPr>
      <w:proofErr w:type="spellStart"/>
      <w:r w:rsidRPr="00C6712B">
        <w:t>Kimbert</w:t>
      </w:r>
      <w:proofErr w:type="spellEnd"/>
      <w:r w:rsidRPr="00C6712B">
        <w:t xml:space="preserve">, W. J. T. 1962. </w:t>
      </w:r>
      <w:r w:rsidRPr="00C6712B">
        <w:rPr>
          <w:i/>
        </w:rPr>
        <w:t xml:space="preserve">The Healing Church. </w:t>
      </w:r>
      <w:r w:rsidRPr="00C6712B">
        <w:t xml:space="preserve">London: S. P. C. K. </w:t>
      </w:r>
    </w:p>
    <w:p w14:paraId="79B9012B" w14:textId="77777777" w:rsidR="007E2358" w:rsidRPr="00C6712B" w:rsidRDefault="007E2358" w:rsidP="0038017A">
      <w:pPr>
        <w:spacing w:line="480" w:lineRule="auto"/>
      </w:pPr>
      <w:r w:rsidRPr="00C6712B">
        <w:t xml:space="preserve">King, H. 2005. </w:t>
      </w:r>
      <w:r w:rsidRPr="00C6712B">
        <w:rPr>
          <w:i/>
        </w:rPr>
        <w:t>Health in Antiquity</w:t>
      </w:r>
      <w:r w:rsidRPr="00C6712B">
        <w:t>. Taylor and Francis.</w:t>
      </w:r>
    </w:p>
    <w:p w14:paraId="496EB9D8" w14:textId="77777777" w:rsidR="007E2358" w:rsidRPr="00C6712B" w:rsidRDefault="007E2358" w:rsidP="0038017A">
      <w:pPr>
        <w:spacing w:line="480" w:lineRule="auto"/>
      </w:pPr>
      <w:r w:rsidRPr="00C6712B">
        <w:t xml:space="preserve">King, H. 2006. </w:t>
      </w:r>
      <w:r w:rsidRPr="00C6712B">
        <w:rPr>
          <w:i/>
        </w:rPr>
        <w:t>Greek and Roman Medicine</w:t>
      </w:r>
      <w:r w:rsidRPr="00C6712B">
        <w:t xml:space="preserve">. Bristol Classical Press: Gerald Duckworth &amp; Co. Ltd. </w:t>
      </w:r>
    </w:p>
    <w:p w14:paraId="37DC6A9C" w14:textId="77777777" w:rsidR="007E2358" w:rsidRPr="00C6712B" w:rsidRDefault="007E2358" w:rsidP="0038017A">
      <w:pPr>
        <w:spacing w:line="480" w:lineRule="auto"/>
      </w:pPr>
      <w:r w:rsidRPr="00C6712B">
        <w:t xml:space="preserve">Koenig, H. G. 2008. </w:t>
      </w:r>
      <w:r w:rsidRPr="00C6712B">
        <w:rPr>
          <w:i/>
        </w:rPr>
        <w:t>Medicine, Religion and Health: Where Science and Spirituality Meet</w:t>
      </w:r>
      <w:r w:rsidRPr="00C6712B">
        <w:t>. Templeton Press.</w:t>
      </w:r>
    </w:p>
    <w:p w14:paraId="1DF2C607" w14:textId="77777777" w:rsidR="007E2358" w:rsidRDefault="007E2358" w:rsidP="0038017A">
      <w:pPr>
        <w:spacing w:line="480" w:lineRule="auto"/>
        <w:rPr>
          <w:lang w:val="en"/>
        </w:rPr>
      </w:pPr>
      <w:r w:rsidRPr="00F11E5F">
        <w:rPr>
          <w:lang w:val="en"/>
        </w:rPr>
        <w:lastRenderedPageBreak/>
        <w:t xml:space="preserve">Littman, R.J. and Littman, M.L. "Galen and the </w:t>
      </w:r>
      <w:proofErr w:type="spellStart"/>
      <w:r w:rsidRPr="00F11E5F">
        <w:rPr>
          <w:lang w:val="en"/>
        </w:rPr>
        <w:t>Antonine</w:t>
      </w:r>
      <w:proofErr w:type="spellEnd"/>
      <w:r w:rsidRPr="00F11E5F">
        <w:rPr>
          <w:lang w:val="en"/>
        </w:rPr>
        <w:t xml:space="preserve"> Plague". The American Journal of Philology, Vol. 94, No. 3 (autumn, 1973), pp. 243–255</w:t>
      </w:r>
    </w:p>
    <w:p w14:paraId="05A3CED7" w14:textId="77777777" w:rsidR="007E2358" w:rsidRPr="00C6712B" w:rsidRDefault="007E2358" w:rsidP="0038017A">
      <w:pPr>
        <w:spacing w:line="480" w:lineRule="auto"/>
      </w:pPr>
      <w:proofErr w:type="spellStart"/>
      <w:r w:rsidRPr="00C6712B">
        <w:t>Longrigg</w:t>
      </w:r>
      <w:proofErr w:type="spellEnd"/>
      <w:r w:rsidRPr="00C6712B">
        <w:t xml:space="preserve">, J. 1993. </w:t>
      </w:r>
      <w:r w:rsidRPr="00C6712B">
        <w:rPr>
          <w:i/>
        </w:rPr>
        <w:t>Greek Rational Medicine</w:t>
      </w:r>
      <w:r w:rsidRPr="00C6712B">
        <w:t xml:space="preserve">. London: Routledge. </w:t>
      </w:r>
    </w:p>
    <w:p w14:paraId="7842CED7" w14:textId="77777777" w:rsidR="007E2358" w:rsidRPr="00C6712B" w:rsidRDefault="007E2358" w:rsidP="0038017A">
      <w:pPr>
        <w:spacing w:line="480" w:lineRule="auto"/>
      </w:pPr>
      <w:proofErr w:type="spellStart"/>
      <w:r w:rsidRPr="00C6712B">
        <w:t>Longrigg</w:t>
      </w:r>
      <w:proofErr w:type="spellEnd"/>
      <w:r w:rsidRPr="00C6712B">
        <w:t xml:space="preserve">, J. 1998. </w:t>
      </w:r>
      <w:r w:rsidRPr="00C6712B">
        <w:rPr>
          <w:i/>
        </w:rPr>
        <w:t xml:space="preserve">Greek Medicine from the Heroic to Hellenistic Age, A Source Book. </w:t>
      </w:r>
      <w:r w:rsidRPr="00C6712B">
        <w:t xml:space="preserve">London: Gerald Duckworth &amp; Co. Ltd. </w:t>
      </w:r>
    </w:p>
    <w:p w14:paraId="36060BE9" w14:textId="77777777" w:rsidR="007E2358" w:rsidRPr="0014348E" w:rsidRDefault="007E2358" w:rsidP="0038017A">
      <w:pPr>
        <w:spacing w:line="480" w:lineRule="auto"/>
      </w:pPr>
      <w:r>
        <w:t>New Standard Revised Version Bible: www.biblegateway.com [Accessed: 8/05/2018]</w:t>
      </w:r>
    </w:p>
    <w:p w14:paraId="2103C296" w14:textId="77777777" w:rsidR="007E2358" w:rsidRPr="00C6712B" w:rsidRDefault="007E2358" w:rsidP="0038017A">
      <w:pPr>
        <w:spacing w:line="480" w:lineRule="auto"/>
      </w:pPr>
      <w:r w:rsidRPr="00C6712B">
        <w:t xml:space="preserve">Nutton, V. 1988. </w:t>
      </w:r>
      <w:r w:rsidRPr="00C6712B">
        <w:rPr>
          <w:i/>
        </w:rPr>
        <w:t xml:space="preserve">From </w:t>
      </w:r>
      <w:proofErr w:type="spellStart"/>
      <w:r w:rsidRPr="00C6712B">
        <w:rPr>
          <w:i/>
        </w:rPr>
        <w:t>Democedes</w:t>
      </w:r>
      <w:proofErr w:type="spellEnd"/>
      <w:r w:rsidRPr="00C6712B">
        <w:rPr>
          <w:i/>
        </w:rPr>
        <w:t xml:space="preserve"> to Harvey.</w:t>
      </w:r>
      <w:r w:rsidRPr="00C6712B">
        <w:t xml:space="preserve"> London: Variorum Reprints. </w:t>
      </w:r>
    </w:p>
    <w:p w14:paraId="284CBF46" w14:textId="77777777" w:rsidR="007E2358" w:rsidRPr="00C6712B" w:rsidRDefault="007E2358" w:rsidP="0038017A">
      <w:pPr>
        <w:spacing w:line="480" w:lineRule="auto"/>
      </w:pPr>
      <w:r w:rsidRPr="00C6712B">
        <w:t>Nutton, V. 2013</w:t>
      </w:r>
      <w:r w:rsidRPr="00C6712B">
        <w:rPr>
          <w:i/>
        </w:rPr>
        <w:t>. Ancient Medicine</w:t>
      </w:r>
      <w:r w:rsidRPr="00C6712B">
        <w:t>. Routledge, Sec. Edition.</w:t>
      </w:r>
    </w:p>
    <w:p w14:paraId="23529E8C" w14:textId="77777777" w:rsidR="007E2358" w:rsidRPr="00C6712B" w:rsidRDefault="007E2358" w:rsidP="0038017A">
      <w:pPr>
        <w:spacing w:line="480" w:lineRule="auto"/>
      </w:pPr>
      <w:proofErr w:type="spellStart"/>
      <w:r w:rsidRPr="00C6712B">
        <w:t>Petridon</w:t>
      </w:r>
      <w:proofErr w:type="spellEnd"/>
      <w:r w:rsidRPr="00C6712B">
        <w:t>, G. 2016. ‘Healing Shrines’, in G. L. Irby (ed.), A Companion to Science, Technology, And Medicine in Ancient Greece and Rome’, (Vol.1). Oxford: John Wiley &amp; Sons, Inc.</w:t>
      </w:r>
    </w:p>
    <w:p w14:paraId="33992A97" w14:textId="77777777" w:rsidR="007E2358" w:rsidRPr="00C6712B" w:rsidRDefault="007E2358" w:rsidP="0038017A">
      <w:pPr>
        <w:spacing w:line="480" w:lineRule="auto"/>
      </w:pPr>
      <w:r w:rsidRPr="00C6712B">
        <w:t>Pilch, J. J. 2000</w:t>
      </w:r>
      <w:r w:rsidRPr="00C6712B">
        <w:rPr>
          <w:i/>
        </w:rPr>
        <w:t>.  Healing in the New Testament: Insights from Medical and Mediterranean Anthropology.</w:t>
      </w:r>
      <w:r w:rsidRPr="00C6712B">
        <w:t xml:space="preserve"> Augsburg Fortress.</w:t>
      </w:r>
    </w:p>
    <w:p w14:paraId="1603B282" w14:textId="77777777" w:rsidR="007E2358" w:rsidRDefault="007E2358" w:rsidP="0038017A">
      <w:pPr>
        <w:spacing w:line="480" w:lineRule="auto"/>
      </w:pPr>
      <w:r>
        <w:t xml:space="preserve">Porterfield, A. 2005. </w:t>
      </w:r>
      <w:r>
        <w:rPr>
          <w:i/>
        </w:rPr>
        <w:t xml:space="preserve">Healing in the History of Christianity. </w:t>
      </w:r>
      <w:r>
        <w:t>Oxford Scholarship Online: October 2011.</w:t>
      </w:r>
    </w:p>
    <w:p w14:paraId="26E3DBED" w14:textId="77777777" w:rsidR="007E2358" w:rsidRDefault="007E2358" w:rsidP="0038017A">
      <w:pPr>
        <w:spacing w:line="480" w:lineRule="auto"/>
      </w:pPr>
      <w:r w:rsidRPr="00C6712B">
        <w:t xml:space="preserve">R. </w:t>
      </w:r>
      <w:proofErr w:type="spellStart"/>
      <w:r w:rsidRPr="00C6712B">
        <w:t>Walzer</w:t>
      </w:r>
      <w:proofErr w:type="spellEnd"/>
      <w:r w:rsidRPr="00C6712B">
        <w:t xml:space="preserve">, </w:t>
      </w:r>
      <w:r w:rsidRPr="00C6712B">
        <w:rPr>
          <w:i/>
          <w:iCs/>
        </w:rPr>
        <w:t>Galen on Jews and Christians</w:t>
      </w:r>
      <w:r w:rsidRPr="00C6712B">
        <w:t>, Oxford University Press, 1949.</w:t>
      </w:r>
    </w:p>
    <w:p w14:paraId="0E78DD81" w14:textId="77777777" w:rsidR="007E2358" w:rsidRPr="00C6712B" w:rsidRDefault="007E2358" w:rsidP="0038017A">
      <w:pPr>
        <w:spacing w:line="480" w:lineRule="auto"/>
      </w:pPr>
      <w:r w:rsidRPr="00C6712B">
        <w:t xml:space="preserve">Scarborough, J. 1969. </w:t>
      </w:r>
      <w:r w:rsidRPr="00C6712B">
        <w:rPr>
          <w:i/>
        </w:rPr>
        <w:t>Roman Medicine</w:t>
      </w:r>
      <w:r w:rsidRPr="00C6712B">
        <w:t xml:space="preserve">. H. H. </w:t>
      </w:r>
      <w:proofErr w:type="spellStart"/>
      <w:r w:rsidRPr="00C6712B">
        <w:t>Scullard</w:t>
      </w:r>
      <w:proofErr w:type="spellEnd"/>
      <w:r w:rsidRPr="00C6712B">
        <w:t xml:space="preserve"> (ed.) London: The Camelot Press Ltd. </w:t>
      </w:r>
    </w:p>
    <w:p w14:paraId="4DD65F80" w14:textId="77777777" w:rsidR="007E2358" w:rsidRPr="00A65FDC" w:rsidRDefault="007E2358" w:rsidP="0038017A">
      <w:pPr>
        <w:spacing w:line="480" w:lineRule="auto"/>
      </w:pPr>
      <w:proofErr w:type="spellStart"/>
      <w:r w:rsidRPr="00A65FDC">
        <w:t>Schiedel</w:t>
      </w:r>
      <w:proofErr w:type="spellEnd"/>
      <w:r w:rsidRPr="00A65FDC">
        <w:t xml:space="preserve">, W. 2009. ‘Disease and Death in the Ancient City of Rome’ Princeton/Stanford Working Papers in Classics. 2, 1-14. </w:t>
      </w:r>
    </w:p>
    <w:p w14:paraId="341A8FD6" w14:textId="77777777" w:rsidR="007E2358" w:rsidRPr="00C6712B" w:rsidRDefault="007E2358" w:rsidP="0038017A">
      <w:pPr>
        <w:spacing w:line="480" w:lineRule="auto"/>
      </w:pPr>
      <w:r w:rsidRPr="00C6712B">
        <w:t xml:space="preserve">Temkin, Owesi. </w:t>
      </w:r>
      <w:r w:rsidRPr="00C6712B">
        <w:rPr>
          <w:i/>
        </w:rPr>
        <w:t>1991. Hippocrates in a World of Pagans and Christians</w:t>
      </w:r>
      <w:r w:rsidRPr="00C6712B">
        <w:t>. The John Hopkins University Press</w:t>
      </w:r>
    </w:p>
    <w:p w14:paraId="7A0CD284" w14:textId="77777777" w:rsidR="007E2358" w:rsidRDefault="007E2358" w:rsidP="0038017A">
      <w:pPr>
        <w:spacing w:line="480" w:lineRule="auto"/>
      </w:pPr>
      <w:r>
        <w:lastRenderedPageBreak/>
        <w:t xml:space="preserve">Trumbower, J. A. 2001. </w:t>
      </w:r>
      <w:r>
        <w:rPr>
          <w:i/>
        </w:rPr>
        <w:t xml:space="preserve">The New Testament and Other Early Christian Literature. </w:t>
      </w:r>
      <w:r>
        <w:t xml:space="preserve">Oxford Scholarship online: November 2003. </w:t>
      </w:r>
    </w:p>
    <w:p w14:paraId="58F5009F" w14:textId="77777777" w:rsidR="007E2358" w:rsidRPr="00C6712B" w:rsidRDefault="007E2358" w:rsidP="0038017A">
      <w:pPr>
        <w:spacing w:line="480" w:lineRule="auto"/>
      </w:pPr>
      <w:proofErr w:type="spellStart"/>
      <w:r w:rsidRPr="00C6712B">
        <w:t>Urs</w:t>
      </w:r>
      <w:proofErr w:type="spellEnd"/>
      <w:r w:rsidRPr="00C6712B">
        <w:t xml:space="preserve"> Von Balthasar, H. 1995.  </w:t>
      </w:r>
      <w:r w:rsidRPr="00C6712B">
        <w:rPr>
          <w:i/>
        </w:rPr>
        <w:t xml:space="preserve">Presence and Thought: An Essay on the Religious Philosophy of Gregory of Nyssa. </w:t>
      </w:r>
      <w:r w:rsidRPr="00C6712B">
        <w:t xml:space="preserve">San Francisco: Ignatius Press. </w:t>
      </w:r>
    </w:p>
    <w:p w14:paraId="4A25B88A" w14:textId="77777777" w:rsidR="007E2358" w:rsidRPr="00A65FDC" w:rsidRDefault="007E2358" w:rsidP="0038017A">
      <w:pPr>
        <w:spacing w:line="480" w:lineRule="auto"/>
      </w:pPr>
      <w:r w:rsidRPr="00A65FDC">
        <w:t xml:space="preserve">Wallace-Hadrill, J, M. 1996 The Barbarian West 400-1000 AD Oxford: Blackwell Publishers ltd, 9-79. </w:t>
      </w:r>
    </w:p>
    <w:p w14:paraId="24256BBD" w14:textId="77777777" w:rsidR="007E2358" w:rsidRPr="00C6712B" w:rsidRDefault="007E2358" w:rsidP="0038017A">
      <w:pPr>
        <w:spacing w:line="480" w:lineRule="auto"/>
      </w:pPr>
      <w:proofErr w:type="spellStart"/>
      <w:r w:rsidRPr="00C6712B">
        <w:t>Wisebaden</w:t>
      </w:r>
      <w:proofErr w:type="spellEnd"/>
      <w:r w:rsidRPr="00C6712B">
        <w:t xml:space="preserve">, S. A. 1978. ‘Greek fragments of the lost books of Galen’s Anatomical Procedures’ in R. French (eds.) 2000.  </w:t>
      </w:r>
      <w:r w:rsidRPr="00C6712B">
        <w:rPr>
          <w:i/>
        </w:rPr>
        <w:t>Ancients and Moderns in the Medical Sciences.</w:t>
      </w:r>
      <w:r w:rsidRPr="00C6712B">
        <w:t xml:space="preserve"> Hampshire: Ashgate Publishing Limited. </w:t>
      </w:r>
    </w:p>
    <w:p w14:paraId="4AA2F0D3" w14:textId="77777777" w:rsidR="007E2358" w:rsidRPr="00A65FDC" w:rsidRDefault="007E2358" w:rsidP="0038017A">
      <w:pPr>
        <w:spacing w:line="480" w:lineRule="auto"/>
      </w:pPr>
      <w:proofErr w:type="spellStart"/>
      <w:r w:rsidRPr="00A65FDC">
        <w:t>Zuiddam</w:t>
      </w:r>
      <w:proofErr w:type="spellEnd"/>
      <w:r w:rsidRPr="00A65FDC">
        <w:t xml:space="preserve">, B, A. 2015. ‘Battle for the Bible in the early church’. JOURNAL OF CREATION. 29.1, 64-74. </w:t>
      </w:r>
    </w:p>
    <w:sectPr w:rsidR="007E2358" w:rsidRPr="00A65FDC">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369E5B0" w14:textId="77777777" w:rsidR="00461ACC" w:rsidRDefault="00461ACC" w:rsidP="00792F9B">
      <w:pPr>
        <w:spacing w:after="0" w:line="240" w:lineRule="auto"/>
      </w:pPr>
      <w:r>
        <w:separator/>
      </w:r>
    </w:p>
  </w:endnote>
  <w:endnote w:type="continuationSeparator" w:id="0">
    <w:p w14:paraId="7529C29A" w14:textId="77777777" w:rsidR="00461ACC" w:rsidRDefault="00461ACC" w:rsidP="00792F9B">
      <w:pPr>
        <w:spacing w:after="0" w:line="240" w:lineRule="auto"/>
      </w:pPr>
      <w:r>
        <w:continuationSeparator/>
      </w:r>
    </w:p>
  </w:endnote>
  <w:endnote w:type="continuationNotice" w:id="1">
    <w:p w14:paraId="60A50AEF" w14:textId="77777777" w:rsidR="00461ACC" w:rsidRDefault="00461AC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1002AFF" w:usb1="4000ACFF"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DF7571C" w14:textId="77777777" w:rsidR="00375288" w:rsidRDefault="0037528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35618021"/>
      <w:docPartObj>
        <w:docPartGallery w:val="Page Numbers (Bottom of Page)"/>
        <w:docPartUnique/>
      </w:docPartObj>
    </w:sdtPr>
    <w:sdtEndPr>
      <w:rPr>
        <w:noProof/>
      </w:rPr>
    </w:sdtEndPr>
    <w:sdtContent>
      <w:p w14:paraId="5233B600" w14:textId="0E22DB0A" w:rsidR="00375288" w:rsidRDefault="00375288">
        <w:pPr>
          <w:pStyle w:val="Footer"/>
          <w:jc w:val="right"/>
        </w:pPr>
        <w:r>
          <w:fldChar w:fldCharType="begin"/>
        </w:r>
        <w:r>
          <w:instrText xml:space="preserve"> PAGE   \* MERGEFORMAT </w:instrText>
        </w:r>
        <w:r>
          <w:fldChar w:fldCharType="separate"/>
        </w:r>
        <w:r w:rsidR="00C1276A">
          <w:rPr>
            <w:noProof/>
          </w:rPr>
          <w:t>1</w:t>
        </w:r>
        <w:r>
          <w:rPr>
            <w:noProof/>
          </w:rPr>
          <w:fldChar w:fldCharType="end"/>
        </w:r>
      </w:p>
    </w:sdtContent>
  </w:sdt>
  <w:p w14:paraId="669F8B5D" w14:textId="77777777" w:rsidR="00375288" w:rsidRDefault="0037528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C1E51C5" w14:textId="77777777" w:rsidR="00375288" w:rsidRDefault="003752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A6D8039" w14:textId="77777777" w:rsidR="00461ACC" w:rsidRDefault="00461ACC" w:rsidP="00792F9B">
      <w:pPr>
        <w:spacing w:after="0" w:line="240" w:lineRule="auto"/>
      </w:pPr>
      <w:r>
        <w:separator/>
      </w:r>
    </w:p>
  </w:footnote>
  <w:footnote w:type="continuationSeparator" w:id="0">
    <w:p w14:paraId="578051C9" w14:textId="77777777" w:rsidR="00461ACC" w:rsidRDefault="00461ACC" w:rsidP="00792F9B">
      <w:pPr>
        <w:spacing w:after="0" w:line="240" w:lineRule="auto"/>
      </w:pPr>
      <w:r>
        <w:continuationSeparator/>
      </w:r>
    </w:p>
  </w:footnote>
  <w:footnote w:type="continuationNotice" w:id="1">
    <w:p w14:paraId="3D6AC973" w14:textId="77777777" w:rsidR="00461ACC" w:rsidRDefault="00461ACC">
      <w:pPr>
        <w:spacing w:after="0" w:line="240" w:lineRule="auto"/>
      </w:pPr>
    </w:p>
  </w:footnote>
  <w:footnote w:id="2">
    <w:p w14:paraId="62545488" w14:textId="2A7132EE" w:rsidR="007C73C3" w:rsidRPr="00F85620" w:rsidRDefault="007C73C3">
      <w:pPr>
        <w:pStyle w:val="FootnoteText"/>
        <w:rPr>
          <w:rFonts w:cs="Times New Roman"/>
        </w:rPr>
      </w:pPr>
      <w:r w:rsidRPr="00F85620">
        <w:rPr>
          <w:rStyle w:val="FootnoteReference"/>
          <w:rFonts w:cs="Times New Roman"/>
        </w:rPr>
        <w:footnoteRef/>
      </w:r>
      <w:r w:rsidRPr="00F85620">
        <w:rPr>
          <w:rFonts w:cs="Times New Roman"/>
        </w:rPr>
        <w:t xml:space="preserve"> A modern example is the Irish healthcare system, which carries Catholic connotations throughout. </w:t>
      </w:r>
    </w:p>
  </w:footnote>
  <w:footnote w:id="3">
    <w:p w14:paraId="64905ED1" w14:textId="2BFE2F93" w:rsidR="007C73C3" w:rsidRPr="00F85620" w:rsidRDefault="007C73C3" w:rsidP="002635CA">
      <w:pPr>
        <w:pStyle w:val="FootnoteText"/>
        <w:rPr>
          <w:rFonts w:cs="Times New Roman"/>
        </w:rPr>
      </w:pPr>
      <w:r w:rsidRPr="00F85620">
        <w:rPr>
          <w:rStyle w:val="FootnoteReference"/>
          <w:rFonts w:cs="Times New Roman"/>
        </w:rPr>
        <w:footnoteRef/>
      </w:r>
      <w:r w:rsidRPr="00F85620">
        <w:rPr>
          <w:rFonts w:cs="Times New Roman"/>
        </w:rPr>
        <w:t xml:space="preserve"> </w:t>
      </w:r>
      <w:proofErr w:type="spellStart"/>
      <w:r w:rsidRPr="00F85620">
        <w:rPr>
          <w:rFonts w:cs="Times New Roman"/>
        </w:rPr>
        <w:t>Correia</w:t>
      </w:r>
      <w:proofErr w:type="spellEnd"/>
      <w:r w:rsidRPr="00F85620">
        <w:rPr>
          <w:rFonts w:cs="Times New Roman"/>
        </w:rPr>
        <w:t xml:space="preserve">, </w:t>
      </w:r>
      <w:r w:rsidRPr="00F85620">
        <w:rPr>
          <w:rFonts w:cs="Times New Roman"/>
          <w:i/>
          <w:iCs/>
        </w:rPr>
        <w:t>Melancholia before twentieth century,</w:t>
      </w:r>
      <w:r w:rsidRPr="00F85620">
        <w:rPr>
          <w:rFonts w:cs="Times New Roman"/>
        </w:rPr>
        <w:t xml:space="preserve"> 2015. </w:t>
      </w:r>
    </w:p>
  </w:footnote>
  <w:footnote w:id="4">
    <w:p w14:paraId="1192652D" w14:textId="77777777" w:rsidR="007C73C3" w:rsidRPr="00F85620" w:rsidRDefault="007C73C3" w:rsidP="002635CA">
      <w:pPr>
        <w:pStyle w:val="FootnoteText"/>
        <w:rPr>
          <w:rFonts w:cs="Times New Roman"/>
          <w:sz w:val="18"/>
          <w:szCs w:val="18"/>
        </w:rPr>
      </w:pPr>
      <w:r w:rsidRPr="00F85620">
        <w:rPr>
          <w:rStyle w:val="FootnoteReference"/>
          <w:rFonts w:cs="Times New Roman"/>
        </w:rPr>
        <w:footnoteRef/>
      </w:r>
      <w:r w:rsidRPr="00F85620">
        <w:rPr>
          <w:rFonts w:cs="Times New Roman"/>
        </w:rPr>
        <w:t xml:space="preserve"> It is argued by Pilch (2000) that the concept of disease as understood in modern medicine did not exist, and as such ill-health was characterised by a lack-of-health, rather than disease.</w:t>
      </w:r>
      <w:r w:rsidRPr="00F85620">
        <w:rPr>
          <w:rFonts w:cs="Times New Roman"/>
          <w:sz w:val="18"/>
          <w:szCs w:val="18"/>
        </w:rPr>
        <w:t xml:space="preserve"> </w:t>
      </w:r>
    </w:p>
  </w:footnote>
  <w:footnote w:id="5">
    <w:p w14:paraId="2BBE933B" w14:textId="00267E0C" w:rsidR="007C73C3" w:rsidRPr="00F85620" w:rsidRDefault="007C73C3">
      <w:pPr>
        <w:pStyle w:val="FootnoteText"/>
      </w:pPr>
      <w:r w:rsidRPr="00F85620">
        <w:rPr>
          <w:rStyle w:val="FootnoteReference"/>
        </w:rPr>
        <w:footnoteRef/>
      </w:r>
      <w:r w:rsidRPr="00F85620">
        <w:t xml:space="preserve"> </w:t>
      </w:r>
      <w:r w:rsidRPr="00F85620">
        <w:rPr>
          <w:rFonts w:cs="Times New Roman"/>
        </w:rPr>
        <w:t>Cyp</w:t>
      </w:r>
      <w:r w:rsidRPr="00F85620">
        <w:rPr>
          <w:rFonts w:cs="Times New Roman"/>
          <w:i/>
        </w:rPr>
        <w:t xml:space="preserve">. </w:t>
      </w:r>
      <w:r w:rsidRPr="00D2253A">
        <w:rPr>
          <w:rFonts w:cs="Times New Roman"/>
        </w:rPr>
        <w:t>Letter 28. 2.</w:t>
      </w:r>
    </w:p>
  </w:footnote>
  <w:footnote w:id="6">
    <w:p w14:paraId="211139D9" w14:textId="5DC8F866" w:rsidR="007C73C3" w:rsidRPr="00F85620" w:rsidRDefault="007C73C3">
      <w:pPr>
        <w:pStyle w:val="FootnoteText"/>
      </w:pPr>
      <w:r w:rsidRPr="00F85620">
        <w:rPr>
          <w:rStyle w:val="FootnoteReference"/>
        </w:rPr>
        <w:footnoteRef/>
      </w:r>
      <w:r w:rsidRPr="00F85620">
        <w:t xml:space="preserve"> </w:t>
      </w:r>
      <w:r w:rsidRPr="00F85620">
        <w:rPr>
          <w:rFonts w:cs="Times New Roman"/>
        </w:rPr>
        <w:t>Suet.</w:t>
      </w:r>
      <w:r w:rsidRPr="00F85620">
        <w:rPr>
          <w:rFonts w:cs="Times New Roman"/>
          <w:i/>
        </w:rPr>
        <w:t xml:space="preserve"> Lives. </w:t>
      </w:r>
      <w:r w:rsidRPr="00F85620">
        <w:rPr>
          <w:rFonts w:cs="Times New Roman"/>
        </w:rPr>
        <w:t>4.15.179</w:t>
      </w:r>
    </w:p>
  </w:footnote>
  <w:footnote w:id="7">
    <w:p w14:paraId="21B4F0FC" w14:textId="14360A4E" w:rsidR="007C73C3" w:rsidRPr="00F85620" w:rsidRDefault="007C73C3">
      <w:pPr>
        <w:pStyle w:val="FootnoteText"/>
        <w:rPr>
          <w:sz w:val="18"/>
          <w:szCs w:val="18"/>
        </w:rPr>
      </w:pPr>
      <w:r w:rsidRPr="00F85620">
        <w:rPr>
          <w:rStyle w:val="FootnoteReference"/>
        </w:rPr>
        <w:footnoteRef/>
      </w:r>
      <w:r w:rsidRPr="00F85620">
        <w:t xml:space="preserve"> </w:t>
      </w:r>
      <w:r w:rsidRPr="00F85620">
        <w:rPr>
          <w:rFonts w:cs="Times New Roman"/>
        </w:rPr>
        <w:t>Cyp</w:t>
      </w:r>
      <w:r w:rsidRPr="00F85620">
        <w:rPr>
          <w:rFonts w:cs="Times New Roman"/>
          <w:i/>
        </w:rPr>
        <w:t>. On The Death Rate.</w:t>
      </w:r>
      <w:r w:rsidRPr="00F85620">
        <w:rPr>
          <w:rFonts w:cs="Times New Roman"/>
        </w:rPr>
        <w:t xml:space="preserve"> Letter 16.</w:t>
      </w:r>
    </w:p>
  </w:footnote>
  <w:footnote w:id="8">
    <w:p w14:paraId="41D01243" w14:textId="4A66E280" w:rsidR="007C73C3" w:rsidRPr="00F85620" w:rsidRDefault="007C73C3">
      <w:pPr>
        <w:pStyle w:val="FootnoteText"/>
        <w:rPr>
          <w:rFonts w:cs="Times New Roman"/>
        </w:rPr>
      </w:pPr>
      <w:r w:rsidRPr="00F85620">
        <w:rPr>
          <w:rStyle w:val="FootnoteReference"/>
          <w:rFonts w:cs="Times New Roman"/>
        </w:rPr>
        <w:footnoteRef/>
      </w:r>
      <w:r w:rsidRPr="00F85620">
        <w:rPr>
          <w:rFonts w:cs="Times New Roman"/>
        </w:rPr>
        <w:t xml:space="preserve"> Cyp.</w:t>
      </w:r>
      <w:r w:rsidRPr="00F85620">
        <w:rPr>
          <w:rFonts w:cs="Times New Roman"/>
          <w:i/>
        </w:rPr>
        <w:t xml:space="preserve"> To Donatus.</w:t>
      </w:r>
      <w:r w:rsidRPr="00F85620">
        <w:rPr>
          <w:rFonts w:cs="Times New Roman"/>
        </w:rPr>
        <w:t xml:space="preserve"> Letter 4.</w:t>
      </w:r>
    </w:p>
  </w:footnote>
  <w:footnote w:id="9">
    <w:p w14:paraId="38401C61" w14:textId="3534803E" w:rsidR="007C73C3" w:rsidRPr="00F85620" w:rsidRDefault="007C73C3" w:rsidP="002635CA">
      <w:pPr>
        <w:pStyle w:val="FootnoteText"/>
        <w:rPr>
          <w:rFonts w:cs="Times New Roman"/>
        </w:rPr>
      </w:pPr>
      <w:r w:rsidRPr="00F85620">
        <w:rPr>
          <w:rStyle w:val="FootnoteReference"/>
          <w:rFonts w:cs="Times New Roman"/>
        </w:rPr>
        <w:footnoteRef/>
      </w:r>
      <w:r w:rsidR="00214430">
        <w:rPr>
          <w:rFonts w:cs="Times New Roman"/>
        </w:rPr>
        <w:t xml:space="preserve"> Avalos</w:t>
      </w:r>
      <w:r w:rsidRPr="00F85620">
        <w:rPr>
          <w:rFonts w:cs="Times New Roman"/>
        </w:rPr>
        <w:t xml:space="preserve"> 1997</w:t>
      </w:r>
      <w:r w:rsidR="00214430">
        <w:rPr>
          <w:rFonts w:cs="Times New Roman"/>
        </w:rPr>
        <w:t>:</w:t>
      </w:r>
      <w:r w:rsidR="00BE2940">
        <w:rPr>
          <w:rFonts w:cs="Times New Roman"/>
        </w:rPr>
        <w:t xml:space="preserve"> 64. </w:t>
      </w:r>
    </w:p>
  </w:footnote>
  <w:footnote w:id="10">
    <w:p w14:paraId="7A0A0A4C" w14:textId="0F558C4C" w:rsidR="00214430" w:rsidRDefault="00214430">
      <w:pPr>
        <w:pStyle w:val="FootnoteText"/>
      </w:pPr>
      <w:r>
        <w:rPr>
          <w:rStyle w:val="FootnoteReference"/>
        </w:rPr>
        <w:footnoteRef/>
      </w:r>
      <w:r w:rsidR="00BE2940">
        <w:t xml:space="preserve"> Pilch 1991: 1-2. </w:t>
      </w:r>
    </w:p>
  </w:footnote>
  <w:footnote w:id="11">
    <w:p w14:paraId="7D7F4146" w14:textId="12A214FC" w:rsidR="007C73C3" w:rsidRPr="00F85620" w:rsidRDefault="007C73C3">
      <w:pPr>
        <w:pStyle w:val="FootnoteText"/>
        <w:rPr>
          <w:rFonts w:cs="Times New Roman"/>
        </w:rPr>
      </w:pPr>
      <w:r w:rsidRPr="00F85620">
        <w:rPr>
          <w:rStyle w:val="FootnoteReference"/>
          <w:rFonts w:cs="Times New Roman"/>
        </w:rPr>
        <w:footnoteRef/>
      </w:r>
      <w:r w:rsidRPr="00F85620">
        <w:rPr>
          <w:rFonts w:cs="Times New Roman"/>
        </w:rPr>
        <w:t xml:space="preserve"> Cyp</w:t>
      </w:r>
      <w:r w:rsidRPr="00F85620">
        <w:rPr>
          <w:rFonts w:cs="Times New Roman"/>
          <w:i/>
        </w:rPr>
        <w:t>. To Donatus.</w:t>
      </w:r>
      <w:r w:rsidRPr="00F85620">
        <w:rPr>
          <w:rFonts w:cs="Times New Roman"/>
        </w:rPr>
        <w:t xml:space="preserve"> Letters 11-13.</w:t>
      </w:r>
    </w:p>
  </w:footnote>
  <w:footnote w:id="12">
    <w:p w14:paraId="455C83C9" w14:textId="6C1ADE24" w:rsidR="007C73C3" w:rsidRPr="00F85620" w:rsidRDefault="007C73C3">
      <w:pPr>
        <w:pStyle w:val="FootnoteText"/>
        <w:rPr>
          <w:rFonts w:cs="Times New Roman"/>
        </w:rPr>
      </w:pPr>
      <w:r w:rsidRPr="00F85620">
        <w:rPr>
          <w:rStyle w:val="FootnoteReference"/>
          <w:rFonts w:cs="Times New Roman"/>
        </w:rPr>
        <w:footnoteRef/>
      </w:r>
      <w:r w:rsidRPr="00F85620">
        <w:rPr>
          <w:rFonts w:cs="Times New Roman"/>
        </w:rPr>
        <w:t xml:space="preserve"> Zuiddam 2015: 64.</w:t>
      </w:r>
    </w:p>
  </w:footnote>
  <w:footnote w:id="13">
    <w:p w14:paraId="024FCC9E" w14:textId="33F5DCBF" w:rsidR="007C73C3" w:rsidRPr="00F85620" w:rsidRDefault="007C73C3">
      <w:pPr>
        <w:pStyle w:val="FootnoteText"/>
        <w:rPr>
          <w:rFonts w:cs="Times New Roman"/>
        </w:rPr>
      </w:pPr>
      <w:r w:rsidRPr="00F85620">
        <w:rPr>
          <w:rStyle w:val="FootnoteReference"/>
          <w:rFonts w:cs="Times New Roman"/>
        </w:rPr>
        <w:footnoteRef/>
      </w:r>
      <w:r w:rsidRPr="00F85620">
        <w:rPr>
          <w:rFonts w:cs="Times New Roman"/>
        </w:rPr>
        <w:t xml:space="preserve"> Adams 2005: 4. “</w:t>
      </w:r>
      <w:r w:rsidRPr="00F85620">
        <w:rPr>
          <w:rFonts w:cs="Times New Roman"/>
          <w:i/>
        </w:rPr>
        <w:t>Suetonius’ hostility toward Domitian, Claudius, Caligula and Nero can be seen throughout his writing and works.</w:t>
      </w:r>
      <w:r w:rsidRPr="00F85620">
        <w:rPr>
          <w:rFonts w:cs="Times New Roman"/>
        </w:rPr>
        <w:t>”</w:t>
      </w:r>
    </w:p>
  </w:footnote>
  <w:footnote w:id="14">
    <w:p w14:paraId="57B2E1E2" w14:textId="0D5AD13D" w:rsidR="007C73C3" w:rsidRPr="00F85620" w:rsidRDefault="007C73C3">
      <w:pPr>
        <w:pStyle w:val="FootnoteText"/>
        <w:rPr>
          <w:rFonts w:cs="Times New Roman"/>
        </w:rPr>
      </w:pPr>
      <w:r w:rsidRPr="00F85620">
        <w:rPr>
          <w:rStyle w:val="FootnoteReference"/>
          <w:rFonts w:cs="Times New Roman"/>
        </w:rPr>
        <w:footnoteRef/>
      </w:r>
      <w:r w:rsidRPr="00F85620">
        <w:rPr>
          <w:rFonts w:cs="Times New Roman"/>
        </w:rPr>
        <w:t xml:space="preserve"> Adams 2005: 2</w:t>
      </w:r>
      <w:r w:rsidR="00F303CE">
        <w:rPr>
          <w:rFonts w:cs="Times New Roman"/>
        </w:rPr>
        <w:t>.</w:t>
      </w:r>
    </w:p>
  </w:footnote>
  <w:footnote w:id="15">
    <w:p w14:paraId="4C708DA5" w14:textId="6DFA7D02" w:rsidR="00C9247A" w:rsidRDefault="00C9247A">
      <w:pPr>
        <w:pStyle w:val="FootnoteText"/>
      </w:pPr>
      <w:r>
        <w:rPr>
          <w:rStyle w:val="FootnoteReference"/>
        </w:rPr>
        <w:footnoteRef/>
      </w:r>
      <w:r>
        <w:t xml:space="preserve"> Bowen 1913: 163.</w:t>
      </w:r>
    </w:p>
  </w:footnote>
  <w:footnote w:id="16">
    <w:p w14:paraId="1A78A2CA" w14:textId="00B07A92" w:rsidR="00F303CE" w:rsidRDefault="00F303CE">
      <w:pPr>
        <w:pStyle w:val="FootnoteText"/>
      </w:pPr>
      <w:r>
        <w:rPr>
          <w:rStyle w:val="FootnoteReference"/>
        </w:rPr>
        <w:footnoteRef/>
      </w:r>
      <w:r>
        <w:t xml:space="preserve"> Bowen 1913: 163.</w:t>
      </w:r>
    </w:p>
  </w:footnote>
  <w:footnote w:id="17">
    <w:p w14:paraId="55277296" w14:textId="7DEE6010" w:rsidR="007C73C3" w:rsidRPr="00F85620" w:rsidRDefault="007C73C3">
      <w:pPr>
        <w:pStyle w:val="FootnoteText"/>
        <w:rPr>
          <w:rFonts w:cs="Times New Roman"/>
        </w:rPr>
      </w:pPr>
      <w:r w:rsidRPr="00F85620">
        <w:rPr>
          <w:rStyle w:val="FootnoteReference"/>
          <w:rFonts w:cs="Times New Roman"/>
        </w:rPr>
        <w:footnoteRef/>
      </w:r>
      <w:r w:rsidRPr="00F85620">
        <w:rPr>
          <w:rFonts w:cs="Times New Roman"/>
        </w:rPr>
        <w:t xml:space="preserve"> As the texts are theological, it is easy to become indoctrinated to believing that theology equals historical fact. This is not to say that early Christian theological perspectives hinder the study; just that they present an idealistic view of the religion they are written for. </w:t>
      </w:r>
    </w:p>
  </w:footnote>
  <w:footnote w:id="18">
    <w:p w14:paraId="3E6A45F6" w14:textId="4BED03CD" w:rsidR="007C73C3" w:rsidRPr="00F85620" w:rsidRDefault="007C73C3">
      <w:pPr>
        <w:pStyle w:val="FootnoteText"/>
        <w:rPr>
          <w:rFonts w:cs="Times New Roman"/>
        </w:rPr>
      </w:pPr>
      <w:r w:rsidRPr="00F85620">
        <w:rPr>
          <w:rStyle w:val="FootnoteReference"/>
          <w:rFonts w:cs="Times New Roman"/>
        </w:rPr>
        <w:footnoteRef/>
      </w:r>
      <w:r w:rsidRPr="00F85620">
        <w:rPr>
          <w:rFonts w:cs="Times New Roman"/>
        </w:rPr>
        <w:t xml:space="preserve"> The Edict of Milan is signed by Constantine in 313, legalising Christianity consequentially ending the persecution of the Christians under Constantine’s reign.</w:t>
      </w:r>
    </w:p>
  </w:footnote>
  <w:footnote w:id="19">
    <w:p w14:paraId="6418DEF6" w14:textId="4E76C8C4" w:rsidR="007C73C3" w:rsidRPr="00F85620" w:rsidRDefault="007C73C3">
      <w:pPr>
        <w:pStyle w:val="FootnoteText"/>
        <w:rPr>
          <w:rFonts w:cs="Times New Roman"/>
        </w:rPr>
      </w:pPr>
      <w:r w:rsidRPr="00F85620">
        <w:rPr>
          <w:rStyle w:val="FootnoteReference"/>
          <w:rFonts w:cs="Times New Roman"/>
        </w:rPr>
        <w:footnoteRef/>
      </w:r>
      <w:r w:rsidRPr="00F85620">
        <w:rPr>
          <w:rFonts w:cs="Times New Roman"/>
        </w:rPr>
        <w:t xml:space="preserve"> Ferngren (2009, 2014), Avalos (1997), Pilch (200). </w:t>
      </w:r>
    </w:p>
  </w:footnote>
  <w:footnote w:id="20">
    <w:p w14:paraId="52BEB369" w14:textId="71E2B046" w:rsidR="007C73C3" w:rsidRPr="00F85620" w:rsidRDefault="007C73C3">
      <w:pPr>
        <w:pStyle w:val="FootnoteText"/>
        <w:rPr>
          <w:rFonts w:cs="Times New Roman"/>
        </w:rPr>
      </w:pPr>
      <w:r w:rsidRPr="00F85620">
        <w:rPr>
          <w:rStyle w:val="FootnoteReference"/>
          <w:rFonts w:cs="Times New Roman"/>
        </w:rPr>
        <w:footnoteRef/>
      </w:r>
      <w:r w:rsidRPr="00F85620">
        <w:rPr>
          <w:rFonts w:cs="Times New Roman"/>
        </w:rPr>
        <w:t xml:space="preserve"> Pilch 2000: 76</w:t>
      </w:r>
    </w:p>
  </w:footnote>
  <w:footnote w:id="21">
    <w:p w14:paraId="2A852BD1" w14:textId="716F82E4" w:rsidR="007C73C3" w:rsidRPr="00F85620" w:rsidRDefault="007C73C3">
      <w:pPr>
        <w:pStyle w:val="FootnoteText"/>
        <w:rPr>
          <w:rFonts w:cs="Times New Roman"/>
        </w:rPr>
      </w:pPr>
      <w:r w:rsidRPr="00F85620">
        <w:rPr>
          <w:rStyle w:val="FootnoteReference"/>
          <w:rFonts w:cs="Times New Roman"/>
        </w:rPr>
        <w:footnoteRef/>
      </w:r>
      <w:r w:rsidRPr="00F85620">
        <w:rPr>
          <w:rFonts w:cs="Times New Roman"/>
        </w:rPr>
        <w:t xml:space="preserve"> Privatised physicians, or family physicians, as shown by Galen himself, who was personal Physician to the Emperor Marcus Aurelius. </w:t>
      </w:r>
    </w:p>
  </w:footnote>
  <w:footnote w:id="22">
    <w:p w14:paraId="54572B10" w14:textId="3585EA58" w:rsidR="007C73C3" w:rsidRPr="00F85620" w:rsidRDefault="007C73C3">
      <w:pPr>
        <w:pStyle w:val="FootnoteText"/>
        <w:rPr>
          <w:rFonts w:cs="Times New Roman"/>
        </w:rPr>
      </w:pPr>
      <w:r w:rsidRPr="00F85620">
        <w:rPr>
          <w:rStyle w:val="FootnoteReference"/>
          <w:rFonts w:cs="Times New Roman"/>
        </w:rPr>
        <w:footnoteRef/>
      </w:r>
      <w:r w:rsidRPr="00F85620">
        <w:rPr>
          <w:rFonts w:cs="Times New Roman"/>
        </w:rPr>
        <w:t xml:space="preserve"> Pilch 2000: 76</w:t>
      </w:r>
    </w:p>
  </w:footnote>
  <w:footnote w:id="23">
    <w:p w14:paraId="3C70375F" w14:textId="2FD9C958" w:rsidR="007C73C3" w:rsidRPr="00F85620" w:rsidRDefault="007C73C3">
      <w:pPr>
        <w:pStyle w:val="FootnoteText"/>
        <w:rPr>
          <w:rFonts w:cs="Times New Roman"/>
        </w:rPr>
      </w:pPr>
      <w:r w:rsidRPr="00F85620">
        <w:rPr>
          <w:rStyle w:val="FootnoteReference"/>
          <w:rFonts w:cs="Times New Roman"/>
        </w:rPr>
        <w:footnoteRef/>
      </w:r>
      <w:r w:rsidRPr="00F85620">
        <w:rPr>
          <w:rFonts w:cs="Times New Roman"/>
        </w:rPr>
        <w:t xml:space="preserve"> Pilch 2000: 76</w:t>
      </w:r>
    </w:p>
  </w:footnote>
  <w:footnote w:id="24">
    <w:p w14:paraId="38058097" w14:textId="6A7B219C" w:rsidR="007C73C3" w:rsidRPr="00F85620" w:rsidRDefault="007C73C3">
      <w:pPr>
        <w:pStyle w:val="FootnoteText"/>
        <w:rPr>
          <w:rFonts w:cs="Times New Roman"/>
        </w:rPr>
      </w:pPr>
      <w:r w:rsidRPr="00F85620">
        <w:rPr>
          <w:rStyle w:val="FootnoteReference"/>
          <w:rFonts w:cs="Times New Roman"/>
        </w:rPr>
        <w:footnoteRef/>
      </w:r>
      <w:r w:rsidRPr="00F85620">
        <w:rPr>
          <w:rFonts w:cs="Times New Roman"/>
        </w:rPr>
        <w:t xml:space="preserve"> This is problematic though as this ideology often relies on divine causation, and so the external agents can be considered supernatural rather than a primitive understanding of pathology. </w:t>
      </w:r>
    </w:p>
  </w:footnote>
  <w:footnote w:id="25">
    <w:p w14:paraId="729A2F40" w14:textId="67F4BD1F" w:rsidR="007C73C3" w:rsidRPr="00F85620" w:rsidRDefault="007C73C3">
      <w:pPr>
        <w:pStyle w:val="FootnoteText"/>
        <w:rPr>
          <w:rFonts w:cs="Times New Roman"/>
        </w:rPr>
      </w:pPr>
      <w:r w:rsidRPr="00F85620">
        <w:rPr>
          <w:rStyle w:val="FootnoteReference"/>
          <w:rFonts w:cs="Times New Roman"/>
        </w:rPr>
        <w:footnoteRef/>
      </w:r>
      <w:r w:rsidRPr="00F85620">
        <w:rPr>
          <w:rFonts w:cs="Times New Roman"/>
        </w:rPr>
        <w:t xml:space="preserve"> Porterfield 2005: 56. </w:t>
      </w:r>
    </w:p>
  </w:footnote>
  <w:footnote w:id="26">
    <w:p w14:paraId="4AFCC98B" w14:textId="2AE68F5A" w:rsidR="007C73C3" w:rsidRPr="00F85620" w:rsidRDefault="007C73C3">
      <w:pPr>
        <w:pStyle w:val="FootnoteText"/>
        <w:rPr>
          <w:rFonts w:cs="Times New Roman"/>
        </w:rPr>
      </w:pPr>
      <w:r w:rsidRPr="00F85620">
        <w:rPr>
          <w:rStyle w:val="FootnoteReference"/>
          <w:rFonts w:cs="Times New Roman"/>
        </w:rPr>
        <w:footnoteRef/>
      </w:r>
      <w:r w:rsidRPr="00F85620">
        <w:rPr>
          <w:rFonts w:cs="Times New Roman"/>
        </w:rPr>
        <w:t xml:space="preserve"> Hipp.</w:t>
      </w:r>
      <w:r w:rsidRPr="00F85620">
        <w:rPr>
          <w:rFonts w:cs="Times New Roman"/>
          <w:i/>
        </w:rPr>
        <w:t xml:space="preserve"> Airs.</w:t>
      </w:r>
      <w:r w:rsidRPr="00F85620">
        <w:rPr>
          <w:rFonts w:cs="Times New Roman"/>
        </w:rPr>
        <w:t xml:space="preserve"> 1.4.10</w:t>
      </w:r>
    </w:p>
  </w:footnote>
  <w:footnote w:id="27">
    <w:p w14:paraId="5A6114C9" w14:textId="258F0811" w:rsidR="007C73C3" w:rsidRPr="00F85620" w:rsidRDefault="007C73C3">
      <w:pPr>
        <w:pStyle w:val="FootnoteText"/>
        <w:rPr>
          <w:rFonts w:cs="Times New Roman"/>
        </w:rPr>
      </w:pPr>
      <w:r w:rsidRPr="00F85620">
        <w:rPr>
          <w:rStyle w:val="FootnoteReference"/>
          <w:rFonts w:cs="Times New Roman"/>
        </w:rPr>
        <w:footnoteRef/>
      </w:r>
      <w:r w:rsidRPr="00F85620">
        <w:rPr>
          <w:rFonts w:cs="Times New Roman"/>
        </w:rPr>
        <w:t xml:space="preserve"> Pilch: 2000: 76</w:t>
      </w:r>
      <w:r w:rsidR="00F21193">
        <w:rPr>
          <w:rFonts w:cs="Times New Roman"/>
        </w:rPr>
        <w:t>.</w:t>
      </w:r>
    </w:p>
  </w:footnote>
  <w:footnote w:id="28">
    <w:p w14:paraId="02D16770" w14:textId="528F19A9" w:rsidR="007C73C3" w:rsidRPr="00F85620" w:rsidRDefault="007C73C3">
      <w:pPr>
        <w:pStyle w:val="FootnoteText"/>
        <w:rPr>
          <w:rFonts w:cs="Times New Roman"/>
        </w:rPr>
      </w:pPr>
      <w:r w:rsidRPr="00F85620">
        <w:rPr>
          <w:rStyle w:val="FootnoteReference"/>
          <w:rFonts w:cs="Times New Roman"/>
        </w:rPr>
        <w:footnoteRef/>
      </w:r>
      <w:r w:rsidRPr="00F85620">
        <w:rPr>
          <w:rFonts w:cs="Times New Roman"/>
        </w:rPr>
        <w:t xml:space="preserve"> Hippocrates attests to the effect of environment external to the body throughout </w:t>
      </w:r>
      <w:r w:rsidRPr="00F85620">
        <w:rPr>
          <w:rFonts w:cs="Times New Roman"/>
          <w:i/>
        </w:rPr>
        <w:t>Airs, Waters, and Places.</w:t>
      </w:r>
      <w:r w:rsidRPr="00F85620">
        <w:rPr>
          <w:rFonts w:cs="Times New Roman"/>
        </w:rPr>
        <w:t xml:space="preserve"> Gal. </w:t>
      </w:r>
      <w:r w:rsidRPr="00F85620">
        <w:rPr>
          <w:rFonts w:cs="Times New Roman"/>
          <w:i/>
        </w:rPr>
        <w:t xml:space="preserve">Art of Med. </w:t>
      </w:r>
      <w:r w:rsidRPr="00F85620">
        <w:rPr>
          <w:rFonts w:cs="Times New Roman"/>
        </w:rPr>
        <w:t>19. In this passage, Galen is discussing what must be done to cure disease that has not originated from outside the body, acknowledging that some diseases are caused from sources external to the body.</w:t>
      </w:r>
    </w:p>
  </w:footnote>
  <w:footnote w:id="29">
    <w:p w14:paraId="7D0340F4" w14:textId="3B682B93" w:rsidR="007C73C3" w:rsidRPr="00F85620" w:rsidRDefault="007C73C3">
      <w:pPr>
        <w:pStyle w:val="FootnoteText"/>
        <w:rPr>
          <w:rFonts w:cs="Times New Roman"/>
        </w:rPr>
      </w:pPr>
      <w:r w:rsidRPr="00F85620">
        <w:rPr>
          <w:rStyle w:val="FootnoteReference"/>
          <w:rFonts w:cs="Times New Roman"/>
        </w:rPr>
        <w:footnoteRef/>
      </w:r>
      <w:r w:rsidRPr="00F85620">
        <w:rPr>
          <w:rFonts w:cs="Times New Roman"/>
        </w:rPr>
        <w:t xml:space="preserve"> Cyp. </w:t>
      </w:r>
      <w:r w:rsidRPr="00F85620">
        <w:rPr>
          <w:rFonts w:cs="Times New Roman"/>
          <w:i/>
        </w:rPr>
        <w:t xml:space="preserve">On Works and Alms. </w:t>
      </w:r>
      <w:r w:rsidRPr="00F85620">
        <w:rPr>
          <w:rFonts w:cs="Times New Roman"/>
        </w:rPr>
        <w:t>Letter 4.</w:t>
      </w:r>
    </w:p>
  </w:footnote>
  <w:footnote w:id="30">
    <w:p w14:paraId="4D694C83" w14:textId="18673736" w:rsidR="007C73C3" w:rsidRPr="00F85620" w:rsidRDefault="007C73C3">
      <w:pPr>
        <w:pStyle w:val="FootnoteText"/>
        <w:rPr>
          <w:rFonts w:cs="Times New Roman"/>
        </w:rPr>
      </w:pPr>
      <w:r w:rsidRPr="00F85620">
        <w:rPr>
          <w:rStyle w:val="FootnoteReference"/>
          <w:rFonts w:cs="Times New Roman"/>
        </w:rPr>
        <w:footnoteRef/>
      </w:r>
      <w:r w:rsidRPr="00F85620">
        <w:rPr>
          <w:rFonts w:cs="Times New Roman"/>
        </w:rPr>
        <w:t xml:space="preserve"> Temples offered complex rituals for those suffering from disease, but these were not free or cheap; and so even the simplest option of praying became out of reach for the poorest members of society. </w:t>
      </w:r>
      <w:r w:rsidR="00F21193">
        <w:rPr>
          <w:rFonts w:cs="Times New Roman"/>
        </w:rPr>
        <w:t xml:space="preserve">They were also often time costly. Avalos 1997: 7. </w:t>
      </w:r>
    </w:p>
  </w:footnote>
  <w:footnote w:id="31">
    <w:p w14:paraId="0ADAB27E" w14:textId="39BFF71A" w:rsidR="00DF2721" w:rsidRDefault="00DF2721">
      <w:pPr>
        <w:pStyle w:val="FootnoteText"/>
      </w:pPr>
      <w:r>
        <w:rPr>
          <w:rStyle w:val="FootnoteReference"/>
        </w:rPr>
        <w:footnoteRef/>
      </w:r>
      <w:r>
        <w:t xml:space="preserve"> </w:t>
      </w:r>
      <w:r w:rsidRPr="00DF2721">
        <w:t xml:space="preserve">Cyp. </w:t>
      </w:r>
      <w:r w:rsidRPr="00DF2721">
        <w:rPr>
          <w:i/>
        </w:rPr>
        <w:t>On Works and Alms.</w:t>
      </w:r>
      <w:r w:rsidRPr="00DF2721">
        <w:t xml:space="preserve"> Letter 4.</w:t>
      </w:r>
    </w:p>
  </w:footnote>
  <w:footnote w:id="32">
    <w:p w14:paraId="5C3AE3D2" w14:textId="00B72F76" w:rsidR="007C73C3" w:rsidRPr="00F85620" w:rsidRDefault="007C73C3">
      <w:pPr>
        <w:pStyle w:val="FootnoteText"/>
        <w:rPr>
          <w:rFonts w:cs="Times New Roman"/>
        </w:rPr>
      </w:pPr>
      <w:r w:rsidRPr="00F85620">
        <w:rPr>
          <w:rStyle w:val="FootnoteReference"/>
          <w:rFonts w:cs="Times New Roman"/>
        </w:rPr>
        <w:footnoteRef/>
      </w:r>
      <w:r w:rsidRPr="00F85620">
        <w:rPr>
          <w:rFonts w:cs="Times New Roman"/>
        </w:rPr>
        <w:t xml:space="preserve"> Similarly, this includes natural disasters and war, as both cause injury and, to a certain extent, outbreaks of disease. </w:t>
      </w:r>
    </w:p>
  </w:footnote>
  <w:footnote w:id="33">
    <w:p w14:paraId="59D79345" w14:textId="738A8EA3" w:rsidR="007C73C3" w:rsidRPr="00F85620" w:rsidRDefault="007C73C3">
      <w:pPr>
        <w:pStyle w:val="FootnoteText"/>
        <w:rPr>
          <w:rFonts w:cs="Times New Roman"/>
        </w:rPr>
      </w:pPr>
      <w:r w:rsidRPr="00F85620">
        <w:rPr>
          <w:rStyle w:val="FootnoteReference"/>
          <w:rFonts w:cs="Times New Roman"/>
        </w:rPr>
        <w:footnoteRef/>
      </w:r>
      <w:r w:rsidRPr="00F85620">
        <w:rPr>
          <w:rFonts w:cs="Times New Roman"/>
        </w:rPr>
        <w:t xml:space="preserve"> Brown 2007: 60</w:t>
      </w:r>
      <w:r w:rsidR="00F21193">
        <w:rPr>
          <w:rFonts w:cs="Times New Roman"/>
        </w:rPr>
        <w:t>.</w:t>
      </w:r>
    </w:p>
  </w:footnote>
  <w:footnote w:id="34">
    <w:p w14:paraId="2A71D995" w14:textId="57DDC819" w:rsidR="007C73C3" w:rsidRPr="00F85620" w:rsidRDefault="007C73C3">
      <w:pPr>
        <w:pStyle w:val="FootnoteText"/>
        <w:rPr>
          <w:rFonts w:cs="Times New Roman"/>
        </w:rPr>
      </w:pPr>
      <w:r w:rsidRPr="00F85620">
        <w:rPr>
          <w:rStyle w:val="FootnoteReference"/>
          <w:rFonts w:cs="Times New Roman"/>
        </w:rPr>
        <w:footnoteRef/>
      </w:r>
      <w:r w:rsidRPr="00F85620">
        <w:rPr>
          <w:rFonts w:cs="Times New Roman"/>
        </w:rPr>
        <w:t xml:space="preserve"> Whether infected by a mass outbreak of disease, or suffering from a common cold, the individual’s health was a private matter as previously discussed in section 1.1. </w:t>
      </w:r>
    </w:p>
  </w:footnote>
  <w:footnote w:id="35">
    <w:p w14:paraId="4CC1AAD4" w14:textId="4C5C52FA" w:rsidR="007C73C3" w:rsidRPr="00F85620" w:rsidRDefault="007C73C3">
      <w:pPr>
        <w:pStyle w:val="FootnoteText"/>
        <w:rPr>
          <w:rFonts w:cs="Times New Roman"/>
        </w:rPr>
      </w:pPr>
      <w:r w:rsidRPr="00F85620">
        <w:rPr>
          <w:rStyle w:val="FootnoteReference"/>
          <w:rFonts w:cs="Times New Roman"/>
        </w:rPr>
        <w:footnoteRef/>
      </w:r>
      <w:r w:rsidRPr="00F85620">
        <w:rPr>
          <w:rFonts w:cs="Times New Roman"/>
        </w:rPr>
        <w:t xml:space="preserve"> Suet. </w:t>
      </w:r>
      <w:r w:rsidRPr="00F85620">
        <w:rPr>
          <w:rFonts w:cs="Times New Roman"/>
          <w:i/>
        </w:rPr>
        <w:t xml:space="preserve">Lives. </w:t>
      </w:r>
      <w:r w:rsidRPr="00F85620">
        <w:rPr>
          <w:rFonts w:cs="Times New Roman"/>
        </w:rPr>
        <w:t>4.15.179.</w:t>
      </w:r>
    </w:p>
  </w:footnote>
  <w:footnote w:id="36">
    <w:p w14:paraId="17DF7471" w14:textId="26E222C3" w:rsidR="007C73C3" w:rsidRPr="00F85620" w:rsidRDefault="007C73C3">
      <w:pPr>
        <w:pStyle w:val="FootnoteText"/>
        <w:rPr>
          <w:rFonts w:cs="Times New Roman"/>
        </w:rPr>
      </w:pPr>
      <w:r w:rsidRPr="00F85620">
        <w:rPr>
          <w:rStyle w:val="FootnoteReference"/>
          <w:rFonts w:cs="Times New Roman"/>
        </w:rPr>
        <w:footnoteRef/>
      </w:r>
      <w:r w:rsidRPr="00F85620">
        <w:rPr>
          <w:rFonts w:cs="Times New Roman"/>
        </w:rPr>
        <w:t xml:space="preserve"> </w:t>
      </w:r>
      <w:r w:rsidRPr="00F85620">
        <w:rPr>
          <w:rFonts w:cs="Times New Roman"/>
          <w:i/>
        </w:rPr>
        <w:t>S</w:t>
      </w:r>
      <w:r w:rsidRPr="00F85620">
        <w:rPr>
          <w:rFonts w:cs="Times New Roman"/>
        </w:rPr>
        <w:t>uet</w:t>
      </w:r>
      <w:r w:rsidRPr="00F85620">
        <w:rPr>
          <w:rFonts w:cs="Times New Roman"/>
          <w:i/>
        </w:rPr>
        <w:t xml:space="preserve">. Lives. </w:t>
      </w:r>
      <w:r w:rsidRPr="00F85620">
        <w:rPr>
          <w:rFonts w:cs="Times New Roman"/>
        </w:rPr>
        <w:t>4.38.195.</w:t>
      </w:r>
    </w:p>
  </w:footnote>
  <w:footnote w:id="37">
    <w:p w14:paraId="6A3D41C6" w14:textId="3D281D8E" w:rsidR="007C73C3" w:rsidRPr="00F85620" w:rsidRDefault="007C73C3">
      <w:pPr>
        <w:pStyle w:val="FootnoteText"/>
        <w:rPr>
          <w:rFonts w:cs="Times New Roman"/>
        </w:rPr>
      </w:pPr>
      <w:r w:rsidRPr="00F85620">
        <w:rPr>
          <w:rStyle w:val="FootnoteReference"/>
          <w:rFonts w:cs="Times New Roman"/>
        </w:rPr>
        <w:footnoteRef/>
      </w:r>
      <w:r w:rsidRPr="00F85620">
        <w:rPr>
          <w:rFonts w:cs="Times New Roman"/>
        </w:rPr>
        <w:t xml:space="preserve"> Suet.</w:t>
      </w:r>
      <w:r w:rsidRPr="00F85620">
        <w:rPr>
          <w:rFonts w:cs="Times New Roman"/>
          <w:i/>
        </w:rPr>
        <w:t xml:space="preserve"> Lives. </w:t>
      </w:r>
      <w:r w:rsidRPr="00F85620">
        <w:rPr>
          <w:rFonts w:cs="Times New Roman"/>
        </w:rPr>
        <w:t>4.6.175.</w:t>
      </w:r>
    </w:p>
  </w:footnote>
  <w:footnote w:id="38">
    <w:p w14:paraId="01AB54BC" w14:textId="4445FC1F" w:rsidR="007C73C3" w:rsidRPr="00F85620" w:rsidRDefault="007C73C3" w:rsidP="002F1E2C">
      <w:pPr>
        <w:pStyle w:val="FootnoteText"/>
        <w:rPr>
          <w:rFonts w:cs="Times New Roman"/>
        </w:rPr>
      </w:pPr>
      <w:r w:rsidRPr="00F85620">
        <w:rPr>
          <w:rStyle w:val="FootnoteReference"/>
          <w:rFonts w:cs="Times New Roman"/>
        </w:rPr>
        <w:footnoteRef/>
      </w:r>
      <w:r w:rsidRPr="00F85620">
        <w:rPr>
          <w:rFonts w:cs="Times New Roman"/>
        </w:rPr>
        <w:t xml:space="preserve"> Tac.</w:t>
      </w:r>
      <w:r w:rsidRPr="00F85620">
        <w:rPr>
          <w:rFonts w:cs="Times New Roman"/>
          <w:i/>
        </w:rPr>
        <w:t xml:space="preserve"> Annals. </w:t>
      </w:r>
      <w:r w:rsidRPr="00F85620">
        <w:rPr>
          <w:rFonts w:cs="Times New Roman"/>
        </w:rPr>
        <w:t xml:space="preserve">12.42.262. </w:t>
      </w:r>
      <w:r w:rsidRPr="00F85620">
        <w:rPr>
          <w:rFonts w:cs="Times New Roman"/>
          <w:i/>
        </w:rPr>
        <w:t>Eus. Ecc. His.</w:t>
      </w:r>
      <w:r w:rsidRPr="00F85620">
        <w:rPr>
          <w:rFonts w:cs="Times New Roman"/>
        </w:rPr>
        <w:t xml:space="preserve"> 2.8. </w:t>
      </w:r>
      <w:r w:rsidRPr="00F85620">
        <w:rPr>
          <w:rFonts w:cs="Times New Roman"/>
          <w:i/>
        </w:rPr>
        <w:t>Cas. Dio</w:t>
      </w:r>
      <w:r w:rsidRPr="00F85620">
        <w:rPr>
          <w:rFonts w:cs="Times New Roman"/>
        </w:rPr>
        <w:t>. 60.11</w:t>
      </w:r>
    </w:p>
  </w:footnote>
  <w:footnote w:id="39">
    <w:p w14:paraId="1BC9F5AC" w14:textId="08A766B7" w:rsidR="007C73C3" w:rsidRPr="00F85620" w:rsidRDefault="007C73C3">
      <w:pPr>
        <w:pStyle w:val="FootnoteText"/>
        <w:rPr>
          <w:rFonts w:cs="Times New Roman"/>
        </w:rPr>
      </w:pPr>
      <w:r w:rsidRPr="00F85620">
        <w:rPr>
          <w:rStyle w:val="FootnoteReference"/>
          <w:rFonts w:cs="Times New Roman"/>
        </w:rPr>
        <w:footnoteRef/>
      </w:r>
      <w:r w:rsidRPr="00F85620">
        <w:rPr>
          <w:rFonts w:cs="Times New Roman"/>
        </w:rPr>
        <w:t xml:space="preserve"> Suet.</w:t>
      </w:r>
      <w:r w:rsidRPr="00F85620">
        <w:rPr>
          <w:rFonts w:cs="Times New Roman"/>
          <w:i/>
        </w:rPr>
        <w:t xml:space="preserve"> Lives.</w:t>
      </w:r>
      <w:r w:rsidRPr="00F85620">
        <w:rPr>
          <w:rFonts w:cs="Times New Roman"/>
        </w:rPr>
        <w:t xml:space="preserve"> 5.20.222. </w:t>
      </w:r>
    </w:p>
  </w:footnote>
  <w:footnote w:id="40">
    <w:p w14:paraId="03BDD18A" w14:textId="4B4449D8" w:rsidR="007C73C3" w:rsidRPr="00F85620" w:rsidRDefault="007C73C3">
      <w:pPr>
        <w:pStyle w:val="FootnoteText"/>
        <w:rPr>
          <w:rFonts w:cs="Times New Roman"/>
        </w:rPr>
      </w:pPr>
      <w:r w:rsidRPr="00F85620">
        <w:rPr>
          <w:rStyle w:val="FootnoteReference"/>
          <w:rFonts w:cs="Times New Roman"/>
        </w:rPr>
        <w:footnoteRef/>
      </w:r>
      <w:r w:rsidRPr="00F85620">
        <w:rPr>
          <w:rFonts w:cs="Times New Roman"/>
        </w:rPr>
        <w:t xml:space="preserve"> Tac.</w:t>
      </w:r>
      <w:r w:rsidRPr="00F85620">
        <w:rPr>
          <w:rFonts w:cs="Times New Roman"/>
          <w:i/>
        </w:rPr>
        <w:t xml:space="preserve"> Annals</w:t>
      </w:r>
      <w:r w:rsidRPr="00F85620">
        <w:rPr>
          <w:rFonts w:cs="Times New Roman"/>
        </w:rPr>
        <w:t>. 12.31.257.</w:t>
      </w:r>
    </w:p>
  </w:footnote>
  <w:footnote w:id="41">
    <w:p w14:paraId="367A4E11" w14:textId="316FBDEB" w:rsidR="007C73C3" w:rsidRPr="00F85620" w:rsidRDefault="007C73C3">
      <w:pPr>
        <w:pStyle w:val="FootnoteText"/>
        <w:rPr>
          <w:rFonts w:cs="Times New Roman"/>
        </w:rPr>
      </w:pPr>
      <w:r w:rsidRPr="00F85620">
        <w:rPr>
          <w:rStyle w:val="FootnoteReference"/>
          <w:rFonts w:cs="Times New Roman"/>
        </w:rPr>
        <w:footnoteRef/>
      </w:r>
      <w:r w:rsidRPr="00F85620">
        <w:rPr>
          <w:rFonts w:cs="Times New Roman"/>
        </w:rPr>
        <w:t xml:space="preserve"> Acts. 14:1-11.</w:t>
      </w:r>
    </w:p>
  </w:footnote>
  <w:footnote w:id="42">
    <w:p w14:paraId="16556475" w14:textId="2769403F" w:rsidR="007C73C3" w:rsidRPr="00F85620" w:rsidRDefault="007C73C3">
      <w:pPr>
        <w:pStyle w:val="FootnoteText"/>
        <w:rPr>
          <w:rFonts w:cs="Times New Roman"/>
        </w:rPr>
      </w:pPr>
      <w:r w:rsidRPr="00F85620">
        <w:rPr>
          <w:rStyle w:val="FootnoteReference"/>
          <w:rFonts w:cs="Times New Roman"/>
        </w:rPr>
        <w:footnoteRef/>
      </w:r>
      <w:r w:rsidRPr="00F85620">
        <w:rPr>
          <w:rFonts w:cs="Times New Roman"/>
        </w:rPr>
        <w:t xml:space="preserve"> Stark 1996: 215.</w:t>
      </w:r>
    </w:p>
  </w:footnote>
  <w:footnote w:id="43">
    <w:p w14:paraId="6DF9D672" w14:textId="2F0B1BBE" w:rsidR="007C73C3" w:rsidRPr="00F85620" w:rsidRDefault="007C73C3">
      <w:pPr>
        <w:pStyle w:val="FootnoteText"/>
        <w:rPr>
          <w:rFonts w:cs="Times New Roman"/>
        </w:rPr>
      </w:pPr>
      <w:r w:rsidRPr="00F85620">
        <w:rPr>
          <w:rStyle w:val="FootnoteReference"/>
          <w:rFonts w:cs="Times New Roman"/>
        </w:rPr>
        <w:footnoteRef/>
      </w:r>
      <w:r w:rsidRPr="00F85620">
        <w:rPr>
          <w:rFonts w:cs="Times New Roman"/>
        </w:rPr>
        <w:t xml:space="preserve"> Porterfield 2005: 54.</w:t>
      </w:r>
    </w:p>
  </w:footnote>
  <w:footnote w:id="44">
    <w:p w14:paraId="0FEE8881" w14:textId="46A8CBD4" w:rsidR="007C73C3" w:rsidRPr="00F85620" w:rsidRDefault="007C73C3">
      <w:pPr>
        <w:pStyle w:val="FootnoteText"/>
        <w:rPr>
          <w:rFonts w:cs="Times New Roman"/>
        </w:rPr>
      </w:pPr>
      <w:r w:rsidRPr="00F85620">
        <w:rPr>
          <w:rStyle w:val="FootnoteReference"/>
          <w:rFonts w:cs="Times New Roman"/>
        </w:rPr>
        <w:footnoteRef/>
      </w:r>
      <w:r w:rsidRPr="00F85620">
        <w:rPr>
          <w:rFonts w:cs="Times New Roman"/>
        </w:rPr>
        <w:t xml:space="preserve"> Ferngren, 2009: 67. Ferngren discusses the vital role healing played in the New Testament. </w:t>
      </w:r>
    </w:p>
  </w:footnote>
  <w:footnote w:id="45">
    <w:p w14:paraId="02AC3E68" w14:textId="090D9872" w:rsidR="0098206F" w:rsidRDefault="0098206F">
      <w:pPr>
        <w:pStyle w:val="FootnoteText"/>
      </w:pPr>
      <w:r>
        <w:rPr>
          <w:rStyle w:val="FootnoteReference"/>
        </w:rPr>
        <w:footnoteRef/>
      </w:r>
      <w:r>
        <w:t xml:space="preserve"> Brown 2005: 65. Discusses how the expansion of early Christianity was impressive as it was unexpected.</w:t>
      </w:r>
    </w:p>
  </w:footnote>
  <w:footnote w:id="46">
    <w:p w14:paraId="7FDFA786" w14:textId="36F0959F" w:rsidR="007C73C3" w:rsidRPr="00F85620" w:rsidRDefault="007C73C3">
      <w:pPr>
        <w:pStyle w:val="FootnoteText"/>
        <w:rPr>
          <w:rFonts w:cs="Times New Roman"/>
        </w:rPr>
      </w:pPr>
      <w:r w:rsidRPr="00F85620">
        <w:rPr>
          <w:rStyle w:val="FootnoteReference"/>
          <w:rFonts w:cs="Times New Roman"/>
        </w:rPr>
        <w:footnoteRef/>
      </w:r>
      <w:r w:rsidRPr="00F85620">
        <w:rPr>
          <w:rFonts w:cs="Times New Roman"/>
        </w:rPr>
        <w:t xml:space="preserve"> Brown 2005: 67.</w:t>
      </w:r>
    </w:p>
  </w:footnote>
  <w:footnote w:id="47">
    <w:p w14:paraId="6DBB13A0" w14:textId="3A8A3C6F" w:rsidR="007C73C3" w:rsidRPr="00F85620" w:rsidRDefault="007C73C3">
      <w:pPr>
        <w:pStyle w:val="FootnoteText"/>
        <w:rPr>
          <w:rFonts w:cs="Times New Roman"/>
          <w:i/>
        </w:rPr>
      </w:pPr>
      <w:r w:rsidRPr="00F85620">
        <w:rPr>
          <w:rStyle w:val="FootnoteReference"/>
          <w:rFonts w:cs="Times New Roman"/>
        </w:rPr>
        <w:footnoteRef/>
      </w:r>
      <w:r w:rsidRPr="00F85620">
        <w:rPr>
          <w:rFonts w:cs="Times New Roman"/>
        </w:rPr>
        <w:t xml:space="preserve"> Greg.</w:t>
      </w:r>
      <w:r w:rsidRPr="00F85620">
        <w:rPr>
          <w:rFonts w:cs="Times New Roman"/>
          <w:i/>
        </w:rPr>
        <w:t xml:space="preserve"> </w:t>
      </w:r>
      <w:r w:rsidRPr="00F85620">
        <w:rPr>
          <w:rFonts w:cs="Times New Roman"/>
        </w:rPr>
        <w:t>Naz</w:t>
      </w:r>
      <w:r w:rsidRPr="00F85620">
        <w:rPr>
          <w:rFonts w:cs="Times New Roman"/>
          <w:i/>
        </w:rPr>
        <w:t xml:space="preserve">. Love of Poor. 4. </w:t>
      </w:r>
    </w:p>
    <w:p w14:paraId="4E3E01C9" w14:textId="4F34B2A1" w:rsidR="007C73C3" w:rsidRPr="00F85620" w:rsidRDefault="007C73C3">
      <w:pPr>
        <w:pStyle w:val="FootnoteText"/>
        <w:rPr>
          <w:rFonts w:cs="Times New Roman"/>
          <w:i/>
        </w:rPr>
      </w:pPr>
      <w:r w:rsidRPr="00F85620">
        <w:rPr>
          <w:rFonts w:cs="Times New Roman"/>
          <w:i/>
        </w:rPr>
        <w:t xml:space="preserve">    </w:t>
      </w:r>
      <w:r w:rsidRPr="00F85620">
        <w:rPr>
          <w:rFonts w:cs="Times New Roman"/>
        </w:rPr>
        <w:t>Cyp</w:t>
      </w:r>
      <w:r w:rsidRPr="00F85620">
        <w:rPr>
          <w:rFonts w:cs="Times New Roman"/>
          <w:i/>
        </w:rPr>
        <w:t xml:space="preserve">. On Works and Alms. 23-24. </w:t>
      </w:r>
    </w:p>
    <w:p w14:paraId="1B52ABC2" w14:textId="7E849E40" w:rsidR="007C73C3" w:rsidRPr="00F85620" w:rsidRDefault="007C73C3">
      <w:pPr>
        <w:pStyle w:val="FootnoteText"/>
        <w:rPr>
          <w:rFonts w:cs="Times New Roman"/>
          <w:i/>
        </w:rPr>
      </w:pPr>
      <w:r w:rsidRPr="00F85620">
        <w:rPr>
          <w:rFonts w:cs="Times New Roman"/>
          <w:i/>
        </w:rPr>
        <w:t xml:space="preserve">    </w:t>
      </w:r>
      <w:r w:rsidRPr="00F85620">
        <w:rPr>
          <w:rFonts w:cs="Times New Roman"/>
        </w:rPr>
        <w:t>Greg</w:t>
      </w:r>
      <w:r w:rsidRPr="00F85620">
        <w:rPr>
          <w:rFonts w:cs="Times New Roman"/>
          <w:i/>
        </w:rPr>
        <w:t>. Nys. Love of Poor. 477.</w:t>
      </w:r>
    </w:p>
  </w:footnote>
  <w:footnote w:id="48">
    <w:p w14:paraId="77A68065" w14:textId="5767BE2B" w:rsidR="00332B65" w:rsidRDefault="00332B65">
      <w:pPr>
        <w:pStyle w:val="FootnoteText"/>
      </w:pPr>
      <w:r>
        <w:rPr>
          <w:rStyle w:val="FootnoteReference"/>
        </w:rPr>
        <w:footnoteRef/>
      </w:r>
      <w:r>
        <w:t xml:space="preserve"> Brown 2005: 65-67.</w:t>
      </w:r>
    </w:p>
  </w:footnote>
  <w:footnote w:id="49">
    <w:p w14:paraId="4C450A2C" w14:textId="125FFB05" w:rsidR="007C73C3" w:rsidRPr="00F85620" w:rsidRDefault="007C73C3">
      <w:pPr>
        <w:pStyle w:val="FootnoteText"/>
        <w:rPr>
          <w:rFonts w:cs="Times New Roman"/>
          <w:i/>
        </w:rPr>
      </w:pPr>
      <w:r w:rsidRPr="00F85620">
        <w:rPr>
          <w:rStyle w:val="FootnoteReference"/>
          <w:rFonts w:cs="Times New Roman"/>
        </w:rPr>
        <w:footnoteRef/>
      </w:r>
      <w:r w:rsidRPr="00F85620">
        <w:rPr>
          <w:rFonts w:cs="Times New Roman"/>
        </w:rPr>
        <w:t xml:space="preserve"> Ferngren 2011. </w:t>
      </w:r>
    </w:p>
  </w:footnote>
  <w:footnote w:id="50">
    <w:p w14:paraId="2AFD8348" w14:textId="1271DAAC" w:rsidR="007C73C3" w:rsidRPr="00F85620" w:rsidRDefault="007C73C3">
      <w:pPr>
        <w:pStyle w:val="FootnoteText"/>
        <w:rPr>
          <w:rFonts w:cs="Times New Roman"/>
        </w:rPr>
      </w:pPr>
      <w:r w:rsidRPr="00F85620">
        <w:rPr>
          <w:rStyle w:val="FootnoteReference"/>
          <w:rFonts w:cs="Times New Roman"/>
        </w:rPr>
        <w:footnoteRef/>
      </w:r>
      <w:r w:rsidRPr="00F85620">
        <w:rPr>
          <w:rFonts w:cs="Times New Roman"/>
        </w:rPr>
        <w:t xml:space="preserve"> Ferngren 2011.</w:t>
      </w:r>
    </w:p>
  </w:footnote>
  <w:footnote w:id="51">
    <w:p w14:paraId="1E8EFC34" w14:textId="38520BE7" w:rsidR="007C73C3" w:rsidRPr="00F85620" w:rsidRDefault="007C73C3">
      <w:pPr>
        <w:pStyle w:val="FootnoteText"/>
        <w:rPr>
          <w:rFonts w:cs="Times New Roman"/>
        </w:rPr>
      </w:pPr>
      <w:r w:rsidRPr="00F85620">
        <w:rPr>
          <w:rStyle w:val="FootnoteReference"/>
          <w:rFonts w:cs="Times New Roman"/>
        </w:rPr>
        <w:footnoteRef/>
      </w:r>
      <w:r w:rsidRPr="00F85620">
        <w:rPr>
          <w:rFonts w:cs="Times New Roman"/>
        </w:rPr>
        <w:t xml:space="preserve"> Brown 2005: 50-53.</w:t>
      </w:r>
    </w:p>
  </w:footnote>
  <w:footnote w:id="52">
    <w:p w14:paraId="081A10F4" w14:textId="47E2BE15" w:rsidR="007C73C3" w:rsidRPr="00F85620" w:rsidRDefault="007C73C3">
      <w:pPr>
        <w:pStyle w:val="FootnoteText"/>
        <w:rPr>
          <w:rFonts w:cs="Times New Roman"/>
        </w:rPr>
      </w:pPr>
      <w:r w:rsidRPr="00F85620">
        <w:rPr>
          <w:rStyle w:val="FootnoteReference"/>
          <w:rFonts w:cs="Times New Roman"/>
        </w:rPr>
        <w:footnoteRef/>
      </w:r>
      <w:r w:rsidRPr="00F85620">
        <w:rPr>
          <w:rFonts w:cs="Times New Roman"/>
        </w:rPr>
        <w:t xml:space="preserve"> Temkin 1991: 80.</w:t>
      </w:r>
    </w:p>
  </w:footnote>
  <w:footnote w:id="53">
    <w:p w14:paraId="43A14400" w14:textId="77777777" w:rsidR="007C73C3" w:rsidRPr="00F85620" w:rsidRDefault="007C73C3" w:rsidP="0089623A">
      <w:pPr>
        <w:pStyle w:val="FootnoteText"/>
        <w:rPr>
          <w:rFonts w:cs="Times New Roman"/>
        </w:rPr>
      </w:pPr>
      <w:r w:rsidRPr="00F85620">
        <w:rPr>
          <w:rStyle w:val="FootnoteReference"/>
          <w:rFonts w:cs="Times New Roman"/>
        </w:rPr>
        <w:footnoteRef/>
      </w:r>
      <w:r w:rsidRPr="00F85620">
        <w:rPr>
          <w:rFonts w:cs="Times New Roman"/>
        </w:rPr>
        <w:t xml:space="preserve"> Brown 2004: 49. </w:t>
      </w:r>
    </w:p>
  </w:footnote>
  <w:footnote w:id="54">
    <w:p w14:paraId="1CBA9F73" w14:textId="77777777" w:rsidR="007C73C3" w:rsidRPr="00F85620" w:rsidRDefault="007C73C3" w:rsidP="0089623A">
      <w:pPr>
        <w:pStyle w:val="FootnoteText"/>
        <w:rPr>
          <w:rFonts w:cs="Times New Roman"/>
        </w:rPr>
      </w:pPr>
      <w:r w:rsidRPr="00F85620">
        <w:rPr>
          <w:rStyle w:val="FootnoteReference"/>
          <w:rFonts w:cs="Times New Roman"/>
        </w:rPr>
        <w:footnoteRef/>
      </w:r>
      <w:r w:rsidRPr="00F85620">
        <w:rPr>
          <w:rFonts w:cs="Times New Roman"/>
        </w:rPr>
        <w:t xml:space="preserve"> Brown 2004: 49. </w:t>
      </w:r>
    </w:p>
  </w:footnote>
  <w:footnote w:id="55">
    <w:p w14:paraId="034BF13E" w14:textId="0DE6BDC5" w:rsidR="002A0CDA" w:rsidRDefault="002A0CDA">
      <w:pPr>
        <w:pStyle w:val="FootnoteText"/>
      </w:pPr>
      <w:r>
        <w:rPr>
          <w:rStyle w:val="FootnoteReference"/>
        </w:rPr>
        <w:footnoteRef/>
      </w:r>
      <w:r>
        <w:t xml:space="preserve"> Avalos 1997: </w:t>
      </w:r>
      <w:r w:rsidR="00150ABA">
        <w:t xml:space="preserve">20. </w:t>
      </w:r>
    </w:p>
  </w:footnote>
  <w:footnote w:id="56">
    <w:p w14:paraId="75A681CA" w14:textId="63273980" w:rsidR="007C73C3" w:rsidRPr="00F85620" w:rsidRDefault="007C73C3">
      <w:pPr>
        <w:pStyle w:val="FootnoteText"/>
        <w:rPr>
          <w:rFonts w:cs="Times New Roman"/>
        </w:rPr>
      </w:pPr>
      <w:r w:rsidRPr="00F85620">
        <w:rPr>
          <w:rStyle w:val="FootnoteReference"/>
          <w:rFonts w:cs="Times New Roman"/>
        </w:rPr>
        <w:footnoteRef/>
      </w:r>
      <w:r w:rsidRPr="00F85620">
        <w:rPr>
          <w:rFonts w:cs="Times New Roman"/>
        </w:rPr>
        <w:t xml:space="preserve"> Cas. Dio. </w:t>
      </w:r>
      <w:r w:rsidRPr="00F85620">
        <w:rPr>
          <w:rFonts w:cs="Times New Roman"/>
          <w:i/>
        </w:rPr>
        <w:t xml:space="preserve">Rom. His. </w:t>
      </w:r>
      <w:r w:rsidRPr="00F85620">
        <w:rPr>
          <w:rFonts w:cs="Times New Roman"/>
        </w:rPr>
        <w:t>73.12.3.</w:t>
      </w:r>
    </w:p>
  </w:footnote>
  <w:footnote w:id="57">
    <w:p w14:paraId="2C09B752" w14:textId="57C43060" w:rsidR="007C73C3" w:rsidRPr="00F85620" w:rsidRDefault="007C73C3" w:rsidP="0083124B">
      <w:pPr>
        <w:pStyle w:val="FootnoteText"/>
        <w:rPr>
          <w:rFonts w:cs="Times New Roman"/>
        </w:rPr>
      </w:pPr>
      <w:r w:rsidRPr="00F85620">
        <w:rPr>
          <w:rStyle w:val="FootnoteReference"/>
          <w:rFonts w:cs="Times New Roman"/>
        </w:rPr>
        <w:footnoteRef/>
      </w:r>
      <w:r w:rsidRPr="00F85620">
        <w:rPr>
          <w:rFonts w:cs="Times New Roman"/>
        </w:rPr>
        <w:t xml:space="preserve"> Littman and Littman 1973: 243.</w:t>
      </w:r>
    </w:p>
  </w:footnote>
  <w:footnote w:id="58">
    <w:p w14:paraId="0BCA97E3" w14:textId="17C8239E" w:rsidR="007C73C3" w:rsidRPr="00F85620" w:rsidRDefault="007C73C3" w:rsidP="0083124B">
      <w:pPr>
        <w:pStyle w:val="FootnoteText"/>
        <w:rPr>
          <w:rFonts w:cs="Times New Roman"/>
        </w:rPr>
      </w:pPr>
      <w:r w:rsidRPr="00F85620">
        <w:rPr>
          <w:rStyle w:val="FootnoteReference"/>
          <w:rFonts w:cs="Times New Roman"/>
        </w:rPr>
        <w:footnoteRef/>
      </w:r>
      <w:r w:rsidRPr="00F85620">
        <w:rPr>
          <w:rFonts w:cs="Times New Roman"/>
        </w:rPr>
        <w:t xml:space="preserve"> Littman and Littman 1973: 254.</w:t>
      </w:r>
    </w:p>
  </w:footnote>
  <w:footnote w:id="59">
    <w:p w14:paraId="7631A3CC" w14:textId="77777777" w:rsidR="007C73C3" w:rsidRPr="00F85620" w:rsidRDefault="007C73C3" w:rsidP="0083124B">
      <w:pPr>
        <w:pStyle w:val="FootnoteText"/>
        <w:rPr>
          <w:rFonts w:cs="Times New Roman"/>
        </w:rPr>
      </w:pPr>
      <w:r w:rsidRPr="00F85620">
        <w:rPr>
          <w:rStyle w:val="FootnoteReference"/>
          <w:rFonts w:cs="Times New Roman"/>
        </w:rPr>
        <w:footnoteRef/>
      </w:r>
      <w:r w:rsidRPr="00F85620">
        <w:rPr>
          <w:rFonts w:cs="Times New Roman"/>
        </w:rPr>
        <w:t xml:space="preserve"> Cas. Dio. </w:t>
      </w:r>
      <w:r w:rsidRPr="00F85620">
        <w:rPr>
          <w:rFonts w:cs="Times New Roman"/>
          <w:i/>
        </w:rPr>
        <w:t xml:space="preserve">Rom. His. </w:t>
      </w:r>
      <w:r w:rsidRPr="00F85620">
        <w:rPr>
          <w:rFonts w:cs="Times New Roman"/>
        </w:rPr>
        <w:t>73.12.3.</w:t>
      </w:r>
    </w:p>
  </w:footnote>
  <w:footnote w:id="60">
    <w:p w14:paraId="6965BC1F" w14:textId="77777777" w:rsidR="007C73C3" w:rsidRPr="00F85620" w:rsidRDefault="007C73C3" w:rsidP="0083124B">
      <w:pPr>
        <w:pStyle w:val="FootnoteText"/>
        <w:rPr>
          <w:rFonts w:cs="Times New Roman"/>
        </w:rPr>
      </w:pPr>
      <w:r w:rsidRPr="00F85620">
        <w:rPr>
          <w:rStyle w:val="FootnoteReference"/>
          <w:rFonts w:cs="Times New Roman"/>
        </w:rPr>
        <w:footnoteRef/>
      </w:r>
      <w:r w:rsidRPr="00F85620">
        <w:rPr>
          <w:rFonts w:cs="Times New Roman"/>
        </w:rPr>
        <w:t xml:space="preserve"> Avalos: 1997: 5.</w:t>
      </w:r>
    </w:p>
  </w:footnote>
  <w:footnote w:id="61">
    <w:p w14:paraId="7EEEEA91" w14:textId="77777777" w:rsidR="007C73C3" w:rsidRPr="00F85620" w:rsidRDefault="007C73C3" w:rsidP="0083124B">
      <w:pPr>
        <w:pStyle w:val="FootnoteText"/>
        <w:rPr>
          <w:rFonts w:cs="Times New Roman"/>
        </w:rPr>
      </w:pPr>
      <w:r w:rsidRPr="00F85620">
        <w:rPr>
          <w:rStyle w:val="FootnoteReference"/>
          <w:rFonts w:cs="Times New Roman"/>
        </w:rPr>
        <w:footnoteRef/>
      </w:r>
      <w:r w:rsidRPr="00F85620">
        <w:rPr>
          <w:rFonts w:cs="Times New Roman"/>
        </w:rPr>
        <w:t xml:space="preserve"> Avalos: 1997: 4.</w:t>
      </w:r>
    </w:p>
  </w:footnote>
  <w:footnote w:id="62">
    <w:p w14:paraId="0D2E90A4" w14:textId="0E5D68FA" w:rsidR="007C73C3" w:rsidRPr="00F85620" w:rsidRDefault="007C73C3">
      <w:pPr>
        <w:pStyle w:val="FootnoteText"/>
        <w:rPr>
          <w:rFonts w:cs="Times New Roman"/>
        </w:rPr>
      </w:pPr>
      <w:r w:rsidRPr="00F85620">
        <w:rPr>
          <w:rStyle w:val="FootnoteReference"/>
          <w:rFonts w:cs="Times New Roman"/>
        </w:rPr>
        <w:footnoteRef/>
      </w:r>
      <w:r w:rsidRPr="00F85620">
        <w:rPr>
          <w:rFonts w:cs="Times New Roman"/>
        </w:rPr>
        <w:t xml:space="preserve"> Scheidel 2009: 8.</w:t>
      </w:r>
    </w:p>
  </w:footnote>
  <w:footnote w:id="63">
    <w:p w14:paraId="2EA9BFCD" w14:textId="77777777" w:rsidR="007C73C3" w:rsidRPr="00F85620" w:rsidRDefault="007C73C3" w:rsidP="0083124B">
      <w:pPr>
        <w:pStyle w:val="FootnoteText"/>
        <w:rPr>
          <w:rFonts w:cs="Times New Roman"/>
        </w:rPr>
      </w:pPr>
      <w:r w:rsidRPr="00F85620">
        <w:rPr>
          <w:rStyle w:val="FootnoteReference"/>
          <w:rFonts w:cs="Times New Roman"/>
        </w:rPr>
        <w:footnoteRef/>
      </w:r>
      <w:r w:rsidRPr="00F85620">
        <w:rPr>
          <w:rFonts w:cs="Times New Roman"/>
        </w:rPr>
        <w:t xml:space="preserve"> Porterfield: 2005: 64.</w:t>
      </w:r>
    </w:p>
  </w:footnote>
  <w:footnote w:id="64">
    <w:p w14:paraId="4C99654A" w14:textId="18834EC9" w:rsidR="007C73C3" w:rsidRPr="00F85620" w:rsidRDefault="007C73C3">
      <w:pPr>
        <w:pStyle w:val="FootnoteText"/>
        <w:rPr>
          <w:rFonts w:cs="Times New Roman"/>
        </w:rPr>
      </w:pPr>
      <w:r w:rsidRPr="00F85620">
        <w:rPr>
          <w:rStyle w:val="FootnoteReference"/>
          <w:rFonts w:cs="Times New Roman"/>
        </w:rPr>
        <w:footnoteRef/>
      </w:r>
      <w:r w:rsidRPr="00F85620">
        <w:rPr>
          <w:rFonts w:cs="Times New Roman"/>
        </w:rPr>
        <w:t xml:space="preserve"> Hipp. </w:t>
      </w:r>
      <w:r w:rsidRPr="00F85620">
        <w:rPr>
          <w:rFonts w:cs="Times New Roman"/>
          <w:i/>
        </w:rPr>
        <w:t>Precepts</w:t>
      </w:r>
      <w:r w:rsidRPr="00F85620">
        <w:rPr>
          <w:rFonts w:cs="Times New Roman"/>
        </w:rPr>
        <w:t xml:space="preserve"> 6. Ferngren 2014: 18. </w:t>
      </w:r>
    </w:p>
    <w:p w14:paraId="4FA2D29C" w14:textId="309107CD" w:rsidR="007C73C3" w:rsidRPr="00F85620" w:rsidRDefault="007C73C3">
      <w:pPr>
        <w:pStyle w:val="FootnoteText"/>
        <w:rPr>
          <w:rFonts w:cs="Times New Roman"/>
        </w:rPr>
      </w:pPr>
      <w:r w:rsidRPr="00F85620">
        <w:rPr>
          <w:rFonts w:cs="Times New Roman"/>
        </w:rPr>
        <w:t>Naz.</w:t>
      </w:r>
      <w:r w:rsidRPr="00F85620">
        <w:rPr>
          <w:rFonts w:cs="Times New Roman"/>
          <w:i/>
        </w:rPr>
        <w:t xml:space="preserve"> Orat.</w:t>
      </w:r>
      <w:r w:rsidRPr="00F85620">
        <w:rPr>
          <w:rFonts w:cs="Times New Roman"/>
        </w:rPr>
        <w:t xml:space="preserve"> 14.10.</w:t>
      </w:r>
    </w:p>
  </w:footnote>
  <w:footnote w:id="65">
    <w:p w14:paraId="412FF084" w14:textId="46E51A2A" w:rsidR="007C73C3" w:rsidRPr="00F85620" w:rsidRDefault="007C73C3" w:rsidP="0083124B">
      <w:pPr>
        <w:pStyle w:val="FootnoteText"/>
        <w:rPr>
          <w:rFonts w:cs="Times New Roman"/>
        </w:rPr>
      </w:pPr>
      <w:r w:rsidRPr="00F85620">
        <w:rPr>
          <w:rStyle w:val="FootnoteReference"/>
          <w:rFonts w:cs="Times New Roman"/>
        </w:rPr>
        <w:footnoteRef/>
      </w:r>
      <w:r w:rsidRPr="00F85620">
        <w:rPr>
          <w:rFonts w:cs="Times New Roman"/>
        </w:rPr>
        <w:t xml:space="preserve"> Avalos: 1997: 20.</w:t>
      </w:r>
    </w:p>
  </w:footnote>
  <w:footnote w:id="66">
    <w:p w14:paraId="672AD802" w14:textId="77777777" w:rsidR="007C73C3" w:rsidRPr="00F85620" w:rsidRDefault="007C73C3" w:rsidP="0083124B">
      <w:pPr>
        <w:pStyle w:val="FootnoteText"/>
        <w:rPr>
          <w:rFonts w:cs="Times New Roman"/>
        </w:rPr>
      </w:pPr>
      <w:r w:rsidRPr="00F85620">
        <w:rPr>
          <w:rStyle w:val="FootnoteReference"/>
          <w:rFonts w:cs="Times New Roman"/>
        </w:rPr>
        <w:footnoteRef/>
      </w:r>
      <w:r w:rsidRPr="00F85620">
        <w:rPr>
          <w:rFonts w:cs="Times New Roman"/>
        </w:rPr>
        <w:t xml:space="preserve"> Such as Apollo, Asclepius and Hygeia. </w:t>
      </w:r>
    </w:p>
  </w:footnote>
  <w:footnote w:id="67">
    <w:p w14:paraId="71ADBFAE" w14:textId="77777777" w:rsidR="007C73C3" w:rsidRPr="00F85620" w:rsidRDefault="007C73C3" w:rsidP="0083124B">
      <w:pPr>
        <w:pStyle w:val="FootnoteText"/>
        <w:rPr>
          <w:rFonts w:cs="Times New Roman"/>
        </w:rPr>
      </w:pPr>
      <w:r w:rsidRPr="00F85620">
        <w:rPr>
          <w:rStyle w:val="FootnoteReference"/>
          <w:rFonts w:cs="Times New Roman"/>
        </w:rPr>
        <w:footnoteRef/>
      </w:r>
      <w:r w:rsidRPr="00F85620">
        <w:rPr>
          <w:rFonts w:cs="Times New Roman"/>
        </w:rPr>
        <w:t xml:space="preserve"> Cyp</w:t>
      </w:r>
      <w:r w:rsidRPr="00F85620">
        <w:rPr>
          <w:rFonts w:cs="Times New Roman"/>
          <w:i/>
        </w:rPr>
        <w:t xml:space="preserve">. On Works and Alms. </w:t>
      </w:r>
      <w:r w:rsidRPr="00F85620">
        <w:rPr>
          <w:rFonts w:cs="Times New Roman"/>
        </w:rPr>
        <w:t xml:space="preserve">Letter 9. </w:t>
      </w:r>
    </w:p>
  </w:footnote>
  <w:footnote w:id="68">
    <w:p w14:paraId="52A900B1" w14:textId="6B95BF78" w:rsidR="007C73C3" w:rsidRPr="00F85620" w:rsidRDefault="007C73C3">
      <w:pPr>
        <w:pStyle w:val="FootnoteText"/>
        <w:rPr>
          <w:rFonts w:cs="Times New Roman"/>
        </w:rPr>
      </w:pPr>
      <w:r w:rsidRPr="00F85620">
        <w:rPr>
          <w:rStyle w:val="FootnoteReference"/>
          <w:rFonts w:cs="Times New Roman"/>
        </w:rPr>
        <w:footnoteRef/>
      </w:r>
      <w:r w:rsidRPr="00F85620">
        <w:rPr>
          <w:rFonts w:cs="Times New Roman"/>
        </w:rPr>
        <w:t xml:space="preserve"> Cyp.</w:t>
      </w:r>
      <w:r w:rsidRPr="00F85620">
        <w:rPr>
          <w:rFonts w:cs="Times New Roman"/>
          <w:i/>
        </w:rPr>
        <w:t xml:space="preserve"> On the Death Rate</w:t>
      </w:r>
      <w:r w:rsidRPr="00F85620">
        <w:rPr>
          <w:rFonts w:cs="Times New Roman"/>
        </w:rPr>
        <w:t>. Letters 8-9</w:t>
      </w:r>
    </w:p>
  </w:footnote>
  <w:footnote w:id="69">
    <w:p w14:paraId="0D06526D" w14:textId="77777777" w:rsidR="007C73C3" w:rsidRPr="00F85620" w:rsidRDefault="007C73C3" w:rsidP="008877EE">
      <w:pPr>
        <w:pStyle w:val="FootnoteText"/>
        <w:rPr>
          <w:rFonts w:cs="Times New Roman"/>
        </w:rPr>
      </w:pPr>
      <w:r w:rsidRPr="00F85620">
        <w:rPr>
          <w:rStyle w:val="FootnoteReference"/>
          <w:rFonts w:cs="Times New Roman"/>
        </w:rPr>
        <w:footnoteRef/>
      </w:r>
      <w:r w:rsidRPr="00F85620">
        <w:rPr>
          <w:rFonts w:cs="Times New Roman"/>
        </w:rPr>
        <w:t xml:space="preserve"> Porterfield: 2005: </w:t>
      </w:r>
    </w:p>
  </w:footnote>
  <w:footnote w:id="70">
    <w:p w14:paraId="4694E9DA" w14:textId="77777777" w:rsidR="007C73C3" w:rsidRPr="00F85620" w:rsidRDefault="007C73C3" w:rsidP="008877EE">
      <w:pPr>
        <w:pStyle w:val="FootnoteText"/>
        <w:rPr>
          <w:rFonts w:cs="Times New Roman"/>
        </w:rPr>
      </w:pPr>
      <w:r w:rsidRPr="00F85620">
        <w:rPr>
          <w:rStyle w:val="FootnoteReference"/>
          <w:rFonts w:cs="Times New Roman"/>
        </w:rPr>
        <w:footnoteRef/>
      </w:r>
      <w:r w:rsidRPr="00F85620">
        <w:rPr>
          <w:rFonts w:cs="Times New Roman"/>
        </w:rPr>
        <w:t xml:space="preserve"> Cyp.</w:t>
      </w:r>
      <w:r w:rsidRPr="00F85620">
        <w:rPr>
          <w:rFonts w:cs="Times New Roman"/>
          <w:i/>
        </w:rPr>
        <w:t xml:space="preserve"> On the Death Rate. </w:t>
      </w:r>
      <w:r w:rsidRPr="00F85620">
        <w:rPr>
          <w:rFonts w:cs="Times New Roman"/>
        </w:rPr>
        <w:t>Letter 2.</w:t>
      </w:r>
    </w:p>
  </w:footnote>
  <w:footnote w:id="71">
    <w:p w14:paraId="6570936D" w14:textId="48BEB8E6" w:rsidR="007C73C3" w:rsidRPr="00F85620" w:rsidRDefault="007C73C3">
      <w:pPr>
        <w:pStyle w:val="FootnoteText"/>
        <w:rPr>
          <w:rFonts w:cs="Times New Roman"/>
        </w:rPr>
      </w:pPr>
      <w:r w:rsidRPr="00F85620">
        <w:rPr>
          <w:rStyle w:val="FootnoteReference"/>
          <w:rFonts w:cs="Times New Roman"/>
        </w:rPr>
        <w:footnoteRef/>
      </w:r>
      <w:r w:rsidRPr="00F85620">
        <w:rPr>
          <w:rFonts w:cs="Times New Roman"/>
        </w:rPr>
        <w:t xml:space="preserve"> Ferngren, 2009:86.</w:t>
      </w:r>
    </w:p>
  </w:footnote>
  <w:footnote w:id="72">
    <w:p w14:paraId="35EBCF3F" w14:textId="594BB72A" w:rsidR="007C73C3" w:rsidRPr="00F85620" w:rsidRDefault="007C73C3">
      <w:pPr>
        <w:pStyle w:val="FootnoteText"/>
        <w:rPr>
          <w:rFonts w:cs="Times New Roman"/>
        </w:rPr>
      </w:pPr>
      <w:r w:rsidRPr="00F85620">
        <w:rPr>
          <w:rStyle w:val="FootnoteReference"/>
          <w:rFonts w:cs="Times New Roman"/>
        </w:rPr>
        <w:footnoteRef/>
      </w:r>
      <w:r w:rsidRPr="00F85620">
        <w:rPr>
          <w:rFonts w:cs="Times New Roman"/>
        </w:rPr>
        <w:t xml:space="preserve"> Ferngren, 2009:86.</w:t>
      </w:r>
    </w:p>
  </w:footnote>
  <w:footnote w:id="73">
    <w:p w14:paraId="6D26A6F1" w14:textId="611439D0" w:rsidR="007C73C3" w:rsidRPr="00F85620" w:rsidRDefault="007C73C3">
      <w:pPr>
        <w:pStyle w:val="FootnoteText"/>
        <w:rPr>
          <w:rFonts w:cs="Times New Roman"/>
        </w:rPr>
      </w:pPr>
      <w:r w:rsidRPr="00F85620">
        <w:rPr>
          <w:rStyle w:val="FootnoteReference"/>
          <w:rFonts w:cs="Times New Roman"/>
        </w:rPr>
        <w:footnoteRef/>
      </w:r>
      <w:r w:rsidRPr="00F85620">
        <w:rPr>
          <w:rFonts w:cs="Times New Roman"/>
        </w:rPr>
        <w:t xml:space="preserve"> Eus. </w:t>
      </w:r>
      <w:r w:rsidRPr="00F85620">
        <w:rPr>
          <w:rFonts w:cs="Times New Roman"/>
          <w:i/>
        </w:rPr>
        <w:t xml:space="preserve">Ecc. His. </w:t>
      </w:r>
      <w:r w:rsidRPr="00F85620">
        <w:rPr>
          <w:rFonts w:cs="Times New Roman"/>
        </w:rPr>
        <w:t xml:space="preserve">7.22.7. Quoted by Ferngren, 2009:86. </w:t>
      </w:r>
    </w:p>
  </w:footnote>
  <w:footnote w:id="74">
    <w:p w14:paraId="04552EF0" w14:textId="3643922E" w:rsidR="007C73C3" w:rsidRPr="00F85620" w:rsidRDefault="007C73C3">
      <w:pPr>
        <w:pStyle w:val="FootnoteText"/>
        <w:rPr>
          <w:rFonts w:cs="Times New Roman"/>
        </w:rPr>
      </w:pPr>
      <w:r w:rsidRPr="00F85620">
        <w:rPr>
          <w:rStyle w:val="FootnoteReference"/>
          <w:rFonts w:cs="Times New Roman"/>
        </w:rPr>
        <w:footnoteRef/>
      </w:r>
      <w:r w:rsidRPr="00F85620">
        <w:rPr>
          <w:rFonts w:cs="Times New Roman"/>
        </w:rPr>
        <w:t xml:space="preserve"> Ferngren, 2009: 87.</w:t>
      </w:r>
    </w:p>
  </w:footnote>
  <w:footnote w:id="75">
    <w:p w14:paraId="2956D31B" w14:textId="28E7B90D" w:rsidR="007C73C3" w:rsidRPr="00F85620" w:rsidRDefault="007C73C3">
      <w:pPr>
        <w:pStyle w:val="FootnoteText"/>
        <w:rPr>
          <w:rFonts w:cs="Times New Roman"/>
        </w:rPr>
      </w:pPr>
      <w:r w:rsidRPr="00F85620">
        <w:rPr>
          <w:rStyle w:val="FootnoteReference"/>
          <w:rFonts w:cs="Times New Roman"/>
        </w:rPr>
        <w:footnoteRef/>
      </w:r>
      <w:r w:rsidRPr="00F85620">
        <w:rPr>
          <w:rFonts w:cs="Times New Roman"/>
        </w:rPr>
        <w:t xml:space="preserve"> Ferngren, 2009:86.</w:t>
      </w:r>
    </w:p>
  </w:footnote>
  <w:footnote w:id="76">
    <w:p w14:paraId="2F0A459C" w14:textId="256466A0" w:rsidR="007C73C3" w:rsidRPr="00F85620" w:rsidRDefault="007C73C3">
      <w:pPr>
        <w:pStyle w:val="FootnoteText"/>
        <w:rPr>
          <w:rFonts w:cs="Times New Roman"/>
        </w:rPr>
      </w:pPr>
      <w:r w:rsidRPr="00F85620">
        <w:rPr>
          <w:rStyle w:val="FootnoteReference"/>
          <w:rFonts w:cs="Times New Roman"/>
        </w:rPr>
        <w:footnoteRef/>
      </w:r>
      <w:r w:rsidRPr="00F85620">
        <w:rPr>
          <w:rFonts w:cs="Times New Roman"/>
        </w:rPr>
        <w:t xml:space="preserve"> The edict of Milan, which decriminalised Christian worship, was signed by Constantine (a Christian) in 313. </w:t>
      </w:r>
    </w:p>
  </w:footnote>
  <w:footnote w:id="77">
    <w:p w14:paraId="5BC0EF13" w14:textId="196568CF" w:rsidR="007C73C3" w:rsidRPr="00F85620" w:rsidRDefault="007C73C3">
      <w:pPr>
        <w:pStyle w:val="FootnoteText"/>
        <w:rPr>
          <w:rFonts w:cs="Times New Roman"/>
        </w:rPr>
      </w:pPr>
      <w:r w:rsidRPr="00F85620">
        <w:rPr>
          <w:rStyle w:val="FootnoteReference"/>
          <w:rFonts w:cs="Times New Roman"/>
        </w:rPr>
        <w:footnoteRef/>
      </w:r>
      <w:r w:rsidRPr="00F85620">
        <w:rPr>
          <w:rFonts w:cs="Times New Roman"/>
        </w:rPr>
        <w:t xml:space="preserve"> </w:t>
      </w:r>
      <w:r w:rsidRPr="00F85620">
        <w:rPr>
          <w:rFonts w:cs="Times New Roman"/>
          <w:i/>
        </w:rPr>
        <w:t>Hipp</w:t>
      </w:r>
      <w:r w:rsidRPr="00F85620">
        <w:rPr>
          <w:rFonts w:cs="Times New Roman"/>
        </w:rPr>
        <w:t xml:space="preserve">. </w:t>
      </w:r>
      <w:r w:rsidRPr="00F85620">
        <w:rPr>
          <w:rFonts w:cs="Times New Roman"/>
          <w:i/>
        </w:rPr>
        <w:t xml:space="preserve">Airs, Water and Places. </w:t>
      </w:r>
    </w:p>
  </w:footnote>
  <w:footnote w:id="78">
    <w:p w14:paraId="5CDC28BC" w14:textId="71D15F3B" w:rsidR="007C73C3" w:rsidRPr="00F85620" w:rsidRDefault="007C73C3">
      <w:pPr>
        <w:pStyle w:val="FootnoteText"/>
        <w:rPr>
          <w:rFonts w:cs="Times New Roman"/>
          <w:i/>
        </w:rPr>
      </w:pPr>
      <w:r w:rsidRPr="00F85620">
        <w:rPr>
          <w:rStyle w:val="FootnoteReference"/>
          <w:rFonts w:cs="Times New Roman"/>
        </w:rPr>
        <w:footnoteRef/>
      </w:r>
      <w:r w:rsidRPr="00F85620">
        <w:rPr>
          <w:rFonts w:cs="Times New Roman"/>
        </w:rPr>
        <w:t xml:space="preserve"> </w:t>
      </w:r>
      <w:r w:rsidRPr="00F85620">
        <w:rPr>
          <w:rFonts w:cs="Times New Roman"/>
          <w:i/>
        </w:rPr>
        <w:t>Gal.</w:t>
      </w:r>
      <w:r w:rsidRPr="00F85620">
        <w:rPr>
          <w:rFonts w:cs="Times New Roman"/>
        </w:rPr>
        <w:t xml:space="preserve"> </w:t>
      </w:r>
      <w:r w:rsidRPr="00F85620">
        <w:rPr>
          <w:rFonts w:cs="Times New Roman"/>
          <w:i/>
        </w:rPr>
        <w:t>The Art of Medicine.</w:t>
      </w:r>
    </w:p>
  </w:footnote>
  <w:footnote w:id="79">
    <w:p w14:paraId="22EA07C3" w14:textId="083F424A" w:rsidR="007C73C3" w:rsidRPr="00F85620" w:rsidRDefault="007C73C3" w:rsidP="0089623A">
      <w:pPr>
        <w:pStyle w:val="FootnoteText"/>
        <w:rPr>
          <w:rFonts w:cs="Times New Roman"/>
        </w:rPr>
      </w:pPr>
      <w:r w:rsidRPr="00F85620">
        <w:rPr>
          <w:rStyle w:val="FootnoteReference"/>
          <w:rFonts w:cs="Times New Roman"/>
        </w:rPr>
        <w:footnoteRef/>
      </w:r>
      <w:r w:rsidRPr="00F85620">
        <w:rPr>
          <w:rFonts w:cs="Times New Roman"/>
        </w:rPr>
        <w:t xml:space="preserve"> The body of the Hippocratic Oath and its meaning is still used in the modern era and is sworn to by trainee Doctors and Nurses as they begin their studies in the field of medicine. Though it has been adapted to convey modern medical practice standards, it still carries the ethical implications as the original to provide the best care possible to the patient. </w:t>
      </w:r>
    </w:p>
    <w:p w14:paraId="7DDED1FE" w14:textId="68C72CA7" w:rsidR="007C73C3" w:rsidRPr="00F85620" w:rsidRDefault="007C73C3" w:rsidP="0089623A">
      <w:pPr>
        <w:pStyle w:val="FootnoteText"/>
        <w:rPr>
          <w:rFonts w:cs="Times New Roman"/>
        </w:rPr>
      </w:pPr>
      <w:r w:rsidRPr="00F85620">
        <w:rPr>
          <w:rFonts w:cs="Times New Roman"/>
        </w:rPr>
        <w:t>Jonsen 2000: 1.</w:t>
      </w:r>
    </w:p>
  </w:footnote>
  <w:footnote w:id="80">
    <w:p w14:paraId="3D58FDDF" w14:textId="350FE8EC" w:rsidR="007C73C3" w:rsidRPr="00F85620" w:rsidRDefault="007C73C3">
      <w:pPr>
        <w:pStyle w:val="FootnoteText"/>
        <w:rPr>
          <w:rFonts w:cs="Times New Roman"/>
          <w:i/>
        </w:rPr>
      </w:pPr>
      <w:r w:rsidRPr="00F85620">
        <w:rPr>
          <w:rStyle w:val="FootnoteReference"/>
          <w:rFonts w:cs="Times New Roman"/>
        </w:rPr>
        <w:footnoteRef/>
      </w:r>
      <w:r w:rsidRPr="00F85620">
        <w:rPr>
          <w:rFonts w:cs="Times New Roman"/>
        </w:rPr>
        <w:t xml:space="preserve"> Apparent throughout </w:t>
      </w:r>
      <w:r w:rsidRPr="00F85620">
        <w:rPr>
          <w:rFonts w:cs="Times New Roman"/>
          <w:i/>
        </w:rPr>
        <w:t>The Art of Medicine.</w:t>
      </w:r>
    </w:p>
  </w:footnote>
  <w:footnote w:id="81">
    <w:p w14:paraId="756408D0" w14:textId="623713B5" w:rsidR="007C73C3" w:rsidRPr="00F85620" w:rsidRDefault="007C73C3">
      <w:pPr>
        <w:pStyle w:val="FootnoteText"/>
        <w:rPr>
          <w:rFonts w:cs="Times New Roman"/>
        </w:rPr>
      </w:pPr>
      <w:r w:rsidRPr="00F85620">
        <w:rPr>
          <w:rStyle w:val="FootnoteReference"/>
          <w:rFonts w:cs="Times New Roman"/>
        </w:rPr>
        <w:footnoteRef/>
      </w:r>
      <w:r w:rsidRPr="00F85620">
        <w:rPr>
          <w:rFonts w:cs="Times New Roman"/>
        </w:rPr>
        <w:t xml:space="preserve"> Boylan, Internet Encyclopaedia of Philosophy.</w:t>
      </w:r>
    </w:p>
  </w:footnote>
  <w:footnote w:id="82">
    <w:p w14:paraId="073886C1" w14:textId="77777777" w:rsidR="007C73C3" w:rsidRPr="00F85620" w:rsidRDefault="007C73C3" w:rsidP="0089623A">
      <w:pPr>
        <w:pStyle w:val="FootnoteText"/>
        <w:rPr>
          <w:rFonts w:cs="Times New Roman"/>
        </w:rPr>
      </w:pPr>
      <w:r w:rsidRPr="00F85620">
        <w:rPr>
          <w:rStyle w:val="FootnoteReference"/>
          <w:rFonts w:cs="Times New Roman"/>
        </w:rPr>
        <w:footnoteRef/>
      </w:r>
      <w:r w:rsidRPr="00F85620">
        <w:rPr>
          <w:rFonts w:cs="Times New Roman"/>
        </w:rPr>
        <w:t xml:space="preserve"> Gal.</w:t>
      </w:r>
      <w:r w:rsidRPr="00F85620">
        <w:rPr>
          <w:rFonts w:cs="Times New Roman"/>
          <w:i/>
        </w:rPr>
        <w:t xml:space="preserve"> Medicus. </w:t>
      </w:r>
      <w:r w:rsidRPr="00F85620">
        <w:rPr>
          <w:rFonts w:cs="Times New Roman"/>
        </w:rPr>
        <w:t xml:space="preserve">11.6-8. Galen condemns physicians seeking for a profit rather than seeking to help cure the sick and idolises the work and philosophy of Hippocrates; as such one can assume Hippocrates concurred this opinion. Temkin 1991: 48-49. </w:t>
      </w:r>
    </w:p>
  </w:footnote>
  <w:footnote w:id="83">
    <w:p w14:paraId="1E965575" w14:textId="77777777" w:rsidR="007C73C3" w:rsidRPr="00F85620" w:rsidRDefault="007C73C3" w:rsidP="0089623A">
      <w:pPr>
        <w:pStyle w:val="FootnoteText"/>
        <w:rPr>
          <w:rFonts w:cs="Times New Roman"/>
        </w:rPr>
      </w:pPr>
      <w:r w:rsidRPr="00F85620">
        <w:rPr>
          <w:rStyle w:val="FootnoteReference"/>
          <w:rFonts w:cs="Times New Roman"/>
        </w:rPr>
        <w:footnoteRef/>
      </w:r>
      <w:r w:rsidRPr="00F85620">
        <w:rPr>
          <w:rFonts w:cs="Times New Roman"/>
        </w:rPr>
        <w:t xml:space="preserve"> See chapter 2.3. </w:t>
      </w:r>
    </w:p>
  </w:footnote>
  <w:footnote w:id="84">
    <w:p w14:paraId="08593DF4" w14:textId="77777777" w:rsidR="007C73C3" w:rsidRPr="00F85620" w:rsidRDefault="007C73C3" w:rsidP="0089623A">
      <w:pPr>
        <w:pStyle w:val="FootnoteText"/>
        <w:rPr>
          <w:rFonts w:cs="Times New Roman"/>
        </w:rPr>
      </w:pPr>
      <w:r w:rsidRPr="00F85620">
        <w:rPr>
          <w:rStyle w:val="FootnoteReference"/>
          <w:rFonts w:cs="Times New Roman"/>
        </w:rPr>
        <w:footnoteRef/>
      </w:r>
      <w:r w:rsidRPr="00F85620">
        <w:rPr>
          <w:rFonts w:cs="Times New Roman"/>
        </w:rPr>
        <w:t xml:space="preserve"> Cas. Dio. </w:t>
      </w:r>
      <w:r w:rsidRPr="00F85620">
        <w:rPr>
          <w:rFonts w:cs="Times New Roman"/>
          <w:i/>
        </w:rPr>
        <w:t xml:space="preserve">Rom. His. </w:t>
      </w:r>
      <w:r w:rsidRPr="00F85620">
        <w:rPr>
          <w:rFonts w:cs="Times New Roman"/>
        </w:rPr>
        <w:t>73.12.3.</w:t>
      </w:r>
    </w:p>
  </w:footnote>
  <w:footnote w:id="85">
    <w:p w14:paraId="62AA61F3" w14:textId="77777777" w:rsidR="007C73C3" w:rsidRPr="00F85620" w:rsidRDefault="007C73C3" w:rsidP="0089623A">
      <w:pPr>
        <w:pStyle w:val="FootnoteText"/>
        <w:rPr>
          <w:rFonts w:cs="Times New Roman"/>
        </w:rPr>
      </w:pPr>
      <w:r w:rsidRPr="00F85620">
        <w:rPr>
          <w:rStyle w:val="FootnoteReference"/>
          <w:rFonts w:cs="Times New Roman"/>
        </w:rPr>
        <w:footnoteRef/>
      </w:r>
      <w:r w:rsidRPr="00F85620">
        <w:rPr>
          <w:rFonts w:cs="Times New Roman"/>
        </w:rPr>
        <w:t xml:space="preserve"> See chapter 2.3. </w:t>
      </w:r>
    </w:p>
  </w:footnote>
  <w:footnote w:id="86">
    <w:p w14:paraId="3D7C9CD7" w14:textId="77777777" w:rsidR="007C73C3" w:rsidRPr="00F85620" w:rsidRDefault="007C73C3" w:rsidP="0089623A">
      <w:pPr>
        <w:pStyle w:val="FootnoteText"/>
        <w:rPr>
          <w:rFonts w:cs="Times New Roman"/>
        </w:rPr>
      </w:pPr>
      <w:r w:rsidRPr="00F85620">
        <w:rPr>
          <w:rStyle w:val="FootnoteReference"/>
          <w:rFonts w:cs="Times New Roman"/>
        </w:rPr>
        <w:footnoteRef/>
      </w:r>
      <w:r w:rsidRPr="00F85620">
        <w:rPr>
          <w:rFonts w:cs="Times New Roman"/>
        </w:rPr>
        <w:t xml:space="preserve"> Waltzer 1949: 15. </w:t>
      </w:r>
    </w:p>
  </w:footnote>
  <w:footnote w:id="87">
    <w:p w14:paraId="60ACC85D" w14:textId="78FB6567" w:rsidR="007C73C3" w:rsidRPr="00F85620" w:rsidRDefault="007C73C3">
      <w:pPr>
        <w:pStyle w:val="FootnoteText"/>
        <w:rPr>
          <w:rFonts w:cs="Times New Roman"/>
        </w:rPr>
      </w:pPr>
      <w:r w:rsidRPr="00F85620">
        <w:rPr>
          <w:rStyle w:val="FootnoteReference"/>
          <w:rFonts w:cs="Times New Roman"/>
        </w:rPr>
        <w:footnoteRef/>
      </w:r>
      <w:r w:rsidRPr="00F85620">
        <w:rPr>
          <w:rFonts w:cs="Times New Roman"/>
        </w:rPr>
        <w:t xml:space="preserve">(Trans. Waltzer 1949: 87) Material from an Arabic translation of Galen’s work survives in fragments as it is quoted by Ibn Abi Usaibia in </w:t>
      </w:r>
      <w:r w:rsidRPr="00F85620">
        <w:rPr>
          <w:rFonts w:cs="Times New Roman"/>
          <w:i/>
        </w:rPr>
        <w:t>The History of Physicians</w:t>
      </w:r>
      <w:r w:rsidRPr="00F85620">
        <w:rPr>
          <w:rFonts w:cs="Times New Roman"/>
        </w:rPr>
        <w:t>, in which Galen states “...</w:t>
      </w:r>
      <w:r w:rsidRPr="00F85620">
        <w:rPr>
          <w:rFonts w:cs="Times New Roman"/>
          <w:i/>
        </w:rPr>
        <w:t>compare those who practice without scientific knowledge to Moses, who framed law for the tribe of the Jews, since it is in his method in his books to write without offering proofs...”</w:t>
      </w:r>
      <w:r w:rsidRPr="00F85620">
        <w:rPr>
          <w:rFonts w:cs="Times New Roman"/>
        </w:rPr>
        <w:t xml:space="preserve"> giving the impression that Galen regards the Healthcare framework of early Christianity to be practiced by untrained physicians. It also suggests that Galen regarded the care given by Christians to have little or no effect on the individuals receiving it, and that it was given under the guise that their faith in god would heal them not the care they received. </w:t>
      </w:r>
    </w:p>
  </w:footnote>
  <w:footnote w:id="88">
    <w:p w14:paraId="6E8D8264" w14:textId="053855C0" w:rsidR="007C73C3" w:rsidRPr="00F85620" w:rsidRDefault="007C73C3">
      <w:pPr>
        <w:pStyle w:val="FootnoteText"/>
        <w:rPr>
          <w:rFonts w:cs="Times New Roman"/>
        </w:rPr>
      </w:pPr>
      <w:r w:rsidRPr="00F85620">
        <w:rPr>
          <w:rStyle w:val="FootnoteReference"/>
          <w:rFonts w:cs="Times New Roman"/>
        </w:rPr>
        <w:footnoteRef/>
      </w:r>
      <w:r w:rsidRPr="00F85620">
        <w:rPr>
          <w:rFonts w:cs="Times New Roman"/>
        </w:rPr>
        <w:t xml:space="preserve"> Lee 2000: 6. </w:t>
      </w:r>
    </w:p>
  </w:footnote>
  <w:footnote w:id="89">
    <w:p w14:paraId="6A736EEE" w14:textId="1AABB0EA" w:rsidR="007C73C3" w:rsidRPr="00F85620" w:rsidRDefault="007C73C3">
      <w:pPr>
        <w:pStyle w:val="FootnoteText"/>
        <w:rPr>
          <w:rFonts w:cs="Times New Roman"/>
        </w:rPr>
      </w:pPr>
      <w:r w:rsidRPr="00F85620">
        <w:rPr>
          <w:rStyle w:val="FootnoteReference"/>
          <w:rFonts w:cs="Times New Roman"/>
        </w:rPr>
        <w:footnoteRef/>
      </w:r>
      <w:r w:rsidRPr="00F85620">
        <w:rPr>
          <w:rFonts w:cs="Times New Roman"/>
        </w:rPr>
        <w:t xml:space="preserve"> Mark 12:31, Galatians 5:14, Matthew 5:47, Luke 22:42. Romans 12:10 </w:t>
      </w:r>
    </w:p>
  </w:footnote>
  <w:footnote w:id="90">
    <w:p w14:paraId="334CBAD5" w14:textId="1E693F86" w:rsidR="00431EE8" w:rsidRPr="00431EE8" w:rsidRDefault="00431EE8">
      <w:pPr>
        <w:pStyle w:val="FootnoteText"/>
      </w:pPr>
      <w:r>
        <w:rPr>
          <w:rStyle w:val="FootnoteReference"/>
        </w:rPr>
        <w:footnoteRef/>
      </w:r>
      <w:r>
        <w:t xml:space="preserve"> Cyp. </w:t>
      </w:r>
      <w:r>
        <w:rPr>
          <w:i/>
        </w:rPr>
        <w:t>On Works and Alms.</w:t>
      </w:r>
      <w:r>
        <w:t xml:space="preserve"> Letter 25. “</w:t>
      </w:r>
      <w:r>
        <w:rPr>
          <w:i/>
        </w:rPr>
        <w:t>They sold their houses and farms… for them to distribute amongst the poor. They sold and distributed their earthly possessions so that they would be able to enjoy the fruits of eternal estate.</w:t>
      </w:r>
      <w:r>
        <w:t xml:space="preserve">” </w:t>
      </w:r>
      <w:r w:rsidR="00BA29F2">
        <w:t>Brown (2005: 60-62) states that the early Christians were not ‘oppressed’ but ‘groupings of middle classed artisans’</w:t>
      </w:r>
      <w:r w:rsidR="005D4977">
        <w:t>, who invested large sums of money in the care of the diseased and burial of the dead.</w:t>
      </w:r>
    </w:p>
  </w:footnote>
  <w:footnote w:id="91">
    <w:p w14:paraId="1994BBF1" w14:textId="77777777" w:rsidR="007C73C3" w:rsidRPr="00F85620" w:rsidRDefault="007C73C3" w:rsidP="00CF283C">
      <w:pPr>
        <w:pStyle w:val="FootnoteText"/>
        <w:rPr>
          <w:rFonts w:cs="Times New Roman"/>
        </w:rPr>
      </w:pPr>
      <w:r w:rsidRPr="00F85620">
        <w:rPr>
          <w:rStyle w:val="FootnoteReference"/>
          <w:rFonts w:cs="Times New Roman"/>
        </w:rPr>
        <w:footnoteRef/>
      </w:r>
      <w:r w:rsidRPr="00F85620">
        <w:rPr>
          <w:rFonts w:cs="Times New Roman"/>
        </w:rPr>
        <w:t xml:space="preserve"> Cyp</w:t>
      </w:r>
      <w:r w:rsidRPr="00F85620">
        <w:rPr>
          <w:rFonts w:cs="Times New Roman"/>
          <w:i/>
        </w:rPr>
        <w:t>. Benefit of Patience</w:t>
      </w:r>
      <w:r w:rsidRPr="00F85620">
        <w:rPr>
          <w:rFonts w:cs="Times New Roman"/>
        </w:rPr>
        <w:t>. 9.</w:t>
      </w:r>
    </w:p>
    <w:p w14:paraId="79FAD0E2" w14:textId="77777777" w:rsidR="007C73C3" w:rsidRPr="00F85620" w:rsidRDefault="007C73C3" w:rsidP="00CF283C">
      <w:pPr>
        <w:pStyle w:val="FootnoteText"/>
        <w:rPr>
          <w:rFonts w:cs="Times New Roman"/>
        </w:rPr>
      </w:pPr>
      <w:r w:rsidRPr="00F85620">
        <w:rPr>
          <w:rFonts w:cs="Times New Roman"/>
        </w:rPr>
        <w:t xml:space="preserve">“... </w:t>
      </w:r>
      <w:r w:rsidRPr="00F85620">
        <w:rPr>
          <w:rFonts w:cs="Times New Roman"/>
          <w:i/>
        </w:rPr>
        <w:t>let us follow Christ’s steps on the way of salvation and walk in the example of Christ, as John the apostle instructs us, saying: ‘He who claims he is with Christ ought himself to walk as he walked’.”</w:t>
      </w:r>
      <w:r w:rsidRPr="00F85620">
        <w:rPr>
          <w:rFonts w:cs="Times New Roman"/>
        </w:rPr>
        <w:t xml:space="preserve"> </w:t>
      </w:r>
    </w:p>
  </w:footnote>
  <w:footnote w:id="92">
    <w:p w14:paraId="262C611E" w14:textId="6DA655EE" w:rsidR="007C73C3" w:rsidRPr="00F85620" w:rsidRDefault="007C73C3" w:rsidP="00CF283C">
      <w:pPr>
        <w:pStyle w:val="FootnoteText"/>
        <w:rPr>
          <w:rFonts w:cs="Times New Roman"/>
        </w:rPr>
      </w:pPr>
      <w:r w:rsidRPr="00F85620">
        <w:rPr>
          <w:rStyle w:val="FootnoteReference"/>
          <w:rFonts w:cs="Times New Roman"/>
        </w:rPr>
        <w:footnoteRef/>
      </w:r>
      <w:r w:rsidRPr="00F85620">
        <w:rPr>
          <w:rFonts w:cs="Times New Roman"/>
        </w:rPr>
        <w:t xml:space="preserve"> Eus. </w:t>
      </w:r>
      <w:r w:rsidRPr="00F85620">
        <w:rPr>
          <w:rFonts w:cs="Times New Roman"/>
          <w:i/>
        </w:rPr>
        <w:t>Ecc. His.</w:t>
      </w:r>
      <w:r w:rsidRPr="00F85620">
        <w:rPr>
          <w:rFonts w:cs="Times New Roman"/>
        </w:rPr>
        <w:t xml:space="preserve"> 2.17. Eusebius discusses here the companions of the apostles selling their houses and possessions and donating to the Apostles to distribute among the poor in order for them to also achieve salvation under the early Christian doctrine. </w:t>
      </w:r>
      <w:r w:rsidR="00431EE8">
        <w:rPr>
          <w:rFonts w:cs="Times New Roman"/>
        </w:rPr>
        <w:t xml:space="preserve">See ref. 83 for the same in Cyprian. </w:t>
      </w:r>
    </w:p>
  </w:footnote>
  <w:footnote w:id="93">
    <w:p w14:paraId="0F968ED9" w14:textId="77777777" w:rsidR="007C73C3" w:rsidRPr="00F85620" w:rsidRDefault="007C73C3" w:rsidP="00CF283C">
      <w:pPr>
        <w:pStyle w:val="FootnoteText"/>
        <w:rPr>
          <w:rFonts w:cs="Times New Roman"/>
        </w:rPr>
      </w:pPr>
      <w:r w:rsidRPr="00F85620">
        <w:rPr>
          <w:rStyle w:val="FootnoteReference"/>
          <w:rFonts w:cs="Times New Roman"/>
        </w:rPr>
        <w:footnoteRef/>
      </w:r>
      <w:r w:rsidRPr="00F85620">
        <w:rPr>
          <w:rFonts w:cs="Times New Roman"/>
        </w:rPr>
        <w:t xml:space="preserve"> 2 Cor. 5:10.</w:t>
      </w:r>
    </w:p>
  </w:footnote>
  <w:footnote w:id="94">
    <w:p w14:paraId="1DF2D13B" w14:textId="77777777" w:rsidR="007C73C3" w:rsidRPr="00F85620" w:rsidRDefault="007C73C3" w:rsidP="00CF283C">
      <w:pPr>
        <w:pStyle w:val="FootnoteText"/>
        <w:rPr>
          <w:rFonts w:cs="Times New Roman"/>
        </w:rPr>
      </w:pPr>
      <w:r w:rsidRPr="00F85620">
        <w:rPr>
          <w:rStyle w:val="FootnoteReference"/>
          <w:rFonts w:cs="Times New Roman"/>
        </w:rPr>
        <w:footnoteRef/>
      </w:r>
      <w:r w:rsidRPr="00F85620">
        <w:rPr>
          <w:rFonts w:cs="Times New Roman"/>
        </w:rPr>
        <w:t xml:space="preserve"> Avalos, 1997: 20-22.</w:t>
      </w:r>
    </w:p>
  </w:footnote>
  <w:footnote w:id="95">
    <w:p w14:paraId="338E5774" w14:textId="1F35B5D2" w:rsidR="007C73C3" w:rsidRPr="00F85620" w:rsidRDefault="007C73C3">
      <w:pPr>
        <w:pStyle w:val="FootnoteText"/>
        <w:rPr>
          <w:rFonts w:cs="Times New Roman"/>
        </w:rPr>
      </w:pPr>
      <w:r w:rsidRPr="00F85620">
        <w:rPr>
          <w:rStyle w:val="FootnoteReference"/>
          <w:rFonts w:cs="Times New Roman"/>
        </w:rPr>
        <w:footnoteRef/>
      </w:r>
      <w:r w:rsidRPr="00F85620">
        <w:rPr>
          <w:rFonts w:cs="Times New Roman"/>
        </w:rPr>
        <w:t xml:space="preserve"> Ferngren 2011. </w:t>
      </w:r>
      <w:r w:rsidRPr="00F85620">
        <w:rPr>
          <w:rFonts w:cs="Times New Roman"/>
          <w:i/>
        </w:rPr>
        <w:t>“…The weaker and more helpless the neighbour, the greater the need to show them the compassion of Christ.”</w:t>
      </w:r>
    </w:p>
  </w:footnote>
  <w:footnote w:id="96">
    <w:p w14:paraId="06950B65" w14:textId="785D3697" w:rsidR="007F4AF6" w:rsidRDefault="007F4AF6">
      <w:pPr>
        <w:pStyle w:val="FootnoteText"/>
      </w:pPr>
      <w:r>
        <w:rPr>
          <w:rStyle w:val="FootnoteReference"/>
        </w:rPr>
        <w:footnoteRef/>
      </w:r>
      <w:r>
        <w:t xml:space="preserve"> </w:t>
      </w:r>
      <w:r w:rsidRPr="007F4AF6">
        <w:t>Eus.</w:t>
      </w:r>
      <w:r w:rsidRPr="007F4AF6">
        <w:rPr>
          <w:i/>
        </w:rPr>
        <w:t xml:space="preserve"> Ecc. His. </w:t>
      </w:r>
      <w:r w:rsidRPr="007F4AF6">
        <w:t>1.11</w:t>
      </w:r>
    </w:p>
  </w:footnote>
  <w:footnote w:id="97">
    <w:p w14:paraId="29C3B98C" w14:textId="3B06B8CD" w:rsidR="00501F01" w:rsidRDefault="00501F01">
      <w:pPr>
        <w:pStyle w:val="FootnoteText"/>
      </w:pPr>
      <w:r>
        <w:rPr>
          <w:rStyle w:val="FootnoteReference"/>
        </w:rPr>
        <w:footnoteRef/>
      </w:r>
      <w:r>
        <w:t xml:space="preserve"> Brown 2005: 67. States that the Church of Rome had 1,500 poor and widowed under its direct care. If care was passive, </w:t>
      </w:r>
      <w:r w:rsidR="00A01B14">
        <w:t xml:space="preserve">or a by-product, </w:t>
      </w:r>
      <w:r>
        <w:t xml:space="preserve">the reality of having so many dependent on a Church would not </w:t>
      </w:r>
      <w:r w:rsidR="00A01B14">
        <w:t xml:space="preserve">be constant. However, Brown states that this number almost double in the following century. </w:t>
      </w:r>
    </w:p>
  </w:footnote>
  <w:footnote w:id="98">
    <w:p w14:paraId="174D9C13" w14:textId="05B692E5" w:rsidR="007C73C3" w:rsidRPr="00F85620" w:rsidRDefault="007C73C3">
      <w:pPr>
        <w:pStyle w:val="FootnoteText"/>
        <w:rPr>
          <w:rFonts w:cs="Times New Roman"/>
        </w:rPr>
      </w:pPr>
      <w:r w:rsidRPr="00F85620">
        <w:rPr>
          <w:rStyle w:val="FootnoteReference"/>
          <w:rFonts w:cs="Times New Roman"/>
        </w:rPr>
        <w:footnoteRef/>
      </w:r>
      <w:r w:rsidRPr="00F85620">
        <w:rPr>
          <w:rFonts w:cs="Times New Roman"/>
        </w:rPr>
        <w:t xml:space="preserve"> Pilch 2000: 76.</w:t>
      </w:r>
    </w:p>
  </w:footnote>
  <w:footnote w:id="99">
    <w:p w14:paraId="07519955" w14:textId="77777777" w:rsidR="007C73C3" w:rsidRPr="00F85620" w:rsidRDefault="007C73C3" w:rsidP="00CF283C">
      <w:pPr>
        <w:pStyle w:val="FootnoteText"/>
        <w:rPr>
          <w:rFonts w:cs="Times New Roman"/>
          <w:i/>
        </w:rPr>
      </w:pPr>
      <w:r w:rsidRPr="00F85620">
        <w:rPr>
          <w:rStyle w:val="FootnoteReference"/>
          <w:rFonts w:cs="Times New Roman"/>
        </w:rPr>
        <w:footnoteRef/>
      </w:r>
      <w:r w:rsidRPr="00F85620">
        <w:rPr>
          <w:rFonts w:cs="Times New Roman"/>
        </w:rPr>
        <w:t xml:space="preserve"> Eus.</w:t>
      </w:r>
      <w:r w:rsidRPr="00F85620">
        <w:rPr>
          <w:rFonts w:cs="Times New Roman"/>
          <w:i/>
        </w:rPr>
        <w:t xml:space="preserve"> Ecc. His. </w:t>
      </w:r>
      <w:r w:rsidRPr="00F85620">
        <w:rPr>
          <w:rFonts w:cs="Times New Roman"/>
        </w:rPr>
        <w:t>1.11</w:t>
      </w:r>
    </w:p>
  </w:footnote>
  <w:footnote w:id="100">
    <w:p w14:paraId="6073FDA3" w14:textId="77777777" w:rsidR="007C73C3" w:rsidRPr="00F85620" w:rsidRDefault="007C73C3" w:rsidP="00CF283C">
      <w:pPr>
        <w:pStyle w:val="FootnoteText"/>
        <w:rPr>
          <w:rFonts w:cs="Times New Roman"/>
        </w:rPr>
      </w:pPr>
      <w:r w:rsidRPr="00F85620">
        <w:rPr>
          <w:rStyle w:val="FootnoteReference"/>
          <w:rFonts w:cs="Times New Roman"/>
        </w:rPr>
        <w:footnoteRef/>
      </w:r>
      <w:r w:rsidRPr="00F85620">
        <w:rPr>
          <w:rFonts w:cs="Times New Roman"/>
        </w:rPr>
        <w:t xml:space="preserve"> Eus</w:t>
      </w:r>
      <w:r w:rsidRPr="00F85620">
        <w:rPr>
          <w:rFonts w:cs="Times New Roman"/>
          <w:i/>
        </w:rPr>
        <w:t xml:space="preserve">. Ecc. His. </w:t>
      </w:r>
      <w:r w:rsidRPr="00F85620">
        <w:rPr>
          <w:rFonts w:cs="Times New Roman"/>
        </w:rPr>
        <w:t>1.11.</w:t>
      </w:r>
      <w:r w:rsidRPr="00F85620">
        <w:rPr>
          <w:rFonts w:cs="Times New Roman"/>
          <w:i/>
        </w:rPr>
        <w:t xml:space="preserve"> Cyp. On Donatus. </w:t>
      </w:r>
      <w:r w:rsidRPr="00F85620">
        <w:rPr>
          <w:rFonts w:cs="Times New Roman"/>
        </w:rPr>
        <w:t>3-4.</w:t>
      </w:r>
    </w:p>
  </w:footnote>
  <w:footnote w:id="101">
    <w:p w14:paraId="3D20900E" w14:textId="66DD8878" w:rsidR="007C73C3" w:rsidRPr="00F85620" w:rsidRDefault="007C73C3">
      <w:pPr>
        <w:pStyle w:val="FootnoteText"/>
        <w:rPr>
          <w:rFonts w:cs="Times New Roman"/>
        </w:rPr>
      </w:pPr>
      <w:r w:rsidRPr="00F85620">
        <w:rPr>
          <w:rStyle w:val="FootnoteReference"/>
          <w:rFonts w:cs="Times New Roman"/>
        </w:rPr>
        <w:footnoteRef/>
      </w:r>
      <w:r w:rsidRPr="00F85620">
        <w:rPr>
          <w:rFonts w:cs="Times New Roman"/>
        </w:rPr>
        <w:t xml:space="preserve"> Pilch 2001: 76. </w:t>
      </w:r>
    </w:p>
  </w:footnote>
  <w:footnote w:id="102">
    <w:p w14:paraId="29F239BF" w14:textId="4EBD4CE1" w:rsidR="0070666D" w:rsidRPr="00DC3726" w:rsidRDefault="0070666D">
      <w:pPr>
        <w:pStyle w:val="FootnoteText"/>
      </w:pPr>
      <w:r>
        <w:rPr>
          <w:rStyle w:val="FootnoteReference"/>
        </w:rPr>
        <w:footnoteRef/>
      </w:r>
      <w:r>
        <w:t xml:space="preserve"> </w:t>
      </w:r>
      <w:r w:rsidR="00DC3726">
        <w:t xml:space="preserve">Cyp. </w:t>
      </w:r>
      <w:r w:rsidR="00DC3726">
        <w:rPr>
          <w:i/>
        </w:rPr>
        <w:t>On the Death Rate.</w:t>
      </w:r>
      <w:r w:rsidR="00DC3726">
        <w:t xml:space="preserve"> Letters 8-9. </w:t>
      </w:r>
    </w:p>
  </w:footnote>
  <w:footnote w:id="103">
    <w:p w14:paraId="52DAD3C2" w14:textId="1729A0F5" w:rsidR="00DC3726" w:rsidRPr="00003ADE" w:rsidRDefault="00DC3726">
      <w:pPr>
        <w:pStyle w:val="FootnoteText"/>
      </w:pPr>
      <w:r>
        <w:rPr>
          <w:rStyle w:val="FootnoteReference"/>
        </w:rPr>
        <w:footnoteRef/>
      </w:r>
      <w:r>
        <w:t xml:space="preserve"> </w:t>
      </w:r>
      <w:r w:rsidR="00003ADE">
        <w:t xml:space="preserve">Cyp. </w:t>
      </w:r>
      <w:r w:rsidR="00003ADE">
        <w:rPr>
          <w:i/>
        </w:rPr>
        <w:t xml:space="preserve">On the Death Rate. </w:t>
      </w:r>
      <w:r w:rsidR="00003ADE">
        <w:t xml:space="preserve">Letter 9. </w:t>
      </w:r>
    </w:p>
  </w:footnote>
  <w:footnote w:id="104">
    <w:p w14:paraId="77066460" w14:textId="5C82C382" w:rsidR="000F339A" w:rsidRDefault="000F339A">
      <w:pPr>
        <w:pStyle w:val="FootnoteText"/>
      </w:pPr>
      <w:r>
        <w:rPr>
          <w:rStyle w:val="FootnoteReference"/>
        </w:rPr>
        <w:footnoteRef/>
      </w:r>
      <w:r>
        <w:t xml:space="preserve"> Cyp. </w:t>
      </w:r>
      <w:r>
        <w:rPr>
          <w:i/>
        </w:rPr>
        <w:t>On the Benefit of Patience.</w:t>
      </w:r>
      <w:r>
        <w:t xml:space="preserve"> Letters 19-22. </w:t>
      </w:r>
    </w:p>
    <w:p w14:paraId="1F933CDA" w14:textId="60DAF28A" w:rsidR="000F339A" w:rsidRPr="000F339A" w:rsidRDefault="001302B0">
      <w:pPr>
        <w:pStyle w:val="FootnoteText"/>
      </w:pPr>
      <w:r>
        <w:t xml:space="preserve">      </w:t>
      </w:r>
      <w:r w:rsidR="000F339A">
        <w:t xml:space="preserve">Gal. </w:t>
      </w:r>
      <w:r w:rsidR="000F339A">
        <w:rPr>
          <w:i/>
        </w:rPr>
        <w:t xml:space="preserve">The Art of Medicine. </w:t>
      </w:r>
      <w:r w:rsidR="000F339A">
        <w:t xml:space="preserve">7.1-5. </w:t>
      </w:r>
    </w:p>
  </w:footnote>
  <w:footnote w:id="105">
    <w:p w14:paraId="2CE2F263" w14:textId="61900D8C" w:rsidR="007C73C3" w:rsidRPr="00F85620" w:rsidRDefault="007C73C3">
      <w:pPr>
        <w:pStyle w:val="FootnoteText"/>
        <w:rPr>
          <w:rFonts w:cs="Times New Roman"/>
        </w:rPr>
      </w:pPr>
      <w:r w:rsidRPr="00F85620">
        <w:rPr>
          <w:rStyle w:val="FootnoteReference"/>
          <w:rFonts w:cs="Times New Roman"/>
        </w:rPr>
        <w:footnoteRef/>
      </w:r>
      <w:r w:rsidRPr="00F85620">
        <w:rPr>
          <w:rFonts w:cs="Times New Roman"/>
        </w:rPr>
        <w:t xml:space="preserve"> Ferngren 2011. </w:t>
      </w:r>
    </w:p>
  </w:footnote>
  <w:footnote w:id="106">
    <w:p w14:paraId="6B5BC95C" w14:textId="6FCA871F" w:rsidR="007C73C3" w:rsidRPr="00F85620" w:rsidRDefault="007C73C3">
      <w:pPr>
        <w:pStyle w:val="FootnoteText"/>
        <w:rPr>
          <w:rFonts w:cs="Times New Roman"/>
        </w:rPr>
      </w:pPr>
      <w:r w:rsidRPr="00F85620">
        <w:rPr>
          <w:rStyle w:val="FootnoteReference"/>
          <w:rFonts w:cs="Times New Roman"/>
        </w:rPr>
        <w:footnoteRef/>
      </w:r>
      <w:r w:rsidRPr="00F85620">
        <w:rPr>
          <w:rFonts w:cs="Times New Roman"/>
        </w:rPr>
        <w:t xml:space="preserve"> Ferngren 2011. </w:t>
      </w:r>
    </w:p>
  </w:footnote>
  <w:footnote w:id="107">
    <w:p w14:paraId="6C9DB068" w14:textId="5A303CE5" w:rsidR="007C73C3" w:rsidRPr="00F85620" w:rsidRDefault="007C73C3">
      <w:pPr>
        <w:pStyle w:val="FootnoteText"/>
        <w:rPr>
          <w:rFonts w:cs="Times New Roman"/>
        </w:rPr>
      </w:pPr>
      <w:r w:rsidRPr="00F85620">
        <w:rPr>
          <w:rStyle w:val="FootnoteReference"/>
          <w:rFonts w:cs="Times New Roman"/>
        </w:rPr>
        <w:footnoteRef/>
      </w:r>
      <w:r w:rsidRPr="00F85620">
        <w:rPr>
          <w:rFonts w:cs="Times New Roman"/>
        </w:rPr>
        <w:t xml:space="preserve"> </w:t>
      </w:r>
      <w:proofErr w:type="spellStart"/>
      <w:r w:rsidRPr="00F85620">
        <w:rPr>
          <w:rFonts w:cs="Times New Roman"/>
        </w:rPr>
        <w:t>Basta</w:t>
      </w:r>
      <w:proofErr w:type="spellEnd"/>
      <w:r w:rsidRPr="00F85620">
        <w:rPr>
          <w:rFonts w:cs="Times New Roman"/>
        </w:rPr>
        <w:t xml:space="preserve"> 2017: 50. </w:t>
      </w:r>
    </w:p>
  </w:footnote>
  <w:footnote w:id="108">
    <w:p w14:paraId="7640E3AB" w14:textId="47CB5B4A" w:rsidR="007C73C3" w:rsidRPr="00F85620" w:rsidRDefault="007C73C3">
      <w:pPr>
        <w:pStyle w:val="FootnoteText"/>
        <w:rPr>
          <w:rFonts w:cs="Times New Roman"/>
          <w:i/>
        </w:rPr>
      </w:pPr>
      <w:r w:rsidRPr="00F85620">
        <w:rPr>
          <w:rStyle w:val="FootnoteReference"/>
          <w:rFonts w:cs="Times New Roman"/>
        </w:rPr>
        <w:footnoteRef/>
      </w:r>
      <w:r w:rsidRPr="00F85620">
        <w:rPr>
          <w:rFonts w:cs="Times New Roman"/>
        </w:rPr>
        <w:t xml:space="preserve"> Cyp</w:t>
      </w:r>
      <w:r w:rsidRPr="00F85620">
        <w:rPr>
          <w:rFonts w:cs="Times New Roman"/>
          <w:i/>
        </w:rPr>
        <w:t xml:space="preserve">. On Work of Alms. </w:t>
      </w:r>
      <w:r w:rsidRPr="00CF1E58">
        <w:rPr>
          <w:rFonts w:cs="Times New Roman"/>
        </w:rPr>
        <w:t>6-7</w:t>
      </w:r>
      <w:r w:rsidR="00CF1E58">
        <w:rPr>
          <w:rFonts w:cs="Times New Roman"/>
        </w:rPr>
        <w:t>.</w:t>
      </w:r>
    </w:p>
  </w:footnote>
  <w:footnote w:id="109">
    <w:p w14:paraId="5005BE08" w14:textId="00A288E9" w:rsidR="007C73C3" w:rsidRPr="00F85620" w:rsidRDefault="007C73C3">
      <w:pPr>
        <w:pStyle w:val="FootnoteText"/>
        <w:rPr>
          <w:rFonts w:cs="Times New Roman"/>
        </w:rPr>
      </w:pPr>
      <w:r w:rsidRPr="00F85620">
        <w:rPr>
          <w:rStyle w:val="FootnoteReference"/>
          <w:rFonts w:cs="Times New Roman"/>
        </w:rPr>
        <w:footnoteRef/>
      </w:r>
      <w:r w:rsidRPr="00F85620">
        <w:rPr>
          <w:rFonts w:cs="Times New Roman"/>
        </w:rPr>
        <w:t xml:space="preserve"> Stark 1996: 215.</w:t>
      </w:r>
    </w:p>
  </w:footnote>
  <w:footnote w:id="110">
    <w:p w14:paraId="3F708DA1" w14:textId="5CE1C8D0" w:rsidR="007C73C3" w:rsidRPr="00F85620" w:rsidRDefault="007C73C3">
      <w:pPr>
        <w:pStyle w:val="FootnoteText"/>
        <w:rPr>
          <w:rFonts w:cs="Times New Roman"/>
        </w:rPr>
      </w:pPr>
      <w:r w:rsidRPr="00F85620">
        <w:rPr>
          <w:rStyle w:val="FootnoteReference"/>
          <w:rFonts w:cs="Times New Roman"/>
        </w:rPr>
        <w:footnoteRef/>
      </w:r>
      <w:r w:rsidRPr="00F85620">
        <w:rPr>
          <w:rFonts w:cs="Times New Roman"/>
        </w:rPr>
        <w:t xml:space="preserve"> Porterfield 2005. </w:t>
      </w:r>
    </w:p>
  </w:footnote>
  <w:footnote w:id="111">
    <w:p w14:paraId="52B4570C" w14:textId="5072E3E8" w:rsidR="007C73C3" w:rsidRPr="00F85620" w:rsidRDefault="007C73C3">
      <w:pPr>
        <w:pStyle w:val="FootnoteText"/>
        <w:rPr>
          <w:rFonts w:cs="Times New Roman"/>
        </w:rPr>
      </w:pPr>
      <w:r w:rsidRPr="00F85620">
        <w:rPr>
          <w:rStyle w:val="FootnoteReference"/>
          <w:rFonts w:cs="Times New Roman"/>
        </w:rPr>
        <w:footnoteRef/>
      </w:r>
      <w:r w:rsidRPr="00F85620">
        <w:rPr>
          <w:rFonts w:cs="Times New Roman"/>
        </w:rPr>
        <w:t xml:space="preserve"> Hadrill 1996: 50</w:t>
      </w:r>
    </w:p>
  </w:footnote>
  <w:footnote w:id="112">
    <w:p w14:paraId="5F01C688" w14:textId="2EF2F3E6" w:rsidR="007C73C3" w:rsidRPr="00F85620" w:rsidRDefault="007C73C3">
      <w:pPr>
        <w:pStyle w:val="FootnoteText"/>
        <w:rPr>
          <w:rFonts w:cs="Times New Roman"/>
        </w:rPr>
      </w:pPr>
      <w:r w:rsidRPr="00F85620">
        <w:rPr>
          <w:rStyle w:val="FootnoteReference"/>
          <w:rFonts w:cs="Times New Roman"/>
        </w:rPr>
        <w:footnoteRef/>
      </w:r>
      <w:r w:rsidRPr="00F85620">
        <w:rPr>
          <w:rFonts w:cs="Times New Roman"/>
        </w:rPr>
        <w:t xml:space="preserve"> Hazlitt 1931. </w:t>
      </w:r>
    </w:p>
  </w:footnote>
  <w:footnote w:id="113">
    <w:p w14:paraId="6A601B81" w14:textId="780F8F35" w:rsidR="007C73C3" w:rsidRDefault="007C73C3">
      <w:pPr>
        <w:pStyle w:val="FootnoteText"/>
      </w:pPr>
      <w:r w:rsidRPr="00F85620">
        <w:rPr>
          <w:rStyle w:val="FootnoteReference"/>
          <w:rFonts w:cs="Times New Roman"/>
        </w:rPr>
        <w:footnoteRef/>
      </w:r>
      <w:r w:rsidRPr="00F85620">
        <w:rPr>
          <w:rFonts w:cs="Times New Roman"/>
        </w:rPr>
        <w:t xml:space="preserve"> Brown 2005: 65</w:t>
      </w:r>
      <w:r>
        <w:t xml:space="preserve">. </w:t>
      </w:r>
    </w:p>
  </w:footnote>
  <w:footnote w:id="114">
    <w:p w14:paraId="306D2F24" w14:textId="0D5AD3E6" w:rsidR="007C73C3" w:rsidRDefault="007C73C3">
      <w:pPr>
        <w:pStyle w:val="FootnoteText"/>
      </w:pPr>
      <w:r>
        <w:rPr>
          <w:rStyle w:val="FootnoteReference"/>
        </w:rPr>
        <w:footnoteRef/>
      </w:r>
      <w:r>
        <w:t xml:space="preserve"> Avalos 1997: 22. </w:t>
      </w:r>
    </w:p>
  </w:footnote>
  <w:footnote w:id="115">
    <w:p w14:paraId="73E80C02" w14:textId="0F74A810" w:rsidR="00CF1E58" w:rsidRPr="00CF1E58" w:rsidRDefault="00CF1E58">
      <w:pPr>
        <w:pStyle w:val="FootnoteText"/>
      </w:pPr>
      <w:r>
        <w:rPr>
          <w:rStyle w:val="FootnoteReference"/>
        </w:rPr>
        <w:footnoteRef/>
      </w:r>
      <w:r>
        <w:t xml:space="preserve"> Cyp. </w:t>
      </w:r>
      <w:r>
        <w:rPr>
          <w:i/>
        </w:rPr>
        <w:t>On Works and Alms.</w:t>
      </w:r>
      <w:r>
        <w:t xml:space="preserve"> Letter 21.</w:t>
      </w:r>
    </w:p>
  </w:footnote>
  <w:footnote w:id="116">
    <w:p w14:paraId="27A1D1E2" w14:textId="6A98AB8A" w:rsidR="00077DDA" w:rsidRDefault="00077DDA">
      <w:pPr>
        <w:pStyle w:val="FootnoteText"/>
      </w:pPr>
      <w:r>
        <w:rPr>
          <w:rStyle w:val="FootnoteReference"/>
        </w:rPr>
        <w:footnoteRef/>
      </w:r>
      <w:r>
        <w:t xml:space="preserve"> Ferngren 2011.</w:t>
      </w:r>
    </w:p>
  </w:footnote>
  <w:footnote w:id="117">
    <w:p w14:paraId="51E7045D" w14:textId="5445BF5C" w:rsidR="00077DDA" w:rsidRDefault="00077DDA">
      <w:pPr>
        <w:pStyle w:val="FootnoteText"/>
      </w:pPr>
      <w:r>
        <w:rPr>
          <w:rStyle w:val="FootnoteReference"/>
        </w:rPr>
        <w:footnoteRef/>
      </w:r>
      <w:r>
        <w:t xml:space="preserve"> Brown 2005: 65.</w:t>
      </w:r>
    </w:p>
  </w:footnote>
  <w:footnote w:id="118">
    <w:p w14:paraId="294E997D" w14:textId="11F0D0D0" w:rsidR="00077DDA" w:rsidRDefault="00077DDA">
      <w:pPr>
        <w:pStyle w:val="FootnoteText"/>
      </w:pPr>
      <w:r>
        <w:rPr>
          <w:rStyle w:val="FootnoteReference"/>
        </w:rPr>
        <w:footnoteRef/>
      </w:r>
      <w:r>
        <w:t xml:space="preserve"> Ferngren 2011. </w:t>
      </w:r>
    </w:p>
  </w:footnote>
  <w:footnote w:id="119">
    <w:p w14:paraId="0EC8ED28" w14:textId="3332D132" w:rsidR="008B4C48" w:rsidRDefault="008B4C48">
      <w:pPr>
        <w:pStyle w:val="FootnoteText"/>
      </w:pPr>
      <w:r>
        <w:rPr>
          <w:rStyle w:val="FootnoteReference"/>
        </w:rPr>
        <w:footnoteRef/>
      </w:r>
      <w:r>
        <w:t xml:space="preserve"> Harnack 1904. </w:t>
      </w:r>
    </w:p>
  </w:footnote>
  <w:footnote w:id="120">
    <w:p w14:paraId="7D8F8A56" w14:textId="44A57A56" w:rsidR="003E206B" w:rsidRDefault="003E206B">
      <w:pPr>
        <w:pStyle w:val="FootnoteText"/>
      </w:pPr>
      <w:r>
        <w:rPr>
          <w:rStyle w:val="FootnoteReference"/>
        </w:rPr>
        <w:footnoteRef/>
      </w:r>
      <w:r>
        <w:t xml:space="preserve"> Brown 2005: 49. </w:t>
      </w:r>
    </w:p>
  </w:footnote>
  <w:footnote w:id="121">
    <w:p w14:paraId="62C04F5E" w14:textId="7FBB2747" w:rsidR="00CF4E05" w:rsidRPr="00CF4E05" w:rsidRDefault="00CF4E05">
      <w:pPr>
        <w:pStyle w:val="FootnoteText"/>
      </w:pPr>
      <w:r>
        <w:rPr>
          <w:rStyle w:val="FootnoteReference"/>
        </w:rPr>
        <w:footnoteRef/>
      </w:r>
      <w:r>
        <w:t xml:space="preserve"> Sue. </w:t>
      </w:r>
      <w:r>
        <w:rPr>
          <w:i/>
        </w:rPr>
        <w:t>Lives of the Twelve Caesars.</w:t>
      </w:r>
      <w:r>
        <w:t xml:space="preserve"> 18.4. Discusses inequity in the empire. </w:t>
      </w:r>
    </w:p>
  </w:footnote>
  <w:footnote w:id="122">
    <w:p w14:paraId="7230939C" w14:textId="4146262F" w:rsidR="005D41C0" w:rsidRDefault="005D41C0">
      <w:pPr>
        <w:pStyle w:val="FootnoteText"/>
      </w:pPr>
      <w:r>
        <w:rPr>
          <w:rStyle w:val="FootnoteReference"/>
        </w:rPr>
        <w:footnoteRef/>
      </w:r>
      <w:r>
        <w:t xml:space="preserve"> Ferngren 2009: 13. </w:t>
      </w:r>
    </w:p>
  </w:footnote>
  <w:footnote w:id="123">
    <w:p w14:paraId="5679F7C6" w14:textId="43D1D7AA" w:rsidR="008626B2" w:rsidRDefault="008626B2">
      <w:pPr>
        <w:pStyle w:val="FootnoteText"/>
      </w:pPr>
      <w:r>
        <w:rPr>
          <w:rStyle w:val="FootnoteReference"/>
        </w:rPr>
        <w:footnoteRef/>
      </w:r>
      <w:r>
        <w:t xml:space="preserve"> Brown 2005: 52. </w:t>
      </w:r>
    </w:p>
  </w:footnote>
  <w:footnote w:id="124">
    <w:p w14:paraId="420A9614" w14:textId="4461403D" w:rsidR="00A3584D" w:rsidRDefault="00A3584D">
      <w:pPr>
        <w:pStyle w:val="FootnoteText"/>
      </w:pPr>
      <w:r>
        <w:rPr>
          <w:rStyle w:val="FootnoteReference"/>
        </w:rPr>
        <w:footnoteRef/>
      </w:r>
      <w:r>
        <w:t xml:space="preserve"> </w:t>
      </w:r>
      <w:r w:rsidRPr="00A3584D">
        <w:t>Pilch 2000: 76.</w:t>
      </w:r>
    </w:p>
  </w:footnote>
  <w:footnote w:id="125">
    <w:p w14:paraId="6E92827C" w14:textId="1F4AD504" w:rsidR="00A3584D" w:rsidRDefault="00A3584D">
      <w:pPr>
        <w:pStyle w:val="FootnoteText"/>
      </w:pPr>
      <w:r>
        <w:rPr>
          <w:rStyle w:val="FootnoteReference"/>
        </w:rPr>
        <w:footnoteRef/>
      </w:r>
      <w:r>
        <w:t xml:space="preserve"> </w:t>
      </w:r>
      <w:r w:rsidRPr="00A3584D">
        <w:t>Ferngren 2011.</w:t>
      </w:r>
    </w:p>
  </w:footnote>
  <w:footnote w:id="126">
    <w:p w14:paraId="266E9CB1" w14:textId="74D5AD01" w:rsidR="00A3584D" w:rsidRDefault="00A3584D">
      <w:pPr>
        <w:pStyle w:val="FootnoteText"/>
      </w:pPr>
      <w:r>
        <w:rPr>
          <w:rStyle w:val="FootnoteReference"/>
        </w:rPr>
        <w:footnoteRef/>
      </w:r>
      <w:r>
        <w:t xml:space="preserve"> Brown 2005: 67. </w:t>
      </w:r>
    </w:p>
  </w:footnote>
  <w:footnote w:id="127">
    <w:p w14:paraId="6F003264" w14:textId="3A2C6EAD" w:rsidR="00A3584D" w:rsidRDefault="00A3584D">
      <w:pPr>
        <w:pStyle w:val="FootnoteText"/>
      </w:pPr>
      <w:r>
        <w:rPr>
          <w:rStyle w:val="FootnoteReference"/>
        </w:rPr>
        <w:footnoteRef/>
      </w:r>
      <w:r>
        <w:t xml:space="preserve"> </w:t>
      </w:r>
      <w:r w:rsidRPr="00A3584D">
        <w:t xml:space="preserve">Cyp. </w:t>
      </w:r>
      <w:r w:rsidRPr="00145190">
        <w:rPr>
          <w:i/>
        </w:rPr>
        <w:t>On Works and Alms.</w:t>
      </w:r>
      <w:r w:rsidRPr="00A3584D">
        <w:t xml:space="preserve"> Letter 21.</w:t>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0AD9DA1" w14:textId="77777777" w:rsidR="00375288" w:rsidRDefault="0037528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AE96131" w14:textId="77777777" w:rsidR="00375288" w:rsidRDefault="0037528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4A399BC" w14:textId="77777777" w:rsidR="00375288" w:rsidRDefault="0037528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BD232AB"/>
    <w:multiLevelType w:val="multilevel"/>
    <w:tmpl w:val="1F405C5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 w15:restartNumberingAfterBreak="0">
    <w:nsid w:val="2DAA1378"/>
    <w:multiLevelType w:val="multilevel"/>
    <w:tmpl w:val="F308108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 w15:restartNumberingAfterBreak="0">
    <w:nsid w:val="3363088C"/>
    <w:multiLevelType w:val="multilevel"/>
    <w:tmpl w:val="1816823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 w15:restartNumberingAfterBreak="0">
    <w:nsid w:val="3DE12FFB"/>
    <w:multiLevelType w:val="multilevel"/>
    <w:tmpl w:val="C17ADE4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abstractNumId w:val="1"/>
  </w:num>
  <w:num w:numId="2">
    <w:abstractNumId w:val="3"/>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45134"/>
    <w:rsid w:val="00002523"/>
    <w:rsid w:val="00003ADE"/>
    <w:rsid w:val="00004425"/>
    <w:rsid w:val="000049F3"/>
    <w:rsid w:val="00011016"/>
    <w:rsid w:val="00037B9E"/>
    <w:rsid w:val="00042EB7"/>
    <w:rsid w:val="000570AE"/>
    <w:rsid w:val="00077DDA"/>
    <w:rsid w:val="00080253"/>
    <w:rsid w:val="00096AF1"/>
    <w:rsid w:val="000A0A43"/>
    <w:rsid w:val="000A3279"/>
    <w:rsid w:val="000A3E81"/>
    <w:rsid w:val="000A5F5A"/>
    <w:rsid w:val="000B42C7"/>
    <w:rsid w:val="000C3C9D"/>
    <w:rsid w:val="000C7DCA"/>
    <w:rsid w:val="000D7E4B"/>
    <w:rsid w:val="000F2A36"/>
    <w:rsid w:val="000F339A"/>
    <w:rsid w:val="000F4DE9"/>
    <w:rsid w:val="00112241"/>
    <w:rsid w:val="0012309A"/>
    <w:rsid w:val="001302B0"/>
    <w:rsid w:val="001310D1"/>
    <w:rsid w:val="00133A48"/>
    <w:rsid w:val="00135111"/>
    <w:rsid w:val="00135D9A"/>
    <w:rsid w:val="001412D3"/>
    <w:rsid w:val="0014348E"/>
    <w:rsid w:val="00145190"/>
    <w:rsid w:val="00150ABA"/>
    <w:rsid w:val="00154CB2"/>
    <w:rsid w:val="00157E63"/>
    <w:rsid w:val="00164FA7"/>
    <w:rsid w:val="00170712"/>
    <w:rsid w:val="0017078C"/>
    <w:rsid w:val="00177A4B"/>
    <w:rsid w:val="00184874"/>
    <w:rsid w:val="00196F99"/>
    <w:rsid w:val="001A0A5F"/>
    <w:rsid w:val="001B2BE4"/>
    <w:rsid w:val="001B342A"/>
    <w:rsid w:val="001C52CE"/>
    <w:rsid w:val="001D3C5F"/>
    <w:rsid w:val="001F712D"/>
    <w:rsid w:val="0020524D"/>
    <w:rsid w:val="00214430"/>
    <w:rsid w:val="00214A75"/>
    <w:rsid w:val="00225DB4"/>
    <w:rsid w:val="00233129"/>
    <w:rsid w:val="00247DBD"/>
    <w:rsid w:val="00261C8D"/>
    <w:rsid w:val="002620BC"/>
    <w:rsid w:val="002635CA"/>
    <w:rsid w:val="0026735B"/>
    <w:rsid w:val="002771E2"/>
    <w:rsid w:val="0029472A"/>
    <w:rsid w:val="002A0CDA"/>
    <w:rsid w:val="002A2D00"/>
    <w:rsid w:val="002A3452"/>
    <w:rsid w:val="002A3B17"/>
    <w:rsid w:val="002A5B15"/>
    <w:rsid w:val="002A7E7B"/>
    <w:rsid w:val="002B3326"/>
    <w:rsid w:val="002C390F"/>
    <w:rsid w:val="002E5A8E"/>
    <w:rsid w:val="002F1552"/>
    <w:rsid w:val="002F1E2C"/>
    <w:rsid w:val="002F3AF8"/>
    <w:rsid w:val="002F3E86"/>
    <w:rsid w:val="002F63D3"/>
    <w:rsid w:val="003105F7"/>
    <w:rsid w:val="00315801"/>
    <w:rsid w:val="003247E4"/>
    <w:rsid w:val="0032535C"/>
    <w:rsid w:val="00327287"/>
    <w:rsid w:val="003314D2"/>
    <w:rsid w:val="00332B65"/>
    <w:rsid w:val="00345134"/>
    <w:rsid w:val="00346E39"/>
    <w:rsid w:val="00354AD1"/>
    <w:rsid w:val="00363BA3"/>
    <w:rsid w:val="0037101C"/>
    <w:rsid w:val="00375288"/>
    <w:rsid w:val="00377FDE"/>
    <w:rsid w:val="0038017A"/>
    <w:rsid w:val="003B72A7"/>
    <w:rsid w:val="003D1FC5"/>
    <w:rsid w:val="003E206B"/>
    <w:rsid w:val="003F486F"/>
    <w:rsid w:val="00405133"/>
    <w:rsid w:val="00405A2E"/>
    <w:rsid w:val="004218CB"/>
    <w:rsid w:val="00431EE8"/>
    <w:rsid w:val="00447C67"/>
    <w:rsid w:val="00455DDA"/>
    <w:rsid w:val="00461ACC"/>
    <w:rsid w:val="00465AE4"/>
    <w:rsid w:val="004734FF"/>
    <w:rsid w:val="00476FC4"/>
    <w:rsid w:val="004911D2"/>
    <w:rsid w:val="004B25EA"/>
    <w:rsid w:val="004D3CE3"/>
    <w:rsid w:val="004D5417"/>
    <w:rsid w:val="004E36F9"/>
    <w:rsid w:val="004F1322"/>
    <w:rsid w:val="004F2344"/>
    <w:rsid w:val="004F7ECD"/>
    <w:rsid w:val="005001AA"/>
    <w:rsid w:val="00501F01"/>
    <w:rsid w:val="00512A02"/>
    <w:rsid w:val="00513CF4"/>
    <w:rsid w:val="00535B41"/>
    <w:rsid w:val="0053782A"/>
    <w:rsid w:val="00542C60"/>
    <w:rsid w:val="00544A7E"/>
    <w:rsid w:val="005451AB"/>
    <w:rsid w:val="00552B1E"/>
    <w:rsid w:val="005558BE"/>
    <w:rsid w:val="00567564"/>
    <w:rsid w:val="0057176F"/>
    <w:rsid w:val="00583B8F"/>
    <w:rsid w:val="00587221"/>
    <w:rsid w:val="005A33B4"/>
    <w:rsid w:val="005B0B00"/>
    <w:rsid w:val="005C54C1"/>
    <w:rsid w:val="005C5833"/>
    <w:rsid w:val="005D3D50"/>
    <w:rsid w:val="005D41C0"/>
    <w:rsid w:val="005D4430"/>
    <w:rsid w:val="005D45F8"/>
    <w:rsid w:val="005D4977"/>
    <w:rsid w:val="005F2B4E"/>
    <w:rsid w:val="00600550"/>
    <w:rsid w:val="0060552F"/>
    <w:rsid w:val="006160D6"/>
    <w:rsid w:val="00620227"/>
    <w:rsid w:val="006244D0"/>
    <w:rsid w:val="006266B4"/>
    <w:rsid w:val="0063472D"/>
    <w:rsid w:val="0063601E"/>
    <w:rsid w:val="00640B6A"/>
    <w:rsid w:val="00646D96"/>
    <w:rsid w:val="00647DF7"/>
    <w:rsid w:val="00660A82"/>
    <w:rsid w:val="00660ECA"/>
    <w:rsid w:val="00666F1C"/>
    <w:rsid w:val="00674BC1"/>
    <w:rsid w:val="00687731"/>
    <w:rsid w:val="006903CF"/>
    <w:rsid w:val="006967A5"/>
    <w:rsid w:val="006A54AC"/>
    <w:rsid w:val="006A766D"/>
    <w:rsid w:val="006B43AA"/>
    <w:rsid w:val="006C3E88"/>
    <w:rsid w:val="006C7C5E"/>
    <w:rsid w:val="006D3A7F"/>
    <w:rsid w:val="006E72E8"/>
    <w:rsid w:val="0070330E"/>
    <w:rsid w:val="00704620"/>
    <w:rsid w:val="0070666D"/>
    <w:rsid w:val="007134F0"/>
    <w:rsid w:val="00715C1D"/>
    <w:rsid w:val="0072569C"/>
    <w:rsid w:val="007262C2"/>
    <w:rsid w:val="00733097"/>
    <w:rsid w:val="007359AA"/>
    <w:rsid w:val="00737256"/>
    <w:rsid w:val="00740D07"/>
    <w:rsid w:val="00751064"/>
    <w:rsid w:val="00755EF7"/>
    <w:rsid w:val="00756EF1"/>
    <w:rsid w:val="007605F1"/>
    <w:rsid w:val="00763421"/>
    <w:rsid w:val="00772B1C"/>
    <w:rsid w:val="00792F9B"/>
    <w:rsid w:val="00793420"/>
    <w:rsid w:val="007A664D"/>
    <w:rsid w:val="007C227E"/>
    <w:rsid w:val="007C31C5"/>
    <w:rsid w:val="007C73C3"/>
    <w:rsid w:val="007E2358"/>
    <w:rsid w:val="007F439F"/>
    <w:rsid w:val="007F4AF6"/>
    <w:rsid w:val="0080066E"/>
    <w:rsid w:val="00811226"/>
    <w:rsid w:val="00814276"/>
    <w:rsid w:val="00814383"/>
    <w:rsid w:val="008240BD"/>
    <w:rsid w:val="00824A76"/>
    <w:rsid w:val="008261EA"/>
    <w:rsid w:val="0083124B"/>
    <w:rsid w:val="00837FCF"/>
    <w:rsid w:val="00844B73"/>
    <w:rsid w:val="00860BC5"/>
    <w:rsid w:val="00862203"/>
    <w:rsid w:val="008626B2"/>
    <w:rsid w:val="008652A7"/>
    <w:rsid w:val="00866782"/>
    <w:rsid w:val="008723E3"/>
    <w:rsid w:val="0087319A"/>
    <w:rsid w:val="00874E1F"/>
    <w:rsid w:val="008775D7"/>
    <w:rsid w:val="008877EE"/>
    <w:rsid w:val="00890AF1"/>
    <w:rsid w:val="008945F8"/>
    <w:rsid w:val="0089623A"/>
    <w:rsid w:val="008A1E2C"/>
    <w:rsid w:val="008A40CF"/>
    <w:rsid w:val="008A6E8D"/>
    <w:rsid w:val="008B40D9"/>
    <w:rsid w:val="008B4C48"/>
    <w:rsid w:val="008B7AA7"/>
    <w:rsid w:val="008C196C"/>
    <w:rsid w:val="008D2628"/>
    <w:rsid w:val="008E2850"/>
    <w:rsid w:val="008F6B21"/>
    <w:rsid w:val="00900571"/>
    <w:rsid w:val="0090174C"/>
    <w:rsid w:val="00903B3F"/>
    <w:rsid w:val="00912328"/>
    <w:rsid w:val="00912CD6"/>
    <w:rsid w:val="0092038B"/>
    <w:rsid w:val="00925419"/>
    <w:rsid w:val="009254F4"/>
    <w:rsid w:val="00931393"/>
    <w:rsid w:val="009338CA"/>
    <w:rsid w:val="009348E7"/>
    <w:rsid w:val="0094354A"/>
    <w:rsid w:val="009464EC"/>
    <w:rsid w:val="00975ED0"/>
    <w:rsid w:val="009804C3"/>
    <w:rsid w:val="0098206F"/>
    <w:rsid w:val="009A39A5"/>
    <w:rsid w:val="009A6073"/>
    <w:rsid w:val="009C689D"/>
    <w:rsid w:val="009D5BFB"/>
    <w:rsid w:val="009E0CCB"/>
    <w:rsid w:val="00A01B14"/>
    <w:rsid w:val="00A139F6"/>
    <w:rsid w:val="00A14493"/>
    <w:rsid w:val="00A1534D"/>
    <w:rsid w:val="00A178B4"/>
    <w:rsid w:val="00A231FA"/>
    <w:rsid w:val="00A23B61"/>
    <w:rsid w:val="00A259A2"/>
    <w:rsid w:val="00A27A6D"/>
    <w:rsid w:val="00A3584D"/>
    <w:rsid w:val="00A514FC"/>
    <w:rsid w:val="00A65FDC"/>
    <w:rsid w:val="00A7290C"/>
    <w:rsid w:val="00A73DC0"/>
    <w:rsid w:val="00A83E1C"/>
    <w:rsid w:val="00A85729"/>
    <w:rsid w:val="00A956C0"/>
    <w:rsid w:val="00AA1930"/>
    <w:rsid w:val="00AA2C08"/>
    <w:rsid w:val="00AA4F0F"/>
    <w:rsid w:val="00AB1A86"/>
    <w:rsid w:val="00AB25AF"/>
    <w:rsid w:val="00AC4896"/>
    <w:rsid w:val="00AD118D"/>
    <w:rsid w:val="00AD175B"/>
    <w:rsid w:val="00AD3597"/>
    <w:rsid w:val="00AD5A72"/>
    <w:rsid w:val="00AE31C3"/>
    <w:rsid w:val="00AE33B4"/>
    <w:rsid w:val="00B13D77"/>
    <w:rsid w:val="00B14F06"/>
    <w:rsid w:val="00B752E2"/>
    <w:rsid w:val="00B876AB"/>
    <w:rsid w:val="00BA1A49"/>
    <w:rsid w:val="00BA29F2"/>
    <w:rsid w:val="00BD0D66"/>
    <w:rsid w:val="00BD4756"/>
    <w:rsid w:val="00BE02D8"/>
    <w:rsid w:val="00BE15F5"/>
    <w:rsid w:val="00BE2940"/>
    <w:rsid w:val="00BE7E32"/>
    <w:rsid w:val="00BF0DE8"/>
    <w:rsid w:val="00C10193"/>
    <w:rsid w:val="00C1276A"/>
    <w:rsid w:val="00C26545"/>
    <w:rsid w:val="00C279FB"/>
    <w:rsid w:val="00C3210E"/>
    <w:rsid w:val="00C34961"/>
    <w:rsid w:val="00C53A21"/>
    <w:rsid w:val="00C65F4A"/>
    <w:rsid w:val="00C6712B"/>
    <w:rsid w:val="00C67C8B"/>
    <w:rsid w:val="00C71798"/>
    <w:rsid w:val="00C74F0A"/>
    <w:rsid w:val="00C9247A"/>
    <w:rsid w:val="00C96B66"/>
    <w:rsid w:val="00CA6E77"/>
    <w:rsid w:val="00CB24AC"/>
    <w:rsid w:val="00CB4323"/>
    <w:rsid w:val="00CB6C05"/>
    <w:rsid w:val="00CB7B26"/>
    <w:rsid w:val="00CC4073"/>
    <w:rsid w:val="00CD2158"/>
    <w:rsid w:val="00CD23C9"/>
    <w:rsid w:val="00CD6515"/>
    <w:rsid w:val="00CE1F00"/>
    <w:rsid w:val="00CE610A"/>
    <w:rsid w:val="00CE6CC5"/>
    <w:rsid w:val="00CF1E58"/>
    <w:rsid w:val="00CF216B"/>
    <w:rsid w:val="00CF283C"/>
    <w:rsid w:val="00CF4E05"/>
    <w:rsid w:val="00D10A4F"/>
    <w:rsid w:val="00D2146B"/>
    <w:rsid w:val="00D2253A"/>
    <w:rsid w:val="00D50686"/>
    <w:rsid w:val="00D51081"/>
    <w:rsid w:val="00D526B8"/>
    <w:rsid w:val="00D53591"/>
    <w:rsid w:val="00D57CFC"/>
    <w:rsid w:val="00D86ACB"/>
    <w:rsid w:val="00D91E49"/>
    <w:rsid w:val="00DA23C8"/>
    <w:rsid w:val="00DA2B10"/>
    <w:rsid w:val="00DA4A88"/>
    <w:rsid w:val="00DB4AA0"/>
    <w:rsid w:val="00DB6EDC"/>
    <w:rsid w:val="00DC3185"/>
    <w:rsid w:val="00DC3726"/>
    <w:rsid w:val="00DD5AE7"/>
    <w:rsid w:val="00DF03B3"/>
    <w:rsid w:val="00DF2721"/>
    <w:rsid w:val="00DF6FCB"/>
    <w:rsid w:val="00DF7862"/>
    <w:rsid w:val="00E054AB"/>
    <w:rsid w:val="00E0702C"/>
    <w:rsid w:val="00E163AF"/>
    <w:rsid w:val="00E25093"/>
    <w:rsid w:val="00E36CE5"/>
    <w:rsid w:val="00E4154F"/>
    <w:rsid w:val="00E44723"/>
    <w:rsid w:val="00E6567C"/>
    <w:rsid w:val="00E80D94"/>
    <w:rsid w:val="00E82C8A"/>
    <w:rsid w:val="00E97847"/>
    <w:rsid w:val="00EA0783"/>
    <w:rsid w:val="00EA21C0"/>
    <w:rsid w:val="00EC57AB"/>
    <w:rsid w:val="00EC6963"/>
    <w:rsid w:val="00ED54D8"/>
    <w:rsid w:val="00ED5736"/>
    <w:rsid w:val="00EF1A85"/>
    <w:rsid w:val="00F10F55"/>
    <w:rsid w:val="00F11E5F"/>
    <w:rsid w:val="00F15F6F"/>
    <w:rsid w:val="00F16C09"/>
    <w:rsid w:val="00F21193"/>
    <w:rsid w:val="00F23EB4"/>
    <w:rsid w:val="00F25973"/>
    <w:rsid w:val="00F303CE"/>
    <w:rsid w:val="00F3237E"/>
    <w:rsid w:val="00F5782D"/>
    <w:rsid w:val="00F60A47"/>
    <w:rsid w:val="00F61069"/>
    <w:rsid w:val="00F66D60"/>
    <w:rsid w:val="00F7125B"/>
    <w:rsid w:val="00F73953"/>
    <w:rsid w:val="00F77138"/>
    <w:rsid w:val="00F77AFF"/>
    <w:rsid w:val="00F85620"/>
    <w:rsid w:val="00F958C0"/>
    <w:rsid w:val="00FA7F2E"/>
    <w:rsid w:val="00FD1D4E"/>
    <w:rsid w:val="00FD59CE"/>
    <w:rsid w:val="00FD5C7A"/>
    <w:rsid w:val="00FE2AFC"/>
    <w:rsid w:val="00FF48C8"/>
    <w:rsid w:val="29951A4F"/>
    <w:rsid w:val="2EC09A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A2689A"/>
  <w15:chartTrackingRefBased/>
  <w15:docId w15:val="{77C284EE-C761-4531-8F59-BB8EA54795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05A2E"/>
    <w:rPr>
      <w:rFonts w:ascii="Times New Roman" w:hAnsi="Times New Roman"/>
      <w:color w:val="000000" w:themeColor="text1"/>
      <w:sz w:val="24"/>
    </w:rPr>
  </w:style>
  <w:style w:type="paragraph" w:styleId="Heading1">
    <w:name w:val="heading 1"/>
    <w:basedOn w:val="Normal"/>
    <w:next w:val="Normal"/>
    <w:link w:val="Heading1Char"/>
    <w:uiPriority w:val="9"/>
    <w:qFormat/>
    <w:rsid w:val="00660EC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F6FCB"/>
    <w:pPr>
      <w:keepNext/>
      <w:keepLines/>
      <w:spacing w:before="40" w:after="0"/>
      <w:jc w:val="center"/>
      <w:outlineLvl w:val="1"/>
    </w:pPr>
    <w:rPr>
      <w:rFonts w:eastAsiaTheme="majorEastAsia" w:cstheme="majorBidi"/>
      <w:szCs w:val="26"/>
    </w:rPr>
  </w:style>
  <w:style w:type="paragraph" w:styleId="Heading3">
    <w:name w:val="heading 3"/>
    <w:basedOn w:val="Normal"/>
    <w:next w:val="Normal"/>
    <w:link w:val="Heading3Char"/>
    <w:uiPriority w:val="9"/>
    <w:unhideWhenUsed/>
    <w:qFormat/>
    <w:rsid w:val="00660ECA"/>
    <w:pPr>
      <w:keepNext/>
      <w:keepLines/>
      <w:spacing w:before="40" w:after="0"/>
      <w:jc w:val="center"/>
      <w:outlineLvl w:val="2"/>
    </w:pPr>
    <w:rPr>
      <w:rFonts w:eastAsiaTheme="majorEastAsia" w:cstheme="majorBidi"/>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792F9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92F9B"/>
    <w:rPr>
      <w:sz w:val="20"/>
      <w:szCs w:val="20"/>
    </w:rPr>
  </w:style>
  <w:style w:type="character" w:styleId="FootnoteReference">
    <w:name w:val="footnote reference"/>
    <w:basedOn w:val="DefaultParagraphFont"/>
    <w:uiPriority w:val="99"/>
    <w:semiHidden/>
    <w:unhideWhenUsed/>
    <w:rsid w:val="00792F9B"/>
    <w:rPr>
      <w:vertAlign w:val="superscript"/>
    </w:rPr>
  </w:style>
  <w:style w:type="paragraph" w:styleId="Header">
    <w:name w:val="header"/>
    <w:basedOn w:val="Normal"/>
    <w:link w:val="HeaderChar"/>
    <w:uiPriority w:val="99"/>
    <w:unhideWhenUsed/>
    <w:rsid w:val="00A139F6"/>
    <w:pPr>
      <w:tabs>
        <w:tab w:val="center" w:pos="4513"/>
        <w:tab w:val="right" w:pos="9026"/>
      </w:tabs>
      <w:spacing w:after="0" w:line="240" w:lineRule="auto"/>
    </w:pPr>
  </w:style>
  <w:style w:type="character" w:customStyle="1" w:styleId="HeaderChar">
    <w:name w:val="Header Char"/>
    <w:basedOn w:val="DefaultParagraphFont"/>
    <w:link w:val="Header"/>
    <w:uiPriority w:val="99"/>
    <w:rsid w:val="00A139F6"/>
  </w:style>
  <w:style w:type="paragraph" w:styleId="Footer">
    <w:name w:val="footer"/>
    <w:basedOn w:val="Normal"/>
    <w:link w:val="FooterChar"/>
    <w:uiPriority w:val="99"/>
    <w:unhideWhenUsed/>
    <w:rsid w:val="00A139F6"/>
    <w:pPr>
      <w:tabs>
        <w:tab w:val="center" w:pos="4513"/>
        <w:tab w:val="right" w:pos="9026"/>
      </w:tabs>
      <w:spacing w:after="0" w:line="240" w:lineRule="auto"/>
    </w:pPr>
  </w:style>
  <w:style w:type="character" w:customStyle="1" w:styleId="FooterChar">
    <w:name w:val="Footer Char"/>
    <w:basedOn w:val="DefaultParagraphFont"/>
    <w:link w:val="Footer"/>
    <w:uiPriority w:val="99"/>
    <w:rsid w:val="00A139F6"/>
  </w:style>
  <w:style w:type="paragraph" w:styleId="ListParagraph">
    <w:name w:val="List Paragraph"/>
    <w:basedOn w:val="Normal"/>
    <w:uiPriority w:val="34"/>
    <w:qFormat/>
    <w:rsid w:val="00F25973"/>
    <w:pPr>
      <w:ind w:left="720"/>
      <w:contextualSpacing/>
    </w:pPr>
  </w:style>
  <w:style w:type="character" w:styleId="CommentReference">
    <w:name w:val="annotation reference"/>
    <w:basedOn w:val="DefaultParagraphFont"/>
    <w:uiPriority w:val="99"/>
    <w:semiHidden/>
    <w:unhideWhenUsed/>
    <w:rsid w:val="0083124B"/>
    <w:rPr>
      <w:sz w:val="16"/>
      <w:szCs w:val="16"/>
    </w:rPr>
  </w:style>
  <w:style w:type="paragraph" w:styleId="CommentText">
    <w:name w:val="annotation text"/>
    <w:basedOn w:val="Normal"/>
    <w:link w:val="CommentTextChar"/>
    <w:uiPriority w:val="99"/>
    <w:semiHidden/>
    <w:unhideWhenUsed/>
    <w:rsid w:val="0083124B"/>
    <w:pPr>
      <w:spacing w:line="240" w:lineRule="auto"/>
    </w:pPr>
    <w:rPr>
      <w:sz w:val="20"/>
      <w:szCs w:val="20"/>
    </w:rPr>
  </w:style>
  <w:style w:type="character" w:customStyle="1" w:styleId="CommentTextChar">
    <w:name w:val="Comment Text Char"/>
    <w:basedOn w:val="DefaultParagraphFont"/>
    <w:link w:val="CommentText"/>
    <w:uiPriority w:val="99"/>
    <w:semiHidden/>
    <w:rsid w:val="0083124B"/>
    <w:rPr>
      <w:sz w:val="20"/>
      <w:szCs w:val="20"/>
    </w:rPr>
  </w:style>
  <w:style w:type="paragraph" w:styleId="BalloonText">
    <w:name w:val="Balloon Text"/>
    <w:basedOn w:val="Normal"/>
    <w:link w:val="BalloonTextChar"/>
    <w:uiPriority w:val="99"/>
    <w:semiHidden/>
    <w:unhideWhenUsed/>
    <w:rsid w:val="0083124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3124B"/>
    <w:rPr>
      <w:rFonts w:ascii="Segoe UI" w:hAnsi="Segoe UI" w:cs="Segoe UI"/>
      <w:sz w:val="18"/>
      <w:szCs w:val="18"/>
    </w:rPr>
  </w:style>
  <w:style w:type="character" w:customStyle="1" w:styleId="Heading2Char">
    <w:name w:val="Heading 2 Char"/>
    <w:basedOn w:val="DefaultParagraphFont"/>
    <w:link w:val="Heading2"/>
    <w:uiPriority w:val="9"/>
    <w:rsid w:val="00DF6FCB"/>
    <w:rPr>
      <w:rFonts w:ascii="Times New Roman" w:eastAsiaTheme="majorEastAsia" w:hAnsi="Times New Roman" w:cstheme="majorBidi"/>
      <w:color w:val="000000" w:themeColor="text1"/>
      <w:sz w:val="24"/>
      <w:szCs w:val="26"/>
    </w:rPr>
  </w:style>
  <w:style w:type="paragraph" w:styleId="Subtitle">
    <w:name w:val="Subtitle"/>
    <w:basedOn w:val="Normal"/>
    <w:next w:val="Normal"/>
    <w:link w:val="SubtitleChar"/>
    <w:uiPriority w:val="11"/>
    <w:qFormat/>
    <w:rsid w:val="00660ECA"/>
    <w:pPr>
      <w:numPr>
        <w:ilvl w:val="1"/>
      </w:numPr>
      <w:jc w:val="center"/>
    </w:pPr>
    <w:rPr>
      <w:rFonts w:eastAsiaTheme="minorEastAsia"/>
      <w:spacing w:val="15"/>
    </w:rPr>
  </w:style>
  <w:style w:type="character" w:customStyle="1" w:styleId="SubtitleChar">
    <w:name w:val="Subtitle Char"/>
    <w:basedOn w:val="DefaultParagraphFont"/>
    <w:link w:val="Subtitle"/>
    <w:uiPriority w:val="11"/>
    <w:rsid w:val="00660ECA"/>
    <w:rPr>
      <w:rFonts w:ascii="Times New Roman" w:eastAsiaTheme="minorEastAsia" w:hAnsi="Times New Roman"/>
      <w:color w:val="000000" w:themeColor="text1"/>
      <w:spacing w:val="15"/>
    </w:rPr>
  </w:style>
  <w:style w:type="character" w:customStyle="1" w:styleId="Heading3Char">
    <w:name w:val="Heading 3 Char"/>
    <w:basedOn w:val="DefaultParagraphFont"/>
    <w:link w:val="Heading3"/>
    <w:uiPriority w:val="9"/>
    <w:rsid w:val="00660ECA"/>
    <w:rPr>
      <w:rFonts w:ascii="Times New Roman" w:eastAsiaTheme="majorEastAsia" w:hAnsi="Times New Roman" w:cstheme="majorBidi"/>
      <w:color w:val="000000" w:themeColor="text1"/>
      <w:sz w:val="24"/>
      <w:szCs w:val="24"/>
    </w:rPr>
  </w:style>
  <w:style w:type="character" w:customStyle="1" w:styleId="Heading1Char">
    <w:name w:val="Heading 1 Char"/>
    <w:basedOn w:val="DefaultParagraphFont"/>
    <w:link w:val="Heading1"/>
    <w:uiPriority w:val="9"/>
    <w:rsid w:val="00660EC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60ECA"/>
    <w:pPr>
      <w:outlineLvl w:val="9"/>
    </w:pPr>
    <w:rPr>
      <w:lang w:val="en-US"/>
    </w:rPr>
  </w:style>
  <w:style w:type="paragraph" w:styleId="TOC2">
    <w:name w:val="toc 2"/>
    <w:basedOn w:val="Normal"/>
    <w:next w:val="Normal"/>
    <w:autoRedefine/>
    <w:uiPriority w:val="39"/>
    <w:unhideWhenUsed/>
    <w:rsid w:val="00660ECA"/>
    <w:pPr>
      <w:spacing w:after="100"/>
      <w:ind w:left="220"/>
    </w:pPr>
  </w:style>
  <w:style w:type="paragraph" w:styleId="TOC3">
    <w:name w:val="toc 3"/>
    <w:basedOn w:val="Normal"/>
    <w:next w:val="Normal"/>
    <w:autoRedefine/>
    <w:uiPriority w:val="39"/>
    <w:unhideWhenUsed/>
    <w:rsid w:val="00660ECA"/>
    <w:pPr>
      <w:spacing w:after="100"/>
      <w:ind w:left="440"/>
    </w:pPr>
  </w:style>
  <w:style w:type="character" w:styleId="Hyperlink">
    <w:name w:val="Hyperlink"/>
    <w:basedOn w:val="DefaultParagraphFont"/>
    <w:uiPriority w:val="99"/>
    <w:unhideWhenUsed/>
    <w:rsid w:val="00660ECA"/>
    <w:rPr>
      <w:color w:val="0563C1" w:themeColor="hyperlink"/>
      <w:u w:val="single"/>
    </w:rPr>
  </w:style>
  <w:style w:type="character" w:customStyle="1" w:styleId="UnresolvedMention">
    <w:name w:val="Unresolved Mention"/>
    <w:basedOn w:val="DefaultParagraphFont"/>
    <w:uiPriority w:val="99"/>
    <w:semiHidden/>
    <w:unhideWhenUsed/>
    <w:rsid w:val="0014348E"/>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90412740">
      <w:bodyDiv w:val="1"/>
      <w:marLeft w:val="0"/>
      <w:marRight w:val="0"/>
      <w:marTop w:val="0"/>
      <w:marBottom w:val="0"/>
      <w:divBdr>
        <w:top w:val="none" w:sz="0" w:space="0" w:color="auto"/>
        <w:left w:val="none" w:sz="0" w:space="0" w:color="auto"/>
        <w:bottom w:val="none" w:sz="0" w:space="0" w:color="auto"/>
        <w:right w:val="none" w:sz="0" w:space="0" w:color="auto"/>
      </w:divBdr>
    </w:div>
    <w:div w:id="20279731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F461510-E3A6-46A0-88DC-0E851003BE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117</TotalTime>
  <Pages>38</Pages>
  <Words>9055</Words>
  <Characters>49262</Characters>
  <Application>Microsoft Office Word</Application>
  <DocSecurity>0</DocSecurity>
  <Lines>746</Lines>
  <Paragraphs>141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58176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Hills (1500845)</dc:creator>
  <cp:keywords/>
  <dc:description/>
  <cp:lastModifiedBy>Thomas Hills (1500845)</cp:lastModifiedBy>
  <cp:revision>40</cp:revision>
  <cp:lastPrinted>2018-05-11T10:02:00Z</cp:lastPrinted>
  <dcterms:created xsi:type="dcterms:W3CDTF">2018-05-11T07:19:00Z</dcterms:created>
  <dcterms:modified xsi:type="dcterms:W3CDTF">2018-05-11T10:06:00Z</dcterms:modified>
</cp:coreProperties>
</file>