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BEA34" w14:textId="77777777" w:rsidR="00595154" w:rsidRDefault="00595154" w:rsidP="00943234">
      <w:pPr>
        <w:spacing w:line="360" w:lineRule="auto"/>
        <w:jc w:val="center"/>
        <w:rPr>
          <w:rFonts w:ascii="Arial" w:hAnsi="Arial" w:cs="Arial"/>
          <w:sz w:val="22"/>
          <w:szCs w:val="22"/>
        </w:rPr>
      </w:pPr>
    </w:p>
    <w:p w14:paraId="1104BCD6" w14:textId="77777777" w:rsidR="00595154" w:rsidRDefault="00595154" w:rsidP="00943234">
      <w:pPr>
        <w:spacing w:line="360" w:lineRule="auto"/>
        <w:jc w:val="center"/>
        <w:rPr>
          <w:rFonts w:ascii="Arial" w:hAnsi="Arial" w:cs="Arial"/>
          <w:sz w:val="22"/>
          <w:szCs w:val="22"/>
        </w:rPr>
      </w:pPr>
    </w:p>
    <w:p w14:paraId="7DCD1F73" w14:textId="77777777" w:rsidR="00595154" w:rsidRPr="00943234" w:rsidRDefault="00943234" w:rsidP="00943234">
      <w:pPr>
        <w:spacing w:line="360" w:lineRule="auto"/>
        <w:jc w:val="center"/>
        <w:rPr>
          <w:rFonts w:ascii="Arial" w:hAnsi="Arial" w:cs="Arial"/>
          <w:b/>
          <w:bCs/>
          <w:sz w:val="22"/>
          <w:szCs w:val="22"/>
        </w:rPr>
      </w:pPr>
      <w:r w:rsidRPr="00943234">
        <w:rPr>
          <w:rFonts w:ascii="Arial" w:hAnsi="Arial" w:cs="Arial"/>
          <w:b/>
          <w:bCs/>
          <w:sz w:val="22"/>
          <w:szCs w:val="22"/>
        </w:rPr>
        <w:t>CERTIFICATE OF HIGHER EDUCATION SKILLS FOR THE WORKPLACE (HEALTH &amp;</w:t>
      </w:r>
      <w:r>
        <w:rPr>
          <w:rFonts w:ascii="Arial" w:hAnsi="Arial" w:cs="Arial"/>
          <w:b/>
          <w:bCs/>
          <w:sz w:val="22"/>
          <w:szCs w:val="22"/>
        </w:rPr>
        <w:t xml:space="preserve"> </w:t>
      </w:r>
      <w:r w:rsidRPr="00943234">
        <w:rPr>
          <w:rFonts w:ascii="Arial" w:hAnsi="Arial" w:cs="Arial"/>
          <w:b/>
          <w:bCs/>
          <w:sz w:val="22"/>
          <w:szCs w:val="22"/>
        </w:rPr>
        <w:t>SOCIAL</w:t>
      </w:r>
      <w:r>
        <w:rPr>
          <w:rFonts w:ascii="Arial" w:hAnsi="Arial" w:cs="Arial"/>
          <w:b/>
          <w:bCs/>
          <w:sz w:val="22"/>
          <w:szCs w:val="22"/>
        </w:rPr>
        <w:t xml:space="preserve"> </w:t>
      </w:r>
      <w:r w:rsidRPr="00943234">
        <w:rPr>
          <w:rFonts w:ascii="Arial" w:hAnsi="Arial" w:cs="Arial"/>
          <w:b/>
          <w:bCs/>
          <w:sz w:val="22"/>
          <w:szCs w:val="22"/>
        </w:rPr>
        <w:t>CARE)</w:t>
      </w:r>
    </w:p>
    <w:p w14:paraId="413C8A72" w14:textId="77777777" w:rsidR="00AA1855" w:rsidRDefault="00AA1855" w:rsidP="00943234">
      <w:pPr>
        <w:spacing w:line="360" w:lineRule="auto"/>
        <w:jc w:val="center"/>
        <w:rPr>
          <w:rFonts w:ascii="Arial" w:hAnsi="Arial" w:cs="Arial"/>
          <w:b/>
          <w:bCs/>
          <w:sz w:val="22"/>
          <w:szCs w:val="22"/>
        </w:rPr>
      </w:pPr>
      <w:r w:rsidRPr="00AA1855">
        <w:rPr>
          <w:rFonts w:ascii="Arial" w:hAnsi="Arial" w:cs="Arial"/>
          <w:b/>
          <w:bCs/>
          <w:sz w:val="22"/>
          <w:szCs w:val="22"/>
        </w:rPr>
        <w:t>Introduction to Health and Social Care</w:t>
      </w:r>
    </w:p>
    <w:p w14:paraId="4A980111" w14:textId="77777777" w:rsidR="00AA1855" w:rsidRDefault="00943234" w:rsidP="00943234">
      <w:pPr>
        <w:spacing w:line="360" w:lineRule="auto"/>
        <w:jc w:val="center"/>
        <w:rPr>
          <w:rFonts w:ascii="Arial" w:hAnsi="Arial" w:cs="Arial"/>
          <w:b/>
          <w:bCs/>
          <w:sz w:val="22"/>
          <w:szCs w:val="22"/>
        </w:rPr>
      </w:pPr>
      <w:r w:rsidRPr="00943234">
        <w:rPr>
          <w:rFonts w:ascii="Arial" w:hAnsi="Arial" w:cs="Arial"/>
          <w:b/>
          <w:bCs/>
          <w:sz w:val="22"/>
          <w:szCs w:val="22"/>
        </w:rPr>
        <w:t>LCHS4003</w:t>
      </w:r>
    </w:p>
    <w:p w14:paraId="446DD838" w14:textId="77777777" w:rsidR="00943234" w:rsidRDefault="00943234" w:rsidP="00943234">
      <w:pPr>
        <w:spacing w:line="360" w:lineRule="auto"/>
        <w:jc w:val="center"/>
        <w:rPr>
          <w:rFonts w:ascii="Arial" w:hAnsi="Arial" w:cs="Arial"/>
          <w:b/>
          <w:bCs/>
          <w:sz w:val="22"/>
          <w:szCs w:val="22"/>
        </w:rPr>
      </w:pPr>
    </w:p>
    <w:p w14:paraId="450CBD87" w14:textId="77777777" w:rsidR="00943234" w:rsidRDefault="00943234" w:rsidP="00943234">
      <w:pPr>
        <w:spacing w:line="360" w:lineRule="auto"/>
        <w:jc w:val="center"/>
        <w:rPr>
          <w:rFonts w:ascii="Arial" w:hAnsi="Arial" w:cs="Arial"/>
          <w:b/>
          <w:bCs/>
          <w:sz w:val="22"/>
          <w:szCs w:val="22"/>
        </w:rPr>
      </w:pPr>
    </w:p>
    <w:p w14:paraId="14CFAE13" w14:textId="77777777" w:rsidR="00943234" w:rsidRDefault="00943234" w:rsidP="00943234">
      <w:pPr>
        <w:spacing w:line="360" w:lineRule="auto"/>
        <w:jc w:val="center"/>
        <w:rPr>
          <w:rFonts w:ascii="Arial" w:hAnsi="Arial" w:cs="Arial"/>
          <w:b/>
          <w:bCs/>
          <w:sz w:val="22"/>
          <w:szCs w:val="22"/>
        </w:rPr>
      </w:pPr>
    </w:p>
    <w:p w14:paraId="7E55D40F" w14:textId="6E5D6D13" w:rsidR="00943234" w:rsidRDefault="00943234" w:rsidP="00943234">
      <w:pPr>
        <w:spacing w:line="360" w:lineRule="auto"/>
        <w:jc w:val="center"/>
        <w:rPr>
          <w:rFonts w:ascii="Arial" w:hAnsi="Arial" w:cs="Arial"/>
          <w:b/>
          <w:bCs/>
          <w:sz w:val="22"/>
          <w:szCs w:val="22"/>
        </w:rPr>
      </w:pPr>
      <w:r>
        <w:rPr>
          <w:rFonts w:ascii="Arial" w:hAnsi="Arial" w:cs="Arial"/>
          <w:b/>
          <w:bCs/>
          <w:sz w:val="22"/>
          <w:szCs w:val="22"/>
        </w:rPr>
        <w:t>Student Name:</w:t>
      </w:r>
      <w:r w:rsidR="00C64109">
        <w:rPr>
          <w:rFonts w:ascii="Arial" w:hAnsi="Arial" w:cs="Arial"/>
          <w:b/>
          <w:bCs/>
          <w:sz w:val="22"/>
          <w:szCs w:val="22"/>
        </w:rPr>
        <w:t xml:space="preserve"> Ajibola Moses Owoolapo</w:t>
      </w:r>
    </w:p>
    <w:p w14:paraId="3DB53664" w14:textId="1C0D7CBF" w:rsidR="00943234" w:rsidRDefault="00943234" w:rsidP="00943234">
      <w:pPr>
        <w:spacing w:line="360" w:lineRule="auto"/>
        <w:jc w:val="center"/>
        <w:rPr>
          <w:rFonts w:ascii="Arial" w:hAnsi="Arial" w:cs="Arial"/>
          <w:b/>
          <w:bCs/>
          <w:sz w:val="22"/>
          <w:szCs w:val="22"/>
        </w:rPr>
      </w:pPr>
      <w:r>
        <w:rPr>
          <w:rFonts w:ascii="Arial" w:hAnsi="Arial" w:cs="Arial"/>
          <w:b/>
          <w:bCs/>
          <w:sz w:val="22"/>
          <w:szCs w:val="22"/>
        </w:rPr>
        <w:t>Student ID:</w:t>
      </w:r>
      <w:r w:rsidR="00C64109">
        <w:rPr>
          <w:rFonts w:ascii="Arial" w:hAnsi="Arial" w:cs="Arial"/>
          <w:b/>
          <w:bCs/>
          <w:sz w:val="22"/>
          <w:szCs w:val="22"/>
        </w:rPr>
        <w:t xml:space="preserve"> 25</w:t>
      </w:r>
      <w:r w:rsidR="00C311CD">
        <w:rPr>
          <w:rFonts w:ascii="Arial" w:hAnsi="Arial" w:cs="Arial"/>
          <w:b/>
          <w:bCs/>
          <w:sz w:val="22"/>
          <w:szCs w:val="22"/>
        </w:rPr>
        <w:t>15876</w:t>
      </w:r>
    </w:p>
    <w:p w14:paraId="6BF46661" w14:textId="77777777" w:rsidR="00595154" w:rsidRDefault="00595154" w:rsidP="00595154">
      <w:pPr>
        <w:spacing w:line="360" w:lineRule="auto"/>
        <w:jc w:val="both"/>
        <w:rPr>
          <w:rFonts w:ascii="Arial" w:hAnsi="Arial" w:cs="Arial"/>
          <w:sz w:val="22"/>
          <w:szCs w:val="22"/>
        </w:rPr>
      </w:pPr>
    </w:p>
    <w:p w14:paraId="1A087F17" w14:textId="77777777" w:rsidR="00595154" w:rsidRDefault="00595154" w:rsidP="00595154">
      <w:pPr>
        <w:spacing w:line="360" w:lineRule="auto"/>
        <w:jc w:val="both"/>
        <w:rPr>
          <w:rFonts w:ascii="Arial" w:hAnsi="Arial" w:cs="Arial"/>
          <w:sz w:val="22"/>
          <w:szCs w:val="22"/>
        </w:rPr>
      </w:pPr>
    </w:p>
    <w:p w14:paraId="530065E7" w14:textId="77777777" w:rsidR="00595154" w:rsidRDefault="00595154" w:rsidP="00595154">
      <w:pPr>
        <w:spacing w:line="360" w:lineRule="auto"/>
        <w:jc w:val="both"/>
        <w:rPr>
          <w:rFonts w:ascii="Arial" w:hAnsi="Arial" w:cs="Arial"/>
          <w:sz w:val="22"/>
          <w:szCs w:val="22"/>
        </w:rPr>
      </w:pPr>
    </w:p>
    <w:p w14:paraId="515232DF" w14:textId="77777777" w:rsidR="00595154" w:rsidRDefault="00595154" w:rsidP="00595154">
      <w:pPr>
        <w:spacing w:line="360" w:lineRule="auto"/>
        <w:jc w:val="both"/>
        <w:rPr>
          <w:rFonts w:ascii="Arial" w:hAnsi="Arial" w:cs="Arial"/>
          <w:sz w:val="22"/>
          <w:szCs w:val="22"/>
        </w:rPr>
      </w:pPr>
    </w:p>
    <w:p w14:paraId="59767AB0" w14:textId="77777777" w:rsidR="00595154" w:rsidRDefault="00595154" w:rsidP="00595154">
      <w:pPr>
        <w:spacing w:line="360" w:lineRule="auto"/>
        <w:jc w:val="both"/>
        <w:rPr>
          <w:rFonts w:ascii="Arial" w:hAnsi="Arial" w:cs="Arial"/>
          <w:sz w:val="22"/>
          <w:szCs w:val="22"/>
        </w:rPr>
      </w:pPr>
    </w:p>
    <w:p w14:paraId="314D9E6F" w14:textId="77777777" w:rsidR="00595154" w:rsidRDefault="00595154" w:rsidP="00595154">
      <w:pPr>
        <w:spacing w:line="360" w:lineRule="auto"/>
        <w:jc w:val="both"/>
        <w:rPr>
          <w:rFonts w:ascii="Arial" w:hAnsi="Arial" w:cs="Arial"/>
          <w:sz w:val="22"/>
          <w:szCs w:val="22"/>
        </w:rPr>
      </w:pPr>
    </w:p>
    <w:p w14:paraId="09C3E2C4" w14:textId="77777777" w:rsidR="00595154" w:rsidRDefault="00595154" w:rsidP="00595154">
      <w:pPr>
        <w:spacing w:line="360" w:lineRule="auto"/>
        <w:jc w:val="both"/>
        <w:rPr>
          <w:rFonts w:ascii="Arial" w:hAnsi="Arial" w:cs="Arial"/>
          <w:sz w:val="22"/>
          <w:szCs w:val="22"/>
        </w:rPr>
      </w:pPr>
    </w:p>
    <w:p w14:paraId="3ADF35E5" w14:textId="77777777" w:rsidR="00595154" w:rsidRDefault="00595154" w:rsidP="00595154">
      <w:pPr>
        <w:spacing w:line="360" w:lineRule="auto"/>
        <w:jc w:val="both"/>
        <w:rPr>
          <w:rFonts w:ascii="Arial" w:hAnsi="Arial" w:cs="Arial"/>
          <w:sz w:val="22"/>
          <w:szCs w:val="22"/>
        </w:rPr>
      </w:pPr>
    </w:p>
    <w:p w14:paraId="202370FA" w14:textId="77777777" w:rsidR="00595154" w:rsidRDefault="00595154" w:rsidP="00595154">
      <w:pPr>
        <w:spacing w:line="360" w:lineRule="auto"/>
        <w:jc w:val="both"/>
        <w:rPr>
          <w:rFonts w:ascii="Arial" w:hAnsi="Arial" w:cs="Arial"/>
          <w:sz w:val="22"/>
          <w:szCs w:val="22"/>
        </w:rPr>
      </w:pPr>
    </w:p>
    <w:p w14:paraId="0AB1F80C" w14:textId="77777777" w:rsidR="00595154" w:rsidRDefault="00595154" w:rsidP="00595154">
      <w:pPr>
        <w:spacing w:line="360" w:lineRule="auto"/>
        <w:jc w:val="both"/>
        <w:rPr>
          <w:rFonts w:ascii="Arial" w:hAnsi="Arial" w:cs="Arial"/>
          <w:sz w:val="22"/>
          <w:szCs w:val="22"/>
        </w:rPr>
      </w:pPr>
    </w:p>
    <w:p w14:paraId="688593F0" w14:textId="77777777" w:rsidR="00595154" w:rsidRDefault="00595154" w:rsidP="00595154">
      <w:pPr>
        <w:spacing w:line="360" w:lineRule="auto"/>
        <w:jc w:val="both"/>
        <w:rPr>
          <w:rFonts w:ascii="Arial" w:hAnsi="Arial" w:cs="Arial"/>
          <w:sz w:val="22"/>
          <w:szCs w:val="22"/>
        </w:rPr>
      </w:pPr>
    </w:p>
    <w:p w14:paraId="67894523" w14:textId="77777777" w:rsidR="00595154" w:rsidRDefault="00595154" w:rsidP="00595154">
      <w:pPr>
        <w:spacing w:line="360" w:lineRule="auto"/>
        <w:jc w:val="both"/>
        <w:rPr>
          <w:rFonts w:ascii="Arial" w:hAnsi="Arial" w:cs="Arial"/>
          <w:sz w:val="22"/>
          <w:szCs w:val="22"/>
        </w:rPr>
      </w:pPr>
    </w:p>
    <w:p w14:paraId="182E3F96" w14:textId="77777777" w:rsidR="00595154" w:rsidRDefault="00595154" w:rsidP="00595154">
      <w:pPr>
        <w:spacing w:line="360" w:lineRule="auto"/>
        <w:jc w:val="both"/>
        <w:rPr>
          <w:rFonts w:ascii="Arial" w:hAnsi="Arial" w:cs="Arial"/>
          <w:sz w:val="22"/>
          <w:szCs w:val="22"/>
        </w:rPr>
      </w:pPr>
    </w:p>
    <w:p w14:paraId="414A183C" w14:textId="77777777" w:rsidR="00595154" w:rsidRDefault="00595154" w:rsidP="00595154">
      <w:pPr>
        <w:spacing w:line="360" w:lineRule="auto"/>
        <w:jc w:val="both"/>
        <w:rPr>
          <w:rFonts w:ascii="Arial" w:hAnsi="Arial" w:cs="Arial"/>
          <w:sz w:val="22"/>
          <w:szCs w:val="22"/>
        </w:rPr>
      </w:pPr>
    </w:p>
    <w:p w14:paraId="52909F38" w14:textId="77777777" w:rsidR="00595154" w:rsidRDefault="00595154" w:rsidP="00595154">
      <w:pPr>
        <w:spacing w:line="360" w:lineRule="auto"/>
        <w:jc w:val="both"/>
        <w:rPr>
          <w:rFonts w:ascii="Arial" w:hAnsi="Arial" w:cs="Arial"/>
          <w:sz w:val="22"/>
          <w:szCs w:val="22"/>
        </w:rPr>
      </w:pPr>
    </w:p>
    <w:p w14:paraId="113916FD" w14:textId="77777777" w:rsidR="00595154" w:rsidRDefault="00193851" w:rsidP="00341B2E">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7067E99A" wp14:editId="5D79B327">
            <wp:extent cx="5731510" cy="8128000"/>
            <wp:effectExtent l="0" t="0" r="0" b="0"/>
            <wp:docPr id="922389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389494" name="Picture 922389494"/>
                    <pic:cNvPicPr/>
                  </pic:nvPicPr>
                  <pic:blipFill>
                    <a:blip r:embed="rId7">
                      <a:extLst>
                        <a:ext uri="{28A0092B-C50C-407E-A947-70E740481C1C}">
                          <a14:useLocalDpi xmlns:a14="http://schemas.microsoft.com/office/drawing/2010/main" val="0"/>
                        </a:ext>
                      </a:extLst>
                    </a:blip>
                    <a:stretch>
                      <a:fillRect/>
                    </a:stretch>
                  </pic:blipFill>
                  <pic:spPr>
                    <a:xfrm>
                      <a:off x="0" y="0"/>
                      <a:ext cx="5731510" cy="8128000"/>
                    </a:xfrm>
                    <a:prstGeom prst="rect">
                      <a:avLst/>
                    </a:prstGeom>
                  </pic:spPr>
                </pic:pic>
              </a:graphicData>
            </a:graphic>
          </wp:inline>
        </w:drawing>
      </w:r>
    </w:p>
    <w:p w14:paraId="5633B41C" w14:textId="77777777" w:rsidR="00595154" w:rsidRDefault="00595154" w:rsidP="00595154">
      <w:pPr>
        <w:spacing w:line="360" w:lineRule="auto"/>
        <w:jc w:val="both"/>
        <w:rPr>
          <w:rFonts w:ascii="Arial" w:hAnsi="Arial" w:cs="Arial"/>
          <w:sz w:val="22"/>
          <w:szCs w:val="22"/>
        </w:rPr>
      </w:pPr>
    </w:p>
    <w:p w14:paraId="18918BF6" w14:textId="77777777" w:rsidR="00595154" w:rsidRDefault="00595154" w:rsidP="00595154">
      <w:pPr>
        <w:spacing w:line="360" w:lineRule="auto"/>
        <w:jc w:val="both"/>
        <w:rPr>
          <w:rFonts w:ascii="Arial" w:hAnsi="Arial" w:cs="Arial"/>
          <w:sz w:val="22"/>
          <w:szCs w:val="22"/>
        </w:rPr>
      </w:pPr>
    </w:p>
    <w:p w14:paraId="22B32486" w14:textId="77777777" w:rsidR="00595154" w:rsidRDefault="00193851" w:rsidP="00341B2E">
      <w:pPr>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20DAC2E6" wp14:editId="0373C255">
            <wp:extent cx="5731510" cy="8031480"/>
            <wp:effectExtent l="0" t="0" r="0" b="0"/>
            <wp:docPr id="4493907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90787" name="Picture 449390787"/>
                    <pic:cNvPicPr/>
                  </pic:nvPicPr>
                  <pic:blipFill>
                    <a:blip r:embed="rId8">
                      <a:extLst>
                        <a:ext uri="{28A0092B-C50C-407E-A947-70E740481C1C}">
                          <a14:useLocalDpi xmlns:a14="http://schemas.microsoft.com/office/drawing/2010/main" val="0"/>
                        </a:ext>
                      </a:extLst>
                    </a:blip>
                    <a:stretch>
                      <a:fillRect/>
                    </a:stretch>
                  </pic:blipFill>
                  <pic:spPr>
                    <a:xfrm>
                      <a:off x="0" y="0"/>
                      <a:ext cx="5731510" cy="8031480"/>
                    </a:xfrm>
                    <a:prstGeom prst="rect">
                      <a:avLst/>
                    </a:prstGeom>
                  </pic:spPr>
                </pic:pic>
              </a:graphicData>
            </a:graphic>
          </wp:inline>
        </w:drawing>
      </w:r>
    </w:p>
    <w:p w14:paraId="4D8CFF72" w14:textId="77777777" w:rsidR="00193851" w:rsidRPr="00595154" w:rsidRDefault="00193851" w:rsidP="00595154">
      <w:pPr>
        <w:spacing w:line="360" w:lineRule="auto"/>
        <w:jc w:val="both"/>
        <w:rPr>
          <w:rFonts w:ascii="Arial" w:hAnsi="Arial" w:cs="Arial"/>
          <w:sz w:val="22"/>
          <w:szCs w:val="22"/>
        </w:rPr>
      </w:pPr>
    </w:p>
    <w:p w14:paraId="35309F4B" w14:textId="77777777" w:rsidR="00595154" w:rsidRPr="00595154" w:rsidRDefault="00595154" w:rsidP="00595154">
      <w:pPr>
        <w:spacing w:line="360" w:lineRule="auto"/>
        <w:jc w:val="center"/>
        <w:rPr>
          <w:rFonts w:ascii="Arial" w:hAnsi="Arial" w:cs="Arial"/>
          <w:b/>
          <w:bCs/>
          <w:sz w:val="22"/>
          <w:szCs w:val="22"/>
        </w:rPr>
      </w:pPr>
      <w:r w:rsidRPr="00595154">
        <w:rPr>
          <w:rFonts w:ascii="Arial" w:hAnsi="Arial" w:cs="Arial"/>
          <w:b/>
          <w:bCs/>
          <w:sz w:val="22"/>
          <w:szCs w:val="22"/>
        </w:rPr>
        <w:lastRenderedPageBreak/>
        <w:t>RESIDENTIAL CARE HOMES IN ENGLAND: DEVELOPMENT, FUNCTION AND IMPACT ON QUALITY OF LIFE</w:t>
      </w:r>
    </w:p>
    <w:p w14:paraId="255BC2C9" w14:textId="77777777" w:rsidR="00595154" w:rsidRPr="00595154" w:rsidRDefault="00595154" w:rsidP="00595154">
      <w:pPr>
        <w:spacing w:line="360" w:lineRule="auto"/>
        <w:jc w:val="both"/>
        <w:rPr>
          <w:rFonts w:ascii="Arial" w:hAnsi="Arial" w:cs="Arial"/>
          <w:b/>
          <w:bCs/>
          <w:sz w:val="22"/>
          <w:szCs w:val="22"/>
        </w:rPr>
      </w:pPr>
      <w:r w:rsidRPr="00595154">
        <w:rPr>
          <w:rFonts w:ascii="Arial" w:hAnsi="Arial" w:cs="Arial"/>
          <w:b/>
          <w:bCs/>
          <w:sz w:val="22"/>
          <w:szCs w:val="22"/>
        </w:rPr>
        <w:t>Introduction</w:t>
      </w:r>
    </w:p>
    <w:p w14:paraId="4C4C57E2"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Residential care homes are available to offer 24-hour care and support to adult residents whose needs are no longer safe to be accommodated independently or in the community (O’Neill et al., 2020). Their current role is not just about dependency; the expectation is that care will help to maintain autonomy, dignity and meaningful relationships. This essay assesses the historical reform that led to this person-centred model, and investigates whether this model of service is viable in the present pressure to provide service.</w:t>
      </w:r>
    </w:p>
    <w:p w14:paraId="27D46227" w14:textId="77777777" w:rsidR="00595154" w:rsidRPr="00595154" w:rsidRDefault="00595154" w:rsidP="00595154">
      <w:pPr>
        <w:spacing w:line="360" w:lineRule="auto"/>
        <w:jc w:val="both"/>
        <w:rPr>
          <w:rFonts w:ascii="Arial" w:hAnsi="Arial" w:cs="Arial"/>
          <w:b/>
          <w:bCs/>
          <w:sz w:val="22"/>
          <w:szCs w:val="22"/>
        </w:rPr>
      </w:pPr>
      <w:r w:rsidRPr="00595154">
        <w:rPr>
          <w:rFonts w:ascii="Arial" w:hAnsi="Arial" w:cs="Arial"/>
          <w:b/>
          <w:bCs/>
          <w:sz w:val="22"/>
          <w:szCs w:val="22"/>
        </w:rPr>
        <w:t>Historical Development</w:t>
      </w:r>
    </w:p>
    <w:p w14:paraId="19C63EF9"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 xml:space="preserve">Residential care emerged from a system that was traditionally linked to institutional care and dependency. The National Assistance Act 1948 was a significant development as it transferred duties to local authorities to house adults in need of care and attention </w:t>
      </w:r>
      <w:r w:rsidRPr="00595154">
        <w:rPr>
          <w:rFonts w:ascii="Arial" w:hAnsi="Arial" w:cs="Arial"/>
          <w:color w:val="000000"/>
          <w:sz w:val="22"/>
          <w:szCs w:val="22"/>
          <w:shd w:val="clear" w:color="auto" w:fill="FFFFFF"/>
        </w:rPr>
        <w:t>(Srinivasan and Joseph, 2025)</w:t>
      </w:r>
      <w:r w:rsidRPr="00595154">
        <w:rPr>
          <w:rFonts w:ascii="Arial" w:hAnsi="Arial" w:cs="Arial"/>
          <w:sz w:val="22"/>
          <w:szCs w:val="22"/>
        </w:rPr>
        <w:t>. Over the following years, the large institutional approach was more and more called into question, with a preference for more community-based care and a greater choice of services.</w:t>
      </w:r>
    </w:p>
    <w:p w14:paraId="656A90E6"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The Care Act 2014 is a more fundamental shift in thinking, where care is not just used for housing or to do things. Local authorities play a role in promoting wellbeing, such as ensuring dignity, control over daily life, relationships and protection from abuse (Villar et al., 2021). This is, therefore, a shift from institution-centred to rights-based and outcomes-oriented provision that is seen in modern residential care. However, if legislation changes this doesn't mean that residents will have true autonomy, this is much dependent on staffing, culture and resources.</w:t>
      </w:r>
    </w:p>
    <w:p w14:paraId="4445BB78" w14:textId="77777777" w:rsidR="00595154" w:rsidRPr="00E90A7C" w:rsidRDefault="00595154" w:rsidP="00595154">
      <w:pPr>
        <w:spacing w:line="360" w:lineRule="auto"/>
        <w:jc w:val="both"/>
        <w:rPr>
          <w:rFonts w:ascii="Arial" w:hAnsi="Arial" w:cs="Arial"/>
          <w:b/>
          <w:bCs/>
          <w:sz w:val="22"/>
          <w:szCs w:val="22"/>
        </w:rPr>
      </w:pPr>
      <w:r w:rsidRPr="00E90A7C">
        <w:rPr>
          <w:rFonts w:ascii="Arial" w:hAnsi="Arial" w:cs="Arial"/>
          <w:b/>
          <w:bCs/>
          <w:sz w:val="22"/>
          <w:szCs w:val="22"/>
        </w:rPr>
        <w:t>Critical Evaluation of Current Functioning</w:t>
      </w:r>
    </w:p>
    <w:p w14:paraId="4235C45C"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There are now residential homes for people who have significant personal care needs such as people with disabilities or long-term conditions, as well as the elderly. Eligible needs are assessed by local authorities under the Care Act and provision can be provided by private, voluntary or public providers (Verderber et al., 2023). The approach to care should be tailored to the lifestyle, preferences and outcomes of residents, not that they should fit institutional timings.</w:t>
      </w:r>
    </w:p>
    <w:p w14:paraId="23BAC821"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 xml:space="preserve">This tension is between person centred expectation and workforce capacity. During 2024/25, the number of vacancies in care homes had fallen to just under 5%, but staff turnover stood at around 25%, CQC said (Rajan and Rajkumar, 2026). Turnover jeopardizes continuity: continuity of a resident's communication patterns, preferences and subtle changes in health </w:t>
      </w:r>
      <w:r w:rsidRPr="00595154">
        <w:rPr>
          <w:rFonts w:ascii="Arial" w:hAnsi="Arial" w:cs="Arial"/>
          <w:sz w:val="22"/>
          <w:szCs w:val="22"/>
        </w:rPr>
        <w:lastRenderedPageBreak/>
        <w:t>requires stable relationships. So, satisfactory staffing levels are not just assessed for coverage, but whether sufficient staff is available to ensure that residents are treated relationally and individually. This highlights the importance of regulation falling short of the achievement of quality in care.</w:t>
      </w:r>
    </w:p>
    <w:p w14:paraId="4F9C5123" w14:textId="77777777" w:rsidR="00595154" w:rsidRPr="0002289F" w:rsidRDefault="00595154" w:rsidP="00595154">
      <w:pPr>
        <w:spacing w:line="360" w:lineRule="auto"/>
        <w:jc w:val="both"/>
        <w:rPr>
          <w:rFonts w:ascii="Arial" w:hAnsi="Arial" w:cs="Arial"/>
          <w:b/>
          <w:bCs/>
          <w:sz w:val="22"/>
          <w:szCs w:val="22"/>
        </w:rPr>
      </w:pPr>
      <w:r w:rsidRPr="0002289F">
        <w:rPr>
          <w:rFonts w:ascii="Arial" w:hAnsi="Arial" w:cs="Arial"/>
          <w:b/>
          <w:bCs/>
          <w:sz w:val="22"/>
          <w:szCs w:val="22"/>
        </w:rPr>
        <w:t>Significance for Quality of Life</w:t>
      </w:r>
    </w:p>
    <w:p w14:paraId="3AE17991"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Quality of life can be enhanced through good quality residential care, which can provide both security and freedom (Harrison et al., 2017). Risks associated with medications, mobility and self-care needs can be minimized with continuous support, and social interaction and relationships can offset isolation. Importantly the Care Act wellbeing principle needs to be considered in relation to residents' dignity, emotional wellbeing, relationships and control over everyday life.</w:t>
      </w:r>
    </w:p>
    <w:p w14:paraId="77017EF2"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But there is a key challenge when it comes to residential care: safeguarding residents can often limit independence. Routine procedures or a degree of over-caution may increase the safety of the care provided, but limit choice and personal identity. Quality of life is thus not only about satisfying physical needs, but it's also about making sure residents are able to have some level of meaningful control over their life (Lopez et al., 2024).</w:t>
      </w:r>
    </w:p>
    <w:p w14:paraId="0F7010DD" w14:textId="77777777" w:rsidR="00595154" w:rsidRPr="00C96B44" w:rsidRDefault="00595154" w:rsidP="00595154">
      <w:pPr>
        <w:spacing w:line="360" w:lineRule="auto"/>
        <w:jc w:val="both"/>
        <w:rPr>
          <w:rFonts w:ascii="Arial" w:hAnsi="Arial" w:cs="Arial"/>
          <w:b/>
          <w:bCs/>
          <w:sz w:val="22"/>
          <w:szCs w:val="22"/>
        </w:rPr>
      </w:pPr>
      <w:r w:rsidRPr="00C96B44">
        <w:rPr>
          <w:rFonts w:ascii="Arial" w:hAnsi="Arial" w:cs="Arial"/>
          <w:b/>
          <w:bCs/>
          <w:sz w:val="22"/>
          <w:szCs w:val="22"/>
        </w:rPr>
        <w:t>Conclusion</w:t>
      </w:r>
    </w:p>
    <w:p w14:paraId="5943A701" w14:textId="77777777" w:rsidR="00595154" w:rsidRPr="00595154" w:rsidRDefault="00595154" w:rsidP="00595154">
      <w:pPr>
        <w:spacing w:line="360" w:lineRule="auto"/>
        <w:jc w:val="both"/>
        <w:rPr>
          <w:rFonts w:ascii="Arial" w:hAnsi="Arial" w:cs="Arial"/>
          <w:sz w:val="22"/>
          <w:szCs w:val="22"/>
        </w:rPr>
      </w:pPr>
      <w:r w:rsidRPr="00595154">
        <w:rPr>
          <w:rFonts w:ascii="Arial" w:hAnsi="Arial" w:cs="Arial"/>
          <w:sz w:val="22"/>
          <w:szCs w:val="22"/>
        </w:rPr>
        <w:t>Residential care is no longer a place of institutionalisation but caring, rights-based services. It is beneficial in offering protection without taking away the autonomy. But, at the same time, lack of staff and institutional procedures can undermine the goal. Therefore, the success of effective residential care should be assessed by how dignified residents are, how they relate to each other, how they have choice, how they enjoy their quality of life whilst living in care, rather than by the mere fact that they have undertaken care tasks.</w:t>
      </w:r>
    </w:p>
    <w:p w14:paraId="136ABE76" w14:textId="77777777" w:rsidR="00595154" w:rsidRPr="00595154" w:rsidRDefault="00595154" w:rsidP="00595154">
      <w:pPr>
        <w:spacing w:line="360" w:lineRule="auto"/>
        <w:jc w:val="both"/>
        <w:rPr>
          <w:rFonts w:ascii="Arial" w:hAnsi="Arial" w:cs="Arial"/>
          <w:sz w:val="22"/>
          <w:szCs w:val="22"/>
        </w:rPr>
      </w:pPr>
    </w:p>
    <w:p w14:paraId="01197A54" w14:textId="77777777" w:rsidR="00595154" w:rsidRPr="00595154" w:rsidRDefault="00595154" w:rsidP="00595154">
      <w:pPr>
        <w:spacing w:line="360" w:lineRule="auto"/>
        <w:jc w:val="both"/>
        <w:rPr>
          <w:rFonts w:ascii="Arial" w:hAnsi="Arial" w:cs="Arial"/>
          <w:sz w:val="22"/>
          <w:szCs w:val="22"/>
        </w:rPr>
      </w:pPr>
    </w:p>
    <w:p w14:paraId="4976AA9A" w14:textId="77777777" w:rsidR="00595154" w:rsidRPr="00595154" w:rsidRDefault="00595154" w:rsidP="00595154">
      <w:pPr>
        <w:spacing w:line="360" w:lineRule="auto"/>
        <w:jc w:val="both"/>
        <w:rPr>
          <w:rFonts w:ascii="Arial" w:hAnsi="Arial" w:cs="Arial"/>
          <w:sz w:val="22"/>
          <w:szCs w:val="22"/>
        </w:rPr>
      </w:pPr>
    </w:p>
    <w:p w14:paraId="687BB7BA" w14:textId="77777777" w:rsidR="00595154" w:rsidRPr="00595154" w:rsidRDefault="00595154" w:rsidP="00595154">
      <w:pPr>
        <w:spacing w:line="360" w:lineRule="auto"/>
        <w:jc w:val="both"/>
        <w:rPr>
          <w:rFonts w:ascii="Arial" w:hAnsi="Arial" w:cs="Arial"/>
          <w:sz w:val="22"/>
          <w:szCs w:val="22"/>
        </w:rPr>
      </w:pPr>
    </w:p>
    <w:p w14:paraId="6D444172" w14:textId="77777777" w:rsidR="00595154" w:rsidRDefault="00595154" w:rsidP="00595154">
      <w:pPr>
        <w:spacing w:line="360" w:lineRule="auto"/>
        <w:jc w:val="both"/>
        <w:rPr>
          <w:rFonts w:ascii="Arial" w:hAnsi="Arial" w:cs="Arial"/>
          <w:sz w:val="22"/>
          <w:szCs w:val="22"/>
        </w:rPr>
      </w:pPr>
    </w:p>
    <w:p w14:paraId="6E8F9B50" w14:textId="77777777" w:rsidR="00C96B44" w:rsidRDefault="00C96B44" w:rsidP="00595154">
      <w:pPr>
        <w:spacing w:line="360" w:lineRule="auto"/>
        <w:jc w:val="both"/>
        <w:rPr>
          <w:rFonts w:ascii="Arial" w:hAnsi="Arial" w:cs="Arial"/>
          <w:sz w:val="22"/>
          <w:szCs w:val="22"/>
        </w:rPr>
      </w:pPr>
    </w:p>
    <w:p w14:paraId="1646314B" w14:textId="77777777" w:rsidR="00C96B44" w:rsidRDefault="00C96B44" w:rsidP="00595154">
      <w:pPr>
        <w:spacing w:line="360" w:lineRule="auto"/>
        <w:jc w:val="both"/>
        <w:rPr>
          <w:rFonts w:ascii="Arial" w:hAnsi="Arial" w:cs="Arial"/>
          <w:sz w:val="22"/>
          <w:szCs w:val="22"/>
        </w:rPr>
      </w:pPr>
    </w:p>
    <w:p w14:paraId="1DDDCD02" w14:textId="77777777" w:rsidR="00C96B44" w:rsidRDefault="00C96B44" w:rsidP="00595154">
      <w:pPr>
        <w:spacing w:line="360" w:lineRule="auto"/>
        <w:jc w:val="both"/>
        <w:rPr>
          <w:rFonts w:ascii="Arial" w:hAnsi="Arial" w:cs="Arial"/>
          <w:sz w:val="22"/>
          <w:szCs w:val="22"/>
        </w:rPr>
      </w:pPr>
    </w:p>
    <w:p w14:paraId="610E997F" w14:textId="77777777" w:rsidR="00C96B44" w:rsidRPr="006C2BA6" w:rsidRDefault="00C96B44" w:rsidP="00595154">
      <w:pPr>
        <w:spacing w:line="360" w:lineRule="auto"/>
        <w:jc w:val="both"/>
        <w:rPr>
          <w:rFonts w:ascii="Arial" w:hAnsi="Arial" w:cs="Arial"/>
          <w:b/>
          <w:bCs/>
          <w:sz w:val="22"/>
          <w:szCs w:val="22"/>
        </w:rPr>
      </w:pPr>
      <w:r w:rsidRPr="006C2BA6">
        <w:rPr>
          <w:rFonts w:ascii="Arial" w:hAnsi="Arial" w:cs="Arial"/>
          <w:b/>
          <w:bCs/>
          <w:sz w:val="22"/>
          <w:szCs w:val="22"/>
        </w:rPr>
        <w:lastRenderedPageBreak/>
        <w:t>References</w:t>
      </w:r>
    </w:p>
    <w:p w14:paraId="082379D4"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Baker, C., Garratt, K. and Wilson, S. (2026) </w:t>
      </w:r>
      <w:r w:rsidRPr="00595154">
        <w:rPr>
          <w:rFonts w:ascii="Arial" w:hAnsi="Arial" w:cs="Arial"/>
          <w:i/>
          <w:iCs/>
          <w:sz w:val="22"/>
          <w:szCs w:val="22"/>
        </w:rPr>
        <w:t>Ambulance service response times - House of Commons Library</w:t>
      </w:r>
      <w:r w:rsidRPr="00595154">
        <w:rPr>
          <w:rFonts w:ascii="Arial" w:hAnsi="Arial" w:cs="Arial"/>
          <w:sz w:val="22"/>
          <w:szCs w:val="22"/>
        </w:rPr>
        <w:t xml:space="preserve">. </w:t>
      </w:r>
      <w:hyperlink r:id="rId9" w:history="1">
        <w:r w:rsidRPr="00595154">
          <w:rPr>
            <w:rStyle w:val="Hyperlink"/>
            <w:rFonts w:ascii="Arial" w:eastAsiaTheme="majorEastAsia" w:hAnsi="Arial" w:cs="Arial"/>
            <w:sz w:val="22"/>
            <w:szCs w:val="22"/>
          </w:rPr>
          <w:t>https://commonslibrary.parliament.uk/research-briefings/cdp-2025-0042/</w:t>
        </w:r>
      </w:hyperlink>
      <w:r w:rsidRPr="00595154">
        <w:rPr>
          <w:rFonts w:ascii="Arial" w:hAnsi="Arial" w:cs="Arial"/>
          <w:sz w:val="22"/>
          <w:szCs w:val="22"/>
        </w:rPr>
        <w:t>.</w:t>
      </w:r>
    </w:p>
    <w:p w14:paraId="54056194"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Bashiri, A., </w:t>
      </w:r>
      <w:proofErr w:type="spellStart"/>
      <w:r w:rsidRPr="00595154">
        <w:rPr>
          <w:rFonts w:ascii="Arial" w:hAnsi="Arial" w:cs="Arial"/>
          <w:sz w:val="22"/>
          <w:szCs w:val="22"/>
        </w:rPr>
        <w:t>Savareh</w:t>
      </w:r>
      <w:proofErr w:type="spellEnd"/>
      <w:r w:rsidRPr="00595154">
        <w:rPr>
          <w:rFonts w:ascii="Arial" w:hAnsi="Arial" w:cs="Arial"/>
          <w:sz w:val="22"/>
          <w:szCs w:val="22"/>
        </w:rPr>
        <w:t xml:space="preserve">, B.A. and </w:t>
      </w:r>
      <w:proofErr w:type="spellStart"/>
      <w:r w:rsidRPr="00595154">
        <w:rPr>
          <w:rFonts w:ascii="Arial" w:hAnsi="Arial" w:cs="Arial"/>
          <w:sz w:val="22"/>
          <w:szCs w:val="22"/>
        </w:rPr>
        <w:t>Ghazisaeedi</w:t>
      </w:r>
      <w:proofErr w:type="spellEnd"/>
      <w:r w:rsidRPr="00595154">
        <w:rPr>
          <w:rFonts w:ascii="Arial" w:hAnsi="Arial" w:cs="Arial"/>
          <w:sz w:val="22"/>
          <w:szCs w:val="22"/>
        </w:rPr>
        <w:t xml:space="preserve">, M. (2019) 'Promotion of prehospital emergency care through clinical decision support systems: opportunities and challenges,' </w:t>
      </w:r>
      <w:r w:rsidRPr="00595154">
        <w:rPr>
          <w:rFonts w:ascii="Arial" w:hAnsi="Arial" w:cs="Arial"/>
          <w:i/>
          <w:iCs/>
          <w:sz w:val="22"/>
          <w:szCs w:val="22"/>
        </w:rPr>
        <w:t>Clinical and Experimental Emergency Medicine</w:t>
      </w:r>
      <w:r w:rsidRPr="00595154">
        <w:rPr>
          <w:rFonts w:ascii="Arial" w:hAnsi="Arial" w:cs="Arial"/>
          <w:sz w:val="22"/>
          <w:szCs w:val="22"/>
        </w:rPr>
        <w:t xml:space="preserve">, 6(4), pp. 288–296. </w:t>
      </w:r>
      <w:hyperlink r:id="rId10" w:history="1">
        <w:r w:rsidRPr="00595154">
          <w:rPr>
            <w:rStyle w:val="Hyperlink"/>
            <w:rFonts w:ascii="Arial" w:eastAsiaTheme="majorEastAsia" w:hAnsi="Arial" w:cs="Arial"/>
            <w:sz w:val="22"/>
            <w:szCs w:val="22"/>
          </w:rPr>
          <w:t>https://doi.org/10.15441/ceem.18.032</w:t>
        </w:r>
      </w:hyperlink>
      <w:r w:rsidRPr="00595154">
        <w:rPr>
          <w:rFonts w:ascii="Arial" w:hAnsi="Arial" w:cs="Arial"/>
          <w:sz w:val="22"/>
          <w:szCs w:val="22"/>
        </w:rPr>
        <w:t>.</w:t>
      </w:r>
    </w:p>
    <w:p w14:paraId="6D7D4101"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595154">
        <w:rPr>
          <w:rFonts w:ascii="Arial" w:hAnsi="Arial" w:cs="Arial"/>
          <w:sz w:val="22"/>
          <w:szCs w:val="22"/>
        </w:rPr>
        <w:t>Buradkar</w:t>
      </w:r>
      <w:proofErr w:type="spellEnd"/>
      <w:r w:rsidRPr="00595154">
        <w:rPr>
          <w:rFonts w:ascii="Arial" w:hAnsi="Arial" w:cs="Arial"/>
          <w:sz w:val="22"/>
          <w:szCs w:val="22"/>
        </w:rPr>
        <w:t xml:space="preserve">, V.S. </w:t>
      </w:r>
      <w:r w:rsidRPr="00595154">
        <w:rPr>
          <w:rFonts w:ascii="Arial" w:hAnsi="Arial" w:cs="Arial"/>
          <w:i/>
          <w:iCs/>
          <w:sz w:val="22"/>
          <w:szCs w:val="22"/>
        </w:rPr>
        <w:t>et al.</w:t>
      </w:r>
      <w:r w:rsidRPr="00595154">
        <w:rPr>
          <w:rFonts w:ascii="Arial" w:hAnsi="Arial" w:cs="Arial"/>
          <w:sz w:val="22"/>
          <w:szCs w:val="22"/>
        </w:rPr>
        <w:t xml:space="preserve"> (2025) 'Cloud-based emergency ambulance system,' </w:t>
      </w:r>
      <w:proofErr w:type="spellStart"/>
      <w:r w:rsidRPr="00595154">
        <w:rPr>
          <w:rFonts w:ascii="Arial" w:hAnsi="Arial" w:cs="Arial"/>
          <w:i/>
          <w:iCs/>
          <w:sz w:val="22"/>
          <w:szCs w:val="22"/>
        </w:rPr>
        <w:t>Zenodo</w:t>
      </w:r>
      <w:proofErr w:type="spellEnd"/>
      <w:r w:rsidRPr="00595154">
        <w:rPr>
          <w:rFonts w:ascii="Arial" w:hAnsi="Arial" w:cs="Arial"/>
          <w:i/>
          <w:iCs/>
          <w:sz w:val="22"/>
          <w:szCs w:val="22"/>
        </w:rPr>
        <w:t xml:space="preserve"> (CERN European Organization for Nuclear Research)</w:t>
      </w:r>
      <w:r w:rsidRPr="00595154">
        <w:rPr>
          <w:rFonts w:ascii="Arial" w:hAnsi="Arial" w:cs="Arial"/>
          <w:sz w:val="22"/>
          <w:szCs w:val="22"/>
        </w:rPr>
        <w:t xml:space="preserve"> [Preprint]. </w:t>
      </w:r>
      <w:hyperlink r:id="rId11" w:history="1">
        <w:r w:rsidRPr="00595154">
          <w:rPr>
            <w:rStyle w:val="Hyperlink"/>
            <w:rFonts w:ascii="Arial" w:eastAsiaTheme="majorEastAsia" w:hAnsi="Arial" w:cs="Arial"/>
            <w:sz w:val="22"/>
            <w:szCs w:val="22"/>
          </w:rPr>
          <w:t>https://doi.org/10.5281/zenodo.18074246</w:t>
        </w:r>
      </w:hyperlink>
      <w:r w:rsidRPr="00595154">
        <w:rPr>
          <w:rFonts w:ascii="Arial" w:hAnsi="Arial" w:cs="Arial"/>
          <w:sz w:val="22"/>
          <w:szCs w:val="22"/>
        </w:rPr>
        <w:t>.</w:t>
      </w:r>
    </w:p>
    <w:p w14:paraId="7933C62F"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England, N. (2025) </w:t>
      </w:r>
      <w:r w:rsidRPr="00595154">
        <w:rPr>
          <w:rFonts w:ascii="Arial" w:hAnsi="Arial" w:cs="Arial"/>
          <w:i/>
          <w:iCs/>
          <w:sz w:val="22"/>
          <w:szCs w:val="22"/>
        </w:rPr>
        <w:t>NHS England » New NHS online hospital to give patients more control over their care</w:t>
      </w:r>
      <w:r w:rsidRPr="00595154">
        <w:rPr>
          <w:rFonts w:ascii="Arial" w:hAnsi="Arial" w:cs="Arial"/>
          <w:sz w:val="22"/>
          <w:szCs w:val="22"/>
        </w:rPr>
        <w:t xml:space="preserve">. </w:t>
      </w:r>
      <w:hyperlink r:id="rId12" w:history="1">
        <w:r w:rsidRPr="00595154">
          <w:rPr>
            <w:rStyle w:val="Hyperlink"/>
            <w:rFonts w:ascii="Arial" w:eastAsiaTheme="majorEastAsia" w:hAnsi="Arial" w:cs="Arial"/>
            <w:sz w:val="22"/>
            <w:szCs w:val="22"/>
          </w:rPr>
          <w:t>https://www.england.nhs.uk/2025/09/new-nhs-online-hospital-to-give-patients-more-control-over-their-care/</w:t>
        </w:r>
      </w:hyperlink>
      <w:r w:rsidRPr="00595154">
        <w:rPr>
          <w:rFonts w:ascii="Arial" w:hAnsi="Arial" w:cs="Arial"/>
          <w:sz w:val="22"/>
          <w:szCs w:val="22"/>
        </w:rPr>
        <w:t>.</w:t>
      </w:r>
    </w:p>
    <w:p w14:paraId="5246FEF8"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Gomes, B.S. </w:t>
      </w:r>
      <w:r w:rsidRPr="00595154">
        <w:rPr>
          <w:rFonts w:ascii="Arial" w:hAnsi="Arial" w:cs="Arial"/>
          <w:i/>
          <w:iCs/>
          <w:sz w:val="22"/>
          <w:szCs w:val="22"/>
        </w:rPr>
        <w:t>et al.</w:t>
      </w:r>
      <w:r w:rsidRPr="00595154">
        <w:rPr>
          <w:rFonts w:ascii="Arial" w:hAnsi="Arial" w:cs="Arial"/>
          <w:sz w:val="22"/>
          <w:szCs w:val="22"/>
        </w:rPr>
        <w:t xml:space="preserve"> (2026) 'How are handover delays from ambulances to emergency departments being addressed in the United Kingdom? A nationwide survey of ambulance services and emergency departments,' </w:t>
      </w:r>
      <w:r w:rsidRPr="00595154">
        <w:rPr>
          <w:rFonts w:ascii="Arial" w:hAnsi="Arial" w:cs="Arial"/>
          <w:i/>
          <w:iCs/>
          <w:sz w:val="22"/>
          <w:szCs w:val="22"/>
        </w:rPr>
        <w:t>BMC Emergency Medicine</w:t>
      </w:r>
      <w:r w:rsidRPr="00595154">
        <w:rPr>
          <w:rFonts w:ascii="Arial" w:hAnsi="Arial" w:cs="Arial"/>
          <w:sz w:val="22"/>
          <w:szCs w:val="22"/>
        </w:rPr>
        <w:t xml:space="preserve">, 26(1). </w:t>
      </w:r>
      <w:hyperlink r:id="rId13" w:history="1">
        <w:r w:rsidRPr="00595154">
          <w:rPr>
            <w:rStyle w:val="Hyperlink"/>
            <w:rFonts w:ascii="Arial" w:eastAsiaTheme="majorEastAsia" w:hAnsi="Arial" w:cs="Arial"/>
            <w:sz w:val="22"/>
            <w:szCs w:val="22"/>
          </w:rPr>
          <w:t>https://doi.org/10.1186/s12873-026-01532-9</w:t>
        </w:r>
      </w:hyperlink>
      <w:r w:rsidRPr="00595154">
        <w:rPr>
          <w:rFonts w:ascii="Arial" w:hAnsi="Arial" w:cs="Arial"/>
          <w:sz w:val="22"/>
          <w:szCs w:val="22"/>
        </w:rPr>
        <w:t>.</w:t>
      </w:r>
    </w:p>
    <w:p w14:paraId="08B060B7"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Harrison, S.L. </w:t>
      </w:r>
      <w:r w:rsidRPr="00595154">
        <w:rPr>
          <w:rFonts w:ascii="Arial" w:hAnsi="Arial" w:cs="Arial"/>
          <w:i/>
          <w:iCs/>
          <w:sz w:val="22"/>
          <w:szCs w:val="22"/>
        </w:rPr>
        <w:t>et al.</w:t>
      </w:r>
      <w:r w:rsidRPr="00595154">
        <w:rPr>
          <w:rFonts w:ascii="Arial" w:hAnsi="Arial" w:cs="Arial"/>
          <w:sz w:val="22"/>
          <w:szCs w:val="22"/>
        </w:rPr>
        <w:t xml:space="preserve"> (2017) 'Physical environmental designs in residential care to improve quality of life of older people,' </w:t>
      </w:r>
      <w:r w:rsidRPr="00595154">
        <w:rPr>
          <w:rFonts w:ascii="Arial" w:hAnsi="Arial" w:cs="Arial"/>
          <w:i/>
          <w:iCs/>
          <w:sz w:val="22"/>
          <w:szCs w:val="22"/>
        </w:rPr>
        <w:t>Cochrane Database of Systematic Reviews</w:t>
      </w:r>
      <w:r w:rsidRPr="00595154">
        <w:rPr>
          <w:rFonts w:ascii="Arial" w:hAnsi="Arial" w:cs="Arial"/>
          <w:sz w:val="22"/>
          <w:szCs w:val="22"/>
        </w:rPr>
        <w:t xml:space="preserve"> [Preprint]. </w:t>
      </w:r>
      <w:hyperlink r:id="rId14" w:history="1">
        <w:r w:rsidRPr="00595154">
          <w:rPr>
            <w:rStyle w:val="Hyperlink"/>
            <w:rFonts w:ascii="Arial" w:eastAsiaTheme="majorEastAsia" w:hAnsi="Arial" w:cs="Arial"/>
            <w:sz w:val="22"/>
            <w:szCs w:val="22"/>
          </w:rPr>
          <w:t>https://doi.org/10.1002/14651858.cd012892</w:t>
        </w:r>
      </w:hyperlink>
      <w:r w:rsidRPr="00595154">
        <w:rPr>
          <w:rFonts w:ascii="Arial" w:hAnsi="Arial" w:cs="Arial"/>
          <w:sz w:val="22"/>
          <w:szCs w:val="22"/>
        </w:rPr>
        <w:t>.</w:t>
      </w:r>
    </w:p>
    <w:p w14:paraId="717B002E"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Hudson, D.C.- and Warwick, D. (2020) 'How a nationalized health care system influences hand surgery practice,' </w:t>
      </w:r>
      <w:r w:rsidRPr="00595154">
        <w:rPr>
          <w:rFonts w:ascii="Arial" w:hAnsi="Arial" w:cs="Arial"/>
          <w:i/>
          <w:iCs/>
          <w:sz w:val="22"/>
          <w:szCs w:val="22"/>
        </w:rPr>
        <w:t>Hand Clinics</w:t>
      </w:r>
      <w:r w:rsidRPr="00595154">
        <w:rPr>
          <w:rFonts w:ascii="Arial" w:hAnsi="Arial" w:cs="Arial"/>
          <w:sz w:val="22"/>
          <w:szCs w:val="22"/>
        </w:rPr>
        <w:t xml:space="preserve">, 36(2), pp. 171–180. </w:t>
      </w:r>
      <w:hyperlink r:id="rId15" w:history="1">
        <w:r w:rsidRPr="00595154">
          <w:rPr>
            <w:rStyle w:val="Hyperlink"/>
            <w:rFonts w:ascii="Arial" w:eastAsiaTheme="majorEastAsia" w:hAnsi="Arial" w:cs="Arial"/>
            <w:sz w:val="22"/>
            <w:szCs w:val="22"/>
          </w:rPr>
          <w:t>https://doi.org/10.1016/j.hcl.2020.01.004</w:t>
        </w:r>
      </w:hyperlink>
      <w:r w:rsidRPr="00595154">
        <w:rPr>
          <w:rFonts w:ascii="Arial" w:hAnsi="Arial" w:cs="Arial"/>
          <w:sz w:val="22"/>
          <w:szCs w:val="22"/>
        </w:rPr>
        <w:t>.</w:t>
      </w:r>
    </w:p>
    <w:p w14:paraId="16C2CB4A"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595154">
        <w:rPr>
          <w:rFonts w:ascii="Arial" w:hAnsi="Arial" w:cs="Arial"/>
          <w:sz w:val="22"/>
          <w:szCs w:val="22"/>
        </w:rPr>
        <w:t>Johnwp</w:t>
      </w:r>
      <w:proofErr w:type="spellEnd"/>
      <w:r w:rsidRPr="00595154">
        <w:rPr>
          <w:rFonts w:ascii="Arial" w:hAnsi="Arial" w:cs="Arial"/>
          <w:sz w:val="22"/>
          <w:szCs w:val="22"/>
        </w:rPr>
        <w:t xml:space="preserve"> and </w:t>
      </w:r>
      <w:proofErr w:type="spellStart"/>
      <w:r w:rsidRPr="00595154">
        <w:rPr>
          <w:rFonts w:ascii="Arial" w:hAnsi="Arial" w:cs="Arial"/>
          <w:sz w:val="22"/>
          <w:szCs w:val="22"/>
        </w:rPr>
        <w:t>Johnwp</w:t>
      </w:r>
      <w:proofErr w:type="spellEnd"/>
      <w:r w:rsidRPr="00595154">
        <w:rPr>
          <w:rFonts w:ascii="Arial" w:hAnsi="Arial" w:cs="Arial"/>
          <w:sz w:val="22"/>
          <w:szCs w:val="22"/>
        </w:rPr>
        <w:t xml:space="preserve"> (2017) </w:t>
      </w:r>
      <w:r w:rsidRPr="00595154">
        <w:rPr>
          <w:rFonts w:ascii="Arial" w:hAnsi="Arial" w:cs="Arial"/>
          <w:i/>
          <w:iCs/>
          <w:sz w:val="22"/>
          <w:szCs w:val="22"/>
        </w:rPr>
        <w:t>New Ambulance Response Standards introduced to improve Patient Care</w:t>
      </w:r>
      <w:r w:rsidRPr="00595154">
        <w:rPr>
          <w:rFonts w:ascii="Arial" w:hAnsi="Arial" w:cs="Arial"/>
          <w:sz w:val="22"/>
          <w:szCs w:val="22"/>
        </w:rPr>
        <w:t xml:space="preserve">. </w:t>
      </w:r>
      <w:hyperlink r:id="rId16" w:history="1">
        <w:r w:rsidRPr="00595154">
          <w:rPr>
            <w:rStyle w:val="Hyperlink"/>
            <w:rFonts w:ascii="Arial" w:eastAsiaTheme="majorEastAsia" w:hAnsi="Arial" w:cs="Arial"/>
            <w:sz w:val="22"/>
            <w:szCs w:val="22"/>
          </w:rPr>
          <w:t>https://aace.org.uk/news/new-ambulance-response-standards-introduced-improve-patient-care/</w:t>
        </w:r>
      </w:hyperlink>
      <w:r w:rsidRPr="00595154">
        <w:rPr>
          <w:rFonts w:ascii="Arial" w:hAnsi="Arial" w:cs="Arial"/>
          <w:sz w:val="22"/>
          <w:szCs w:val="22"/>
        </w:rPr>
        <w:t>.</w:t>
      </w:r>
    </w:p>
    <w:p w14:paraId="49FDA2FC"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Lopez, J. </w:t>
      </w:r>
      <w:r w:rsidRPr="00595154">
        <w:rPr>
          <w:rFonts w:ascii="Arial" w:hAnsi="Arial" w:cs="Arial"/>
          <w:i/>
          <w:iCs/>
          <w:sz w:val="22"/>
          <w:szCs w:val="22"/>
        </w:rPr>
        <w:t>et al.</w:t>
      </w:r>
      <w:r w:rsidRPr="00595154">
        <w:rPr>
          <w:rFonts w:ascii="Arial" w:hAnsi="Arial" w:cs="Arial"/>
          <w:sz w:val="22"/>
          <w:szCs w:val="22"/>
        </w:rPr>
        <w:t xml:space="preserve"> (2024) 'Quality-of-life in older adults: its association with emotional distress and psychological wellbeing,' </w:t>
      </w:r>
      <w:r w:rsidRPr="00595154">
        <w:rPr>
          <w:rFonts w:ascii="Arial" w:hAnsi="Arial" w:cs="Arial"/>
          <w:i/>
          <w:iCs/>
          <w:sz w:val="22"/>
          <w:szCs w:val="22"/>
        </w:rPr>
        <w:t>BMC Geriatrics</w:t>
      </w:r>
      <w:r w:rsidRPr="00595154">
        <w:rPr>
          <w:rFonts w:ascii="Arial" w:hAnsi="Arial" w:cs="Arial"/>
          <w:sz w:val="22"/>
          <w:szCs w:val="22"/>
        </w:rPr>
        <w:t xml:space="preserve">, 24(1), p. 815. </w:t>
      </w:r>
      <w:hyperlink r:id="rId17" w:history="1">
        <w:r w:rsidRPr="00595154">
          <w:rPr>
            <w:rStyle w:val="Hyperlink"/>
            <w:rFonts w:ascii="Arial" w:eastAsiaTheme="majorEastAsia" w:hAnsi="Arial" w:cs="Arial"/>
            <w:sz w:val="22"/>
            <w:szCs w:val="22"/>
          </w:rPr>
          <w:t>https://doi.org/10.1186/s12877-024-05401-7</w:t>
        </w:r>
      </w:hyperlink>
      <w:r w:rsidRPr="00595154">
        <w:rPr>
          <w:rFonts w:ascii="Arial" w:hAnsi="Arial" w:cs="Arial"/>
          <w:sz w:val="22"/>
          <w:szCs w:val="22"/>
        </w:rPr>
        <w:t>.</w:t>
      </w:r>
    </w:p>
    <w:p w14:paraId="226273DE"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Matt (2025) </w:t>
      </w:r>
      <w:r w:rsidRPr="00595154">
        <w:rPr>
          <w:rFonts w:ascii="Arial" w:hAnsi="Arial" w:cs="Arial"/>
          <w:i/>
          <w:iCs/>
          <w:sz w:val="22"/>
          <w:szCs w:val="22"/>
        </w:rPr>
        <w:t>NHS SBS Transportation &amp; Travel Services for Health framework</w:t>
      </w:r>
      <w:r w:rsidRPr="00595154">
        <w:rPr>
          <w:rFonts w:ascii="Arial" w:hAnsi="Arial" w:cs="Arial"/>
          <w:sz w:val="22"/>
          <w:szCs w:val="22"/>
        </w:rPr>
        <w:t xml:space="preserve">. </w:t>
      </w:r>
      <w:hyperlink r:id="rId18" w:history="1">
        <w:r w:rsidRPr="00595154">
          <w:rPr>
            <w:rStyle w:val="Hyperlink"/>
            <w:rFonts w:ascii="Arial" w:eastAsiaTheme="majorEastAsia" w:hAnsi="Arial" w:cs="Arial"/>
            <w:sz w:val="22"/>
            <w:szCs w:val="22"/>
          </w:rPr>
          <w:t>https://ambutech.co.uk/articles/nhs-sbs-transportation-travel-services-for-health-framework/</w:t>
        </w:r>
      </w:hyperlink>
      <w:r w:rsidRPr="00595154">
        <w:rPr>
          <w:rFonts w:ascii="Arial" w:hAnsi="Arial" w:cs="Arial"/>
          <w:sz w:val="22"/>
          <w:szCs w:val="22"/>
        </w:rPr>
        <w:t>.</w:t>
      </w:r>
    </w:p>
    <w:p w14:paraId="3603C8B7"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O’Neill, M. </w:t>
      </w:r>
      <w:r w:rsidRPr="00595154">
        <w:rPr>
          <w:rFonts w:ascii="Arial" w:hAnsi="Arial" w:cs="Arial"/>
          <w:i/>
          <w:iCs/>
          <w:sz w:val="22"/>
          <w:szCs w:val="22"/>
        </w:rPr>
        <w:t>et al.</w:t>
      </w:r>
      <w:r w:rsidRPr="00595154">
        <w:rPr>
          <w:rFonts w:ascii="Arial" w:hAnsi="Arial" w:cs="Arial"/>
          <w:sz w:val="22"/>
          <w:szCs w:val="22"/>
        </w:rPr>
        <w:t xml:space="preserve"> (2020) '‘The Primacy of 'Home': An exploration of how older adults’ transition to life in a care home towards the end of the first year,' </w:t>
      </w:r>
      <w:r w:rsidRPr="00595154">
        <w:rPr>
          <w:rFonts w:ascii="Arial" w:hAnsi="Arial" w:cs="Arial"/>
          <w:i/>
          <w:iCs/>
          <w:sz w:val="22"/>
          <w:szCs w:val="22"/>
        </w:rPr>
        <w:t>Health &amp; Social Care in the Community</w:t>
      </w:r>
      <w:r w:rsidRPr="00595154">
        <w:rPr>
          <w:rFonts w:ascii="Arial" w:hAnsi="Arial" w:cs="Arial"/>
          <w:sz w:val="22"/>
          <w:szCs w:val="22"/>
        </w:rPr>
        <w:t xml:space="preserve">, 30(2), pp. e478–e492. </w:t>
      </w:r>
      <w:hyperlink r:id="rId19" w:history="1">
        <w:r w:rsidRPr="00595154">
          <w:rPr>
            <w:rStyle w:val="Hyperlink"/>
            <w:rFonts w:ascii="Arial" w:eastAsiaTheme="majorEastAsia" w:hAnsi="Arial" w:cs="Arial"/>
            <w:sz w:val="22"/>
            <w:szCs w:val="22"/>
          </w:rPr>
          <w:t>https://doi.org/10.1111/hsc.13232</w:t>
        </w:r>
      </w:hyperlink>
      <w:r w:rsidRPr="00595154">
        <w:rPr>
          <w:rFonts w:ascii="Arial" w:hAnsi="Arial" w:cs="Arial"/>
          <w:sz w:val="22"/>
          <w:szCs w:val="22"/>
        </w:rPr>
        <w:t>.</w:t>
      </w:r>
    </w:p>
    <w:p w14:paraId="4A37EFBE"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lastRenderedPageBreak/>
        <w:t xml:space="preserve">Rajan, S.I. and Rajkumar, P. (2026) 'Introduction: elderly care—status, challenges and opportunities,' </w:t>
      </w:r>
      <w:r w:rsidRPr="00595154">
        <w:rPr>
          <w:rFonts w:ascii="Arial" w:hAnsi="Arial" w:cs="Arial"/>
          <w:i/>
          <w:iCs/>
          <w:sz w:val="22"/>
          <w:szCs w:val="22"/>
        </w:rPr>
        <w:t>Journal of Social and Economic Development</w:t>
      </w:r>
      <w:r w:rsidRPr="00595154">
        <w:rPr>
          <w:rFonts w:ascii="Arial" w:hAnsi="Arial" w:cs="Arial"/>
          <w:sz w:val="22"/>
          <w:szCs w:val="22"/>
        </w:rPr>
        <w:t xml:space="preserve">, 28(1), pp. 1–18. </w:t>
      </w:r>
      <w:hyperlink r:id="rId20" w:history="1">
        <w:r w:rsidRPr="00595154">
          <w:rPr>
            <w:rStyle w:val="Hyperlink"/>
            <w:rFonts w:ascii="Arial" w:eastAsiaTheme="majorEastAsia" w:hAnsi="Arial" w:cs="Arial"/>
            <w:sz w:val="22"/>
            <w:szCs w:val="22"/>
          </w:rPr>
          <w:t>https://doi.org/10.1007/s40847-026-00504-w</w:t>
        </w:r>
      </w:hyperlink>
      <w:r w:rsidRPr="00595154">
        <w:rPr>
          <w:rFonts w:ascii="Arial" w:hAnsi="Arial" w:cs="Arial"/>
          <w:sz w:val="22"/>
          <w:szCs w:val="22"/>
        </w:rPr>
        <w:t>.</w:t>
      </w:r>
    </w:p>
    <w:p w14:paraId="5EF52F01"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Roderick, P. and Pollock, A.M. (2022) 'Dismantling the National Health Service in England,' </w:t>
      </w:r>
      <w:r w:rsidRPr="00595154">
        <w:rPr>
          <w:rFonts w:ascii="Arial" w:hAnsi="Arial" w:cs="Arial"/>
          <w:i/>
          <w:iCs/>
          <w:sz w:val="22"/>
          <w:szCs w:val="22"/>
        </w:rPr>
        <w:t>International Journal of Health Services</w:t>
      </w:r>
      <w:r w:rsidRPr="00595154">
        <w:rPr>
          <w:rFonts w:ascii="Arial" w:hAnsi="Arial" w:cs="Arial"/>
          <w:sz w:val="22"/>
          <w:szCs w:val="22"/>
        </w:rPr>
        <w:t xml:space="preserve">, 52(4), pp. 470–479. </w:t>
      </w:r>
      <w:hyperlink r:id="rId21" w:history="1">
        <w:r w:rsidRPr="00595154">
          <w:rPr>
            <w:rStyle w:val="Hyperlink"/>
            <w:rFonts w:ascii="Arial" w:eastAsiaTheme="majorEastAsia" w:hAnsi="Arial" w:cs="Arial"/>
            <w:sz w:val="22"/>
            <w:szCs w:val="22"/>
          </w:rPr>
          <w:t>https://doi.org/10.1177/00207314221114540</w:t>
        </w:r>
      </w:hyperlink>
      <w:r w:rsidRPr="00595154">
        <w:rPr>
          <w:rFonts w:ascii="Arial" w:hAnsi="Arial" w:cs="Arial"/>
          <w:sz w:val="22"/>
          <w:szCs w:val="22"/>
        </w:rPr>
        <w:t>.</w:t>
      </w:r>
    </w:p>
    <w:p w14:paraId="7F19112D"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Sanjuan-Quiles, Á. </w:t>
      </w:r>
      <w:r w:rsidRPr="00595154">
        <w:rPr>
          <w:rFonts w:ascii="Arial" w:hAnsi="Arial" w:cs="Arial"/>
          <w:i/>
          <w:iCs/>
          <w:sz w:val="22"/>
          <w:szCs w:val="22"/>
        </w:rPr>
        <w:t>et al.</w:t>
      </w:r>
      <w:r w:rsidRPr="00595154">
        <w:rPr>
          <w:rFonts w:ascii="Arial" w:hAnsi="Arial" w:cs="Arial"/>
          <w:sz w:val="22"/>
          <w:szCs w:val="22"/>
        </w:rPr>
        <w:t xml:space="preserve"> (2018) 'Handover of patients from prehospital emergency services to emergency departments,' </w:t>
      </w:r>
      <w:r w:rsidRPr="00595154">
        <w:rPr>
          <w:rFonts w:ascii="Arial" w:hAnsi="Arial" w:cs="Arial"/>
          <w:i/>
          <w:iCs/>
          <w:sz w:val="22"/>
          <w:szCs w:val="22"/>
        </w:rPr>
        <w:t>Journal of Nursing Care Quality</w:t>
      </w:r>
      <w:r w:rsidRPr="00595154">
        <w:rPr>
          <w:rFonts w:ascii="Arial" w:hAnsi="Arial" w:cs="Arial"/>
          <w:sz w:val="22"/>
          <w:szCs w:val="22"/>
        </w:rPr>
        <w:t xml:space="preserve">, 34(2), pp. 169–174. </w:t>
      </w:r>
      <w:hyperlink r:id="rId22" w:history="1">
        <w:r w:rsidRPr="00595154">
          <w:rPr>
            <w:rStyle w:val="Hyperlink"/>
            <w:rFonts w:ascii="Arial" w:eastAsiaTheme="majorEastAsia" w:hAnsi="Arial" w:cs="Arial"/>
            <w:sz w:val="22"/>
            <w:szCs w:val="22"/>
          </w:rPr>
          <w:t>https://doi.org/10.1097/ncq.0000000000000351</w:t>
        </w:r>
      </w:hyperlink>
      <w:r w:rsidRPr="00595154">
        <w:rPr>
          <w:rFonts w:ascii="Arial" w:hAnsi="Arial" w:cs="Arial"/>
          <w:sz w:val="22"/>
          <w:szCs w:val="22"/>
        </w:rPr>
        <w:t>.</w:t>
      </w:r>
    </w:p>
    <w:p w14:paraId="7FB4E70D" w14:textId="77777777" w:rsidR="006C2BA6" w:rsidRPr="006C2BA6" w:rsidRDefault="006C2BA6" w:rsidP="006C2BA6">
      <w:pPr>
        <w:pStyle w:val="ListParagraph"/>
        <w:numPr>
          <w:ilvl w:val="0"/>
          <w:numId w:val="1"/>
        </w:numPr>
        <w:spacing w:line="360" w:lineRule="auto"/>
        <w:jc w:val="both"/>
        <w:rPr>
          <w:rFonts w:ascii="Arial" w:eastAsia="Times New Roman" w:hAnsi="Arial" w:cs="Arial"/>
          <w:color w:val="000000"/>
          <w:kern w:val="0"/>
          <w:sz w:val="22"/>
          <w:szCs w:val="22"/>
          <w:lang w:val="en-IN" w:eastAsia="en-GB"/>
          <w14:ligatures w14:val="none"/>
        </w:rPr>
      </w:pPr>
      <w:r w:rsidRPr="006C2BA6">
        <w:rPr>
          <w:rFonts w:ascii="Arial" w:eastAsia="Times New Roman" w:hAnsi="Arial" w:cs="Arial"/>
          <w:color w:val="000000"/>
          <w:kern w:val="0"/>
          <w:sz w:val="22"/>
          <w:szCs w:val="22"/>
          <w:lang w:val="en-IN" w:eastAsia="en-GB"/>
          <w14:ligatures w14:val="none"/>
        </w:rPr>
        <w:t>Srinivasan, S. and Joseph, J. (2025) “Comparison for Institutional and Non-Institutional Caregiving for the Older Adults,” </w:t>
      </w:r>
      <w:r w:rsidRPr="006C2BA6">
        <w:rPr>
          <w:rFonts w:ascii="Arial" w:eastAsia="Times New Roman" w:hAnsi="Arial" w:cs="Arial"/>
          <w:i/>
          <w:iCs/>
          <w:color w:val="000000"/>
          <w:kern w:val="0"/>
          <w:sz w:val="22"/>
          <w:szCs w:val="22"/>
          <w:lang w:val="en-IN" w:eastAsia="en-GB"/>
          <w14:ligatures w14:val="none"/>
        </w:rPr>
        <w:t>Evidence-Based Approaches for Family Caregivers and Integrative Home Care</w:t>
      </w:r>
      <w:r w:rsidRPr="006C2BA6">
        <w:rPr>
          <w:rFonts w:ascii="Arial" w:eastAsia="Times New Roman" w:hAnsi="Arial" w:cs="Arial"/>
          <w:color w:val="000000"/>
          <w:kern w:val="0"/>
          <w:sz w:val="22"/>
          <w:szCs w:val="22"/>
          <w:lang w:val="en-IN" w:eastAsia="en-GB"/>
          <w14:ligatures w14:val="none"/>
        </w:rPr>
        <w:t xml:space="preserve">, pp. 57–104. Available at: </w:t>
      </w:r>
      <w:hyperlink r:id="rId23" w:history="1">
        <w:r w:rsidRPr="006C2BA6">
          <w:rPr>
            <w:rStyle w:val="Hyperlink"/>
            <w:rFonts w:ascii="Arial" w:eastAsia="Times New Roman" w:hAnsi="Arial" w:cs="Arial"/>
            <w:kern w:val="0"/>
            <w:sz w:val="22"/>
            <w:szCs w:val="22"/>
            <w:lang w:val="en-IN" w:eastAsia="en-GB"/>
            <w14:ligatures w14:val="none"/>
          </w:rPr>
          <w:t>https://doi.org/10.4018/979-8-3373-4094-4.ch003</w:t>
        </w:r>
      </w:hyperlink>
      <w:r w:rsidRPr="006C2BA6">
        <w:rPr>
          <w:rFonts w:ascii="Arial" w:eastAsia="Times New Roman" w:hAnsi="Arial" w:cs="Arial"/>
          <w:color w:val="000000"/>
          <w:kern w:val="0"/>
          <w:sz w:val="22"/>
          <w:szCs w:val="22"/>
          <w:lang w:val="en-IN" w:eastAsia="en-GB"/>
          <w14:ligatures w14:val="none"/>
        </w:rPr>
        <w:t>.</w:t>
      </w:r>
    </w:p>
    <w:p w14:paraId="5A10D9BA"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595154">
        <w:rPr>
          <w:rFonts w:ascii="Arial" w:hAnsi="Arial" w:cs="Arial"/>
          <w:sz w:val="22"/>
          <w:szCs w:val="22"/>
        </w:rPr>
        <w:t>Triggle</w:t>
      </w:r>
      <w:proofErr w:type="spellEnd"/>
      <w:r w:rsidRPr="00595154">
        <w:rPr>
          <w:rFonts w:ascii="Arial" w:hAnsi="Arial" w:cs="Arial"/>
          <w:sz w:val="22"/>
          <w:szCs w:val="22"/>
        </w:rPr>
        <w:t xml:space="preserve">, B.J.M. and N. (2023) </w:t>
      </w:r>
      <w:r w:rsidRPr="00595154">
        <w:rPr>
          <w:rFonts w:ascii="Arial" w:hAnsi="Arial" w:cs="Arial"/>
          <w:i/>
          <w:iCs/>
          <w:sz w:val="22"/>
          <w:szCs w:val="22"/>
        </w:rPr>
        <w:t>Ambulances taking 90 minutes to get to 999 calls</w:t>
      </w:r>
      <w:r w:rsidRPr="00595154">
        <w:rPr>
          <w:rFonts w:ascii="Arial" w:hAnsi="Arial" w:cs="Arial"/>
          <w:sz w:val="22"/>
          <w:szCs w:val="22"/>
        </w:rPr>
        <w:t xml:space="preserve">. </w:t>
      </w:r>
      <w:hyperlink r:id="rId24" w:history="1">
        <w:r w:rsidRPr="00595154">
          <w:rPr>
            <w:rStyle w:val="Hyperlink"/>
            <w:rFonts w:ascii="Arial" w:eastAsiaTheme="majorEastAsia" w:hAnsi="Arial" w:cs="Arial"/>
            <w:sz w:val="22"/>
            <w:szCs w:val="22"/>
          </w:rPr>
          <w:t>https://www.bbc.com/news/health-64254249</w:t>
        </w:r>
      </w:hyperlink>
      <w:r w:rsidRPr="00595154">
        <w:rPr>
          <w:rFonts w:ascii="Arial" w:hAnsi="Arial" w:cs="Arial"/>
          <w:sz w:val="22"/>
          <w:szCs w:val="22"/>
        </w:rPr>
        <w:t>.</w:t>
      </w:r>
    </w:p>
    <w:p w14:paraId="537DA616"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Verderber, S. </w:t>
      </w:r>
      <w:r w:rsidRPr="00595154">
        <w:rPr>
          <w:rFonts w:ascii="Arial" w:hAnsi="Arial" w:cs="Arial"/>
          <w:i/>
          <w:iCs/>
          <w:sz w:val="22"/>
          <w:szCs w:val="22"/>
        </w:rPr>
        <w:t>et al.</w:t>
      </w:r>
      <w:r w:rsidRPr="00595154">
        <w:rPr>
          <w:rFonts w:ascii="Arial" w:hAnsi="Arial" w:cs="Arial"/>
          <w:sz w:val="22"/>
          <w:szCs w:val="22"/>
        </w:rPr>
        <w:t xml:space="preserve"> (2023) 'Residential Environments for Older Persons: A Comprehensive Literature Review (2005–2022),' </w:t>
      </w:r>
      <w:r w:rsidRPr="00595154">
        <w:rPr>
          <w:rFonts w:ascii="Arial" w:hAnsi="Arial" w:cs="Arial"/>
          <w:i/>
          <w:iCs/>
          <w:sz w:val="22"/>
          <w:szCs w:val="22"/>
        </w:rPr>
        <w:t>HERD Health Environments Research &amp; Design Journal</w:t>
      </w:r>
      <w:r w:rsidRPr="00595154">
        <w:rPr>
          <w:rFonts w:ascii="Arial" w:hAnsi="Arial" w:cs="Arial"/>
          <w:sz w:val="22"/>
          <w:szCs w:val="22"/>
        </w:rPr>
        <w:t xml:space="preserve">, 16(3), pp. 291–337. </w:t>
      </w:r>
      <w:hyperlink r:id="rId25" w:history="1">
        <w:r w:rsidRPr="00595154">
          <w:rPr>
            <w:rStyle w:val="Hyperlink"/>
            <w:rFonts w:ascii="Arial" w:eastAsiaTheme="majorEastAsia" w:hAnsi="Arial" w:cs="Arial"/>
            <w:sz w:val="22"/>
            <w:szCs w:val="22"/>
          </w:rPr>
          <w:t>https://doi.org/10.1177/19375867231152611</w:t>
        </w:r>
      </w:hyperlink>
      <w:r w:rsidRPr="00595154">
        <w:rPr>
          <w:rFonts w:ascii="Arial" w:hAnsi="Arial" w:cs="Arial"/>
          <w:sz w:val="22"/>
          <w:szCs w:val="22"/>
        </w:rPr>
        <w:t>.</w:t>
      </w:r>
    </w:p>
    <w:p w14:paraId="16597AF4"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Villar, F. </w:t>
      </w:r>
      <w:r w:rsidRPr="00595154">
        <w:rPr>
          <w:rFonts w:ascii="Arial" w:hAnsi="Arial" w:cs="Arial"/>
          <w:i/>
          <w:iCs/>
          <w:sz w:val="22"/>
          <w:szCs w:val="22"/>
        </w:rPr>
        <w:t>et al.</w:t>
      </w:r>
      <w:r w:rsidRPr="00595154">
        <w:rPr>
          <w:rFonts w:ascii="Arial" w:hAnsi="Arial" w:cs="Arial"/>
          <w:sz w:val="22"/>
          <w:szCs w:val="22"/>
        </w:rPr>
        <w:t xml:space="preserve"> (2021) 'Older People in Long-Term Care Institutions: a case of multidimensional social exclusion,' in </w:t>
      </w:r>
      <w:r w:rsidRPr="00595154">
        <w:rPr>
          <w:rFonts w:ascii="Arial" w:hAnsi="Arial" w:cs="Arial"/>
          <w:i/>
          <w:iCs/>
          <w:sz w:val="22"/>
          <w:szCs w:val="22"/>
        </w:rPr>
        <w:t>International perspectives on aging</w:t>
      </w:r>
      <w:r w:rsidRPr="00595154">
        <w:rPr>
          <w:rFonts w:ascii="Arial" w:hAnsi="Arial" w:cs="Arial"/>
          <w:sz w:val="22"/>
          <w:szCs w:val="22"/>
        </w:rPr>
        <w:t xml:space="preserve">, pp. 297–309. </w:t>
      </w:r>
      <w:hyperlink r:id="rId26" w:history="1">
        <w:r w:rsidRPr="00595154">
          <w:rPr>
            <w:rStyle w:val="Hyperlink"/>
            <w:rFonts w:ascii="Arial" w:eastAsiaTheme="majorEastAsia" w:hAnsi="Arial" w:cs="Arial"/>
            <w:sz w:val="22"/>
            <w:szCs w:val="22"/>
          </w:rPr>
          <w:t>https://doi.org/10.1007/978-3-030-51406-8_23</w:t>
        </w:r>
      </w:hyperlink>
      <w:r w:rsidRPr="00595154">
        <w:rPr>
          <w:rFonts w:ascii="Arial" w:hAnsi="Arial" w:cs="Arial"/>
          <w:sz w:val="22"/>
          <w:szCs w:val="22"/>
        </w:rPr>
        <w:t>.</w:t>
      </w:r>
    </w:p>
    <w:p w14:paraId="01CE97C5" w14:textId="77777777" w:rsidR="006C2BA6" w:rsidRPr="00595154" w:rsidRDefault="006C2BA6" w:rsidP="006C2BA6">
      <w:pPr>
        <w:pStyle w:val="NormalWeb"/>
        <w:numPr>
          <w:ilvl w:val="0"/>
          <w:numId w:val="1"/>
        </w:numPr>
        <w:spacing w:before="0" w:beforeAutospacing="0" w:after="0" w:afterAutospacing="0" w:line="360" w:lineRule="auto"/>
        <w:jc w:val="both"/>
        <w:rPr>
          <w:rFonts w:ascii="Arial" w:hAnsi="Arial" w:cs="Arial"/>
          <w:sz w:val="22"/>
          <w:szCs w:val="22"/>
        </w:rPr>
      </w:pPr>
      <w:r w:rsidRPr="00595154">
        <w:rPr>
          <w:rFonts w:ascii="Arial" w:hAnsi="Arial" w:cs="Arial"/>
          <w:sz w:val="22"/>
          <w:szCs w:val="22"/>
        </w:rPr>
        <w:t xml:space="preserve">Willie, M.M. (2023) 'Revolutionizing Medical Transportation: The Emergence of On-Demand Ambulance Services through E-Hailing...,' </w:t>
      </w:r>
      <w:r w:rsidRPr="00595154">
        <w:rPr>
          <w:rFonts w:ascii="Arial" w:hAnsi="Arial" w:cs="Arial"/>
          <w:i/>
          <w:iCs/>
          <w:sz w:val="22"/>
          <w:szCs w:val="22"/>
        </w:rPr>
        <w:t>ResearchGate</w:t>
      </w:r>
      <w:r w:rsidRPr="00595154">
        <w:rPr>
          <w:rFonts w:ascii="Arial" w:hAnsi="Arial" w:cs="Arial"/>
          <w:sz w:val="22"/>
          <w:szCs w:val="22"/>
        </w:rPr>
        <w:t xml:space="preserve"> [Preprint]. </w:t>
      </w:r>
      <w:hyperlink r:id="rId27" w:history="1">
        <w:r w:rsidRPr="00595154">
          <w:rPr>
            <w:rStyle w:val="Hyperlink"/>
            <w:rFonts w:ascii="Arial" w:eastAsiaTheme="majorEastAsia" w:hAnsi="Arial" w:cs="Arial"/>
            <w:sz w:val="22"/>
            <w:szCs w:val="22"/>
          </w:rPr>
          <w:t>https://www.researchgate.net/publication/372861958_Revolutionizing_Medical_Transportation_The_Emergence_of_On-Demand_Ambulance_Services_through_E-Hailing_Platforms</w:t>
        </w:r>
      </w:hyperlink>
      <w:r w:rsidRPr="00595154">
        <w:rPr>
          <w:rFonts w:ascii="Arial" w:hAnsi="Arial" w:cs="Arial"/>
          <w:sz w:val="22"/>
          <w:szCs w:val="22"/>
        </w:rPr>
        <w:t>.</w:t>
      </w:r>
    </w:p>
    <w:p w14:paraId="6DA10BB9" w14:textId="77777777" w:rsidR="00595154" w:rsidRPr="00595154" w:rsidRDefault="00595154" w:rsidP="00595154">
      <w:pPr>
        <w:pStyle w:val="NormalWeb"/>
        <w:spacing w:before="0" w:beforeAutospacing="0" w:after="0" w:afterAutospacing="0" w:line="360" w:lineRule="auto"/>
        <w:ind w:left="720" w:hanging="720"/>
        <w:jc w:val="both"/>
        <w:rPr>
          <w:rFonts w:ascii="Arial" w:hAnsi="Arial" w:cs="Arial"/>
          <w:sz w:val="22"/>
          <w:szCs w:val="22"/>
        </w:rPr>
      </w:pPr>
    </w:p>
    <w:p w14:paraId="564BAA06" w14:textId="77777777" w:rsidR="00595154" w:rsidRPr="00595154" w:rsidRDefault="00595154" w:rsidP="00595154">
      <w:pPr>
        <w:spacing w:line="360" w:lineRule="auto"/>
        <w:jc w:val="both"/>
        <w:rPr>
          <w:rFonts w:ascii="Arial" w:hAnsi="Arial" w:cs="Arial"/>
          <w:sz w:val="22"/>
          <w:szCs w:val="22"/>
        </w:rPr>
      </w:pPr>
    </w:p>
    <w:p w14:paraId="2FC695A7" w14:textId="77777777" w:rsidR="00FF4A58" w:rsidRPr="00595154" w:rsidRDefault="00FF4A58" w:rsidP="00595154">
      <w:pPr>
        <w:spacing w:line="360" w:lineRule="auto"/>
        <w:jc w:val="both"/>
        <w:rPr>
          <w:rFonts w:ascii="Arial" w:hAnsi="Arial" w:cs="Arial"/>
          <w:sz w:val="22"/>
          <w:szCs w:val="22"/>
        </w:rPr>
      </w:pPr>
    </w:p>
    <w:sectPr w:rsidR="00FF4A58" w:rsidRPr="00595154">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A5C30" w14:textId="77777777" w:rsidR="000306A3" w:rsidRDefault="000306A3" w:rsidP="00AA1855">
      <w:pPr>
        <w:spacing w:after="0" w:line="240" w:lineRule="auto"/>
      </w:pPr>
      <w:r>
        <w:separator/>
      </w:r>
    </w:p>
  </w:endnote>
  <w:endnote w:type="continuationSeparator" w:id="0">
    <w:p w14:paraId="3E737EB1" w14:textId="77777777" w:rsidR="000306A3" w:rsidRDefault="000306A3" w:rsidP="00AA1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702680"/>
      <w:docPartObj>
        <w:docPartGallery w:val="Page Numbers (Bottom of Page)"/>
        <w:docPartUnique/>
      </w:docPartObj>
    </w:sdtPr>
    <w:sdtEndPr>
      <w:rPr>
        <w:rStyle w:val="PageNumber"/>
      </w:rPr>
    </w:sdtEndPr>
    <w:sdtContent>
      <w:p w14:paraId="27865BE4" w14:textId="77777777" w:rsidR="00AA1855" w:rsidRDefault="00AA1855" w:rsidP="00B647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7FFB8A" w14:textId="77777777" w:rsidR="00AA1855" w:rsidRDefault="00AA18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8048992"/>
      <w:docPartObj>
        <w:docPartGallery w:val="Page Numbers (Bottom of Page)"/>
        <w:docPartUnique/>
      </w:docPartObj>
    </w:sdtPr>
    <w:sdtEndPr>
      <w:rPr>
        <w:rStyle w:val="PageNumber"/>
      </w:rPr>
    </w:sdtEndPr>
    <w:sdtContent>
      <w:p w14:paraId="3FED0C58" w14:textId="77777777" w:rsidR="00AA1855" w:rsidRDefault="00AA1855" w:rsidP="00B647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FF54A7" w14:textId="77777777" w:rsidR="00AA1855" w:rsidRDefault="00AA1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A1E51" w14:textId="77777777" w:rsidR="000306A3" w:rsidRDefault="000306A3" w:rsidP="00AA1855">
      <w:pPr>
        <w:spacing w:after="0" w:line="240" w:lineRule="auto"/>
      </w:pPr>
      <w:r>
        <w:separator/>
      </w:r>
    </w:p>
  </w:footnote>
  <w:footnote w:type="continuationSeparator" w:id="0">
    <w:p w14:paraId="36CC9A99" w14:textId="77777777" w:rsidR="000306A3" w:rsidRDefault="000306A3" w:rsidP="00AA18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68145C"/>
    <w:multiLevelType w:val="hybridMultilevel"/>
    <w:tmpl w:val="64487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8783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154"/>
    <w:rsid w:val="0002289F"/>
    <w:rsid w:val="000306A3"/>
    <w:rsid w:val="00050140"/>
    <w:rsid w:val="00193851"/>
    <w:rsid w:val="002E2B47"/>
    <w:rsid w:val="00341B2E"/>
    <w:rsid w:val="00362D5F"/>
    <w:rsid w:val="003939C3"/>
    <w:rsid w:val="00595154"/>
    <w:rsid w:val="00626A99"/>
    <w:rsid w:val="00665591"/>
    <w:rsid w:val="006C2BA6"/>
    <w:rsid w:val="00900F0F"/>
    <w:rsid w:val="00943234"/>
    <w:rsid w:val="00957EB8"/>
    <w:rsid w:val="00AA1855"/>
    <w:rsid w:val="00C311CD"/>
    <w:rsid w:val="00C64109"/>
    <w:rsid w:val="00C96B44"/>
    <w:rsid w:val="00CB1257"/>
    <w:rsid w:val="00E0142F"/>
    <w:rsid w:val="00E90A7C"/>
    <w:rsid w:val="00EA1F32"/>
    <w:rsid w:val="00F1150E"/>
    <w:rsid w:val="00F60AFB"/>
    <w:rsid w:val="00FF4A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C0E32"/>
  <w15:chartTrackingRefBased/>
  <w15:docId w15:val="{E0ACA912-F66F-6E41-987C-ED4FE9710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154"/>
    <w:rPr>
      <w:lang w:val="en-GB"/>
    </w:rPr>
  </w:style>
  <w:style w:type="paragraph" w:styleId="Heading1">
    <w:name w:val="heading 1"/>
    <w:basedOn w:val="Normal"/>
    <w:next w:val="Normal"/>
    <w:link w:val="Heading1Char"/>
    <w:uiPriority w:val="9"/>
    <w:qFormat/>
    <w:rsid w:val="005951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1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1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1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1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1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1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1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1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15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9515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9515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9515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9515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9515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9515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9515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9515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951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15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951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15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95154"/>
    <w:pPr>
      <w:spacing w:before="160"/>
      <w:jc w:val="center"/>
    </w:pPr>
    <w:rPr>
      <w:i/>
      <w:iCs/>
      <w:color w:val="404040" w:themeColor="text1" w:themeTint="BF"/>
    </w:rPr>
  </w:style>
  <w:style w:type="character" w:customStyle="1" w:styleId="QuoteChar">
    <w:name w:val="Quote Char"/>
    <w:basedOn w:val="DefaultParagraphFont"/>
    <w:link w:val="Quote"/>
    <w:uiPriority w:val="29"/>
    <w:rsid w:val="00595154"/>
    <w:rPr>
      <w:i/>
      <w:iCs/>
      <w:color w:val="404040" w:themeColor="text1" w:themeTint="BF"/>
      <w:lang w:val="en-GB"/>
    </w:rPr>
  </w:style>
  <w:style w:type="paragraph" w:styleId="ListParagraph">
    <w:name w:val="List Paragraph"/>
    <w:basedOn w:val="Normal"/>
    <w:uiPriority w:val="34"/>
    <w:qFormat/>
    <w:rsid w:val="00595154"/>
    <w:pPr>
      <w:ind w:left="720"/>
      <w:contextualSpacing/>
    </w:pPr>
  </w:style>
  <w:style w:type="character" w:styleId="IntenseEmphasis">
    <w:name w:val="Intense Emphasis"/>
    <w:basedOn w:val="DefaultParagraphFont"/>
    <w:uiPriority w:val="21"/>
    <w:qFormat/>
    <w:rsid w:val="00595154"/>
    <w:rPr>
      <w:i/>
      <w:iCs/>
      <w:color w:val="0F4761" w:themeColor="accent1" w:themeShade="BF"/>
    </w:rPr>
  </w:style>
  <w:style w:type="paragraph" w:styleId="IntenseQuote">
    <w:name w:val="Intense Quote"/>
    <w:basedOn w:val="Normal"/>
    <w:next w:val="Normal"/>
    <w:link w:val="IntenseQuoteChar"/>
    <w:uiPriority w:val="30"/>
    <w:qFormat/>
    <w:rsid w:val="005951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154"/>
    <w:rPr>
      <w:i/>
      <w:iCs/>
      <w:color w:val="0F4761" w:themeColor="accent1" w:themeShade="BF"/>
      <w:lang w:val="en-GB"/>
    </w:rPr>
  </w:style>
  <w:style w:type="character" w:styleId="IntenseReference">
    <w:name w:val="Intense Reference"/>
    <w:basedOn w:val="DefaultParagraphFont"/>
    <w:uiPriority w:val="32"/>
    <w:qFormat/>
    <w:rsid w:val="00595154"/>
    <w:rPr>
      <w:b/>
      <w:bCs/>
      <w:smallCaps/>
      <w:color w:val="0F4761" w:themeColor="accent1" w:themeShade="BF"/>
      <w:spacing w:val="5"/>
    </w:rPr>
  </w:style>
  <w:style w:type="paragraph" w:styleId="NormalWeb">
    <w:name w:val="Normal (Web)"/>
    <w:basedOn w:val="Normal"/>
    <w:uiPriority w:val="99"/>
    <w:unhideWhenUsed/>
    <w:rsid w:val="00595154"/>
    <w:pPr>
      <w:spacing w:before="100" w:beforeAutospacing="1" w:after="100" w:afterAutospacing="1" w:line="240" w:lineRule="auto"/>
    </w:pPr>
    <w:rPr>
      <w:rFonts w:ascii="Times New Roman" w:eastAsia="Times New Roman" w:hAnsi="Times New Roman" w:cs="Times New Roman"/>
      <w:kern w:val="0"/>
      <w:lang w:val="en-IN" w:eastAsia="en-GB"/>
      <w14:ligatures w14:val="none"/>
    </w:rPr>
  </w:style>
  <w:style w:type="character" w:customStyle="1" w:styleId="url">
    <w:name w:val="url"/>
    <w:basedOn w:val="DefaultParagraphFont"/>
    <w:rsid w:val="00595154"/>
  </w:style>
  <w:style w:type="character" w:styleId="Hyperlink">
    <w:name w:val="Hyperlink"/>
    <w:basedOn w:val="DefaultParagraphFont"/>
    <w:uiPriority w:val="99"/>
    <w:unhideWhenUsed/>
    <w:rsid w:val="00595154"/>
    <w:rPr>
      <w:color w:val="467886" w:themeColor="hyperlink"/>
      <w:u w:val="single"/>
    </w:rPr>
  </w:style>
  <w:style w:type="paragraph" w:styleId="Footer">
    <w:name w:val="footer"/>
    <w:basedOn w:val="Normal"/>
    <w:link w:val="FooterChar"/>
    <w:uiPriority w:val="99"/>
    <w:unhideWhenUsed/>
    <w:rsid w:val="00AA18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855"/>
    <w:rPr>
      <w:lang w:val="en-GB"/>
    </w:rPr>
  </w:style>
  <w:style w:type="character" w:styleId="PageNumber">
    <w:name w:val="page number"/>
    <w:basedOn w:val="DefaultParagraphFont"/>
    <w:uiPriority w:val="99"/>
    <w:semiHidden/>
    <w:unhideWhenUsed/>
    <w:rsid w:val="00AA1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86/s12873-026-01532-9" TargetMode="External"/><Relationship Id="rId18" Type="http://schemas.openxmlformats.org/officeDocument/2006/relationships/hyperlink" Target="https://ambutech.co.uk/articles/nhs-sbs-transportation-travel-services-for-health-framework/" TargetMode="External"/><Relationship Id="rId26" Type="http://schemas.openxmlformats.org/officeDocument/2006/relationships/hyperlink" Target="https://doi.org/10.1007/978-3-030-51406-8_23" TargetMode="External"/><Relationship Id="rId3" Type="http://schemas.openxmlformats.org/officeDocument/2006/relationships/settings" Target="settings.xml"/><Relationship Id="rId21" Type="http://schemas.openxmlformats.org/officeDocument/2006/relationships/hyperlink" Target="https://doi.org/10.1177/00207314221114540" TargetMode="External"/><Relationship Id="rId7" Type="http://schemas.openxmlformats.org/officeDocument/2006/relationships/image" Target="media/image1.png"/><Relationship Id="rId12" Type="http://schemas.openxmlformats.org/officeDocument/2006/relationships/hyperlink" Target="https://www.england.nhs.uk/2025/09/new-nhs-online-hospital-to-give-patients-more-control-over-their-care/" TargetMode="External"/><Relationship Id="rId17" Type="http://schemas.openxmlformats.org/officeDocument/2006/relationships/hyperlink" Target="https://doi.org/10.1186/s12877-024-05401-7" TargetMode="External"/><Relationship Id="rId25" Type="http://schemas.openxmlformats.org/officeDocument/2006/relationships/hyperlink" Target="https://doi.org/10.1177/19375867231152611" TargetMode="External"/><Relationship Id="rId2" Type="http://schemas.openxmlformats.org/officeDocument/2006/relationships/styles" Target="styles.xml"/><Relationship Id="rId16" Type="http://schemas.openxmlformats.org/officeDocument/2006/relationships/hyperlink" Target="https://aace.org.uk/news/new-ambulance-response-standards-introduced-improve-patient-care/" TargetMode="External"/><Relationship Id="rId20" Type="http://schemas.openxmlformats.org/officeDocument/2006/relationships/hyperlink" Target="https://doi.org/10.1007/s40847-026-00504-w"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281/zenodo.18074246" TargetMode="External"/><Relationship Id="rId24" Type="http://schemas.openxmlformats.org/officeDocument/2006/relationships/hyperlink" Target="https://www.bbc.com/news/health-64254249" TargetMode="External"/><Relationship Id="rId5" Type="http://schemas.openxmlformats.org/officeDocument/2006/relationships/footnotes" Target="footnotes.xml"/><Relationship Id="rId15" Type="http://schemas.openxmlformats.org/officeDocument/2006/relationships/hyperlink" Target="https://doi.org/10.1016/j.hcl.2020.01.004" TargetMode="External"/><Relationship Id="rId23" Type="http://schemas.openxmlformats.org/officeDocument/2006/relationships/hyperlink" Target="https://doi.org/10.4018/979-8-3373-4094-4.ch003" TargetMode="External"/><Relationship Id="rId28" Type="http://schemas.openxmlformats.org/officeDocument/2006/relationships/footer" Target="footer1.xml"/><Relationship Id="rId10" Type="http://schemas.openxmlformats.org/officeDocument/2006/relationships/hyperlink" Target="https://doi.org/10.15441/ceem.18.032" TargetMode="External"/><Relationship Id="rId19" Type="http://schemas.openxmlformats.org/officeDocument/2006/relationships/hyperlink" Target="https://doi.org/10.1111/hsc.1323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ommonslibrary.parliament.uk/research-briefings/cdp-2025-0042/" TargetMode="External"/><Relationship Id="rId14" Type="http://schemas.openxmlformats.org/officeDocument/2006/relationships/hyperlink" Target="https://doi.org/10.1002/14651858.cd012892" TargetMode="External"/><Relationship Id="rId22" Type="http://schemas.openxmlformats.org/officeDocument/2006/relationships/hyperlink" Target="https://doi.org/10.1097/ncq.0000000000000351" TargetMode="External"/><Relationship Id="rId27" Type="http://schemas.openxmlformats.org/officeDocument/2006/relationships/hyperlink" Target="https://www.researchgate.net/publication/372861958_Revolutionizing_Medical_Transportation_The_Emergence_of_On-Demand_Ambulance_Services_through_E-Hailing_Platform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1516</Words>
  <Characters>8644</Characters>
  <Application>Microsoft Office Word</Application>
  <DocSecurity>0</DocSecurity>
  <Lines>72</Lines>
  <Paragraphs>20</Paragraphs>
  <ScaleCrop>false</ScaleCrop>
  <Company/>
  <LinksUpToDate>false</LinksUpToDate>
  <CharactersWithSpaces>10140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INCA</dc:creator>
  <cp:keywords/>
  <dc:description/>
  <cp:lastModifiedBy>Ajibola Owoolapo</cp:lastModifiedBy>
  <cp:revision>2</cp:revision>
  <dcterms:created xsi:type="dcterms:W3CDTF">2026-08-13T17:10:00Z</dcterms:created>
  <dcterms:modified xsi:type="dcterms:W3CDTF">2026-08-13T17:10:00Z</dcterms:modified>
</cp:coreProperties>
</file>