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r>
        <w:t>Case Study 3 — Lightweight Rower (2K Race)</w:t>
      </w:r>
    </w:p>
    <w:p/>
    <w:p>
      <w:r>
        <w:t>Athlete: Jon, 21, lightweight rower (must weigh in at 70 kg)</w:t>
      </w:r>
    </w:p>
    <w:p>
      <w:r>
        <w:t>Event: 2000m final at 3:00 p.m.</w:t>
      </w:r>
    </w:p>
    <w:p/>
    <w:p>
      <w:r>
        <w:t>Task: Develop a complete nutrition strategy for:</w:t>
      </w:r>
    </w:p>
    <w:p>
      <w:r>
        <w:t>1. 48–72 hours pre‑event</w:t>
      </w:r>
    </w:p>
    <w:p>
      <w:r>
        <w:t>2. Day of weigh‑in</w:t>
      </w:r>
    </w:p>
    <w:p>
      <w:r>
        <w:t>3. Between weigh‑in and race</w:t>
      </w:r>
    </w:p>
    <w:p>
      <w:r>
        <w:t>4. During warm‑up / final 2 h pre‑race</w:t>
      </w:r>
    </w:p>
    <w:p>
      <w:r>
        <w:t>5. Post‑race recovery</w:t>
      </w:r>
    </w:p>
    <w:p/>
    <w:p>
      <w:r>
        <w:t>Key fatigue risks to consider:</w:t>
      </w:r>
    </w:p>
    <w:p>
      <w:r>
        <w:t>- Severe acidosis (high glycolytic flux)</w:t>
      </w:r>
    </w:p>
    <w:p>
      <w:r>
        <w:t>- PCr depletion</w:t>
      </w:r>
    </w:p>
    <w:p>
      <w:r>
        <w:t>- CNS fatigue</w:t>
      </w:r>
    </w:p>
    <w:p>
      <w:r>
        <w:t>- Risk of under‑fuelling due to weight restriction</w:t>
      </w:r>
    </w:p>
    <w:p/>
    <w:p>
      <w:r>
        <w:t>Notes:</w:t>
      </w:r>
    </w:p>
    <w:p>
      <w:r>
        <w:t>Address weight‑making strategies, acute buffering options, and rapid CHO intake after weigh‑in.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