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A4470" w14:textId="5FD66731" w:rsidR="00F80C77" w:rsidRPr="001441CA" w:rsidRDefault="00CD47D1" w:rsidP="001441CA">
      <w:pPr>
        <w:spacing w:line="360" w:lineRule="auto"/>
        <w:jc w:val="center"/>
        <w:rPr>
          <w:rFonts w:ascii="Arial" w:hAnsi="Arial" w:cs="Arial"/>
          <w:sz w:val="32"/>
          <w:szCs w:val="32"/>
          <w:u w:val="single"/>
        </w:rPr>
      </w:pPr>
      <w:r w:rsidRPr="001441CA">
        <w:rPr>
          <w:rFonts w:ascii="Arial" w:hAnsi="Arial" w:cs="Arial"/>
          <w:sz w:val="32"/>
          <w:szCs w:val="32"/>
          <w:u w:val="single"/>
        </w:rPr>
        <w:t>6010</w:t>
      </w:r>
    </w:p>
    <w:p w14:paraId="3F41A661" w14:textId="77777777" w:rsidR="001441CA" w:rsidRPr="001441CA" w:rsidRDefault="001441CA" w:rsidP="001441CA">
      <w:pPr>
        <w:spacing w:line="360" w:lineRule="auto"/>
        <w:jc w:val="center"/>
        <w:rPr>
          <w:rFonts w:ascii="Arial" w:hAnsi="Arial" w:cs="Arial"/>
          <w:sz w:val="32"/>
          <w:szCs w:val="32"/>
          <w:u w:val="single"/>
        </w:rPr>
      </w:pPr>
    </w:p>
    <w:p w14:paraId="7BA78C2A" w14:textId="30D05359" w:rsidR="00633C03" w:rsidRPr="001441CA" w:rsidRDefault="00633C03" w:rsidP="001441CA">
      <w:pPr>
        <w:spacing w:line="360" w:lineRule="auto"/>
        <w:jc w:val="center"/>
        <w:rPr>
          <w:rFonts w:ascii="Arial" w:hAnsi="Arial" w:cs="Arial"/>
          <w:sz w:val="32"/>
          <w:szCs w:val="32"/>
          <w:u w:val="single"/>
        </w:rPr>
      </w:pPr>
      <w:r w:rsidRPr="001441CA">
        <w:rPr>
          <w:rFonts w:ascii="Arial" w:hAnsi="Arial" w:cs="Arial"/>
          <w:sz w:val="32"/>
          <w:szCs w:val="32"/>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3944FC06" w14:textId="26853DB6" w:rsidR="00F80C77" w:rsidRPr="001441CA" w:rsidRDefault="00F80C77" w:rsidP="001441CA">
      <w:pPr>
        <w:spacing w:line="360" w:lineRule="auto"/>
        <w:jc w:val="center"/>
        <w:rPr>
          <w:rFonts w:ascii="Arial" w:hAnsi="Arial" w:cs="Arial"/>
          <w:u w:val="single"/>
        </w:rPr>
      </w:pPr>
    </w:p>
    <w:p w14:paraId="609D2630" w14:textId="4CC2252A" w:rsidR="00F80C77" w:rsidRPr="001441CA" w:rsidRDefault="001441CA" w:rsidP="001441CA">
      <w:pPr>
        <w:spacing w:line="360" w:lineRule="auto"/>
        <w:jc w:val="center"/>
        <w:rPr>
          <w:rFonts w:ascii="Arial" w:hAnsi="Arial" w:cs="Arial"/>
          <w:u w:val="single"/>
        </w:rPr>
      </w:pPr>
      <w:r w:rsidRPr="001441CA">
        <w:rPr>
          <w:rFonts w:ascii="Arial" w:hAnsi="Arial" w:cs="Arial"/>
          <w:u w:val="single"/>
        </w:rPr>
        <w:t>Targets</w:t>
      </w:r>
      <w:r w:rsidR="00F80C77" w:rsidRPr="001441CA">
        <w:rPr>
          <w:rFonts w:ascii="Arial" w:hAnsi="Arial" w:cs="Arial"/>
          <w:u w:val="single"/>
        </w:rPr>
        <w:t>:</w:t>
      </w:r>
    </w:p>
    <w:p w14:paraId="6D2BB454" w14:textId="55CC4E5A" w:rsidR="00633C03" w:rsidRPr="001441CA" w:rsidRDefault="00633C03">
      <w:pPr>
        <w:rPr>
          <w:rFonts w:ascii="Arial" w:hAnsi="Arial" w:cs="Arial"/>
        </w:rPr>
      </w:pPr>
    </w:p>
    <w:tbl>
      <w:tblPr>
        <w:tblStyle w:val="TableGrid"/>
        <w:tblW w:w="0" w:type="auto"/>
        <w:tblLook w:val="04A0" w:firstRow="1" w:lastRow="0" w:firstColumn="1" w:lastColumn="0" w:noHBand="0" w:noVBand="1"/>
      </w:tblPr>
      <w:tblGrid>
        <w:gridCol w:w="1838"/>
        <w:gridCol w:w="3589"/>
        <w:gridCol w:w="3589"/>
      </w:tblGrid>
      <w:tr w:rsidR="001441CA" w:rsidRPr="001441CA" w14:paraId="575676A7" w14:textId="77777777" w:rsidTr="00A37661">
        <w:tc>
          <w:tcPr>
            <w:tcW w:w="1838" w:type="dxa"/>
          </w:tcPr>
          <w:p w14:paraId="0DE08AEB" w14:textId="77777777" w:rsidR="001441CA" w:rsidRPr="001441CA" w:rsidRDefault="001441CA" w:rsidP="00A37661">
            <w:pPr>
              <w:pStyle w:val="AssignBody"/>
              <w:rPr>
                <w:rFonts w:cs="Arial"/>
                <w:b/>
                <w:bCs/>
                <w:color w:val="000000" w:themeColor="text1"/>
              </w:rPr>
            </w:pPr>
            <w:r w:rsidRPr="001441CA">
              <w:rPr>
                <w:rFonts w:cs="Arial"/>
                <w:b/>
                <w:bCs/>
                <w:color w:val="000000" w:themeColor="text1"/>
              </w:rPr>
              <w:t>Targets</w:t>
            </w:r>
          </w:p>
        </w:tc>
        <w:tc>
          <w:tcPr>
            <w:tcW w:w="3589" w:type="dxa"/>
          </w:tcPr>
          <w:p w14:paraId="7A3E0E0B" w14:textId="77777777" w:rsidR="001441CA" w:rsidRPr="001441CA" w:rsidRDefault="001441CA" w:rsidP="00A37661">
            <w:pPr>
              <w:pStyle w:val="AssignBody"/>
              <w:rPr>
                <w:rFonts w:cs="Arial"/>
                <w:b/>
                <w:bCs/>
                <w:color w:val="000000" w:themeColor="text1"/>
              </w:rPr>
            </w:pPr>
            <w:r w:rsidRPr="001441CA">
              <w:rPr>
                <w:rFonts w:cs="Arial"/>
                <w:b/>
                <w:bCs/>
                <w:color w:val="000000" w:themeColor="text1"/>
              </w:rPr>
              <w:t>How you have worked on this</w:t>
            </w:r>
          </w:p>
        </w:tc>
        <w:tc>
          <w:tcPr>
            <w:tcW w:w="3589" w:type="dxa"/>
          </w:tcPr>
          <w:p w14:paraId="39ADB06F" w14:textId="77777777" w:rsidR="001441CA" w:rsidRPr="001441CA" w:rsidRDefault="001441CA" w:rsidP="00A37661">
            <w:pPr>
              <w:pStyle w:val="AssignBody"/>
              <w:rPr>
                <w:rFonts w:cs="Arial"/>
                <w:b/>
                <w:bCs/>
                <w:color w:val="000000" w:themeColor="text1"/>
              </w:rPr>
            </w:pPr>
            <w:r w:rsidRPr="001441CA">
              <w:rPr>
                <w:rFonts w:cs="Arial"/>
                <w:b/>
                <w:bCs/>
                <w:color w:val="000000" w:themeColor="text1"/>
              </w:rPr>
              <w:t>An example can be found:</w:t>
            </w:r>
          </w:p>
        </w:tc>
      </w:tr>
      <w:tr w:rsidR="001441CA" w:rsidRPr="001441CA" w14:paraId="5D9D4AA5" w14:textId="77777777" w:rsidTr="00A37661">
        <w:tc>
          <w:tcPr>
            <w:tcW w:w="1838" w:type="dxa"/>
          </w:tcPr>
          <w:p w14:paraId="2B12C6D3" w14:textId="77777777" w:rsidR="001441CA" w:rsidRPr="001441CA" w:rsidRDefault="001441CA" w:rsidP="00A37661">
            <w:pPr>
              <w:pStyle w:val="AssignBody"/>
              <w:rPr>
                <w:rFonts w:cs="Arial"/>
                <w:b/>
                <w:bCs/>
                <w:color w:val="000000" w:themeColor="text1"/>
              </w:rPr>
            </w:pPr>
            <w:r w:rsidRPr="001441CA">
              <w:rPr>
                <w:rFonts w:cs="Arial"/>
                <w:b/>
                <w:bCs/>
                <w:color w:val="000000" w:themeColor="text1"/>
              </w:rPr>
              <w:t>Target 1</w:t>
            </w:r>
          </w:p>
        </w:tc>
        <w:tc>
          <w:tcPr>
            <w:tcW w:w="3589" w:type="dxa"/>
          </w:tcPr>
          <w:p w14:paraId="0A62648C" w14:textId="66F3F6E5" w:rsidR="001441CA" w:rsidRPr="001441CA" w:rsidRDefault="001441CA" w:rsidP="00A37661">
            <w:pPr>
              <w:pStyle w:val="AssignBody"/>
              <w:rPr>
                <w:rFonts w:cs="Arial"/>
                <w:color w:val="000000" w:themeColor="text1"/>
              </w:rPr>
            </w:pPr>
            <w:r w:rsidRPr="001441CA">
              <w:rPr>
                <w:rFonts w:cs="Arial"/>
                <w:color w:val="000000" w:themeColor="text1"/>
                <w:shd w:val="clear" w:color="auto" w:fill="FFFFFF"/>
              </w:rPr>
              <w:t>Proofread all written expression with care to ensure consistent clarity in your assignment.</w:t>
            </w:r>
          </w:p>
        </w:tc>
        <w:tc>
          <w:tcPr>
            <w:tcW w:w="3589" w:type="dxa"/>
          </w:tcPr>
          <w:p w14:paraId="7BB804CE" w14:textId="0648ECAC" w:rsidR="001441CA" w:rsidRPr="001441CA" w:rsidRDefault="001441CA" w:rsidP="00A37661">
            <w:pPr>
              <w:pStyle w:val="AssignBody"/>
              <w:rPr>
                <w:rFonts w:cs="Arial"/>
                <w:color w:val="000000" w:themeColor="text1"/>
              </w:rPr>
            </w:pPr>
            <w:r w:rsidRPr="001441CA">
              <w:rPr>
                <w:rFonts w:cs="Arial"/>
                <w:color w:val="000000" w:themeColor="text1"/>
              </w:rPr>
              <w:t>I have proofread and had a second party proofread as well</w:t>
            </w:r>
          </w:p>
        </w:tc>
      </w:tr>
      <w:tr w:rsidR="001441CA" w:rsidRPr="001441CA" w14:paraId="4D61F67A" w14:textId="77777777" w:rsidTr="00A37661">
        <w:tc>
          <w:tcPr>
            <w:tcW w:w="1838" w:type="dxa"/>
          </w:tcPr>
          <w:p w14:paraId="764586DC" w14:textId="77777777" w:rsidR="001441CA" w:rsidRPr="001441CA" w:rsidRDefault="001441CA" w:rsidP="00A37661">
            <w:pPr>
              <w:pStyle w:val="AssignBody"/>
              <w:rPr>
                <w:rFonts w:cs="Arial"/>
                <w:b/>
                <w:bCs/>
                <w:color w:val="000000" w:themeColor="text1"/>
              </w:rPr>
            </w:pPr>
            <w:r w:rsidRPr="001441CA">
              <w:rPr>
                <w:rFonts w:cs="Arial"/>
                <w:b/>
                <w:bCs/>
                <w:color w:val="000000" w:themeColor="text1"/>
              </w:rPr>
              <w:t>Target 2</w:t>
            </w:r>
          </w:p>
        </w:tc>
        <w:tc>
          <w:tcPr>
            <w:tcW w:w="3589" w:type="dxa"/>
          </w:tcPr>
          <w:p w14:paraId="6453ADD7" w14:textId="23AFB3C5" w:rsidR="001441CA" w:rsidRPr="001441CA" w:rsidRDefault="001441CA" w:rsidP="00A37661">
            <w:pPr>
              <w:pStyle w:val="AssignBody"/>
              <w:rPr>
                <w:rFonts w:cs="Arial"/>
                <w:color w:val="000000" w:themeColor="text1"/>
              </w:rPr>
            </w:pPr>
            <w:r w:rsidRPr="001441CA">
              <w:rPr>
                <w:rFonts w:cs="Arial"/>
                <w:color w:val="000000" w:themeColor="text1"/>
                <w:shd w:val="clear" w:color="auto" w:fill="FFFFFF"/>
              </w:rPr>
              <w:t>When presenting a range of views from sources, check that you've added your own critical comment to the discussion.</w:t>
            </w:r>
          </w:p>
        </w:tc>
        <w:tc>
          <w:tcPr>
            <w:tcW w:w="3589" w:type="dxa"/>
          </w:tcPr>
          <w:p w14:paraId="7940FE1F" w14:textId="1524E14D" w:rsidR="001441CA" w:rsidRPr="001441CA" w:rsidRDefault="001441CA" w:rsidP="00A37661">
            <w:pPr>
              <w:pStyle w:val="AssignBody"/>
              <w:rPr>
                <w:rFonts w:cs="Arial"/>
                <w:color w:val="000000" w:themeColor="text1"/>
              </w:rPr>
            </w:pPr>
            <w:r w:rsidRPr="001441CA">
              <w:rPr>
                <w:rFonts w:cs="Arial"/>
                <w:color w:val="000000" w:themeColor="text1"/>
              </w:rPr>
              <w:t>I have done this throughout the essay.</w:t>
            </w:r>
          </w:p>
        </w:tc>
      </w:tr>
      <w:tr w:rsidR="001441CA" w:rsidRPr="001441CA" w14:paraId="5A56B77F" w14:textId="77777777" w:rsidTr="00A37661">
        <w:tc>
          <w:tcPr>
            <w:tcW w:w="1838" w:type="dxa"/>
          </w:tcPr>
          <w:p w14:paraId="4239930B" w14:textId="42E406BD" w:rsidR="001441CA" w:rsidRPr="001441CA" w:rsidRDefault="001441CA" w:rsidP="00A37661">
            <w:pPr>
              <w:pStyle w:val="AssignBody"/>
              <w:rPr>
                <w:rFonts w:cs="Arial"/>
                <w:b/>
                <w:bCs/>
                <w:color w:val="000000" w:themeColor="text1"/>
              </w:rPr>
            </w:pPr>
            <w:r w:rsidRPr="001441CA">
              <w:rPr>
                <w:rFonts w:cs="Arial"/>
                <w:b/>
                <w:bCs/>
                <w:color w:val="000000" w:themeColor="text1"/>
              </w:rPr>
              <w:t>Target 3</w:t>
            </w:r>
          </w:p>
        </w:tc>
        <w:tc>
          <w:tcPr>
            <w:tcW w:w="3589" w:type="dxa"/>
          </w:tcPr>
          <w:p w14:paraId="35CAD5FA" w14:textId="561F1DA8" w:rsidR="001441CA" w:rsidRPr="001441CA" w:rsidRDefault="001441CA" w:rsidP="00A37661">
            <w:pPr>
              <w:pStyle w:val="AssignBody"/>
              <w:rPr>
                <w:rFonts w:cs="Arial"/>
                <w:color w:val="000000" w:themeColor="text1"/>
              </w:rPr>
            </w:pPr>
            <w:r w:rsidRPr="001441CA">
              <w:rPr>
                <w:rFonts w:cs="Arial"/>
                <w:color w:val="000000" w:themeColor="text1"/>
                <w:shd w:val="clear" w:color="auto" w:fill="FFFFFF"/>
              </w:rPr>
              <w:t> Maintain the good breadth of reading.</w:t>
            </w:r>
          </w:p>
        </w:tc>
        <w:tc>
          <w:tcPr>
            <w:tcW w:w="3589" w:type="dxa"/>
          </w:tcPr>
          <w:p w14:paraId="417FAE83" w14:textId="070D3C45" w:rsidR="001441CA" w:rsidRPr="001441CA" w:rsidRDefault="001441CA" w:rsidP="00A37661">
            <w:pPr>
              <w:pStyle w:val="AssignBody"/>
              <w:rPr>
                <w:rFonts w:cs="Arial"/>
                <w:color w:val="000000" w:themeColor="text1"/>
              </w:rPr>
            </w:pPr>
            <w:r w:rsidRPr="001441CA">
              <w:rPr>
                <w:rFonts w:cs="Arial"/>
                <w:color w:val="000000" w:themeColor="text1"/>
              </w:rPr>
              <w:t>The references should show that this has been done.</w:t>
            </w:r>
          </w:p>
        </w:tc>
      </w:tr>
    </w:tbl>
    <w:p w14:paraId="19E6AC2A" w14:textId="41677617" w:rsidR="001441CA" w:rsidRDefault="001441CA"/>
    <w:p w14:paraId="218E14B4" w14:textId="0FE2E80D" w:rsidR="001441CA" w:rsidRDefault="001441CA"/>
    <w:p w14:paraId="0EECE835" w14:textId="3194F68C" w:rsidR="001441CA" w:rsidRDefault="001441CA"/>
    <w:p w14:paraId="3AC322AA" w14:textId="6B15AA5F" w:rsidR="001441CA" w:rsidRDefault="001441CA"/>
    <w:p w14:paraId="3935FDD1" w14:textId="4DEE2793" w:rsidR="001441CA" w:rsidRDefault="001441CA"/>
    <w:p w14:paraId="44710366" w14:textId="77777777" w:rsidR="001441CA" w:rsidRDefault="001441CA"/>
    <w:p w14:paraId="10858EBE" w14:textId="6EC1D4A1" w:rsidR="001441CA" w:rsidRDefault="001441CA"/>
    <w:p w14:paraId="1D071AE1" w14:textId="349EDCEA" w:rsidR="001441CA" w:rsidRDefault="001441CA"/>
    <w:p w14:paraId="4D8DD92B" w14:textId="55D1307E" w:rsidR="001441CA" w:rsidRDefault="001441CA"/>
    <w:p w14:paraId="6F7D984C" w14:textId="404894B2" w:rsidR="001441CA" w:rsidRDefault="001441CA"/>
    <w:p w14:paraId="3B7D3885" w14:textId="77777777" w:rsidR="001441CA" w:rsidRDefault="001441CA"/>
    <w:p w14:paraId="49F37BF1" w14:textId="342E452E" w:rsidR="00257FEF" w:rsidRPr="001441CA" w:rsidRDefault="003E0B5E" w:rsidP="003A0D67">
      <w:pPr>
        <w:spacing w:line="360" w:lineRule="auto"/>
        <w:rPr>
          <w:rFonts w:ascii="Arial" w:hAnsi="Arial" w:cs="Arial"/>
          <w:sz w:val="22"/>
          <w:szCs w:val="22"/>
        </w:rPr>
      </w:pPr>
      <w:r w:rsidRPr="001441CA">
        <w:rPr>
          <w:rFonts w:ascii="Arial" w:hAnsi="Arial" w:cs="Arial"/>
          <w:sz w:val="22"/>
          <w:szCs w:val="22"/>
        </w:rPr>
        <w:lastRenderedPageBreak/>
        <w:t xml:space="preserve">It can be considered that research provides a deep understanding of the methodology within education. It helps to understand and develop ideas to evolve education further thus building upon an individual’s educational knowledge (Wyse et al, 2017). </w:t>
      </w:r>
      <w:r w:rsidR="0060232A" w:rsidRPr="001441CA">
        <w:rPr>
          <w:rFonts w:ascii="Arial" w:hAnsi="Arial" w:cs="Arial"/>
          <w:sz w:val="22"/>
          <w:szCs w:val="22"/>
        </w:rPr>
        <w:t>The aim of this essay is to research consistent random allocated seating within a classroom and how this can affect the</w:t>
      </w:r>
      <w:r w:rsidR="001856B1" w:rsidRPr="001441CA">
        <w:rPr>
          <w:rFonts w:ascii="Arial" w:hAnsi="Arial" w:cs="Arial"/>
          <w:sz w:val="22"/>
          <w:szCs w:val="22"/>
        </w:rPr>
        <w:t xml:space="preserve"> students’ attitudes towards their learning</w:t>
      </w:r>
      <w:r w:rsidR="0060232A" w:rsidRPr="001441CA">
        <w:rPr>
          <w:rFonts w:ascii="Arial" w:hAnsi="Arial" w:cs="Arial"/>
          <w:sz w:val="22"/>
          <w:szCs w:val="22"/>
        </w:rPr>
        <w:t xml:space="preserve">. </w:t>
      </w:r>
      <w:r w:rsidR="001856B1" w:rsidRPr="001441CA">
        <w:rPr>
          <w:rFonts w:ascii="Arial" w:hAnsi="Arial" w:cs="Arial"/>
          <w:sz w:val="22"/>
          <w:szCs w:val="22"/>
        </w:rPr>
        <w:t>Random allocated seating is where the students within the classroom are consistently moved around</w:t>
      </w:r>
      <w:r w:rsidR="001E0E9F" w:rsidRPr="001441CA">
        <w:rPr>
          <w:rFonts w:ascii="Arial" w:hAnsi="Arial" w:cs="Arial"/>
          <w:sz w:val="22"/>
          <w:szCs w:val="22"/>
        </w:rPr>
        <w:t xml:space="preserve"> and are not kept in the same place, students with additional learning needs (ALN) are considered when allocating the seating (</w:t>
      </w:r>
      <w:proofErr w:type="spellStart"/>
      <w:r w:rsidR="001E0E9F" w:rsidRPr="001441CA">
        <w:rPr>
          <w:rFonts w:ascii="Arial" w:hAnsi="Arial" w:cs="Arial"/>
          <w:sz w:val="22"/>
          <w:szCs w:val="22"/>
        </w:rPr>
        <w:t>Wielenga</w:t>
      </w:r>
      <w:proofErr w:type="spellEnd"/>
      <w:r w:rsidR="001E0E9F" w:rsidRPr="001441CA">
        <w:rPr>
          <w:rFonts w:ascii="Arial" w:hAnsi="Arial" w:cs="Arial"/>
          <w:sz w:val="22"/>
          <w:szCs w:val="22"/>
        </w:rPr>
        <w:t>, 2016)</w:t>
      </w:r>
      <w:r w:rsidR="001856B1" w:rsidRPr="001441CA">
        <w:rPr>
          <w:rFonts w:ascii="Arial" w:hAnsi="Arial" w:cs="Arial"/>
          <w:sz w:val="22"/>
          <w:szCs w:val="22"/>
        </w:rPr>
        <w:t>.</w:t>
      </w:r>
      <w:r w:rsidR="0060232A" w:rsidRPr="001441CA">
        <w:rPr>
          <w:rFonts w:ascii="Arial" w:hAnsi="Arial" w:cs="Arial"/>
          <w:sz w:val="22"/>
          <w:szCs w:val="22"/>
        </w:rPr>
        <w:t xml:space="preserve"> I have chosen to research this topic as </w:t>
      </w:r>
      <w:r w:rsidR="000555C3" w:rsidRPr="001441CA">
        <w:rPr>
          <w:rFonts w:ascii="Arial" w:hAnsi="Arial" w:cs="Arial"/>
          <w:sz w:val="22"/>
          <w:szCs w:val="22"/>
        </w:rPr>
        <w:t>my</w:t>
      </w:r>
      <w:r w:rsidR="0060232A" w:rsidRPr="001441CA">
        <w:rPr>
          <w:rFonts w:ascii="Arial" w:hAnsi="Arial" w:cs="Arial"/>
          <w:sz w:val="22"/>
          <w:szCs w:val="22"/>
        </w:rPr>
        <w:t xml:space="preserve"> mentor </w:t>
      </w:r>
      <w:r w:rsidR="000555C3" w:rsidRPr="001441CA">
        <w:rPr>
          <w:rFonts w:ascii="Arial" w:hAnsi="Arial" w:cs="Arial"/>
          <w:sz w:val="22"/>
          <w:szCs w:val="22"/>
        </w:rPr>
        <w:t xml:space="preserve">during practice </w:t>
      </w:r>
      <w:r w:rsidR="007C7633" w:rsidRPr="001441CA">
        <w:rPr>
          <w:rFonts w:ascii="Arial" w:hAnsi="Arial" w:cs="Arial"/>
          <w:sz w:val="22"/>
          <w:szCs w:val="22"/>
        </w:rPr>
        <w:t>has begun to adapt to Shirley Clarke techniques within their classroom</w:t>
      </w:r>
      <w:r w:rsidR="000555C3" w:rsidRPr="001441CA">
        <w:rPr>
          <w:rFonts w:ascii="Arial" w:hAnsi="Arial" w:cs="Arial"/>
          <w:sz w:val="22"/>
          <w:szCs w:val="22"/>
        </w:rPr>
        <w:t xml:space="preserve">. </w:t>
      </w:r>
    </w:p>
    <w:p w14:paraId="56426ABE" w14:textId="77777777" w:rsidR="00257FEF" w:rsidRPr="001441CA" w:rsidRDefault="00257FEF" w:rsidP="003A0D67">
      <w:pPr>
        <w:spacing w:line="360" w:lineRule="auto"/>
        <w:rPr>
          <w:rFonts w:ascii="Arial" w:hAnsi="Arial" w:cs="Arial"/>
          <w:sz w:val="22"/>
          <w:szCs w:val="22"/>
        </w:rPr>
      </w:pPr>
    </w:p>
    <w:p w14:paraId="1DFF2E9B" w14:textId="1CD88F35" w:rsidR="00257FEF" w:rsidRPr="001441CA" w:rsidRDefault="000555C3" w:rsidP="003A0D67">
      <w:pPr>
        <w:spacing w:line="360" w:lineRule="auto"/>
        <w:rPr>
          <w:rFonts w:ascii="Arial" w:hAnsi="Arial" w:cs="Arial"/>
          <w:sz w:val="22"/>
          <w:szCs w:val="22"/>
        </w:rPr>
      </w:pPr>
      <w:r w:rsidRPr="001441CA">
        <w:rPr>
          <w:rFonts w:ascii="Arial" w:hAnsi="Arial" w:cs="Arial"/>
          <w:sz w:val="22"/>
          <w:szCs w:val="22"/>
        </w:rPr>
        <w:t xml:space="preserve">Shirley Clarke is considered an expert in the field of formative assessment within education and focusses on using practical applications to explore techniques in the classroom (Roving, 2023). </w:t>
      </w:r>
      <w:r w:rsidR="007C7633" w:rsidRPr="001441CA">
        <w:rPr>
          <w:rFonts w:ascii="Arial" w:hAnsi="Arial" w:cs="Arial"/>
          <w:sz w:val="22"/>
          <w:szCs w:val="22"/>
        </w:rPr>
        <w:t xml:space="preserve">This has provided a very interesting </w:t>
      </w:r>
      <w:r w:rsidR="00A42C1C" w:rsidRPr="001441CA">
        <w:rPr>
          <w:rFonts w:ascii="Arial" w:hAnsi="Arial" w:cs="Arial"/>
          <w:sz w:val="22"/>
          <w:szCs w:val="22"/>
        </w:rPr>
        <w:t xml:space="preserve">classroom </w:t>
      </w:r>
      <w:r w:rsidR="007C7633" w:rsidRPr="001441CA">
        <w:rPr>
          <w:rFonts w:ascii="Arial" w:hAnsi="Arial" w:cs="Arial"/>
          <w:sz w:val="22"/>
          <w:szCs w:val="22"/>
        </w:rPr>
        <w:t>environ</w:t>
      </w:r>
      <w:r w:rsidR="001E0E9F" w:rsidRPr="001441CA">
        <w:rPr>
          <w:rFonts w:ascii="Arial" w:hAnsi="Arial" w:cs="Arial"/>
          <w:sz w:val="22"/>
          <w:szCs w:val="22"/>
        </w:rPr>
        <w:t>m</w:t>
      </w:r>
      <w:r w:rsidR="007C7633" w:rsidRPr="001441CA">
        <w:rPr>
          <w:rFonts w:ascii="Arial" w:hAnsi="Arial" w:cs="Arial"/>
          <w:sz w:val="22"/>
          <w:szCs w:val="22"/>
        </w:rPr>
        <w:t xml:space="preserve">ent to research. </w:t>
      </w:r>
      <w:r w:rsidR="00A42C1C" w:rsidRPr="001441CA">
        <w:rPr>
          <w:rFonts w:ascii="Arial" w:hAnsi="Arial" w:cs="Arial"/>
          <w:sz w:val="22"/>
          <w:szCs w:val="22"/>
        </w:rPr>
        <w:t>Furthermore, I believe there is a gap within this research specifically focussing on student seating</w:t>
      </w:r>
      <w:r w:rsidR="007C7633" w:rsidRPr="001441CA">
        <w:rPr>
          <w:rFonts w:ascii="Arial" w:hAnsi="Arial" w:cs="Arial"/>
          <w:sz w:val="22"/>
          <w:szCs w:val="22"/>
        </w:rPr>
        <w:t xml:space="preserve">. This research </w:t>
      </w:r>
      <w:r w:rsidR="00A42C1C" w:rsidRPr="001441CA">
        <w:rPr>
          <w:rFonts w:ascii="Arial" w:hAnsi="Arial" w:cs="Arial"/>
          <w:sz w:val="22"/>
          <w:szCs w:val="22"/>
        </w:rPr>
        <w:t>will assist with</w:t>
      </w:r>
      <w:r w:rsidR="007C7633" w:rsidRPr="001441CA">
        <w:rPr>
          <w:rFonts w:ascii="Arial" w:hAnsi="Arial" w:cs="Arial"/>
          <w:sz w:val="22"/>
          <w:szCs w:val="22"/>
        </w:rPr>
        <w:t xml:space="preserve"> my own PLP evidence</w:t>
      </w:r>
      <w:r w:rsidR="00A42C1C" w:rsidRPr="001441CA">
        <w:rPr>
          <w:rFonts w:ascii="Arial" w:hAnsi="Arial" w:cs="Arial"/>
          <w:sz w:val="22"/>
          <w:szCs w:val="22"/>
        </w:rPr>
        <w:t>; the pedagogy refining</w:t>
      </w:r>
      <w:r w:rsidR="002C44E1">
        <w:rPr>
          <w:rFonts w:ascii="Arial" w:hAnsi="Arial" w:cs="Arial"/>
          <w:sz w:val="22"/>
          <w:szCs w:val="22"/>
        </w:rPr>
        <w:t xml:space="preserve">- </w:t>
      </w:r>
      <w:r w:rsidR="00A42C1C" w:rsidRPr="001441CA">
        <w:rPr>
          <w:rFonts w:ascii="Arial" w:hAnsi="Arial" w:cs="Arial"/>
          <w:sz w:val="22"/>
          <w:szCs w:val="22"/>
        </w:rPr>
        <w:t>managing the learning environment, the pedagogy advancing learning</w:t>
      </w:r>
      <w:r w:rsidR="002C44E1">
        <w:rPr>
          <w:rFonts w:ascii="Arial" w:hAnsi="Arial" w:cs="Arial"/>
          <w:sz w:val="22"/>
          <w:szCs w:val="22"/>
        </w:rPr>
        <w:t xml:space="preserve">- </w:t>
      </w:r>
      <w:r w:rsidR="00A42C1C" w:rsidRPr="001441CA">
        <w:rPr>
          <w:rFonts w:ascii="Arial" w:hAnsi="Arial" w:cs="Arial"/>
          <w:sz w:val="22"/>
          <w:szCs w:val="22"/>
        </w:rPr>
        <w:t>Progression in learning, and professional learning</w:t>
      </w:r>
      <w:r w:rsidR="002C44E1">
        <w:rPr>
          <w:rFonts w:ascii="Arial" w:hAnsi="Arial" w:cs="Arial"/>
          <w:sz w:val="22"/>
          <w:szCs w:val="22"/>
        </w:rPr>
        <w:t xml:space="preserve"> - </w:t>
      </w:r>
      <w:r w:rsidR="00A42C1C" w:rsidRPr="001441CA">
        <w:rPr>
          <w:rFonts w:ascii="Arial" w:hAnsi="Arial" w:cs="Arial"/>
          <w:sz w:val="22"/>
          <w:szCs w:val="22"/>
        </w:rPr>
        <w:t>Wider reading and research findings</w:t>
      </w:r>
      <w:r w:rsidR="007C7633" w:rsidRPr="001441CA">
        <w:rPr>
          <w:rFonts w:ascii="Arial" w:hAnsi="Arial" w:cs="Arial"/>
          <w:sz w:val="22"/>
          <w:szCs w:val="22"/>
        </w:rPr>
        <w:t>. The research has been conducted within a large school in South Wales. They have approximately</w:t>
      </w:r>
      <w:r w:rsidR="00770C63" w:rsidRPr="001441CA">
        <w:rPr>
          <w:rFonts w:ascii="Arial" w:hAnsi="Arial" w:cs="Arial"/>
          <w:sz w:val="22"/>
          <w:szCs w:val="22"/>
        </w:rPr>
        <w:t xml:space="preserve"> </w:t>
      </w:r>
      <w:r w:rsidR="00381C6B" w:rsidRPr="001441CA">
        <w:rPr>
          <w:rFonts w:ascii="Arial" w:hAnsi="Arial" w:cs="Arial"/>
          <w:sz w:val="22"/>
          <w:szCs w:val="22"/>
        </w:rPr>
        <w:t>493</w:t>
      </w:r>
      <w:r w:rsidR="00770C63" w:rsidRPr="001441CA">
        <w:rPr>
          <w:rFonts w:ascii="Arial" w:hAnsi="Arial" w:cs="Arial"/>
          <w:sz w:val="22"/>
          <w:szCs w:val="22"/>
        </w:rPr>
        <w:t xml:space="preserve"> </w:t>
      </w:r>
      <w:r w:rsidR="007C7633" w:rsidRPr="001441CA">
        <w:rPr>
          <w:rFonts w:ascii="Arial" w:hAnsi="Arial" w:cs="Arial"/>
          <w:sz w:val="22"/>
          <w:szCs w:val="22"/>
        </w:rPr>
        <w:t>Pupils within the school</w:t>
      </w:r>
      <w:r w:rsidR="00770C63" w:rsidRPr="001441CA">
        <w:rPr>
          <w:rFonts w:ascii="Arial" w:hAnsi="Arial" w:cs="Arial"/>
          <w:sz w:val="22"/>
          <w:szCs w:val="22"/>
        </w:rPr>
        <w:t xml:space="preserve"> with 28</w:t>
      </w:r>
      <w:r w:rsidR="007C7633" w:rsidRPr="001441CA">
        <w:rPr>
          <w:rFonts w:ascii="Arial" w:hAnsi="Arial" w:cs="Arial"/>
          <w:sz w:val="22"/>
          <w:szCs w:val="22"/>
        </w:rPr>
        <w:t xml:space="preserve">% of </w:t>
      </w:r>
      <w:r w:rsidR="00770C63" w:rsidRPr="001441CA">
        <w:rPr>
          <w:rFonts w:ascii="Arial" w:hAnsi="Arial" w:cs="Arial"/>
          <w:sz w:val="22"/>
          <w:szCs w:val="22"/>
        </w:rPr>
        <w:t xml:space="preserve">the students having </w:t>
      </w:r>
      <w:r w:rsidR="007C7633" w:rsidRPr="001441CA">
        <w:rPr>
          <w:rFonts w:ascii="Arial" w:hAnsi="Arial" w:cs="Arial"/>
          <w:sz w:val="22"/>
          <w:szCs w:val="22"/>
        </w:rPr>
        <w:t>ALN. The classroom in which the research has been conducted has 30 pupils</w:t>
      </w:r>
      <w:r w:rsidR="00770C63" w:rsidRPr="001441CA">
        <w:rPr>
          <w:rFonts w:ascii="Arial" w:hAnsi="Arial" w:cs="Arial"/>
          <w:sz w:val="22"/>
          <w:szCs w:val="22"/>
        </w:rPr>
        <w:t xml:space="preserve">, </w:t>
      </w:r>
      <w:r w:rsidR="007C7633" w:rsidRPr="001441CA">
        <w:rPr>
          <w:rFonts w:ascii="Arial" w:hAnsi="Arial" w:cs="Arial"/>
          <w:sz w:val="22"/>
          <w:szCs w:val="22"/>
        </w:rPr>
        <w:t>of which 7 have ALN</w:t>
      </w:r>
      <w:r w:rsidR="00770C63" w:rsidRPr="001441CA">
        <w:rPr>
          <w:rFonts w:ascii="Arial" w:hAnsi="Arial" w:cs="Arial"/>
          <w:sz w:val="22"/>
          <w:szCs w:val="22"/>
        </w:rPr>
        <w:t xml:space="preserve"> (Estyn, 20</w:t>
      </w:r>
      <w:r w:rsidR="00381C6B" w:rsidRPr="001441CA">
        <w:rPr>
          <w:rFonts w:ascii="Arial" w:hAnsi="Arial" w:cs="Arial"/>
          <w:sz w:val="22"/>
          <w:szCs w:val="22"/>
        </w:rPr>
        <w:t>23</w:t>
      </w:r>
      <w:r w:rsidR="00770C63" w:rsidRPr="001441CA">
        <w:rPr>
          <w:rFonts w:ascii="Arial" w:hAnsi="Arial" w:cs="Arial"/>
          <w:sz w:val="22"/>
          <w:szCs w:val="22"/>
        </w:rPr>
        <w:t>)</w:t>
      </w:r>
      <w:r w:rsidR="007C7633" w:rsidRPr="001441CA">
        <w:rPr>
          <w:rFonts w:ascii="Arial" w:hAnsi="Arial" w:cs="Arial"/>
          <w:sz w:val="22"/>
          <w:szCs w:val="22"/>
        </w:rPr>
        <w:t xml:space="preserve">. The research will be conducted abiding to the ethical guidelines from BERA and the UWTSD </w:t>
      </w:r>
      <w:r w:rsidR="00257FEF" w:rsidRPr="001441CA">
        <w:rPr>
          <w:rFonts w:ascii="Arial" w:hAnsi="Arial" w:cs="Arial"/>
          <w:sz w:val="22"/>
          <w:szCs w:val="22"/>
        </w:rPr>
        <w:t>guidelines ensuring all necessary precautions are taken protecting the participants. My</w:t>
      </w:r>
      <w:r w:rsidR="007101BF" w:rsidRPr="001441CA">
        <w:rPr>
          <w:rFonts w:ascii="Arial" w:hAnsi="Arial" w:cs="Arial"/>
          <w:sz w:val="22"/>
          <w:szCs w:val="22"/>
        </w:rPr>
        <w:t xml:space="preserve"> research question</w:t>
      </w:r>
      <w:r w:rsidR="00257FEF" w:rsidRPr="001441CA">
        <w:rPr>
          <w:rFonts w:ascii="Arial" w:hAnsi="Arial" w:cs="Arial"/>
          <w:sz w:val="22"/>
          <w:szCs w:val="22"/>
        </w:rPr>
        <w:t xml:space="preserve"> for this essay that I will explore will be ‘What is the relationship between </w:t>
      </w:r>
      <w:r w:rsidR="000D028A" w:rsidRPr="001441CA">
        <w:rPr>
          <w:rFonts w:ascii="Arial" w:hAnsi="Arial" w:cs="Arial"/>
          <w:sz w:val="22"/>
          <w:szCs w:val="22"/>
        </w:rPr>
        <w:t xml:space="preserve">random </w:t>
      </w:r>
      <w:r w:rsidR="00257FEF" w:rsidRPr="001441CA">
        <w:rPr>
          <w:rFonts w:ascii="Arial" w:hAnsi="Arial" w:cs="Arial"/>
          <w:sz w:val="22"/>
          <w:szCs w:val="22"/>
        </w:rPr>
        <w:t>student groupings and motivation/attitudes to learning?</w:t>
      </w:r>
      <w:r w:rsidR="003A0D67" w:rsidRPr="001441CA">
        <w:rPr>
          <w:rFonts w:ascii="Arial" w:hAnsi="Arial" w:cs="Arial"/>
          <w:sz w:val="22"/>
          <w:szCs w:val="22"/>
        </w:rPr>
        <w:t>’</w:t>
      </w:r>
      <w:r w:rsidR="00257FEF" w:rsidRPr="001441CA">
        <w:rPr>
          <w:rFonts w:ascii="Arial" w:hAnsi="Arial" w:cs="Arial"/>
          <w:sz w:val="22"/>
          <w:szCs w:val="22"/>
        </w:rPr>
        <w:t xml:space="preserve">. </w:t>
      </w:r>
    </w:p>
    <w:p w14:paraId="033A8138" w14:textId="77777777" w:rsidR="00633C03" w:rsidRPr="001441CA" w:rsidRDefault="00633C03">
      <w:pPr>
        <w:rPr>
          <w:rFonts w:ascii="Arial" w:hAnsi="Arial" w:cs="Arial"/>
          <w:sz w:val="22"/>
          <w:szCs w:val="22"/>
        </w:rPr>
      </w:pPr>
    </w:p>
    <w:p w14:paraId="3B83A399" w14:textId="104C4930" w:rsidR="005B152F" w:rsidRPr="001441CA" w:rsidRDefault="001258C7" w:rsidP="007C6AD2">
      <w:pPr>
        <w:spacing w:line="360" w:lineRule="auto"/>
        <w:rPr>
          <w:rFonts w:ascii="Arial" w:hAnsi="Arial" w:cs="Arial"/>
          <w:sz w:val="22"/>
          <w:szCs w:val="22"/>
        </w:rPr>
      </w:pPr>
      <w:r w:rsidRPr="001441CA">
        <w:rPr>
          <w:rFonts w:ascii="Arial" w:hAnsi="Arial" w:cs="Arial"/>
          <w:sz w:val="22"/>
          <w:szCs w:val="22"/>
        </w:rPr>
        <w:t>Every child has the right to an education, this is stated by the Rights of the child act (UNCRC,</w:t>
      </w:r>
      <w:r w:rsidR="00D33FC8" w:rsidRPr="001441CA">
        <w:rPr>
          <w:rFonts w:ascii="Arial" w:hAnsi="Arial" w:cs="Arial"/>
          <w:sz w:val="22"/>
          <w:szCs w:val="22"/>
        </w:rPr>
        <w:t xml:space="preserve"> 2022</w:t>
      </w:r>
      <w:r w:rsidRPr="001441CA">
        <w:rPr>
          <w:rFonts w:ascii="Arial" w:hAnsi="Arial" w:cs="Arial"/>
          <w:sz w:val="22"/>
          <w:szCs w:val="22"/>
        </w:rPr>
        <w:t xml:space="preserve">). Research within education </w:t>
      </w:r>
      <w:r w:rsidR="007361BD" w:rsidRPr="001441CA">
        <w:rPr>
          <w:rFonts w:ascii="Arial" w:hAnsi="Arial" w:cs="Arial"/>
          <w:sz w:val="22"/>
          <w:szCs w:val="22"/>
        </w:rPr>
        <w:t>is</w:t>
      </w:r>
      <w:r w:rsidRPr="001441CA">
        <w:rPr>
          <w:rFonts w:ascii="Arial" w:hAnsi="Arial" w:cs="Arial"/>
          <w:sz w:val="22"/>
          <w:szCs w:val="22"/>
        </w:rPr>
        <w:t xml:space="preserve"> </w:t>
      </w:r>
      <w:r w:rsidR="007361BD" w:rsidRPr="001441CA">
        <w:rPr>
          <w:rFonts w:ascii="Arial" w:hAnsi="Arial" w:cs="Arial"/>
          <w:sz w:val="22"/>
          <w:szCs w:val="22"/>
        </w:rPr>
        <w:t xml:space="preserve">considered </w:t>
      </w:r>
      <w:r w:rsidRPr="001441CA">
        <w:rPr>
          <w:rFonts w:ascii="Arial" w:hAnsi="Arial" w:cs="Arial"/>
          <w:sz w:val="22"/>
          <w:szCs w:val="22"/>
        </w:rPr>
        <w:t xml:space="preserve">a fundamental aspect to allow education to develop allowing education to grow as the world </w:t>
      </w:r>
      <w:r w:rsidR="00D33FC8" w:rsidRPr="001441CA">
        <w:rPr>
          <w:rFonts w:ascii="Arial" w:hAnsi="Arial" w:cs="Arial"/>
          <w:sz w:val="22"/>
          <w:szCs w:val="22"/>
        </w:rPr>
        <w:t>moves</w:t>
      </w:r>
      <w:r w:rsidRPr="001441CA">
        <w:rPr>
          <w:rFonts w:ascii="Arial" w:hAnsi="Arial" w:cs="Arial"/>
          <w:sz w:val="22"/>
          <w:szCs w:val="22"/>
        </w:rPr>
        <w:t xml:space="preserve"> into the future </w:t>
      </w:r>
      <w:r w:rsidR="00D33FC8" w:rsidRPr="001441CA">
        <w:rPr>
          <w:rFonts w:ascii="Arial" w:hAnsi="Arial" w:cs="Arial"/>
          <w:sz w:val="22"/>
          <w:szCs w:val="22"/>
        </w:rPr>
        <w:t xml:space="preserve">creating richer learning environments </w:t>
      </w:r>
      <w:r w:rsidRPr="001441CA">
        <w:rPr>
          <w:rFonts w:ascii="Arial" w:hAnsi="Arial" w:cs="Arial"/>
          <w:sz w:val="22"/>
          <w:szCs w:val="22"/>
        </w:rPr>
        <w:t>(</w:t>
      </w:r>
      <w:r w:rsidR="00D33FC8" w:rsidRPr="001441CA">
        <w:rPr>
          <w:rFonts w:ascii="Arial" w:hAnsi="Arial" w:cs="Arial"/>
          <w:sz w:val="22"/>
          <w:szCs w:val="22"/>
        </w:rPr>
        <w:t>Dede, 2011).</w:t>
      </w:r>
      <w:r w:rsidR="009941BD" w:rsidRPr="001441CA">
        <w:rPr>
          <w:rFonts w:ascii="Arial" w:hAnsi="Arial" w:cs="Arial"/>
          <w:sz w:val="22"/>
          <w:szCs w:val="22"/>
        </w:rPr>
        <w:t xml:space="preserve"> In addition, research is discussed as being a leading aspect within all fields of study as it allows the ability to grow and learn from past research (Austin, 2020). </w:t>
      </w:r>
    </w:p>
    <w:p w14:paraId="074B13D7" w14:textId="77777777" w:rsidR="002A77BF" w:rsidRPr="001441CA" w:rsidRDefault="002A77BF" w:rsidP="007C6AD2">
      <w:pPr>
        <w:spacing w:line="360" w:lineRule="auto"/>
        <w:rPr>
          <w:rFonts w:ascii="Arial" w:hAnsi="Arial" w:cs="Arial"/>
          <w:sz w:val="22"/>
          <w:szCs w:val="22"/>
        </w:rPr>
      </w:pPr>
    </w:p>
    <w:p w14:paraId="5E4BCB25" w14:textId="564DFC12" w:rsidR="0000075A" w:rsidRPr="001441CA" w:rsidRDefault="00B1792E" w:rsidP="007C6AD2">
      <w:pPr>
        <w:spacing w:line="360" w:lineRule="auto"/>
        <w:rPr>
          <w:rFonts w:ascii="Arial" w:hAnsi="Arial" w:cs="Arial"/>
          <w:sz w:val="22"/>
          <w:szCs w:val="22"/>
        </w:rPr>
      </w:pPr>
      <w:r w:rsidRPr="001441CA">
        <w:rPr>
          <w:rFonts w:ascii="Arial" w:hAnsi="Arial" w:cs="Arial"/>
          <w:sz w:val="22"/>
          <w:szCs w:val="22"/>
        </w:rPr>
        <w:t xml:space="preserve">Shirley Clarke is one of the leading </w:t>
      </w:r>
      <w:r w:rsidR="007C6AD2" w:rsidRPr="001441CA">
        <w:rPr>
          <w:rFonts w:ascii="Arial" w:hAnsi="Arial" w:cs="Arial"/>
          <w:sz w:val="22"/>
          <w:szCs w:val="22"/>
        </w:rPr>
        <w:t>figures</w:t>
      </w:r>
      <w:r w:rsidRPr="001441CA">
        <w:rPr>
          <w:rFonts w:ascii="Arial" w:hAnsi="Arial" w:cs="Arial"/>
          <w:sz w:val="22"/>
          <w:szCs w:val="22"/>
        </w:rPr>
        <w:t xml:space="preserve"> in the UK for formative assessment</w:t>
      </w:r>
      <w:r w:rsidR="007C6AD2" w:rsidRPr="001441CA">
        <w:rPr>
          <w:rFonts w:ascii="Arial" w:hAnsi="Arial" w:cs="Arial"/>
          <w:sz w:val="22"/>
          <w:szCs w:val="22"/>
        </w:rPr>
        <w:t xml:space="preserve">. She has adapted teaching within schools to disregard the common forms of teaching (World summit education, 2023). Clarke discusses that standard configurations within a classroom are limiting a child’s ability to learn at their highest potential (Clarke, 2014). Furthermore, Clarke puts </w:t>
      </w:r>
      <w:r w:rsidR="007C6AD2" w:rsidRPr="001441CA">
        <w:rPr>
          <w:rFonts w:ascii="Arial" w:hAnsi="Arial" w:cs="Arial"/>
          <w:sz w:val="22"/>
          <w:szCs w:val="22"/>
        </w:rPr>
        <w:lastRenderedPageBreak/>
        <w:t xml:space="preserve">forward the idea for mixed ability seating through the means of weekly random allocated seating, allowing for children of higher abilities to push those of lower and providing a challenge for the higher ability children (Clarke, 2014; Clarke and Hattie, 2018). </w:t>
      </w:r>
      <w:r w:rsidR="00F41E9C" w:rsidRPr="001441CA">
        <w:rPr>
          <w:rFonts w:ascii="Arial" w:hAnsi="Arial" w:cs="Arial"/>
          <w:sz w:val="22"/>
          <w:szCs w:val="22"/>
        </w:rPr>
        <w:t>The research given by Clarke can be considered reliable due to the recent date of the research</w:t>
      </w:r>
      <w:r w:rsidR="007361BD" w:rsidRPr="001441CA">
        <w:rPr>
          <w:rFonts w:ascii="Arial" w:hAnsi="Arial" w:cs="Arial"/>
          <w:sz w:val="22"/>
          <w:szCs w:val="22"/>
        </w:rPr>
        <w:t>,</w:t>
      </w:r>
      <w:r w:rsidR="00F41E9C" w:rsidRPr="001441CA">
        <w:rPr>
          <w:rFonts w:ascii="Arial" w:hAnsi="Arial" w:cs="Arial"/>
          <w:sz w:val="22"/>
          <w:szCs w:val="22"/>
        </w:rPr>
        <w:t xml:space="preserve"> provid</w:t>
      </w:r>
      <w:r w:rsidR="007361BD" w:rsidRPr="001441CA">
        <w:rPr>
          <w:rFonts w:ascii="Arial" w:hAnsi="Arial" w:cs="Arial"/>
          <w:sz w:val="22"/>
          <w:szCs w:val="22"/>
        </w:rPr>
        <w:t>ing</w:t>
      </w:r>
      <w:r w:rsidR="00F41E9C" w:rsidRPr="001441CA">
        <w:rPr>
          <w:rFonts w:ascii="Arial" w:hAnsi="Arial" w:cs="Arial"/>
          <w:sz w:val="22"/>
          <w:szCs w:val="22"/>
        </w:rPr>
        <w:t xml:space="preserve"> a high </w:t>
      </w:r>
      <w:r w:rsidR="007361BD" w:rsidRPr="001441CA">
        <w:rPr>
          <w:rFonts w:ascii="Arial" w:hAnsi="Arial" w:cs="Arial"/>
          <w:sz w:val="22"/>
          <w:szCs w:val="22"/>
        </w:rPr>
        <w:t>ability</w:t>
      </w:r>
      <w:r w:rsidR="00F41E9C" w:rsidRPr="001441CA">
        <w:rPr>
          <w:rFonts w:ascii="Arial" w:hAnsi="Arial" w:cs="Arial"/>
          <w:sz w:val="22"/>
          <w:szCs w:val="22"/>
        </w:rPr>
        <w:t xml:space="preserve"> of generalisation</w:t>
      </w:r>
      <w:r w:rsidR="007361BD" w:rsidRPr="001441CA">
        <w:rPr>
          <w:rFonts w:ascii="Arial" w:hAnsi="Arial" w:cs="Arial"/>
          <w:sz w:val="22"/>
          <w:szCs w:val="22"/>
        </w:rPr>
        <w:t>.</w:t>
      </w:r>
    </w:p>
    <w:p w14:paraId="2AE1312A" w14:textId="1C27D314" w:rsidR="007C6AD2" w:rsidRPr="001441CA" w:rsidRDefault="007C6AD2" w:rsidP="007C6AD2">
      <w:pPr>
        <w:spacing w:line="360" w:lineRule="auto"/>
        <w:rPr>
          <w:rFonts w:ascii="Arial" w:hAnsi="Arial" w:cs="Arial"/>
          <w:sz w:val="22"/>
          <w:szCs w:val="22"/>
        </w:rPr>
      </w:pPr>
    </w:p>
    <w:p w14:paraId="3ED9704C" w14:textId="5F109B63" w:rsidR="007C6AD2" w:rsidRPr="001441CA" w:rsidRDefault="007C6AD2" w:rsidP="007C6AD2">
      <w:pPr>
        <w:spacing w:line="360" w:lineRule="auto"/>
        <w:rPr>
          <w:rFonts w:ascii="Arial" w:hAnsi="Arial" w:cs="Arial"/>
          <w:sz w:val="22"/>
          <w:szCs w:val="22"/>
        </w:rPr>
      </w:pPr>
      <w:r w:rsidRPr="001441CA">
        <w:rPr>
          <w:rFonts w:ascii="Arial" w:hAnsi="Arial" w:cs="Arial"/>
          <w:sz w:val="22"/>
          <w:szCs w:val="22"/>
        </w:rPr>
        <w:t xml:space="preserve">Random allocated seating allows for the practitioner to change their seating plans weekly providing different mixed ability groupings each time. </w:t>
      </w:r>
      <w:proofErr w:type="gramStart"/>
      <w:r w:rsidRPr="001441CA">
        <w:rPr>
          <w:rFonts w:ascii="Arial" w:hAnsi="Arial" w:cs="Arial"/>
          <w:sz w:val="22"/>
          <w:szCs w:val="22"/>
        </w:rPr>
        <w:t>Similarly</w:t>
      </w:r>
      <w:proofErr w:type="gramEnd"/>
      <w:r w:rsidRPr="001441CA">
        <w:rPr>
          <w:rFonts w:ascii="Arial" w:hAnsi="Arial" w:cs="Arial"/>
          <w:sz w:val="22"/>
          <w:szCs w:val="22"/>
        </w:rPr>
        <w:t xml:space="preserve"> to Clarke, </w:t>
      </w:r>
      <w:proofErr w:type="spellStart"/>
      <w:r w:rsidRPr="001441CA">
        <w:rPr>
          <w:rFonts w:ascii="Arial" w:hAnsi="Arial" w:cs="Arial"/>
          <w:sz w:val="22"/>
          <w:szCs w:val="22"/>
        </w:rPr>
        <w:t>Tobia</w:t>
      </w:r>
      <w:proofErr w:type="spellEnd"/>
      <w:r w:rsidRPr="001441CA">
        <w:rPr>
          <w:rFonts w:ascii="Arial" w:hAnsi="Arial" w:cs="Arial"/>
          <w:sz w:val="22"/>
          <w:szCs w:val="22"/>
        </w:rPr>
        <w:t xml:space="preserve"> et al, 2020 believes that seating plans can have an impact on children’s learning within the classroom and that mixed ability can provide an unexpected challenge to the children pushing them to reac</w:t>
      </w:r>
      <w:r w:rsidR="005A05EA" w:rsidRPr="001441CA">
        <w:rPr>
          <w:rFonts w:ascii="Arial" w:hAnsi="Arial" w:cs="Arial"/>
          <w:sz w:val="22"/>
          <w:szCs w:val="22"/>
        </w:rPr>
        <w:t>h</w:t>
      </w:r>
      <w:r w:rsidRPr="001441CA">
        <w:rPr>
          <w:rFonts w:ascii="Arial" w:hAnsi="Arial" w:cs="Arial"/>
          <w:sz w:val="22"/>
          <w:szCs w:val="22"/>
        </w:rPr>
        <w:t xml:space="preserve"> their full potential (</w:t>
      </w:r>
      <w:proofErr w:type="spellStart"/>
      <w:r w:rsidRPr="001441CA">
        <w:rPr>
          <w:rFonts w:ascii="Arial" w:hAnsi="Arial" w:cs="Arial"/>
          <w:sz w:val="22"/>
          <w:szCs w:val="22"/>
        </w:rPr>
        <w:t>Tobia</w:t>
      </w:r>
      <w:proofErr w:type="spellEnd"/>
      <w:r w:rsidRPr="001441CA">
        <w:rPr>
          <w:rFonts w:ascii="Arial" w:hAnsi="Arial" w:cs="Arial"/>
          <w:sz w:val="22"/>
          <w:szCs w:val="22"/>
        </w:rPr>
        <w:t xml:space="preserve"> et al, 2020; Clarke, 2014)</w:t>
      </w:r>
      <w:r w:rsidR="005A05EA" w:rsidRPr="001441CA">
        <w:rPr>
          <w:rFonts w:ascii="Arial" w:hAnsi="Arial" w:cs="Arial"/>
          <w:sz w:val="22"/>
          <w:szCs w:val="22"/>
        </w:rPr>
        <w:t>. Although this argument for mixed ability could be questioned as mixed ability may provide difficulty within the classroom. The children may become anxious through not knowing their work partner for the week and groupings picked could be disruptive to other children around them during lesson time (</w:t>
      </w:r>
      <w:proofErr w:type="spellStart"/>
      <w:r w:rsidR="005A05EA" w:rsidRPr="001441CA">
        <w:rPr>
          <w:rFonts w:ascii="Arial" w:hAnsi="Arial" w:cs="Arial"/>
          <w:sz w:val="22"/>
          <w:szCs w:val="22"/>
        </w:rPr>
        <w:t>Hammang</w:t>
      </w:r>
      <w:proofErr w:type="spellEnd"/>
      <w:r w:rsidR="005A05EA" w:rsidRPr="001441CA">
        <w:rPr>
          <w:rFonts w:ascii="Arial" w:hAnsi="Arial" w:cs="Arial"/>
          <w:sz w:val="22"/>
          <w:szCs w:val="22"/>
        </w:rPr>
        <w:t xml:space="preserve">, 2012; </w:t>
      </w:r>
      <w:proofErr w:type="spellStart"/>
      <w:r w:rsidR="005A05EA" w:rsidRPr="001441CA">
        <w:rPr>
          <w:rFonts w:ascii="Arial" w:hAnsi="Arial" w:cs="Arial"/>
          <w:sz w:val="22"/>
          <w:szCs w:val="22"/>
        </w:rPr>
        <w:t>Wannarka</w:t>
      </w:r>
      <w:proofErr w:type="spellEnd"/>
      <w:r w:rsidR="005A05EA" w:rsidRPr="001441CA">
        <w:rPr>
          <w:rFonts w:ascii="Arial" w:hAnsi="Arial" w:cs="Arial"/>
          <w:sz w:val="22"/>
          <w:szCs w:val="22"/>
        </w:rPr>
        <w:t xml:space="preserve"> et al, 2008).</w:t>
      </w:r>
      <w:r w:rsidR="00F41E9C" w:rsidRPr="001441CA">
        <w:rPr>
          <w:rFonts w:ascii="Arial" w:hAnsi="Arial" w:cs="Arial"/>
          <w:sz w:val="22"/>
          <w:szCs w:val="22"/>
        </w:rPr>
        <w:t xml:space="preserve"> Mixed ability is an interesting concept that both strengths and limitations stem from credible resources.</w:t>
      </w:r>
    </w:p>
    <w:p w14:paraId="2B10BF5C" w14:textId="3C89FDA5" w:rsidR="005A05EA" w:rsidRPr="001441CA" w:rsidRDefault="005A05EA" w:rsidP="007C6AD2">
      <w:pPr>
        <w:spacing w:line="360" w:lineRule="auto"/>
        <w:rPr>
          <w:rFonts w:ascii="Arial" w:hAnsi="Arial" w:cs="Arial"/>
          <w:sz w:val="22"/>
          <w:szCs w:val="22"/>
        </w:rPr>
      </w:pPr>
    </w:p>
    <w:p w14:paraId="14D478E3" w14:textId="3F9C84EC" w:rsidR="005A05EA" w:rsidRPr="001441CA" w:rsidRDefault="005A05EA" w:rsidP="007C6AD2">
      <w:pPr>
        <w:spacing w:line="360" w:lineRule="auto"/>
        <w:rPr>
          <w:rFonts w:ascii="Arial" w:hAnsi="Arial" w:cs="Arial"/>
          <w:sz w:val="22"/>
          <w:szCs w:val="22"/>
        </w:rPr>
      </w:pPr>
      <w:r w:rsidRPr="001441CA">
        <w:rPr>
          <w:rFonts w:ascii="Arial" w:hAnsi="Arial" w:cs="Arial"/>
          <w:sz w:val="22"/>
          <w:szCs w:val="22"/>
        </w:rPr>
        <w:t>Moreover, despite the limitations facing random seating and mixed ability partners, Montessori (1907) believes in the child-cantered method of learning in education is best to help the children reach their highest abilities within their learning</w:t>
      </w:r>
      <w:r w:rsidR="00241B2C" w:rsidRPr="001441CA">
        <w:rPr>
          <w:rFonts w:ascii="Arial" w:hAnsi="Arial" w:cs="Arial"/>
          <w:sz w:val="22"/>
          <w:szCs w:val="22"/>
        </w:rPr>
        <w:t xml:space="preserve"> (</w:t>
      </w:r>
      <w:proofErr w:type="spellStart"/>
      <w:r w:rsidR="00241B2C" w:rsidRPr="001441CA">
        <w:rPr>
          <w:rFonts w:ascii="Arial" w:hAnsi="Arial" w:cs="Arial"/>
          <w:sz w:val="22"/>
          <w:szCs w:val="22"/>
        </w:rPr>
        <w:t>Povell</w:t>
      </w:r>
      <w:proofErr w:type="spellEnd"/>
      <w:r w:rsidR="00241B2C" w:rsidRPr="001441CA">
        <w:rPr>
          <w:rFonts w:ascii="Arial" w:hAnsi="Arial" w:cs="Arial"/>
          <w:sz w:val="22"/>
          <w:szCs w:val="22"/>
        </w:rPr>
        <w:t>, 2009)</w:t>
      </w:r>
      <w:r w:rsidRPr="001441CA">
        <w:rPr>
          <w:rFonts w:ascii="Arial" w:hAnsi="Arial" w:cs="Arial"/>
          <w:sz w:val="22"/>
          <w:szCs w:val="22"/>
        </w:rPr>
        <w:t xml:space="preserve">. </w:t>
      </w:r>
      <w:proofErr w:type="gramStart"/>
      <w:r w:rsidRPr="001441CA">
        <w:rPr>
          <w:rFonts w:ascii="Arial" w:hAnsi="Arial" w:cs="Arial"/>
          <w:sz w:val="22"/>
          <w:szCs w:val="22"/>
        </w:rPr>
        <w:t>Similarly</w:t>
      </w:r>
      <w:proofErr w:type="gramEnd"/>
      <w:r w:rsidRPr="001441CA">
        <w:rPr>
          <w:rFonts w:ascii="Arial" w:hAnsi="Arial" w:cs="Arial"/>
          <w:sz w:val="22"/>
          <w:szCs w:val="22"/>
        </w:rPr>
        <w:t xml:space="preserve"> to the beliefs of Clarke, Montessori discusses that children should be in mixed aged and ability groupings to allow for their </w:t>
      </w:r>
      <w:r w:rsidR="001E78F4" w:rsidRPr="001441CA">
        <w:rPr>
          <w:rFonts w:ascii="Arial" w:hAnsi="Arial" w:cs="Arial"/>
          <w:sz w:val="22"/>
          <w:szCs w:val="22"/>
        </w:rPr>
        <w:t xml:space="preserve">growth, which strengthens Clarke’s argument of mixed ability groupings (Montessori, 1907; Clarke and Hattie, 2018; Clarke, 2014). Although, the reliability of the Montessori research could come into question due to the outdated research which could weaken the argument of having mixed ability classes and the need for further and recent research to be conducted. </w:t>
      </w:r>
    </w:p>
    <w:p w14:paraId="1BB5961F" w14:textId="204CF04A" w:rsidR="00F41E9C" w:rsidRPr="001441CA" w:rsidRDefault="00F41E9C" w:rsidP="007C6AD2">
      <w:pPr>
        <w:spacing w:line="360" w:lineRule="auto"/>
        <w:rPr>
          <w:rFonts w:ascii="Arial" w:hAnsi="Arial" w:cs="Arial"/>
          <w:sz w:val="22"/>
          <w:szCs w:val="22"/>
        </w:rPr>
      </w:pPr>
    </w:p>
    <w:p w14:paraId="42AB163B" w14:textId="0F89478D" w:rsidR="00F41E9C" w:rsidRPr="001441CA" w:rsidRDefault="00F41E9C" w:rsidP="007C6AD2">
      <w:pPr>
        <w:spacing w:line="360" w:lineRule="auto"/>
        <w:rPr>
          <w:rFonts w:ascii="Arial" w:hAnsi="Arial" w:cs="Arial"/>
          <w:sz w:val="22"/>
          <w:szCs w:val="22"/>
        </w:rPr>
      </w:pPr>
      <w:r w:rsidRPr="001441CA">
        <w:rPr>
          <w:rFonts w:ascii="Arial" w:hAnsi="Arial" w:cs="Arial"/>
          <w:sz w:val="22"/>
          <w:szCs w:val="22"/>
        </w:rPr>
        <w:t xml:space="preserve">Within practice, mixed ability and random allocated seating has been shown to work some weeks and has proven to be difficult in others. Bronfenbrenner, in his research, discusses that the child should be looked at through </w:t>
      </w:r>
      <w:r w:rsidR="00C2387E" w:rsidRPr="001441CA">
        <w:rPr>
          <w:rFonts w:ascii="Arial" w:hAnsi="Arial" w:cs="Arial"/>
          <w:sz w:val="22"/>
          <w:szCs w:val="22"/>
        </w:rPr>
        <w:t>a</w:t>
      </w:r>
      <w:r w:rsidRPr="001441CA">
        <w:rPr>
          <w:rFonts w:ascii="Arial" w:hAnsi="Arial" w:cs="Arial"/>
          <w:sz w:val="22"/>
          <w:szCs w:val="22"/>
        </w:rPr>
        <w:t xml:space="preserve"> holistic </w:t>
      </w:r>
      <w:r w:rsidR="008C376E" w:rsidRPr="001441CA">
        <w:rPr>
          <w:rFonts w:ascii="Arial" w:hAnsi="Arial" w:cs="Arial"/>
          <w:sz w:val="22"/>
          <w:szCs w:val="22"/>
        </w:rPr>
        <w:t>view. Bronfenbrenner’s ecological system allows for each aspect in a child’s life to work together so the child can achieve to their best ability</w:t>
      </w:r>
      <w:r w:rsidR="005B152F" w:rsidRPr="001441CA">
        <w:rPr>
          <w:rFonts w:ascii="Arial" w:hAnsi="Arial" w:cs="Arial"/>
          <w:sz w:val="22"/>
          <w:szCs w:val="22"/>
        </w:rPr>
        <w:t xml:space="preserve"> (Evans, 2020; Bronfenbrenner, 2016)</w:t>
      </w:r>
      <w:r w:rsidR="008C376E" w:rsidRPr="001441CA">
        <w:rPr>
          <w:rFonts w:ascii="Arial" w:hAnsi="Arial" w:cs="Arial"/>
          <w:sz w:val="22"/>
          <w:szCs w:val="22"/>
        </w:rPr>
        <w:t xml:space="preserve">. </w:t>
      </w:r>
      <w:r w:rsidR="00064E0C" w:rsidRPr="001441CA">
        <w:rPr>
          <w:rFonts w:ascii="Arial" w:hAnsi="Arial" w:cs="Arial"/>
          <w:sz w:val="22"/>
          <w:szCs w:val="22"/>
        </w:rPr>
        <w:t>Bronfenbrenner’s</w:t>
      </w:r>
      <w:r w:rsidR="005B152F" w:rsidRPr="001441CA">
        <w:rPr>
          <w:rFonts w:ascii="Arial" w:hAnsi="Arial" w:cs="Arial"/>
          <w:sz w:val="22"/>
          <w:szCs w:val="22"/>
        </w:rPr>
        <w:t xml:space="preserve"> theory contradicts mixed ability and random seating as through random seating the child is not being </w:t>
      </w:r>
      <w:r w:rsidR="007361BD" w:rsidRPr="001441CA">
        <w:rPr>
          <w:rFonts w:ascii="Arial" w:hAnsi="Arial" w:cs="Arial"/>
          <w:sz w:val="22"/>
          <w:szCs w:val="22"/>
        </w:rPr>
        <w:t>considered holistically.</w:t>
      </w:r>
      <w:r w:rsidR="005B152F" w:rsidRPr="001441CA">
        <w:rPr>
          <w:rFonts w:ascii="Arial" w:hAnsi="Arial" w:cs="Arial"/>
          <w:sz w:val="22"/>
          <w:szCs w:val="22"/>
        </w:rPr>
        <w:t xml:space="preserve"> Within common classroom settings, children are usually sat in groups of the same ability to aid their learning through having support. However, Clarke disregards this theory and suggests that by </w:t>
      </w:r>
      <w:r w:rsidR="005B152F" w:rsidRPr="001441CA">
        <w:rPr>
          <w:rFonts w:ascii="Arial" w:hAnsi="Arial" w:cs="Arial"/>
          <w:sz w:val="22"/>
          <w:szCs w:val="22"/>
        </w:rPr>
        <w:lastRenderedPageBreak/>
        <w:t xml:space="preserve">doing this the practitioner is limiting a child’s potential to achieve as they are therefore dependant on the support of the practitioners and thus calling </w:t>
      </w:r>
      <w:r w:rsidR="00064E0C" w:rsidRPr="001441CA">
        <w:rPr>
          <w:rFonts w:ascii="Arial" w:hAnsi="Arial" w:cs="Arial"/>
          <w:sz w:val="22"/>
          <w:szCs w:val="22"/>
        </w:rPr>
        <w:t>Bronfenbrenner’s</w:t>
      </w:r>
      <w:r w:rsidR="005B152F" w:rsidRPr="001441CA">
        <w:rPr>
          <w:rFonts w:ascii="Arial" w:hAnsi="Arial" w:cs="Arial"/>
          <w:sz w:val="22"/>
          <w:szCs w:val="22"/>
        </w:rPr>
        <w:t xml:space="preserve"> theory into question (Clarke, 2014; Clarke and Hattie, 2018; Bronfenbrenner, 2016; </w:t>
      </w:r>
      <w:proofErr w:type="spellStart"/>
      <w:r w:rsidR="005B152F" w:rsidRPr="001441CA">
        <w:rPr>
          <w:rFonts w:ascii="Arial" w:hAnsi="Arial" w:cs="Arial"/>
          <w:sz w:val="22"/>
          <w:szCs w:val="22"/>
        </w:rPr>
        <w:t>Wannarka</w:t>
      </w:r>
      <w:proofErr w:type="spellEnd"/>
      <w:r w:rsidR="005B152F" w:rsidRPr="001441CA">
        <w:rPr>
          <w:rFonts w:ascii="Arial" w:hAnsi="Arial" w:cs="Arial"/>
          <w:sz w:val="22"/>
          <w:szCs w:val="22"/>
        </w:rPr>
        <w:t xml:space="preserve"> et al 2008). </w:t>
      </w:r>
    </w:p>
    <w:p w14:paraId="5A0A922B" w14:textId="62966232" w:rsidR="005B152F" w:rsidRPr="001441CA" w:rsidRDefault="005B152F" w:rsidP="007C6AD2">
      <w:pPr>
        <w:spacing w:line="360" w:lineRule="auto"/>
        <w:rPr>
          <w:rFonts w:ascii="Arial" w:hAnsi="Arial" w:cs="Arial"/>
          <w:sz w:val="22"/>
          <w:szCs w:val="22"/>
        </w:rPr>
      </w:pPr>
    </w:p>
    <w:p w14:paraId="05A672BA" w14:textId="0EDC6DA3" w:rsidR="002A77BF" w:rsidRPr="001441CA" w:rsidRDefault="00064E0C" w:rsidP="007C6AD2">
      <w:pPr>
        <w:spacing w:line="360" w:lineRule="auto"/>
        <w:rPr>
          <w:rFonts w:ascii="Arial" w:hAnsi="Arial" w:cs="Arial"/>
          <w:sz w:val="22"/>
          <w:szCs w:val="22"/>
        </w:rPr>
      </w:pPr>
      <w:r w:rsidRPr="001441CA">
        <w:rPr>
          <w:rFonts w:ascii="Arial" w:hAnsi="Arial" w:cs="Arial"/>
          <w:sz w:val="22"/>
          <w:szCs w:val="22"/>
        </w:rPr>
        <w:t>Mixed ability classrooms provide an element of disruption as the practitioner has no control who is randomly chosen to be near each other (</w:t>
      </w:r>
      <w:proofErr w:type="spellStart"/>
      <w:r w:rsidRPr="001441CA">
        <w:rPr>
          <w:rFonts w:ascii="Arial" w:hAnsi="Arial" w:cs="Arial"/>
          <w:sz w:val="22"/>
          <w:szCs w:val="22"/>
        </w:rPr>
        <w:t>Svard</w:t>
      </w:r>
      <w:proofErr w:type="spellEnd"/>
      <w:r w:rsidR="002A77BF" w:rsidRPr="001441CA">
        <w:rPr>
          <w:rFonts w:ascii="Arial" w:hAnsi="Arial" w:cs="Arial"/>
          <w:sz w:val="22"/>
          <w:szCs w:val="22"/>
        </w:rPr>
        <w:t xml:space="preserve">, 2006; </w:t>
      </w:r>
      <w:proofErr w:type="spellStart"/>
      <w:r w:rsidR="002A77BF" w:rsidRPr="001441CA">
        <w:rPr>
          <w:rFonts w:ascii="Arial" w:hAnsi="Arial" w:cs="Arial"/>
          <w:sz w:val="22"/>
          <w:szCs w:val="22"/>
        </w:rPr>
        <w:t>Tobia</w:t>
      </w:r>
      <w:proofErr w:type="spellEnd"/>
      <w:r w:rsidR="002A77BF" w:rsidRPr="001441CA">
        <w:rPr>
          <w:rFonts w:ascii="Arial" w:hAnsi="Arial" w:cs="Arial"/>
          <w:sz w:val="22"/>
          <w:szCs w:val="22"/>
        </w:rPr>
        <w:t xml:space="preserve"> et al, 2020</w:t>
      </w:r>
      <w:r w:rsidRPr="001441CA">
        <w:rPr>
          <w:rFonts w:ascii="Arial" w:hAnsi="Arial" w:cs="Arial"/>
          <w:sz w:val="22"/>
          <w:szCs w:val="22"/>
        </w:rPr>
        <w:t xml:space="preserve">). However, there are considerations that Clarke suggests need to be considered when choosing the random seating such as individuals with additional learning needs (ALN). Children with ALN may struggle with the difficulty of change each week and may become overwhelmed within the classroom. Clarke suggests that these children should be considered and placed where appropriate even if that results in them not changing seats and only their work partner changing (Clarke, 2014; Clarke and Hattie, 2018). By doing this allows for the mixed ability groupings to continue. Vygotsky’s theory on the more knowledgeable other strengthens the argument for mixed ability groupings further. </w:t>
      </w:r>
      <w:r w:rsidR="002C3D57" w:rsidRPr="001441CA">
        <w:rPr>
          <w:rFonts w:ascii="Arial" w:hAnsi="Arial" w:cs="Arial"/>
          <w:sz w:val="22"/>
          <w:szCs w:val="22"/>
        </w:rPr>
        <w:t>Vygotsky</w:t>
      </w:r>
      <w:r w:rsidR="002A77BF" w:rsidRPr="001441CA">
        <w:rPr>
          <w:rFonts w:ascii="Arial" w:hAnsi="Arial" w:cs="Arial"/>
          <w:sz w:val="22"/>
          <w:szCs w:val="22"/>
        </w:rPr>
        <w:t xml:space="preserve">’s theory suggests that mixed ability groupings allow for one of the pairings to become the more knowledgeable other resulting in the strengthening of the previous argument put forward by Clarke that the higher ability child is able to push the lower ability child further in their education and support them through their learning (McLeod, 2014; Smith et al, 1997; </w:t>
      </w:r>
      <w:proofErr w:type="spellStart"/>
      <w:r w:rsidR="002A77BF" w:rsidRPr="001441CA">
        <w:rPr>
          <w:rFonts w:ascii="Arial" w:hAnsi="Arial" w:cs="Arial"/>
          <w:sz w:val="22"/>
          <w:szCs w:val="22"/>
        </w:rPr>
        <w:t>Svard</w:t>
      </w:r>
      <w:proofErr w:type="spellEnd"/>
      <w:r w:rsidR="002A77BF" w:rsidRPr="001441CA">
        <w:rPr>
          <w:rFonts w:ascii="Arial" w:hAnsi="Arial" w:cs="Arial"/>
          <w:sz w:val="22"/>
          <w:szCs w:val="22"/>
        </w:rPr>
        <w:t xml:space="preserve">, 2006; Vygotsky, 1978). However, Vygotsky’s strong arguments within education can be considered outdated weaking his theory. </w:t>
      </w:r>
    </w:p>
    <w:p w14:paraId="39CEB6E4" w14:textId="77777777" w:rsidR="00517FC5" w:rsidRPr="001441CA" w:rsidRDefault="00517FC5">
      <w:pPr>
        <w:rPr>
          <w:rFonts w:ascii="Arial" w:hAnsi="Arial" w:cs="Arial"/>
          <w:sz w:val="22"/>
          <w:szCs w:val="22"/>
        </w:rPr>
      </w:pPr>
    </w:p>
    <w:p w14:paraId="14AB251D" w14:textId="41DE813D" w:rsidR="00517FC5" w:rsidRPr="001441CA" w:rsidRDefault="00B934D9" w:rsidP="00864466">
      <w:pPr>
        <w:spacing w:line="360" w:lineRule="auto"/>
        <w:rPr>
          <w:rFonts w:ascii="Arial" w:hAnsi="Arial" w:cs="Arial"/>
          <w:sz w:val="22"/>
          <w:szCs w:val="22"/>
        </w:rPr>
      </w:pPr>
      <w:r w:rsidRPr="001441CA">
        <w:rPr>
          <w:rFonts w:ascii="Arial" w:hAnsi="Arial" w:cs="Arial"/>
          <w:sz w:val="22"/>
          <w:szCs w:val="22"/>
        </w:rPr>
        <w:t xml:space="preserve">Case study research allows a topic of research to be explored in-depth resulting in a deeper understanding of the topic through real-life contexts and research. It can be conducted through various means of research methods such as quantitative and qualitative data; </w:t>
      </w:r>
      <w:r w:rsidR="00864466" w:rsidRPr="001441CA">
        <w:rPr>
          <w:rFonts w:ascii="Arial" w:hAnsi="Arial" w:cs="Arial"/>
          <w:sz w:val="22"/>
          <w:szCs w:val="22"/>
        </w:rPr>
        <w:t>opinion data and numerical data, concluding with a formal analysis of the topic of research. Furthermore, a case study allows for a range of research techniques to be used to collect and establish this rich cluster of information such as using observations alongside questionnaires (Hancock</w:t>
      </w:r>
      <w:r w:rsidR="00517FC5" w:rsidRPr="001441CA">
        <w:rPr>
          <w:rFonts w:ascii="Arial" w:hAnsi="Arial" w:cs="Arial"/>
          <w:sz w:val="22"/>
          <w:szCs w:val="22"/>
        </w:rPr>
        <w:t xml:space="preserve"> et al</w:t>
      </w:r>
      <w:r w:rsidR="00864466" w:rsidRPr="001441CA">
        <w:rPr>
          <w:rFonts w:ascii="Arial" w:hAnsi="Arial" w:cs="Arial"/>
          <w:sz w:val="22"/>
          <w:szCs w:val="22"/>
        </w:rPr>
        <w:t xml:space="preserve">, 2021; Cousin, 2005; </w:t>
      </w:r>
      <w:proofErr w:type="spellStart"/>
      <w:r w:rsidR="00864466" w:rsidRPr="001441CA">
        <w:rPr>
          <w:rFonts w:ascii="Arial" w:hAnsi="Arial" w:cs="Arial"/>
          <w:sz w:val="22"/>
          <w:szCs w:val="22"/>
        </w:rPr>
        <w:t>Swanborn</w:t>
      </w:r>
      <w:proofErr w:type="spellEnd"/>
      <w:r w:rsidR="00864466" w:rsidRPr="001441CA">
        <w:rPr>
          <w:rFonts w:ascii="Arial" w:hAnsi="Arial" w:cs="Arial"/>
          <w:sz w:val="22"/>
          <w:szCs w:val="22"/>
        </w:rPr>
        <w:t xml:space="preserve">, 2010). </w:t>
      </w:r>
      <w:r w:rsidR="00517FC5" w:rsidRPr="001441CA">
        <w:rPr>
          <w:rFonts w:ascii="Arial" w:hAnsi="Arial" w:cs="Arial"/>
          <w:sz w:val="22"/>
          <w:szCs w:val="22"/>
        </w:rPr>
        <w:t xml:space="preserve">However, there are certain drawbacks associated with using case studies within research. Such research could provide difficulty to be replicated leading to the generalisation ability of the results becoming difficult to achieve (Street, 2012). </w:t>
      </w:r>
    </w:p>
    <w:p w14:paraId="39D36CD1" w14:textId="77777777" w:rsidR="007948B3" w:rsidRPr="001441CA" w:rsidRDefault="00A41BAF" w:rsidP="00864466">
      <w:pPr>
        <w:spacing w:line="360" w:lineRule="auto"/>
        <w:rPr>
          <w:rFonts w:ascii="Arial" w:hAnsi="Arial" w:cs="Arial"/>
          <w:sz w:val="22"/>
          <w:szCs w:val="22"/>
        </w:rPr>
      </w:pPr>
      <w:r w:rsidRPr="001441CA">
        <w:rPr>
          <w:rFonts w:ascii="Arial" w:hAnsi="Arial" w:cs="Arial"/>
          <w:sz w:val="22"/>
          <w:szCs w:val="22"/>
        </w:rPr>
        <w:t xml:space="preserve">On the contrary however, despite this drawback, case studies do allow for an intensive study to be completed resulting in somewhat reliable data. </w:t>
      </w:r>
    </w:p>
    <w:p w14:paraId="1B4DB0A0" w14:textId="77777777" w:rsidR="007948B3" w:rsidRPr="001441CA" w:rsidRDefault="007948B3" w:rsidP="00864466">
      <w:pPr>
        <w:spacing w:line="360" w:lineRule="auto"/>
        <w:rPr>
          <w:rFonts w:ascii="Arial" w:hAnsi="Arial" w:cs="Arial"/>
          <w:sz w:val="22"/>
          <w:szCs w:val="22"/>
        </w:rPr>
      </w:pPr>
    </w:p>
    <w:p w14:paraId="1010D5FB" w14:textId="358A580E" w:rsidR="00A41BAF" w:rsidRPr="001441CA" w:rsidRDefault="007948B3" w:rsidP="00864466">
      <w:pPr>
        <w:spacing w:line="360" w:lineRule="auto"/>
        <w:rPr>
          <w:rFonts w:ascii="Arial" w:hAnsi="Arial" w:cs="Arial"/>
          <w:sz w:val="22"/>
          <w:szCs w:val="22"/>
        </w:rPr>
      </w:pPr>
      <w:r w:rsidRPr="001441CA">
        <w:rPr>
          <w:rFonts w:ascii="Arial" w:hAnsi="Arial" w:cs="Arial"/>
          <w:sz w:val="22"/>
          <w:szCs w:val="22"/>
        </w:rPr>
        <w:t xml:space="preserve">Although, there are obvious difficulties in accepting the reliability of case studies. Reliability can be questioned due to researcher bias in conducting the research itself. Various factors could </w:t>
      </w:r>
      <w:r w:rsidRPr="001441CA">
        <w:rPr>
          <w:rFonts w:ascii="Arial" w:hAnsi="Arial" w:cs="Arial"/>
          <w:sz w:val="22"/>
          <w:szCs w:val="22"/>
        </w:rPr>
        <w:lastRenderedPageBreak/>
        <w:t xml:space="preserve">lead to this conclusion as researcher fatigue could be apparent as well as inconsistent observations during the study (Street, 2012; </w:t>
      </w:r>
      <w:proofErr w:type="spellStart"/>
      <w:r w:rsidRPr="001441CA">
        <w:rPr>
          <w:rFonts w:ascii="Arial" w:hAnsi="Arial" w:cs="Arial"/>
          <w:sz w:val="22"/>
          <w:szCs w:val="22"/>
        </w:rPr>
        <w:t>Swanborn</w:t>
      </w:r>
      <w:proofErr w:type="spellEnd"/>
      <w:r w:rsidRPr="001441CA">
        <w:rPr>
          <w:rFonts w:ascii="Arial" w:hAnsi="Arial" w:cs="Arial"/>
          <w:sz w:val="22"/>
          <w:szCs w:val="22"/>
        </w:rPr>
        <w:t>, 2010). The overall conclusion towards the understanding of advantages of using a case study-based research and its limitations however must be questioned. Research above could be considered outdated thus debating its va</w:t>
      </w:r>
      <w:r w:rsidR="004E2027" w:rsidRPr="001441CA">
        <w:rPr>
          <w:rFonts w:ascii="Arial" w:hAnsi="Arial" w:cs="Arial"/>
          <w:sz w:val="22"/>
          <w:szCs w:val="22"/>
        </w:rPr>
        <w:t>lidity</w:t>
      </w:r>
      <w:r w:rsidR="006907F9" w:rsidRPr="001441CA">
        <w:rPr>
          <w:rFonts w:ascii="Arial" w:hAnsi="Arial" w:cs="Arial"/>
          <w:sz w:val="22"/>
          <w:szCs w:val="22"/>
        </w:rPr>
        <w:t xml:space="preserve"> (Barroso, 2006)</w:t>
      </w:r>
      <w:r w:rsidR="004E2027" w:rsidRPr="001441CA">
        <w:rPr>
          <w:rFonts w:ascii="Arial" w:hAnsi="Arial" w:cs="Arial"/>
          <w:sz w:val="22"/>
          <w:szCs w:val="22"/>
        </w:rPr>
        <w:t xml:space="preserve">. On the other hand, the literature of Street and Handcock pose greater validity due to the newer dates leading to more relevance within this argument. </w:t>
      </w:r>
    </w:p>
    <w:p w14:paraId="6FFF4B7B" w14:textId="77777777" w:rsidR="00EC5092" w:rsidRPr="001441CA" w:rsidRDefault="00EC5092" w:rsidP="00864466">
      <w:pPr>
        <w:spacing w:line="360" w:lineRule="auto"/>
        <w:rPr>
          <w:rFonts w:ascii="Arial" w:hAnsi="Arial" w:cs="Arial"/>
          <w:sz w:val="22"/>
          <w:szCs w:val="22"/>
        </w:rPr>
      </w:pPr>
    </w:p>
    <w:p w14:paraId="56C00FC9" w14:textId="24E7E9C1" w:rsidR="00F51BFE" w:rsidRPr="001441CA" w:rsidRDefault="008B42C6" w:rsidP="00864466">
      <w:pPr>
        <w:spacing w:line="360" w:lineRule="auto"/>
        <w:rPr>
          <w:rFonts w:ascii="Arial" w:hAnsi="Arial" w:cs="Arial"/>
          <w:sz w:val="22"/>
          <w:szCs w:val="22"/>
        </w:rPr>
      </w:pPr>
      <w:r w:rsidRPr="001441CA">
        <w:rPr>
          <w:rFonts w:ascii="Arial" w:hAnsi="Arial" w:cs="Arial"/>
          <w:sz w:val="22"/>
          <w:szCs w:val="22"/>
        </w:rPr>
        <w:t>Case studies have provided challenging research within education as they have been criticised to lack coherence suggesting that a possible structure within a case study is needed to give direction to the research allowing the study to explore the range of trajectories</w:t>
      </w:r>
      <w:r w:rsidR="007541C0" w:rsidRPr="001441CA">
        <w:rPr>
          <w:rFonts w:ascii="Arial" w:hAnsi="Arial" w:cs="Arial"/>
          <w:sz w:val="22"/>
          <w:szCs w:val="22"/>
        </w:rPr>
        <w:t xml:space="preserve"> (Cohen, 2013; Thomas, 2013). Cohen and Thomas’ research however</w:t>
      </w:r>
      <w:r w:rsidR="00F51BFE" w:rsidRPr="001441CA">
        <w:rPr>
          <w:rFonts w:ascii="Arial" w:hAnsi="Arial" w:cs="Arial"/>
          <w:sz w:val="22"/>
          <w:szCs w:val="22"/>
        </w:rPr>
        <w:t xml:space="preserve"> could be considered outdated due to the research being published in 2013, thus questioning the validity of their research on a similar basis as Street and </w:t>
      </w:r>
      <w:proofErr w:type="spellStart"/>
      <w:r w:rsidR="00F51BFE" w:rsidRPr="001441CA">
        <w:rPr>
          <w:rFonts w:ascii="Arial" w:hAnsi="Arial" w:cs="Arial"/>
          <w:sz w:val="22"/>
          <w:szCs w:val="22"/>
        </w:rPr>
        <w:t>Swanborn’s</w:t>
      </w:r>
      <w:proofErr w:type="spellEnd"/>
      <w:r w:rsidR="00F51BFE" w:rsidRPr="001441CA">
        <w:rPr>
          <w:rFonts w:ascii="Arial" w:hAnsi="Arial" w:cs="Arial"/>
          <w:sz w:val="22"/>
          <w:szCs w:val="22"/>
        </w:rPr>
        <w:t xml:space="preserve"> research discussed previously. </w:t>
      </w:r>
    </w:p>
    <w:p w14:paraId="52E274FA" w14:textId="77777777" w:rsidR="00264303" w:rsidRPr="001441CA" w:rsidRDefault="00264303" w:rsidP="00864466">
      <w:pPr>
        <w:spacing w:line="360" w:lineRule="auto"/>
        <w:rPr>
          <w:rFonts w:ascii="Arial" w:hAnsi="Arial" w:cs="Arial"/>
          <w:sz w:val="22"/>
          <w:szCs w:val="22"/>
        </w:rPr>
      </w:pPr>
    </w:p>
    <w:p w14:paraId="78645F4E" w14:textId="0298D6A2" w:rsidR="006F0E72" w:rsidRPr="001441CA" w:rsidRDefault="004E2027" w:rsidP="00864466">
      <w:pPr>
        <w:spacing w:line="360" w:lineRule="auto"/>
        <w:rPr>
          <w:rFonts w:ascii="Arial" w:hAnsi="Arial" w:cs="Arial"/>
          <w:sz w:val="22"/>
          <w:szCs w:val="22"/>
        </w:rPr>
      </w:pPr>
      <w:r w:rsidRPr="001441CA">
        <w:rPr>
          <w:rFonts w:ascii="Arial" w:hAnsi="Arial" w:cs="Arial"/>
          <w:sz w:val="22"/>
          <w:szCs w:val="22"/>
        </w:rPr>
        <w:t xml:space="preserve">Within the case study of this </w:t>
      </w:r>
      <w:r w:rsidR="007361BD" w:rsidRPr="001441CA">
        <w:rPr>
          <w:rFonts w:ascii="Arial" w:hAnsi="Arial" w:cs="Arial"/>
          <w:sz w:val="22"/>
          <w:szCs w:val="22"/>
        </w:rPr>
        <w:t>research</w:t>
      </w:r>
      <w:r w:rsidR="00E35A69" w:rsidRPr="001441CA">
        <w:rPr>
          <w:rFonts w:ascii="Arial" w:hAnsi="Arial" w:cs="Arial"/>
          <w:sz w:val="22"/>
          <w:szCs w:val="22"/>
        </w:rPr>
        <w:t>,</w:t>
      </w:r>
      <w:r w:rsidRPr="001441CA">
        <w:rPr>
          <w:rFonts w:ascii="Arial" w:hAnsi="Arial" w:cs="Arial"/>
          <w:sz w:val="22"/>
          <w:szCs w:val="22"/>
        </w:rPr>
        <w:t xml:space="preserve"> that </w:t>
      </w:r>
      <w:r w:rsidR="00D6427B" w:rsidRPr="001441CA">
        <w:rPr>
          <w:rFonts w:ascii="Arial" w:hAnsi="Arial" w:cs="Arial"/>
          <w:sz w:val="22"/>
          <w:szCs w:val="22"/>
        </w:rPr>
        <w:t xml:space="preserve">was </w:t>
      </w:r>
      <w:r w:rsidRPr="001441CA">
        <w:rPr>
          <w:rFonts w:ascii="Arial" w:hAnsi="Arial" w:cs="Arial"/>
          <w:sz w:val="22"/>
          <w:szCs w:val="22"/>
        </w:rPr>
        <w:t>conducted</w:t>
      </w:r>
      <w:r w:rsidR="00E35A69" w:rsidRPr="001441CA">
        <w:rPr>
          <w:rFonts w:ascii="Arial" w:hAnsi="Arial" w:cs="Arial"/>
          <w:sz w:val="22"/>
          <w:szCs w:val="22"/>
        </w:rPr>
        <w:t>,</w:t>
      </w:r>
      <w:r w:rsidRPr="001441CA">
        <w:rPr>
          <w:rFonts w:ascii="Arial" w:hAnsi="Arial" w:cs="Arial"/>
          <w:sz w:val="22"/>
          <w:szCs w:val="22"/>
        </w:rPr>
        <w:t xml:space="preserve"> a representative sample</w:t>
      </w:r>
      <w:r w:rsidR="00E35A69" w:rsidRPr="001441CA">
        <w:rPr>
          <w:rFonts w:ascii="Arial" w:hAnsi="Arial" w:cs="Arial"/>
          <w:sz w:val="22"/>
          <w:szCs w:val="22"/>
        </w:rPr>
        <w:t xml:space="preserve"> has been attempted to be chosen. A representative sample allows for the participants to be generalised to a population allowing a generalisation on the findings (Frost, 2023). </w:t>
      </w:r>
      <w:r w:rsidRPr="001441CA">
        <w:rPr>
          <w:rFonts w:ascii="Arial" w:hAnsi="Arial" w:cs="Arial"/>
          <w:sz w:val="22"/>
          <w:szCs w:val="22"/>
        </w:rPr>
        <w:t xml:space="preserve"> </w:t>
      </w:r>
      <w:r w:rsidR="00D6427B" w:rsidRPr="001441CA">
        <w:rPr>
          <w:rFonts w:ascii="Arial" w:hAnsi="Arial" w:cs="Arial"/>
          <w:sz w:val="22"/>
          <w:szCs w:val="22"/>
        </w:rPr>
        <w:t>The sample had been</w:t>
      </w:r>
      <w:r w:rsidR="004A5B91" w:rsidRPr="001441CA">
        <w:rPr>
          <w:rFonts w:ascii="Arial" w:hAnsi="Arial" w:cs="Arial"/>
          <w:sz w:val="22"/>
          <w:szCs w:val="22"/>
        </w:rPr>
        <w:t xml:space="preserve"> randomly </w:t>
      </w:r>
      <w:r w:rsidR="00D6427B" w:rsidRPr="001441CA">
        <w:rPr>
          <w:rFonts w:ascii="Arial" w:hAnsi="Arial" w:cs="Arial"/>
          <w:sz w:val="22"/>
          <w:szCs w:val="22"/>
        </w:rPr>
        <w:t xml:space="preserve">chosen </w:t>
      </w:r>
      <w:r w:rsidR="004A5B91" w:rsidRPr="001441CA">
        <w:rPr>
          <w:rFonts w:ascii="Arial" w:hAnsi="Arial" w:cs="Arial"/>
          <w:sz w:val="22"/>
          <w:szCs w:val="22"/>
        </w:rPr>
        <w:t>using an online randomiser</w:t>
      </w:r>
      <w:r w:rsidR="00D6427B" w:rsidRPr="001441CA">
        <w:rPr>
          <w:rFonts w:ascii="Arial" w:hAnsi="Arial" w:cs="Arial"/>
          <w:sz w:val="22"/>
          <w:szCs w:val="22"/>
        </w:rPr>
        <w:t xml:space="preserve"> site</w:t>
      </w:r>
      <w:r w:rsidR="00393D22" w:rsidRPr="001441CA">
        <w:rPr>
          <w:rFonts w:ascii="Arial" w:hAnsi="Arial" w:cs="Arial"/>
          <w:sz w:val="22"/>
          <w:szCs w:val="22"/>
        </w:rPr>
        <w:t xml:space="preserve"> where the participants names are already located, class dojo</w:t>
      </w:r>
      <w:r w:rsidR="00325F60" w:rsidRPr="001441CA">
        <w:rPr>
          <w:rFonts w:ascii="Arial" w:hAnsi="Arial" w:cs="Arial"/>
          <w:sz w:val="22"/>
          <w:szCs w:val="22"/>
        </w:rPr>
        <w:t xml:space="preserve">. Random sampling allows for an equal chance of the participants being chosen </w:t>
      </w:r>
      <w:r w:rsidR="005E26E6" w:rsidRPr="001441CA">
        <w:rPr>
          <w:rFonts w:ascii="Arial" w:hAnsi="Arial" w:cs="Arial"/>
          <w:sz w:val="22"/>
          <w:szCs w:val="22"/>
        </w:rPr>
        <w:t xml:space="preserve">allowing for a quick and effective form of sampling. </w:t>
      </w:r>
    </w:p>
    <w:p w14:paraId="1F2B06E2" w14:textId="77777777" w:rsidR="006F0E72" w:rsidRPr="001441CA" w:rsidRDefault="006F0E72" w:rsidP="00864466">
      <w:pPr>
        <w:spacing w:line="360" w:lineRule="auto"/>
        <w:rPr>
          <w:rFonts w:ascii="Arial" w:hAnsi="Arial" w:cs="Arial"/>
          <w:sz w:val="22"/>
          <w:szCs w:val="22"/>
        </w:rPr>
      </w:pPr>
    </w:p>
    <w:p w14:paraId="28E71689" w14:textId="7002FB84" w:rsidR="00920AE0" w:rsidRPr="001441CA" w:rsidRDefault="005E26E6" w:rsidP="00864466">
      <w:pPr>
        <w:spacing w:line="360" w:lineRule="auto"/>
        <w:rPr>
          <w:rFonts w:ascii="Arial" w:hAnsi="Arial" w:cs="Arial"/>
          <w:sz w:val="22"/>
          <w:szCs w:val="22"/>
        </w:rPr>
      </w:pPr>
      <w:r w:rsidRPr="001441CA">
        <w:rPr>
          <w:rFonts w:ascii="Arial" w:hAnsi="Arial" w:cs="Arial"/>
          <w:sz w:val="22"/>
          <w:szCs w:val="22"/>
        </w:rPr>
        <w:t xml:space="preserve">However, this method of sampling poses limitations such as the occurrence of sampling error, for example a participant being chosen twice resulting in the researcher interfering with the randomising tool such limitations must be considered during the sampling process within a case study (Hayes, 2022; </w:t>
      </w:r>
      <w:proofErr w:type="spellStart"/>
      <w:r w:rsidRPr="001441CA">
        <w:rPr>
          <w:rFonts w:ascii="Arial" w:hAnsi="Arial" w:cs="Arial"/>
          <w:sz w:val="22"/>
          <w:szCs w:val="22"/>
        </w:rPr>
        <w:t>Simkus</w:t>
      </w:r>
      <w:proofErr w:type="spellEnd"/>
      <w:r w:rsidRPr="001441CA">
        <w:rPr>
          <w:rFonts w:ascii="Arial" w:hAnsi="Arial" w:cs="Arial"/>
          <w:sz w:val="22"/>
          <w:szCs w:val="22"/>
        </w:rPr>
        <w:t>, 2022)</w:t>
      </w:r>
      <w:r w:rsidR="00325F60" w:rsidRPr="001441CA">
        <w:rPr>
          <w:rFonts w:ascii="Arial" w:hAnsi="Arial" w:cs="Arial"/>
          <w:sz w:val="22"/>
          <w:szCs w:val="22"/>
        </w:rPr>
        <w:t xml:space="preserve">. </w:t>
      </w:r>
      <w:r w:rsidR="004A5B91" w:rsidRPr="001441CA">
        <w:rPr>
          <w:rFonts w:ascii="Arial" w:hAnsi="Arial" w:cs="Arial"/>
          <w:sz w:val="22"/>
          <w:szCs w:val="22"/>
        </w:rPr>
        <w:t>Therefore, by doing this will allow for a lower researcher bias due to the randomisation of the participants as this will ensure that the participants have not been specifically chosen to lead the research into a certain direction that could be desired</w:t>
      </w:r>
      <w:r w:rsidR="00325F60" w:rsidRPr="001441CA">
        <w:rPr>
          <w:rFonts w:ascii="Arial" w:hAnsi="Arial" w:cs="Arial"/>
          <w:sz w:val="22"/>
          <w:szCs w:val="22"/>
        </w:rPr>
        <w:t xml:space="preserve"> (Cohen, 2013)</w:t>
      </w:r>
      <w:r w:rsidR="006F0E72" w:rsidRPr="001441CA">
        <w:rPr>
          <w:rFonts w:ascii="Arial" w:hAnsi="Arial" w:cs="Arial"/>
          <w:sz w:val="22"/>
          <w:szCs w:val="22"/>
        </w:rPr>
        <w:t>. Despite having a lower researcher bias, it can</w:t>
      </w:r>
      <w:r w:rsidR="00EB676E" w:rsidRPr="001441CA">
        <w:rPr>
          <w:rFonts w:ascii="Arial" w:hAnsi="Arial" w:cs="Arial"/>
          <w:sz w:val="22"/>
          <w:szCs w:val="22"/>
        </w:rPr>
        <w:t xml:space="preserve">not be avoided. </w:t>
      </w:r>
      <w:r w:rsidR="00477312" w:rsidRPr="001441CA">
        <w:rPr>
          <w:rFonts w:ascii="Arial" w:hAnsi="Arial" w:cs="Arial"/>
          <w:sz w:val="22"/>
          <w:szCs w:val="22"/>
        </w:rPr>
        <w:t xml:space="preserve">The researcher’s positionality, an </w:t>
      </w:r>
      <w:r w:rsidR="00B30CD3" w:rsidRPr="001441CA">
        <w:rPr>
          <w:rFonts w:ascii="Arial" w:hAnsi="Arial" w:cs="Arial"/>
          <w:sz w:val="22"/>
          <w:szCs w:val="22"/>
        </w:rPr>
        <w:t>individual’s</w:t>
      </w:r>
      <w:r w:rsidR="00477312" w:rsidRPr="001441CA">
        <w:rPr>
          <w:rFonts w:ascii="Arial" w:hAnsi="Arial" w:cs="Arial"/>
          <w:sz w:val="22"/>
          <w:szCs w:val="22"/>
        </w:rPr>
        <w:t xml:space="preserve"> </w:t>
      </w:r>
      <w:r w:rsidR="007361BD" w:rsidRPr="001441CA">
        <w:rPr>
          <w:rFonts w:ascii="Arial" w:hAnsi="Arial" w:cs="Arial"/>
          <w:sz w:val="22"/>
          <w:szCs w:val="22"/>
        </w:rPr>
        <w:t>view,</w:t>
      </w:r>
      <w:r w:rsidR="00477312" w:rsidRPr="001441CA">
        <w:rPr>
          <w:rFonts w:ascii="Arial" w:hAnsi="Arial" w:cs="Arial"/>
          <w:sz w:val="22"/>
          <w:szCs w:val="22"/>
        </w:rPr>
        <w:t xml:space="preserve"> and position within a research task</w:t>
      </w:r>
      <w:r w:rsidR="00B30CD3" w:rsidRPr="001441CA">
        <w:rPr>
          <w:rFonts w:ascii="Arial" w:hAnsi="Arial" w:cs="Arial"/>
          <w:sz w:val="22"/>
          <w:szCs w:val="22"/>
        </w:rPr>
        <w:t xml:space="preserve"> (Andrew and Holmes, 2020)</w:t>
      </w:r>
      <w:r w:rsidR="00477312" w:rsidRPr="001441CA">
        <w:rPr>
          <w:rFonts w:ascii="Arial" w:hAnsi="Arial" w:cs="Arial"/>
          <w:sz w:val="22"/>
          <w:szCs w:val="22"/>
        </w:rPr>
        <w:t xml:space="preserve">, </w:t>
      </w:r>
      <w:r w:rsidR="00B30CD3" w:rsidRPr="001441CA">
        <w:rPr>
          <w:rFonts w:ascii="Arial" w:hAnsi="Arial" w:cs="Arial"/>
          <w:sz w:val="22"/>
          <w:szCs w:val="22"/>
        </w:rPr>
        <w:t>will be apparent throughout for the researcher resulting in the possibility of r</w:t>
      </w:r>
      <w:r w:rsidR="00EB676E" w:rsidRPr="001441CA">
        <w:rPr>
          <w:rFonts w:ascii="Arial" w:hAnsi="Arial" w:cs="Arial"/>
          <w:sz w:val="22"/>
          <w:szCs w:val="22"/>
        </w:rPr>
        <w:t>esearcher bias</w:t>
      </w:r>
      <w:r w:rsidR="00B30CD3" w:rsidRPr="001441CA">
        <w:rPr>
          <w:rFonts w:ascii="Arial" w:hAnsi="Arial" w:cs="Arial"/>
          <w:sz w:val="22"/>
          <w:szCs w:val="22"/>
        </w:rPr>
        <w:t xml:space="preserve"> </w:t>
      </w:r>
      <w:r w:rsidR="00EB676E" w:rsidRPr="001441CA">
        <w:rPr>
          <w:rFonts w:ascii="Arial" w:hAnsi="Arial" w:cs="Arial"/>
          <w:sz w:val="22"/>
          <w:szCs w:val="22"/>
        </w:rPr>
        <w:t xml:space="preserve">still </w:t>
      </w:r>
      <w:r w:rsidR="00B30CD3" w:rsidRPr="001441CA">
        <w:rPr>
          <w:rFonts w:ascii="Arial" w:hAnsi="Arial" w:cs="Arial"/>
          <w:sz w:val="22"/>
          <w:szCs w:val="22"/>
        </w:rPr>
        <w:t>occurring</w:t>
      </w:r>
      <w:r w:rsidR="00EB676E" w:rsidRPr="001441CA">
        <w:rPr>
          <w:rFonts w:ascii="Arial" w:hAnsi="Arial" w:cs="Arial"/>
          <w:sz w:val="22"/>
          <w:szCs w:val="22"/>
        </w:rPr>
        <w:t xml:space="preserve"> </w:t>
      </w:r>
      <w:r w:rsidR="00B30CD3" w:rsidRPr="001441CA">
        <w:rPr>
          <w:rFonts w:ascii="Arial" w:hAnsi="Arial" w:cs="Arial"/>
          <w:sz w:val="22"/>
          <w:szCs w:val="22"/>
        </w:rPr>
        <w:t>within the</w:t>
      </w:r>
      <w:r w:rsidR="00EB676E" w:rsidRPr="001441CA">
        <w:rPr>
          <w:rFonts w:ascii="Arial" w:hAnsi="Arial" w:cs="Arial"/>
          <w:sz w:val="22"/>
          <w:szCs w:val="22"/>
        </w:rPr>
        <w:t xml:space="preserve"> case study</w:t>
      </w:r>
      <w:r w:rsidR="00B30CD3" w:rsidRPr="001441CA">
        <w:rPr>
          <w:rFonts w:ascii="Arial" w:hAnsi="Arial" w:cs="Arial"/>
          <w:sz w:val="22"/>
          <w:szCs w:val="22"/>
        </w:rPr>
        <w:t>,</w:t>
      </w:r>
      <w:r w:rsidR="00EB676E" w:rsidRPr="001441CA">
        <w:rPr>
          <w:rFonts w:ascii="Arial" w:hAnsi="Arial" w:cs="Arial"/>
          <w:sz w:val="22"/>
          <w:szCs w:val="22"/>
        </w:rPr>
        <w:t xml:space="preserve"> causing a further limitation</w:t>
      </w:r>
      <w:r w:rsidR="00477312" w:rsidRPr="001441CA">
        <w:rPr>
          <w:rFonts w:ascii="Arial" w:hAnsi="Arial" w:cs="Arial"/>
          <w:sz w:val="22"/>
          <w:szCs w:val="22"/>
        </w:rPr>
        <w:t xml:space="preserve">. </w:t>
      </w:r>
      <w:r w:rsidR="000933A8" w:rsidRPr="001441CA">
        <w:rPr>
          <w:rFonts w:ascii="Arial" w:hAnsi="Arial" w:cs="Arial"/>
          <w:sz w:val="22"/>
          <w:szCs w:val="22"/>
        </w:rPr>
        <w:t xml:space="preserve">The participants chosen within this study consist of three participants chosen randomly each day up to Thursday resulting in twelve participants in total. These participants, once chosen, will be kept the same </w:t>
      </w:r>
      <w:r w:rsidR="000933A8" w:rsidRPr="001441CA">
        <w:rPr>
          <w:rFonts w:ascii="Arial" w:hAnsi="Arial" w:cs="Arial"/>
          <w:sz w:val="22"/>
          <w:szCs w:val="22"/>
        </w:rPr>
        <w:lastRenderedPageBreak/>
        <w:t xml:space="preserve">throughout the research window. </w:t>
      </w:r>
      <w:r w:rsidR="002923EB" w:rsidRPr="001441CA">
        <w:rPr>
          <w:rFonts w:ascii="Arial" w:hAnsi="Arial" w:cs="Arial"/>
          <w:sz w:val="22"/>
          <w:szCs w:val="22"/>
        </w:rPr>
        <w:t>Furthermore, five children were chosen randomly to complete the questionnaire.</w:t>
      </w:r>
      <w:r w:rsidR="000D676D" w:rsidRPr="001441CA">
        <w:rPr>
          <w:rFonts w:ascii="Arial" w:hAnsi="Arial" w:cs="Arial"/>
          <w:sz w:val="22"/>
          <w:szCs w:val="22"/>
        </w:rPr>
        <w:t xml:space="preserve"> </w:t>
      </w:r>
    </w:p>
    <w:p w14:paraId="77FF6CA1" w14:textId="0928A799" w:rsidR="00920AE0" w:rsidRPr="001441CA" w:rsidRDefault="00920AE0">
      <w:pPr>
        <w:rPr>
          <w:rFonts w:ascii="Arial" w:hAnsi="Arial" w:cs="Arial"/>
          <w:sz w:val="22"/>
          <w:szCs w:val="22"/>
        </w:rPr>
      </w:pPr>
    </w:p>
    <w:p w14:paraId="0FFBF03C" w14:textId="028C5101" w:rsidR="00024C80" w:rsidRPr="001441CA" w:rsidRDefault="00920AE0" w:rsidP="00920AE0">
      <w:pPr>
        <w:spacing w:line="360" w:lineRule="auto"/>
        <w:rPr>
          <w:rFonts w:ascii="Arial" w:hAnsi="Arial" w:cs="Arial"/>
          <w:sz w:val="22"/>
          <w:szCs w:val="22"/>
        </w:rPr>
      </w:pPr>
      <w:r w:rsidRPr="001441CA">
        <w:rPr>
          <w:rFonts w:ascii="Arial" w:hAnsi="Arial" w:cs="Arial"/>
          <w:sz w:val="22"/>
          <w:szCs w:val="22"/>
        </w:rPr>
        <w:t xml:space="preserve">For this case study multiple forms of methods </w:t>
      </w:r>
      <w:r w:rsidR="00F967C2" w:rsidRPr="001441CA">
        <w:rPr>
          <w:rFonts w:ascii="Arial" w:hAnsi="Arial" w:cs="Arial"/>
          <w:sz w:val="22"/>
          <w:szCs w:val="22"/>
        </w:rPr>
        <w:t>have</w:t>
      </w:r>
      <w:r w:rsidR="0099019D" w:rsidRPr="001441CA">
        <w:rPr>
          <w:rFonts w:ascii="Arial" w:hAnsi="Arial" w:cs="Arial"/>
          <w:sz w:val="22"/>
          <w:szCs w:val="22"/>
        </w:rPr>
        <w:t xml:space="preserve"> been used </w:t>
      </w:r>
      <w:r w:rsidRPr="001441CA">
        <w:rPr>
          <w:rFonts w:ascii="Arial" w:hAnsi="Arial" w:cs="Arial"/>
          <w:sz w:val="22"/>
          <w:szCs w:val="22"/>
        </w:rPr>
        <w:t xml:space="preserve">to gather data </w:t>
      </w:r>
      <w:r w:rsidR="007361BD" w:rsidRPr="001441CA">
        <w:rPr>
          <w:rFonts w:ascii="Arial" w:hAnsi="Arial" w:cs="Arial"/>
          <w:sz w:val="22"/>
          <w:szCs w:val="22"/>
        </w:rPr>
        <w:t>to</w:t>
      </w:r>
      <w:r w:rsidRPr="001441CA">
        <w:rPr>
          <w:rFonts w:ascii="Arial" w:hAnsi="Arial" w:cs="Arial"/>
          <w:sz w:val="22"/>
          <w:szCs w:val="22"/>
        </w:rPr>
        <w:t xml:space="preserve"> </w:t>
      </w:r>
      <w:r w:rsidR="007361BD" w:rsidRPr="001441CA">
        <w:rPr>
          <w:rFonts w:ascii="Arial" w:hAnsi="Arial" w:cs="Arial"/>
          <w:sz w:val="22"/>
          <w:szCs w:val="22"/>
        </w:rPr>
        <w:t>corelate t</w:t>
      </w:r>
      <w:r w:rsidRPr="001441CA">
        <w:rPr>
          <w:rFonts w:ascii="Arial" w:hAnsi="Arial" w:cs="Arial"/>
          <w:sz w:val="22"/>
          <w:szCs w:val="22"/>
        </w:rPr>
        <w:t xml:space="preserve">ogether to form an in-depth understanding of this topic of student groupings and their attitudes towards learning, as discussed above, that case studies can provide (Wyse et al, 2017). </w:t>
      </w:r>
      <w:r w:rsidR="00EC11AB" w:rsidRPr="001441CA">
        <w:rPr>
          <w:rFonts w:ascii="Arial" w:hAnsi="Arial" w:cs="Arial"/>
          <w:sz w:val="22"/>
          <w:szCs w:val="22"/>
        </w:rPr>
        <w:t xml:space="preserve">Research methods are processes that utilise the collection of data to uncover new information to understand the question under research in more depth. Different research methods provide different collections of data; quantitative date, where the data collected is numerical and provides the ability to be grouped together to present data in an easier format, and qualitative data,  where the data collected is opinion based, however this data has been found to be more difficult to group together, although it can provide more in-depth data to be analysed (University of Newcastle, 2023; Patten, 2017; </w:t>
      </w:r>
      <w:proofErr w:type="spellStart"/>
      <w:r w:rsidR="006B1984" w:rsidRPr="001441CA">
        <w:rPr>
          <w:rFonts w:ascii="Arial" w:hAnsi="Arial" w:cs="Arial"/>
          <w:sz w:val="22"/>
          <w:szCs w:val="22"/>
        </w:rPr>
        <w:t>Lazaraton</w:t>
      </w:r>
      <w:proofErr w:type="spellEnd"/>
      <w:r w:rsidR="00EC11AB" w:rsidRPr="001441CA">
        <w:rPr>
          <w:rFonts w:ascii="Arial" w:hAnsi="Arial" w:cs="Arial"/>
          <w:sz w:val="22"/>
          <w:szCs w:val="22"/>
        </w:rPr>
        <w:t xml:space="preserve">, 1995). </w:t>
      </w:r>
    </w:p>
    <w:p w14:paraId="47778984" w14:textId="77777777" w:rsidR="00024C80" w:rsidRPr="001441CA" w:rsidRDefault="00024C80" w:rsidP="00920AE0">
      <w:pPr>
        <w:spacing w:line="360" w:lineRule="auto"/>
        <w:rPr>
          <w:rFonts w:ascii="Arial" w:hAnsi="Arial" w:cs="Arial"/>
          <w:sz w:val="22"/>
          <w:szCs w:val="22"/>
        </w:rPr>
      </w:pPr>
    </w:p>
    <w:p w14:paraId="482B363A" w14:textId="7596EF8F" w:rsidR="00024C80" w:rsidRPr="001441CA" w:rsidRDefault="00F967C2" w:rsidP="00920AE0">
      <w:pPr>
        <w:spacing w:line="360" w:lineRule="auto"/>
        <w:rPr>
          <w:rFonts w:ascii="Arial" w:hAnsi="Arial" w:cs="Arial"/>
          <w:sz w:val="22"/>
          <w:szCs w:val="22"/>
        </w:rPr>
      </w:pPr>
      <w:r w:rsidRPr="001441CA">
        <w:rPr>
          <w:rFonts w:ascii="Arial" w:hAnsi="Arial" w:cs="Arial"/>
          <w:sz w:val="22"/>
          <w:szCs w:val="22"/>
        </w:rPr>
        <w:t>Participant o</w:t>
      </w:r>
      <w:r w:rsidR="00D6427B" w:rsidRPr="001441CA">
        <w:rPr>
          <w:rFonts w:ascii="Arial" w:hAnsi="Arial" w:cs="Arial"/>
          <w:sz w:val="22"/>
          <w:szCs w:val="22"/>
        </w:rPr>
        <w:t>bservation was the core</w:t>
      </w:r>
      <w:r w:rsidRPr="001441CA">
        <w:rPr>
          <w:rFonts w:ascii="Arial" w:hAnsi="Arial" w:cs="Arial"/>
          <w:sz w:val="22"/>
          <w:szCs w:val="22"/>
        </w:rPr>
        <w:t xml:space="preserve"> research</w:t>
      </w:r>
      <w:r w:rsidR="00D6427B" w:rsidRPr="001441CA">
        <w:rPr>
          <w:rFonts w:ascii="Arial" w:hAnsi="Arial" w:cs="Arial"/>
          <w:sz w:val="22"/>
          <w:szCs w:val="22"/>
        </w:rPr>
        <w:t xml:space="preserve"> method that was used</w:t>
      </w:r>
      <w:r w:rsidR="00740B4B" w:rsidRPr="001441CA">
        <w:rPr>
          <w:rFonts w:ascii="Arial" w:hAnsi="Arial" w:cs="Arial"/>
          <w:sz w:val="22"/>
          <w:szCs w:val="22"/>
        </w:rPr>
        <w:t xml:space="preserve"> during this case study</w:t>
      </w:r>
      <w:r w:rsidR="00E21FB5" w:rsidRPr="001441CA">
        <w:rPr>
          <w:rFonts w:ascii="Arial" w:hAnsi="Arial" w:cs="Arial"/>
          <w:sz w:val="22"/>
          <w:szCs w:val="22"/>
        </w:rPr>
        <w:t xml:space="preserve"> to collect data. The type of data expected to be collected from the observations are quantitative as the observation schedule created will use tallies to collect the data from the participants (seen in </w:t>
      </w:r>
      <w:r w:rsidR="002C44E1">
        <w:rPr>
          <w:rFonts w:ascii="Arial" w:hAnsi="Arial" w:cs="Arial"/>
          <w:sz w:val="22"/>
          <w:szCs w:val="22"/>
        </w:rPr>
        <w:t>A</w:t>
      </w:r>
      <w:r w:rsidR="00E21FB5" w:rsidRPr="001441CA">
        <w:rPr>
          <w:rFonts w:ascii="Arial" w:hAnsi="Arial" w:cs="Arial"/>
          <w:sz w:val="22"/>
          <w:szCs w:val="22"/>
        </w:rPr>
        <w:t>ppendix</w:t>
      </w:r>
      <w:r w:rsidR="002C44E1">
        <w:rPr>
          <w:rFonts w:ascii="Arial" w:hAnsi="Arial" w:cs="Arial"/>
          <w:sz w:val="22"/>
          <w:szCs w:val="22"/>
        </w:rPr>
        <w:t xml:space="preserve"> B</w:t>
      </w:r>
      <w:r w:rsidR="00E21FB5" w:rsidRPr="001441CA">
        <w:rPr>
          <w:rFonts w:ascii="Arial" w:hAnsi="Arial" w:cs="Arial"/>
          <w:sz w:val="22"/>
          <w:szCs w:val="22"/>
        </w:rPr>
        <w:t xml:space="preserve">). </w:t>
      </w:r>
      <w:r w:rsidR="00B87F8D" w:rsidRPr="001441CA">
        <w:rPr>
          <w:rFonts w:ascii="Arial" w:hAnsi="Arial" w:cs="Arial"/>
          <w:sz w:val="22"/>
          <w:szCs w:val="22"/>
        </w:rPr>
        <w:t xml:space="preserve">Participant observation allows for the research to be conducted through </w:t>
      </w:r>
      <w:r w:rsidR="006A4B7C" w:rsidRPr="001441CA">
        <w:rPr>
          <w:rFonts w:ascii="Arial" w:hAnsi="Arial" w:cs="Arial"/>
          <w:sz w:val="22"/>
          <w:szCs w:val="22"/>
        </w:rPr>
        <w:t xml:space="preserve">real-life situations. Observations allow for a quick form of data collection over </w:t>
      </w:r>
      <w:r w:rsidR="007361BD" w:rsidRPr="001441CA">
        <w:rPr>
          <w:rFonts w:ascii="Arial" w:hAnsi="Arial" w:cs="Arial"/>
          <w:sz w:val="22"/>
          <w:szCs w:val="22"/>
        </w:rPr>
        <w:t>a period</w:t>
      </w:r>
      <w:r w:rsidR="006A4B7C" w:rsidRPr="001441CA">
        <w:rPr>
          <w:rFonts w:ascii="Arial" w:hAnsi="Arial" w:cs="Arial"/>
          <w:sz w:val="22"/>
          <w:szCs w:val="22"/>
        </w:rPr>
        <w:t xml:space="preserve"> set by the researcher</w:t>
      </w:r>
      <w:r w:rsidR="00B60D6D" w:rsidRPr="001441CA">
        <w:rPr>
          <w:rFonts w:ascii="Arial" w:hAnsi="Arial" w:cs="Arial"/>
          <w:sz w:val="22"/>
          <w:szCs w:val="22"/>
        </w:rPr>
        <w:t xml:space="preserve"> (Warwick et al, 2016; Cohen et al, 2013</w:t>
      </w:r>
      <w:r w:rsidR="00084FF5" w:rsidRPr="001441CA">
        <w:rPr>
          <w:rFonts w:ascii="Arial" w:hAnsi="Arial" w:cs="Arial"/>
          <w:sz w:val="22"/>
          <w:szCs w:val="22"/>
        </w:rPr>
        <w:t>; Lambert, 2019)</w:t>
      </w:r>
      <w:r w:rsidR="006A4B7C" w:rsidRPr="001441CA">
        <w:rPr>
          <w:rFonts w:ascii="Arial" w:hAnsi="Arial" w:cs="Arial"/>
          <w:sz w:val="22"/>
          <w:szCs w:val="22"/>
        </w:rPr>
        <w:t xml:space="preserve">. </w:t>
      </w:r>
      <w:r w:rsidR="00A449D6" w:rsidRPr="001441CA">
        <w:rPr>
          <w:rFonts w:ascii="Arial" w:hAnsi="Arial" w:cs="Arial"/>
          <w:sz w:val="22"/>
          <w:szCs w:val="22"/>
        </w:rPr>
        <w:t xml:space="preserve">The specific observation that the study used was overt observation where the participants were </w:t>
      </w:r>
      <w:r w:rsidR="003C487D" w:rsidRPr="001441CA">
        <w:rPr>
          <w:rFonts w:ascii="Arial" w:hAnsi="Arial" w:cs="Arial"/>
          <w:sz w:val="22"/>
          <w:szCs w:val="22"/>
        </w:rPr>
        <w:t xml:space="preserve">made </w:t>
      </w:r>
      <w:r w:rsidR="00A449D6" w:rsidRPr="001441CA">
        <w:rPr>
          <w:rFonts w:ascii="Arial" w:hAnsi="Arial" w:cs="Arial"/>
          <w:sz w:val="22"/>
          <w:szCs w:val="22"/>
        </w:rPr>
        <w:t>aware of the observation taking place (</w:t>
      </w:r>
      <w:proofErr w:type="spellStart"/>
      <w:r w:rsidR="00A449D6" w:rsidRPr="001441CA">
        <w:rPr>
          <w:rFonts w:ascii="Arial" w:hAnsi="Arial" w:cs="Arial"/>
          <w:sz w:val="22"/>
          <w:szCs w:val="22"/>
        </w:rPr>
        <w:t>Kawulich</w:t>
      </w:r>
      <w:proofErr w:type="spellEnd"/>
      <w:r w:rsidR="00A449D6" w:rsidRPr="001441CA">
        <w:rPr>
          <w:rFonts w:ascii="Arial" w:hAnsi="Arial" w:cs="Arial"/>
          <w:sz w:val="22"/>
          <w:szCs w:val="22"/>
        </w:rPr>
        <w:t xml:space="preserve">, 2012). </w:t>
      </w:r>
      <w:r w:rsidR="006A4B7C" w:rsidRPr="001441CA">
        <w:rPr>
          <w:rFonts w:ascii="Arial" w:hAnsi="Arial" w:cs="Arial"/>
          <w:sz w:val="22"/>
          <w:szCs w:val="22"/>
        </w:rPr>
        <w:t xml:space="preserve">The method of observation, despite the popularity, </w:t>
      </w:r>
      <w:r w:rsidR="003C487D" w:rsidRPr="001441CA">
        <w:rPr>
          <w:rFonts w:ascii="Arial" w:hAnsi="Arial" w:cs="Arial"/>
          <w:sz w:val="22"/>
          <w:szCs w:val="22"/>
        </w:rPr>
        <w:t>provides a</w:t>
      </w:r>
      <w:r w:rsidR="006A4B7C" w:rsidRPr="001441CA">
        <w:rPr>
          <w:rFonts w:ascii="Arial" w:hAnsi="Arial" w:cs="Arial"/>
          <w:sz w:val="22"/>
          <w:szCs w:val="22"/>
        </w:rPr>
        <w:t xml:space="preserve"> limitation of researcher bias</w:t>
      </w:r>
      <w:r w:rsidR="003C487D" w:rsidRPr="001441CA">
        <w:rPr>
          <w:rFonts w:ascii="Arial" w:hAnsi="Arial" w:cs="Arial"/>
          <w:sz w:val="22"/>
          <w:szCs w:val="22"/>
        </w:rPr>
        <w:t>,</w:t>
      </w:r>
      <w:r w:rsidR="006A4B7C" w:rsidRPr="001441CA">
        <w:rPr>
          <w:rFonts w:ascii="Arial" w:hAnsi="Arial" w:cs="Arial"/>
          <w:sz w:val="22"/>
          <w:szCs w:val="22"/>
        </w:rPr>
        <w:t xml:space="preserve"> as discussed above. </w:t>
      </w:r>
    </w:p>
    <w:p w14:paraId="7EB1EB2B" w14:textId="77777777" w:rsidR="00024C80" w:rsidRPr="001441CA" w:rsidRDefault="00024C80" w:rsidP="00920AE0">
      <w:pPr>
        <w:spacing w:line="360" w:lineRule="auto"/>
        <w:rPr>
          <w:rFonts w:ascii="Arial" w:hAnsi="Arial" w:cs="Arial"/>
          <w:sz w:val="22"/>
          <w:szCs w:val="22"/>
        </w:rPr>
      </w:pPr>
    </w:p>
    <w:p w14:paraId="2352CBBF" w14:textId="057641D5" w:rsidR="002A4F65" w:rsidRPr="001441CA" w:rsidRDefault="006A4B7C" w:rsidP="00920AE0">
      <w:pPr>
        <w:spacing w:line="360" w:lineRule="auto"/>
        <w:rPr>
          <w:rFonts w:ascii="Arial" w:hAnsi="Arial" w:cs="Arial"/>
          <w:sz w:val="22"/>
          <w:szCs w:val="22"/>
        </w:rPr>
      </w:pPr>
      <w:r w:rsidRPr="001441CA">
        <w:rPr>
          <w:rFonts w:ascii="Arial" w:hAnsi="Arial" w:cs="Arial"/>
          <w:sz w:val="22"/>
          <w:szCs w:val="22"/>
        </w:rPr>
        <w:t xml:space="preserve">The reliability of the data collected </w:t>
      </w:r>
      <w:r w:rsidR="007361BD" w:rsidRPr="001441CA">
        <w:rPr>
          <w:rFonts w:ascii="Arial" w:hAnsi="Arial" w:cs="Arial"/>
          <w:sz w:val="22"/>
          <w:szCs w:val="22"/>
        </w:rPr>
        <w:t>must</w:t>
      </w:r>
      <w:r w:rsidR="003C487D" w:rsidRPr="001441CA">
        <w:rPr>
          <w:rFonts w:ascii="Arial" w:hAnsi="Arial" w:cs="Arial"/>
          <w:sz w:val="22"/>
          <w:szCs w:val="22"/>
        </w:rPr>
        <w:t xml:space="preserve"> be questioned </w:t>
      </w:r>
      <w:r w:rsidRPr="001441CA">
        <w:rPr>
          <w:rFonts w:ascii="Arial" w:hAnsi="Arial" w:cs="Arial"/>
          <w:sz w:val="22"/>
          <w:szCs w:val="22"/>
        </w:rPr>
        <w:t xml:space="preserve">due to the difficulty of the researcher observing </w:t>
      </w:r>
      <w:r w:rsidR="000D7BBE" w:rsidRPr="001441CA">
        <w:rPr>
          <w:rFonts w:ascii="Arial" w:hAnsi="Arial" w:cs="Arial"/>
          <w:sz w:val="22"/>
          <w:szCs w:val="22"/>
        </w:rPr>
        <w:t>all</w:t>
      </w:r>
      <w:r w:rsidRPr="001441CA">
        <w:rPr>
          <w:rFonts w:ascii="Arial" w:hAnsi="Arial" w:cs="Arial"/>
          <w:sz w:val="22"/>
          <w:szCs w:val="22"/>
        </w:rPr>
        <w:t xml:space="preserve"> the behaviour</w:t>
      </w:r>
      <w:r w:rsidR="003C487D" w:rsidRPr="001441CA">
        <w:rPr>
          <w:rFonts w:ascii="Arial" w:hAnsi="Arial" w:cs="Arial"/>
          <w:sz w:val="22"/>
          <w:szCs w:val="22"/>
        </w:rPr>
        <w:t xml:space="preserve"> </w:t>
      </w:r>
      <w:r w:rsidRPr="001441CA">
        <w:rPr>
          <w:rFonts w:ascii="Arial" w:hAnsi="Arial" w:cs="Arial"/>
          <w:sz w:val="22"/>
          <w:szCs w:val="22"/>
        </w:rPr>
        <w:t>set out in the observation schedule</w:t>
      </w:r>
      <w:r w:rsidR="003C487D" w:rsidRPr="001441CA">
        <w:rPr>
          <w:rFonts w:ascii="Arial" w:hAnsi="Arial" w:cs="Arial"/>
          <w:sz w:val="22"/>
          <w:szCs w:val="22"/>
        </w:rPr>
        <w:t>,</w:t>
      </w:r>
      <w:r w:rsidR="008901C7" w:rsidRPr="001441CA">
        <w:rPr>
          <w:rFonts w:ascii="Arial" w:hAnsi="Arial" w:cs="Arial"/>
          <w:sz w:val="22"/>
          <w:szCs w:val="22"/>
        </w:rPr>
        <w:t xml:space="preserve"> </w:t>
      </w:r>
      <w:r w:rsidR="00945CD3" w:rsidRPr="001441CA">
        <w:rPr>
          <w:rFonts w:ascii="Arial" w:hAnsi="Arial" w:cs="Arial"/>
          <w:sz w:val="22"/>
          <w:szCs w:val="22"/>
        </w:rPr>
        <w:t xml:space="preserve">thus </w:t>
      </w:r>
      <w:r w:rsidR="008901C7" w:rsidRPr="001441CA">
        <w:rPr>
          <w:rFonts w:ascii="Arial" w:hAnsi="Arial" w:cs="Arial"/>
          <w:sz w:val="22"/>
          <w:szCs w:val="22"/>
        </w:rPr>
        <w:t xml:space="preserve">questioning the </w:t>
      </w:r>
      <w:r w:rsidR="00D64C06" w:rsidRPr="001441CA">
        <w:rPr>
          <w:rFonts w:ascii="Arial" w:hAnsi="Arial" w:cs="Arial"/>
          <w:sz w:val="22"/>
          <w:szCs w:val="22"/>
        </w:rPr>
        <w:t>ability to transfer the data obtained to other situations</w:t>
      </w:r>
      <w:r w:rsidR="003C487D" w:rsidRPr="001441CA">
        <w:rPr>
          <w:rFonts w:ascii="Arial" w:hAnsi="Arial" w:cs="Arial"/>
          <w:sz w:val="22"/>
          <w:szCs w:val="22"/>
        </w:rPr>
        <w:t xml:space="preserve"> (</w:t>
      </w:r>
      <w:r w:rsidR="002A4F65" w:rsidRPr="001441CA">
        <w:rPr>
          <w:rFonts w:ascii="Arial" w:hAnsi="Arial" w:cs="Arial"/>
          <w:sz w:val="22"/>
          <w:szCs w:val="22"/>
        </w:rPr>
        <w:t>Treanor, 2010)</w:t>
      </w:r>
      <w:r w:rsidRPr="001441CA">
        <w:rPr>
          <w:rFonts w:ascii="Arial" w:hAnsi="Arial" w:cs="Arial"/>
          <w:sz w:val="22"/>
          <w:szCs w:val="22"/>
        </w:rPr>
        <w:t>. As seen in appendix</w:t>
      </w:r>
      <w:r w:rsidR="002C44E1">
        <w:rPr>
          <w:rFonts w:ascii="Arial" w:hAnsi="Arial" w:cs="Arial"/>
          <w:sz w:val="22"/>
          <w:szCs w:val="22"/>
        </w:rPr>
        <w:t xml:space="preserve"> B</w:t>
      </w:r>
      <w:r w:rsidRPr="001441CA">
        <w:rPr>
          <w:rFonts w:ascii="Arial" w:hAnsi="Arial" w:cs="Arial"/>
          <w:sz w:val="22"/>
          <w:szCs w:val="22"/>
        </w:rPr>
        <w:t xml:space="preserve">, the observation schedule used within this study had </w:t>
      </w:r>
      <w:r w:rsidR="00D27280" w:rsidRPr="001441CA">
        <w:rPr>
          <w:rFonts w:ascii="Arial" w:hAnsi="Arial" w:cs="Arial"/>
          <w:sz w:val="22"/>
          <w:szCs w:val="22"/>
        </w:rPr>
        <w:t xml:space="preserve">three participants being observed through </w:t>
      </w:r>
      <w:r w:rsidRPr="001441CA">
        <w:rPr>
          <w:rFonts w:ascii="Arial" w:hAnsi="Arial" w:cs="Arial"/>
          <w:sz w:val="22"/>
          <w:szCs w:val="22"/>
        </w:rPr>
        <w:t>eight different behaviours</w:t>
      </w:r>
      <w:r w:rsidR="00D27280" w:rsidRPr="001441CA">
        <w:rPr>
          <w:rFonts w:ascii="Arial" w:hAnsi="Arial" w:cs="Arial"/>
          <w:sz w:val="22"/>
          <w:szCs w:val="22"/>
        </w:rPr>
        <w:t xml:space="preserve">, four positive behaviours and four </w:t>
      </w:r>
      <w:r w:rsidR="00E14958" w:rsidRPr="001441CA">
        <w:rPr>
          <w:rFonts w:ascii="Arial" w:hAnsi="Arial" w:cs="Arial"/>
          <w:sz w:val="22"/>
          <w:szCs w:val="22"/>
        </w:rPr>
        <w:t>negatives</w:t>
      </w:r>
      <w:r w:rsidR="00D27280" w:rsidRPr="001441CA">
        <w:rPr>
          <w:rFonts w:ascii="Arial" w:hAnsi="Arial" w:cs="Arial"/>
          <w:sz w:val="22"/>
          <w:szCs w:val="22"/>
        </w:rPr>
        <w:t>.</w:t>
      </w:r>
      <w:r w:rsidR="00E14958" w:rsidRPr="001441CA">
        <w:rPr>
          <w:rFonts w:ascii="Arial" w:hAnsi="Arial" w:cs="Arial"/>
          <w:sz w:val="22"/>
          <w:szCs w:val="22"/>
        </w:rPr>
        <w:t xml:space="preserve"> The age of the participants</w:t>
      </w:r>
      <w:r w:rsidR="00936E45" w:rsidRPr="001441CA">
        <w:rPr>
          <w:rFonts w:ascii="Arial" w:hAnsi="Arial" w:cs="Arial"/>
          <w:sz w:val="22"/>
          <w:szCs w:val="22"/>
        </w:rPr>
        <w:t xml:space="preserve"> could impact the observation as they are young and therefore could show negative behaviours through curiosity as well as the attainment gap could result in the participants displaying negative behaviours due to having a lack of understanding on the topic of study. </w:t>
      </w:r>
      <w:r w:rsidR="00D27280" w:rsidRPr="001441CA">
        <w:rPr>
          <w:rFonts w:ascii="Arial" w:hAnsi="Arial" w:cs="Arial"/>
          <w:sz w:val="22"/>
          <w:szCs w:val="22"/>
        </w:rPr>
        <w:t xml:space="preserve"> </w:t>
      </w:r>
    </w:p>
    <w:p w14:paraId="6F61F8BE" w14:textId="77777777" w:rsidR="002A4F65" w:rsidRPr="001441CA" w:rsidRDefault="002A4F65" w:rsidP="00920AE0">
      <w:pPr>
        <w:spacing w:line="360" w:lineRule="auto"/>
        <w:rPr>
          <w:rFonts w:ascii="Arial" w:hAnsi="Arial" w:cs="Arial"/>
          <w:sz w:val="22"/>
          <w:szCs w:val="22"/>
        </w:rPr>
      </w:pPr>
    </w:p>
    <w:p w14:paraId="1A904F0E" w14:textId="0A20198F" w:rsidR="002A4F65" w:rsidRPr="001441CA" w:rsidRDefault="002A4F65" w:rsidP="00920AE0">
      <w:pPr>
        <w:spacing w:line="360" w:lineRule="auto"/>
        <w:rPr>
          <w:rFonts w:ascii="Arial" w:hAnsi="Arial" w:cs="Arial"/>
          <w:sz w:val="22"/>
          <w:szCs w:val="22"/>
        </w:rPr>
      </w:pPr>
      <w:r w:rsidRPr="001441CA">
        <w:rPr>
          <w:rFonts w:ascii="Arial" w:hAnsi="Arial" w:cs="Arial"/>
          <w:sz w:val="22"/>
          <w:szCs w:val="22"/>
        </w:rPr>
        <w:lastRenderedPageBreak/>
        <w:t xml:space="preserve">Observations continue to be a conventional form of conducting research within education due to its easy nature to conduct. Despite the </w:t>
      </w:r>
      <w:r w:rsidR="008901C7" w:rsidRPr="001441CA">
        <w:rPr>
          <w:rFonts w:ascii="Arial" w:hAnsi="Arial" w:cs="Arial"/>
          <w:sz w:val="22"/>
          <w:szCs w:val="22"/>
        </w:rPr>
        <w:t xml:space="preserve">limitations that </w:t>
      </w:r>
      <w:r w:rsidRPr="001441CA">
        <w:rPr>
          <w:rFonts w:ascii="Arial" w:hAnsi="Arial" w:cs="Arial"/>
          <w:sz w:val="22"/>
          <w:szCs w:val="22"/>
        </w:rPr>
        <w:t>observations pose</w:t>
      </w:r>
      <w:r w:rsidR="008901C7" w:rsidRPr="001441CA">
        <w:rPr>
          <w:rFonts w:ascii="Arial" w:hAnsi="Arial" w:cs="Arial"/>
          <w:sz w:val="22"/>
          <w:szCs w:val="22"/>
        </w:rPr>
        <w:t>,</w:t>
      </w:r>
      <w:r w:rsidRPr="001441CA">
        <w:rPr>
          <w:rFonts w:ascii="Arial" w:hAnsi="Arial" w:cs="Arial"/>
          <w:sz w:val="22"/>
          <w:szCs w:val="22"/>
        </w:rPr>
        <w:t xml:space="preserve"> </w:t>
      </w:r>
      <w:r w:rsidR="008901C7" w:rsidRPr="001441CA">
        <w:rPr>
          <w:rFonts w:ascii="Arial" w:hAnsi="Arial" w:cs="Arial"/>
          <w:sz w:val="22"/>
          <w:szCs w:val="22"/>
        </w:rPr>
        <w:t>such as creating an artificial environment where the participants increasingly become aware of the observation and act in a desired manor that they believe the researcher is looking for, observations provide quantitative date allowing the data to be statistically analysed if necessary. Furthermore, by having an observation schedule allows for accurate observations to occur and for precise replication (</w:t>
      </w:r>
      <w:r w:rsidR="00107DBA" w:rsidRPr="001441CA">
        <w:rPr>
          <w:rFonts w:ascii="Arial" w:hAnsi="Arial" w:cs="Arial"/>
          <w:sz w:val="22"/>
          <w:szCs w:val="22"/>
        </w:rPr>
        <w:t>Denzin</w:t>
      </w:r>
      <w:r w:rsidR="008901C7" w:rsidRPr="001441CA">
        <w:rPr>
          <w:rFonts w:ascii="Arial" w:hAnsi="Arial" w:cs="Arial"/>
          <w:sz w:val="22"/>
          <w:szCs w:val="22"/>
        </w:rPr>
        <w:t xml:space="preserve"> et al, 2011; Treanor, 2010</w:t>
      </w:r>
      <w:r w:rsidR="00107DBA" w:rsidRPr="001441CA">
        <w:rPr>
          <w:rFonts w:ascii="Arial" w:hAnsi="Arial" w:cs="Arial"/>
          <w:sz w:val="22"/>
          <w:szCs w:val="22"/>
        </w:rPr>
        <w:t>; Nightingale, 2008</w:t>
      </w:r>
      <w:r w:rsidR="008901C7" w:rsidRPr="001441CA">
        <w:rPr>
          <w:rFonts w:ascii="Arial" w:hAnsi="Arial" w:cs="Arial"/>
          <w:sz w:val="22"/>
          <w:szCs w:val="22"/>
        </w:rPr>
        <w:t xml:space="preserve">). </w:t>
      </w:r>
      <w:r w:rsidR="00757810" w:rsidRPr="001441CA">
        <w:rPr>
          <w:rFonts w:ascii="Arial" w:hAnsi="Arial" w:cs="Arial"/>
          <w:sz w:val="22"/>
          <w:szCs w:val="22"/>
        </w:rPr>
        <w:t>However, t</w:t>
      </w:r>
      <w:r w:rsidR="00870EA7" w:rsidRPr="001441CA">
        <w:rPr>
          <w:rFonts w:ascii="Arial" w:hAnsi="Arial" w:cs="Arial"/>
          <w:sz w:val="22"/>
          <w:szCs w:val="22"/>
        </w:rPr>
        <w:t>his form of method</w:t>
      </w:r>
      <w:r w:rsidR="00757810" w:rsidRPr="001441CA">
        <w:rPr>
          <w:rFonts w:ascii="Arial" w:hAnsi="Arial" w:cs="Arial"/>
          <w:sz w:val="22"/>
          <w:szCs w:val="22"/>
        </w:rPr>
        <w:t xml:space="preserve"> </w:t>
      </w:r>
      <w:r w:rsidR="00870EA7" w:rsidRPr="001441CA">
        <w:rPr>
          <w:rFonts w:ascii="Arial" w:hAnsi="Arial" w:cs="Arial"/>
          <w:sz w:val="22"/>
          <w:szCs w:val="22"/>
        </w:rPr>
        <w:t xml:space="preserve">within this research provides the optimal context to collect the data </w:t>
      </w:r>
      <w:r w:rsidR="00757810" w:rsidRPr="001441CA">
        <w:rPr>
          <w:rFonts w:ascii="Arial" w:hAnsi="Arial" w:cs="Arial"/>
          <w:sz w:val="22"/>
          <w:szCs w:val="22"/>
        </w:rPr>
        <w:t xml:space="preserve">needed. </w:t>
      </w:r>
      <w:r w:rsidR="00870EA7" w:rsidRPr="001441CA">
        <w:rPr>
          <w:rFonts w:ascii="Arial" w:hAnsi="Arial" w:cs="Arial"/>
          <w:sz w:val="22"/>
          <w:szCs w:val="22"/>
        </w:rPr>
        <w:t xml:space="preserve">The limitations of this research method have been considered while creating the observation schedule to limit the bias and maintain the reliability of the data. </w:t>
      </w:r>
    </w:p>
    <w:p w14:paraId="76C6D06F" w14:textId="77777777" w:rsidR="00C90E9A" w:rsidRPr="001441CA" w:rsidRDefault="00C90E9A" w:rsidP="003F7E5C">
      <w:pPr>
        <w:spacing w:line="360" w:lineRule="auto"/>
        <w:rPr>
          <w:rFonts w:ascii="Arial" w:hAnsi="Arial" w:cs="Arial"/>
          <w:sz w:val="22"/>
          <w:szCs w:val="22"/>
        </w:rPr>
      </w:pPr>
    </w:p>
    <w:p w14:paraId="541B0678" w14:textId="0C894925" w:rsidR="00A84F34" w:rsidRPr="001441CA" w:rsidRDefault="003F7E5C" w:rsidP="003F7E5C">
      <w:pPr>
        <w:spacing w:line="360" w:lineRule="auto"/>
        <w:rPr>
          <w:rFonts w:ascii="Arial" w:hAnsi="Arial" w:cs="Arial"/>
          <w:sz w:val="22"/>
          <w:szCs w:val="22"/>
        </w:rPr>
      </w:pPr>
      <w:r w:rsidRPr="001441CA">
        <w:rPr>
          <w:rFonts w:ascii="Arial" w:hAnsi="Arial" w:cs="Arial"/>
          <w:sz w:val="22"/>
          <w:szCs w:val="22"/>
        </w:rPr>
        <w:t xml:space="preserve">Another method used within the research was a questionnaire. Only five pupils were chosen to complete the questionnaire. These participants were also chosen randomly using the same online randomiser. If they had been previously chosen to be an observation participant this resulted in them still being used for the questionnaire research to adhere to the randomiser and limit researcher bias. </w:t>
      </w:r>
      <w:r w:rsidR="00DB5C65" w:rsidRPr="001441CA">
        <w:rPr>
          <w:rFonts w:ascii="Arial" w:hAnsi="Arial" w:cs="Arial"/>
          <w:sz w:val="22"/>
          <w:szCs w:val="22"/>
        </w:rPr>
        <w:t xml:space="preserve">The questionnaire used had 5 open and closed questions to obtain both qualitative and quantitative data. </w:t>
      </w:r>
      <w:r w:rsidR="00A84F34" w:rsidRPr="001441CA">
        <w:rPr>
          <w:rFonts w:ascii="Arial" w:hAnsi="Arial" w:cs="Arial"/>
          <w:sz w:val="22"/>
          <w:szCs w:val="22"/>
        </w:rPr>
        <w:t xml:space="preserve">Open </w:t>
      </w:r>
      <w:r w:rsidR="00EA4C21" w:rsidRPr="001441CA">
        <w:rPr>
          <w:rFonts w:ascii="Arial" w:hAnsi="Arial" w:cs="Arial"/>
          <w:sz w:val="22"/>
          <w:szCs w:val="22"/>
        </w:rPr>
        <w:t xml:space="preserve">ended </w:t>
      </w:r>
      <w:r w:rsidR="00A84F34" w:rsidRPr="001441CA">
        <w:rPr>
          <w:rFonts w:ascii="Arial" w:hAnsi="Arial" w:cs="Arial"/>
          <w:sz w:val="22"/>
          <w:szCs w:val="22"/>
        </w:rPr>
        <w:t>questions allow the answer to be an opinion and for the participant to give their view on the question asked rather than a yes or no question. Whereas a closed question only requires a yes or no answer and no opportunity to expand on their answer (Farrell, 2016; Worley</w:t>
      </w:r>
      <w:r w:rsidR="00612C5B" w:rsidRPr="001441CA">
        <w:rPr>
          <w:rFonts w:ascii="Arial" w:hAnsi="Arial" w:cs="Arial"/>
          <w:sz w:val="22"/>
          <w:szCs w:val="22"/>
        </w:rPr>
        <w:t>, 2015</w:t>
      </w:r>
      <w:r w:rsidR="00A84F34" w:rsidRPr="001441CA">
        <w:rPr>
          <w:rFonts w:ascii="Arial" w:hAnsi="Arial" w:cs="Arial"/>
          <w:sz w:val="22"/>
          <w:szCs w:val="22"/>
        </w:rPr>
        <w:t xml:space="preserve">). </w:t>
      </w:r>
    </w:p>
    <w:p w14:paraId="1A171B42" w14:textId="77777777" w:rsidR="00A84F34" w:rsidRPr="001441CA" w:rsidRDefault="00A84F34" w:rsidP="003F7E5C">
      <w:pPr>
        <w:spacing w:line="360" w:lineRule="auto"/>
        <w:rPr>
          <w:rFonts w:ascii="Arial" w:hAnsi="Arial" w:cs="Arial"/>
          <w:sz w:val="22"/>
          <w:szCs w:val="22"/>
        </w:rPr>
      </w:pPr>
    </w:p>
    <w:p w14:paraId="240A0274" w14:textId="77777777" w:rsidR="007A0586" w:rsidRPr="001441CA" w:rsidRDefault="00DB5C65" w:rsidP="003F7E5C">
      <w:pPr>
        <w:spacing w:line="360" w:lineRule="auto"/>
        <w:rPr>
          <w:rFonts w:ascii="Arial" w:hAnsi="Arial" w:cs="Arial"/>
          <w:sz w:val="22"/>
          <w:szCs w:val="22"/>
        </w:rPr>
      </w:pPr>
      <w:r w:rsidRPr="001441CA">
        <w:rPr>
          <w:rFonts w:ascii="Arial" w:hAnsi="Arial" w:cs="Arial"/>
          <w:sz w:val="22"/>
          <w:szCs w:val="22"/>
        </w:rPr>
        <w:t>Questionnaires are another popular method within research providing a range of data. Although this method provides a quick form of gathering data similarly to observations, questionnaires are an optional form of research. The participants may answer the questions quickly to finish the questionnaire</w:t>
      </w:r>
      <w:r w:rsidR="00C77B59" w:rsidRPr="001441CA">
        <w:rPr>
          <w:rFonts w:ascii="Arial" w:hAnsi="Arial" w:cs="Arial"/>
          <w:sz w:val="22"/>
          <w:szCs w:val="22"/>
        </w:rPr>
        <w:t>,</w:t>
      </w:r>
      <w:r w:rsidRPr="001441CA">
        <w:rPr>
          <w:rFonts w:ascii="Arial" w:hAnsi="Arial" w:cs="Arial"/>
          <w:sz w:val="22"/>
          <w:szCs w:val="22"/>
        </w:rPr>
        <w:t xml:space="preserve"> as well as providing untruthful </w:t>
      </w:r>
      <w:r w:rsidR="00C77B59" w:rsidRPr="001441CA">
        <w:rPr>
          <w:rFonts w:ascii="Arial" w:hAnsi="Arial" w:cs="Arial"/>
          <w:sz w:val="22"/>
          <w:szCs w:val="22"/>
        </w:rPr>
        <w:t xml:space="preserve">answers </w:t>
      </w:r>
      <w:r w:rsidRPr="001441CA">
        <w:rPr>
          <w:rFonts w:ascii="Arial" w:hAnsi="Arial" w:cs="Arial"/>
          <w:sz w:val="22"/>
          <w:szCs w:val="22"/>
        </w:rPr>
        <w:t>affecting the validity of the data</w:t>
      </w:r>
      <w:r w:rsidR="00C77B59" w:rsidRPr="001441CA">
        <w:rPr>
          <w:rFonts w:ascii="Arial" w:hAnsi="Arial" w:cs="Arial"/>
          <w:sz w:val="22"/>
          <w:szCs w:val="22"/>
        </w:rPr>
        <w:t>. T</w:t>
      </w:r>
      <w:r w:rsidRPr="001441CA">
        <w:rPr>
          <w:rFonts w:ascii="Arial" w:hAnsi="Arial" w:cs="Arial"/>
          <w:sz w:val="22"/>
          <w:szCs w:val="22"/>
        </w:rPr>
        <w:t>he answers given may be completed with the researcher in mind giving opinions</w:t>
      </w:r>
      <w:r w:rsidR="00C77B59" w:rsidRPr="001441CA">
        <w:rPr>
          <w:rFonts w:ascii="Arial" w:hAnsi="Arial" w:cs="Arial"/>
          <w:sz w:val="22"/>
          <w:szCs w:val="22"/>
        </w:rPr>
        <w:t xml:space="preserve"> that</w:t>
      </w:r>
      <w:r w:rsidRPr="001441CA">
        <w:rPr>
          <w:rFonts w:ascii="Arial" w:hAnsi="Arial" w:cs="Arial"/>
          <w:sz w:val="22"/>
          <w:szCs w:val="22"/>
        </w:rPr>
        <w:t xml:space="preserve"> the participants believe the researcher wants</w:t>
      </w:r>
      <w:r w:rsidR="006F0127" w:rsidRPr="001441CA">
        <w:rPr>
          <w:rFonts w:ascii="Arial" w:hAnsi="Arial" w:cs="Arial"/>
          <w:sz w:val="22"/>
          <w:szCs w:val="22"/>
        </w:rPr>
        <w:t xml:space="preserve"> (</w:t>
      </w:r>
      <w:proofErr w:type="spellStart"/>
      <w:r w:rsidR="006F0127" w:rsidRPr="001441CA">
        <w:rPr>
          <w:rFonts w:ascii="Arial" w:hAnsi="Arial" w:cs="Arial"/>
          <w:sz w:val="22"/>
          <w:szCs w:val="22"/>
        </w:rPr>
        <w:t>Akbayrak</w:t>
      </w:r>
      <w:proofErr w:type="spellEnd"/>
      <w:r w:rsidR="006F0127" w:rsidRPr="001441CA">
        <w:rPr>
          <w:rFonts w:ascii="Arial" w:hAnsi="Arial" w:cs="Arial"/>
          <w:sz w:val="22"/>
          <w:szCs w:val="22"/>
        </w:rPr>
        <w:t xml:space="preserve">, 2000; </w:t>
      </w:r>
      <w:proofErr w:type="spellStart"/>
      <w:r w:rsidR="006F0127" w:rsidRPr="001441CA">
        <w:rPr>
          <w:rFonts w:ascii="Arial" w:hAnsi="Arial" w:cs="Arial"/>
          <w:sz w:val="22"/>
          <w:szCs w:val="22"/>
        </w:rPr>
        <w:t>Dalati</w:t>
      </w:r>
      <w:proofErr w:type="spellEnd"/>
      <w:r w:rsidR="006F0127" w:rsidRPr="001441CA">
        <w:rPr>
          <w:rFonts w:ascii="Arial" w:hAnsi="Arial" w:cs="Arial"/>
          <w:sz w:val="22"/>
          <w:szCs w:val="22"/>
        </w:rPr>
        <w:t xml:space="preserve"> et al, 2018)</w:t>
      </w:r>
      <w:r w:rsidRPr="001441CA">
        <w:rPr>
          <w:rFonts w:ascii="Arial" w:hAnsi="Arial" w:cs="Arial"/>
          <w:sz w:val="22"/>
          <w:szCs w:val="22"/>
        </w:rPr>
        <w:t xml:space="preserve">. </w:t>
      </w:r>
      <w:r w:rsidR="00925064" w:rsidRPr="001441CA">
        <w:rPr>
          <w:rFonts w:ascii="Arial" w:hAnsi="Arial" w:cs="Arial"/>
          <w:sz w:val="22"/>
          <w:szCs w:val="22"/>
        </w:rPr>
        <w:t xml:space="preserve">In addition, questionnaires allow for a cheaper way to gather data effectively </w:t>
      </w:r>
      <w:r w:rsidR="00823A13" w:rsidRPr="001441CA">
        <w:rPr>
          <w:rFonts w:ascii="Arial" w:hAnsi="Arial" w:cs="Arial"/>
          <w:sz w:val="22"/>
          <w:szCs w:val="22"/>
        </w:rPr>
        <w:t xml:space="preserve">as well as allowing the participant to have flexibility in completing the questionnaire (Williamson, 2013). There are various ways to present a questionnaire, online using a website such as Microsoft forms which strengthens the argument that questionnaires are easy to distribute to a wide range of participants if required. </w:t>
      </w:r>
    </w:p>
    <w:p w14:paraId="1D17C8F2" w14:textId="77777777" w:rsidR="007A0586" w:rsidRPr="001441CA" w:rsidRDefault="007A0586" w:rsidP="003F7E5C">
      <w:pPr>
        <w:spacing w:line="360" w:lineRule="auto"/>
        <w:rPr>
          <w:rFonts w:ascii="Arial" w:hAnsi="Arial" w:cs="Arial"/>
          <w:sz w:val="22"/>
          <w:szCs w:val="22"/>
        </w:rPr>
      </w:pPr>
    </w:p>
    <w:p w14:paraId="60E39C12" w14:textId="41C73749" w:rsidR="00823A13" w:rsidRPr="001441CA" w:rsidRDefault="00823A13" w:rsidP="003F7E5C">
      <w:pPr>
        <w:spacing w:line="360" w:lineRule="auto"/>
        <w:rPr>
          <w:rFonts w:ascii="Arial" w:hAnsi="Arial" w:cs="Arial"/>
          <w:sz w:val="22"/>
          <w:szCs w:val="22"/>
        </w:rPr>
      </w:pPr>
      <w:r w:rsidRPr="001441CA">
        <w:rPr>
          <w:rFonts w:ascii="Arial" w:hAnsi="Arial" w:cs="Arial"/>
          <w:sz w:val="22"/>
          <w:szCs w:val="22"/>
        </w:rPr>
        <w:lastRenderedPageBreak/>
        <w:t>Questionnaires can also be presented through paper format which would provide an advantage to individuals who are not confident in using online resources</w:t>
      </w:r>
      <w:r w:rsidR="00466ADF" w:rsidRPr="001441CA">
        <w:rPr>
          <w:rFonts w:ascii="Arial" w:hAnsi="Arial" w:cs="Arial"/>
          <w:sz w:val="22"/>
          <w:szCs w:val="22"/>
        </w:rPr>
        <w:t xml:space="preserve"> (Prasanna, 2022). For this research, the questionnaire (see appendix </w:t>
      </w:r>
      <w:r w:rsidR="000D7BBE">
        <w:rPr>
          <w:rFonts w:ascii="Arial" w:hAnsi="Arial" w:cs="Arial"/>
          <w:sz w:val="22"/>
          <w:szCs w:val="22"/>
        </w:rPr>
        <w:t>B</w:t>
      </w:r>
      <w:r w:rsidR="00466ADF" w:rsidRPr="001441CA">
        <w:rPr>
          <w:rFonts w:ascii="Arial" w:hAnsi="Arial" w:cs="Arial"/>
          <w:sz w:val="22"/>
          <w:szCs w:val="22"/>
        </w:rPr>
        <w:t xml:space="preserve">) had been. Presented through a paper format. The limitations to questionnaires were considered when creating the questions as well as using a mixture of open and closed questions to provide a range of data. </w:t>
      </w:r>
    </w:p>
    <w:p w14:paraId="02C8BEB6" w14:textId="77777777" w:rsidR="004A6497" w:rsidRPr="001441CA" w:rsidRDefault="004A6497" w:rsidP="003F7E5C">
      <w:pPr>
        <w:spacing w:line="360" w:lineRule="auto"/>
        <w:rPr>
          <w:rFonts w:ascii="Arial" w:hAnsi="Arial" w:cs="Arial"/>
          <w:sz w:val="22"/>
          <w:szCs w:val="22"/>
        </w:rPr>
      </w:pPr>
    </w:p>
    <w:p w14:paraId="5992152A" w14:textId="794EB9C5" w:rsidR="00740B4B" w:rsidRPr="001441CA" w:rsidRDefault="003F7E5C" w:rsidP="007361BD">
      <w:pPr>
        <w:spacing w:line="360" w:lineRule="auto"/>
        <w:rPr>
          <w:rFonts w:ascii="Arial" w:hAnsi="Arial" w:cs="Arial"/>
          <w:sz w:val="22"/>
          <w:szCs w:val="22"/>
        </w:rPr>
      </w:pPr>
      <w:r w:rsidRPr="001441CA">
        <w:rPr>
          <w:rFonts w:ascii="Arial" w:hAnsi="Arial" w:cs="Arial"/>
          <w:sz w:val="22"/>
          <w:szCs w:val="22"/>
        </w:rPr>
        <w:t>A further method for the research that was used was researcher notes</w:t>
      </w:r>
      <w:r w:rsidR="002C44E1">
        <w:rPr>
          <w:rFonts w:ascii="Arial" w:hAnsi="Arial" w:cs="Arial"/>
          <w:sz w:val="22"/>
          <w:szCs w:val="22"/>
        </w:rPr>
        <w:t xml:space="preserve"> (see Appendix B)</w:t>
      </w:r>
      <w:r w:rsidRPr="001441CA">
        <w:rPr>
          <w:rFonts w:ascii="Arial" w:hAnsi="Arial" w:cs="Arial"/>
          <w:sz w:val="22"/>
          <w:szCs w:val="22"/>
        </w:rPr>
        <w:t xml:space="preserve">. </w:t>
      </w:r>
      <w:r w:rsidR="00EA4C21" w:rsidRPr="001441CA">
        <w:rPr>
          <w:rFonts w:ascii="Arial" w:hAnsi="Arial" w:cs="Arial"/>
          <w:sz w:val="22"/>
          <w:szCs w:val="22"/>
        </w:rPr>
        <w:t xml:space="preserve">These notes would provide a qualitative data. The notes would provide raw live data that the researcher has observed during the observations. However, the accuracy of field notes </w:t>
      </w:r>
      <w:r w:rsidR="007361BD" w:rsidRPr="001441CA">
        <w:rPr>
          <w:rFonts w:ascii="Arial" w:hAnsi="Arial" w:cs="Arial"/>
          <w:sz w:val="22"/>
          <w:szCs w:val="22"/>
        </w:rPr>
        <w:t>must</w:t>
      </w:r>
      <w:r w:rsidR="00EA4C21" w:rsidRPr="001441CA">
        <w:rPr>
          <w:rFonts w:ascii="Arial" w:hAnsi="Arial" w:cs="Arial"/>
          <w:sz w:val="22"/>
          <w:szCs w:val="22"/>
        </w:rPr>
        <w:t xml:space="preserve"> be questioned as some of the important notes might have been missed by the researcher (</w:t>
      </w:r>
      <w:proofErr w:type="spellStart"/>
      <w:r w:rsidR="00EA4C21" w:rsidRPr="001441CA">
        <w:rPr>
          <w:rFonts w:ascii="Arial" w:hAnsi="Arial" w:cs="Arial"/>
          <w:sz w:val="22"/>
          <w:szCs w:val="22"/>
        </w:rPr>
        <w:t>Tenzek</w:t>
      </w:r>
      <w:proofErr w:type="spellEnd"/>
      <w:r w:rsidR="00EA4C21" w:rsidRPr="001441CA">
        <w:rPr>
          <w:rFonts w:ascii="Arial" w:hAnsi="Arial" w:cs="Arial"/>
          <w:sz w:val="22"/>
          <w:szCs w:val="22"/>
        </w:rPr>
        <w:t>, 2023). Despite the accuracy being questioned, field notes are widely recommended within research as similarly. To observations it provides a quick form of gathering data (</w:t>
      </w:r>
      <w:proofErr w:type="spellStart"/>
      <w:r w:rsidR="00EA4C21" w:rsidRPr="001441CA">
        <w:rPr>
          <w:rFonts w:ascii="Arial" w:hAnsi="Arial" w:cs="Arial"/>
          <w:sz w:val="22"/>
          <w:szCs w:val="22"/>
        </w:rPr>
        <w:t>Phillippi</w:t>
      </w:r>
      <w:proofErr w:type="spellEnd"/>
      <w:r w:rsidR="00EA4C21" w:rsidRPr="001441CA">
        <w:rPr>
          <w:rFonts w:ascii="Arial" w:hAnsi="Arial" w:cs="Arial"/>
          <w:sz w:val="22"/>
          <w:szCs w:val="22"/>
        </w:rPr>
        <w:t xml:space="preserve"> et al, 2017). While collecting the data from the researcher notes, it has been considered that this may have been the case.</w:t>
      </w:r>
    </w:p>
    <w:p w14:paraId="46952B08" w14:textId="6B1899E2" w:rsidR="00E14958" w:rsidRPr="001441CA" w:rsidRDefault="00E14958" w:rsidP="00945277">
      <w:pPr>
        <w:spacing w:line="360" w:lineRule="auto"/>
        <w:rPr>
          <w:rFonts w:ascii="Arial" w:hAnsi="Arial" w:cs="Arial"/>
          <w:sz w:val="22"/>
          <w:szCs w:val="22"/>
        </w:rPr>
      </w:pPr>
    </w:p>
    <w:p w14:paraId="5368AAEC" w14:textId="125438AC" w:rsidR="00DC7524" w:rsidRPr="001441CA" w:rsidRDefault="0031502B" w:rsidP="00B96F6A">
      <w:pPr>
        <w:spacing w:line="360" w:lineRule="auto"/>
        <w:rPr>
          <w:rFonts w:ascii="Arial" w:hAnsi="Arial" w:cs="Arial"/>
          <w:sz w:val="22"/>
          <w:szCs w:val="22"/>
        </w:rPr>
      </w:pPr>
      <w:r w:rsidRPr="001441CA">
        <w:rPr>
          <w:rFonts w:ascii="Arial" w:hAnsi="Arial" w:cs="Arial"/>
          <w:sz w:val="22"/>
          <w:szCs w:val="22"/>
        </w:rPr>
        <w:t>Data analysis within research is considered an important aspect of the research process. Analysis is suggested to be a crucial part of any research where the data collected is summarised and interpreted to come to an overall conclusion. Data analysis allows the researcher to gather insights into the findings and to condense large data into a smaller group of data making the data easier to read and analyse (</w:t>
      </w:r>
      <w:r w:rsidR="00DB64BB" w:rsidRPr="001441CA">
        <w:rPr>
          <w:rFonts w:ascii="Arial" w:hAnsi="Arial" w:cs="Arial"/>
          <w:sz w:val="22"/>
          <w:szCs w:val="22"/>
        </w:rPr>
        <w:t xml:space="preserve">Kenny et al, 1998; Thorne, 2000; Humbles, 2020). </w:t>
      </w:r>
      <w:r w:rsidR="00A0635C" w:rsidRPr="001441CA">
        <w:rPr>
          <w:rFonts w:ascii="Arial" w:hAnsi="Arial" w:cs="Arial"/>
          <w:sz w:val="22"/>
          <w:szCs w:val="22"/>
        </w:rPr>
        <w:t>However, data analysis has also been criticised to be messy and a time-consuming process taking the researchers attention away from the findings themselves (Marshall and Rossman, 1999</w:t>
      </w:r>
      <w:r w:rsidR="006D07C1" w:rsidRPr="001441CA">
        <w:rPr>
          <w:rFonts w:ascii="Arial" w:hAnsi="Arial" w:cs="Arial"/>
          <w:sz w:val="22"/>
          <w:szCs w:val="22"/>
        </w:rPr>
        <w:t>; Popenoe et al, 2021</w:t>
      </w:r>
      <w:r w:rsidR="00A0635C" w:rsidRPr="001441CA">
        <w:rPr>
          <w:rFonts w:ascii="Arial" w:hAnsi="Arial" w:cs="Arial"/>
          <w:sz w:val="22"/>
          <w:szCs w:val="22"/>
        </w:rPr>
        <w:t xml:space="preserve">) Although this research can be considered outdated and therefore their arguments against data analysis could be disregarded. </w:t>
      </w:r>
    </w:p>
    <w:p w14:paraId="3E60587A" w14:textId="77777777" w:rsidR="00DC7524" w:rsidRPr="001441CA" w:rsidRDefault="00DC7524" w:rsidP="00B96F6A">
      <w:pPr>
        <w:spacing w:line="360" w:lineRule="auto"/>
        <w:rPr>
          <w:rFonts w:ascii="Arial" w:hAnsi="Arial" w:cs="Arial"/>
          <w:sz w:val="22"/>
          <w:szCs w:val="22"/>
        </w:rPr>
      </w:pPr>
    </w:p>
    <w:p w14:paraId="398BC16A" w14:textId="727360DE" w:rsidR="00B96F6A" w:rsidRPr="001441CA" w:rsidRDefault="00B96F6A" w:rsidP="00B96F6A">
      <w:pPr>
        <w:spacing w:line="360" w:lineRule="auto"/>
        <w:rPr>
          <w:rFonts w:ascii="Arial" w:hAnsi="Arial" w:cs="Arial"/>
          <w:sz w:val="22"/>
          <w:szCs w:val="22"/>
        </w:rPr>
      </w:pPr>
      <w:r w:rsidRPr="001441CA">
        <w:rPr>
          <w:rFonts w:ascii="Arial" w:hAnsi="Arial" w:cs="Arial"/>
          <w:sz w:val="22"/>
          <w:szCs w:val="22"/>
        </w:rPr>
        <w:t xml:space="preserve">The data </w:t>
      </w:r>
      <w:r w:rsidR="007361BD" w:rsidRPr="001441CA">
        <w:rPr>
          <w:rFonts w:ascii="Arial" w:hAnsi="Arial" w:cs="Arial"/>
          <w:sz w:val="22"/>
          <w:szCs w:val="22"/>
        </w:rPr>
        <w:t>from</w:t>
      </w:r>
      <w:r w:rsidRPr="001441CA">
        <w:rPr>
          <w:rFonts w:ascii="Arial" w:hAnsi="Arial" w:cs="Arial"/>
          <w:sz w:val="22"/>
          <w:szCs w:val="22"/>
        </w:rPr>
        <w:t xml:space="preserve"> this </w:t>
      </w:r>
      <w:r w:rsidR="007361BD" w:rsidRPr="001441CA">
        <w:rPr>
          <w:rFonts w:ascii="Arial" w:hAnsi="Arial" w:cs="Arial"/>
          <w:sz w:val="22"/>
          <w:szCs w:val="22"/>
        </w:rPr>
        <w:t>research</w:t>
      </w:r>
      <w:r w:rsidRPr="001441CA">
        <w:rPr>
          <w:rFonts w:ascii="Arial" w:hAnsi="Arial" w:cs="Arial"/>
          <w:sz w:val="22"/>
          <w:szCs w:val="22"/>
        </w:rPr>
        <w:t xml:space="preserve"> will be presented through various forms to allow an accurate analysis of the data collected. As both forms of qualitative data and quantitative data have been collected, the data will be analysed separately to form conclusions. </w:t>
      </w:r>
      <w:r w:rsidR="001510F7" w:rsidRPr="001441CA">
        <w:rPr>
          <w:rFonts w:ascii="Arial" w:hAnsi="Arial" w:cs="Arial"/>
          <w:sz w:val="22"/>
          <w:szCs w:val="22"/>
        </w:rPr>
        <w:t xml:space="preserve">A thematic approach will be used to analyse the qualitative data from the questionnaires. Thematic analysis is a process where the researcher will identify any common patterns or themes that run through the qualitative data, it allows for the researcher to underpin and for an overall interpretation of the data making thematic analysis a useful and accessible tool within research (Kiger and </w:t>
      </w:r>
      <w:proofErr w:type="spellStart"/>
      <w:r w:rsidR="001510F7" w:rsidRPr="001441CA">
        <w:rPr>
          <w:rFonts w:ascii="Arial" w:hAnsi="Arial" w:cs="Arial"/>
          <w:sz w:val="22"/>
          <w:szCs w:val="22"/>
        </w:rPr>
        <w:t>Varpio</w:t>
      </w:r>
      <w:proofErr w:type="spellEnd"/>
      <w:r w:rsidR="001510F7" w:rsidRPr="001441CA">
        <w:rPr>
          <w:rFonts w:ascii="Arial" w:hAnsi="Arial" w:cs="Arial"/>
          <w:sz w:val="22"/>
          <w:szCs w:val="22"/>
        </w:rPr>
        <w:t xml:space="preserve">, 2020; Maguire and Delahunt, 2017). </w:t>
      </w:r>
      <w:r w:rsidR="00404C9E" w:rsidRPr="001441CA">
        <w:rPr>
          <w:rFonts w:ascii="Arial" w:hAnsi="Arial" w:cs="Arial"/>
          <w:sz w:val="22"/>
          <w:szCs w:val="22"/>
        </w:rPr>
        <w:t xml:space="preserve">Although thematic analysis can be criticised to be inconsistent and can lead to a lack of coherence when developing patterns and themes, </w:t>
      </w:r>
      <w:r w:rsidR="00404C9E" w:rsidRPr="001441CA">
        <w:rPr>
          <w:rFonts w:ascii="Arial" w:hAnsi="Arial" w:cs="Arial"/>
          <w:sz w:val="22"/>
          <w:szCs w:val="22"/>
        </w:rPr>
        <w:lastRenderedPageBreak/>
        <w:t xml:space="preserve">however thematic analysis can be argued to the only leading approach to analyse qualitative date within research (Nowell et al, 2017; Chapple et al, 2022). </w:t>
      </w:r>
      <w:r w:rsidR="00C07F4A" w:rsidRPr="001441CA">
        <w:rPr>
          <w:rFonts w:ascii="Arial" w:hAnsi="Arial" w:cs="Arial"/>
          <w:sz w:val="22"/>
          <w:szCs w:val="22"/>
        </w:rPr>
        <w:t xml:space="preserve">Despite the strengths of using. Thematic analysis within research, the limitations of a lack of coherence could question the reliability of the results and reduce the ability of generalisation </w:t>
      </w:r>
      <w:r w:rsidR="00275630" w:rsidRPr="001441CA">
        <w:rPr>
          <w:rFonts w:ascii="Arial" w:hAnsi="Arial" w:cs="Arial"/>
          <w:sz w:val="22"/>
          <w:szCs w:val="22"/>
        </w:rPr>
        <w:t xml:space="preserve">and. Further research. </w:t>
      </w:r>
    </w:p>
    <w:p w14:paraId="40756E80" w14:textId="209C15A1" w:rsidR="00B96F6A" w:rsidRPr="001441CA" w:rsidRDefault="00B96F6A" w:rsidP="00B96F6A">
      <w:pPr>
        <w:spacing w:line="360" w:lineRule="auto"/>
        <w:rPr>
          <w:rFonts w:ascii="Arial" w:hAnsi="Arial" w:cs="Arial"/>
          <w:sz w:val="22"/>
          <w:szCs w:val="22"/>
        </w:rPr>
      </w:pPr>
    </w:p>
    <w:p w14:paraId="3D5D19F8" w14:textId="0FC1033D" w:rsidR="00740B4B" w:rsidRPr="001441CA" w:rsidRDefault="006D07C1" w:rsidP="009F459D">
      <w:pPr>
        <w:spacing w:line="360" w:lineRule="auto"/>
        <w:rPr>
          <w:rFonts w:ascii="Arial" w:hAnsi="Arial" w:cs="Arial"/>
          <w:sz w:val="22"/>
          <w:szCs w:val="22"/>
        </w:rPr>
      </w:pPr>
      <w:r w:rsidRPr="001441CA">
        <w:rPr>
          <w:rFonts w:ascii="Arial" w:hAnsi="Arial" w:cs="Arial"/>
          <w:sz w:val="22"/>
          <w:szCs w:val="22"/>
        </w:rPr>
        <w:t xml:space="preserve">The quantitative data gained from the observation will use another approach of analysis. Inferential </w:t>
      </w:r>
      <w:r w:rsidR="00BE58CD" w:rsidRPr="001441CA">
        <w:rPr>
          <w:rFonts w:ascii="Arial" w:hAnsi="Arial" w:cs="Arial"/>
          <w:sz w:val="22"/>
          <w:szCs w:val="22"/>
        </w:rPr>
        <w:t>analysis</w:t>
      </w:r>
      <w:r w:rsidRPr="001441CA">
        <w:rPr>
          <w:rFonts w:ascii="Arial" w:hAnsi="Arial" w:cs="Arial"/>
          <w:sz w:val="22"/>
          <w:szCs w:val="22"/>
        </w:rPr>
        <w:t>, where the researcher will group together the findings and draw conclusions from the data by analysing what the data is showing</w:t>
      </w:r>
      <w:r w:rsidR="00BE58CD" w:rsidRPr="001441CA">
        <w:rPr>
          <w:rFonts w:ascii="Arial" w:hAnsi="Arial" w:cs="Arial"/>
          <w:sz w:val="22"/>
          <w:szCs w:val="22"/>
        </w:rPr>
        <w:t xml:space="preserve"> being able to generalise the results obtained </w:t>
      </w:r>
      <w:r w:rsidRPr="001441CA">
        <w:rPr>
          <w:rFonts w:ascii="Arial" w:hAnsi="Arial" w:cs="Arial"/>
          <w:sz w:val="22"/>
          <w:szCs w:val="22"/>
        </w:rPr>
        <w:t>(</w:t>
      </w:r>
      <w:proofErr w:type="spellStart"/>
      <w:r w:rsidRPr="001441CA">
        <w:rPr>
          <w:rFonts w:ascii="Arial" w:hAnsi="Arial" w:cs="Arial"/>
          <w:sz w:val="22"/>
          <w:szCs w:val="22"/>
        </w:rPr>
        <w:t>Pfleger</w:t>
      </w:r>
      <w:proofErr w:type="spellEnd"/>
      <w:r w:rsidRPr="001441CA">
        <w:rPr>
          <w:rFonts w:ascii="Arial" w:hAnsi="Arial" w:cs="Arial"/>
          <w:sz w:val="22"/>
          <w:szCs w:val="22"/>
        </w:rPr>
        <w:t xml:space="preserve">, 2018; </w:t>
      </w:r>
      <w:r w:rsidR="00BE58CD" w:rsidRPr="001441CA">
        <w:rPr>
          <w:rFonts w:ascii="Arial" w:hAnsi="Arial" w:cs="Arial"/>
          <w:sz w:val="22"/>
          <w:szCs w:val="22"/>
        </w:rPr>
        <w:t>Blaikie, 20</w:t>
      </w:r>
      <w:r w:rsidR="008F7F2C" w:rsidRPr="001441CA">
        <w:rPr>
          <w:rFonts w:ascii="Arial" w:hAnsi="Arial" w:cs="Arial"/>
          <w:sz w:val="22"/>
          <w:szCs w:val="22"/>
        </w:rPr>
        <w:t>03</w:t>
      </w:r>
      <w:r w:rsidRPr="001441CA">
        <w:rPr>
          <w:rFonts w:ascii="Arial" w:hAnsi="Arial" w:cs="Arial"/>
          <w:sz w:val="22"/>
          <w:szCs w:val="22"/>
        </w:rPr>
        <w:t>)</w:t>
      </w:r>
      <w:r w:rsidR="00BE58CD" w:rsidRPr="001441CA">
        <w:rPr>
          <w:rFonts w:ascii="Arial" w:hAnsi="Arial" w:cs="Arial"/>
          <w:sz w:val="22"/>
          <w:szCs w:val="22"/>
        </w:rPr>
        <w:t>. The ability to generalise the data makes this approach a desirable method as this will increase the reliability of the results. Although inferential analysis has been criticised to lack validity, this is due to the results being condensed into patterns and themes resulting in parts of the data potentially being disregarded in the overall findings</w:t>
      </w:r>
      <w:r w:rsidR="00A845A6" w:rsidRPr="001441CA">
        <w:rPr>
          <w:rFonts w:ascii="Arial" w:hAnsi="Arial" w:cs="Arial"/>
          <w:sz w:val="22"/>
          <w:szCs w:val="22"/>
        </w:rPr>
        <w:t xml:space="preserve">. Although, inferential analysis is a </w:t>
      </w:r>
      <w:r w:rsidR="001761C5" w:rsidRPr="001441CA">
        <w:rPr>
          <w:rFonts w:ascii="Arial" w:hAnsi="Arial" w:cs="Arial"/>
          <w:sz w:val="22"/>
          <w:szCs w:val="22"/>
        </w:rPr>
        <w:t>cost-effective</w:t>
      </w:r>
      <w:r w:rsidR="00A845A6" w:rsidRPr="001441CA">
        <w:rPr>
          <w:rFonts w:ascii="Arial" w:hAnsi="Arial" w:cs="Arial"/>
          <w:sz w:val="22"/>
          <w:szCs w:val="22"/>
        </w:rPr>
        <w:t xml:space="preserve"> way to conclude findings and allows the reader to have a better understanding of what the data is saying </w:t>
      </w:r>
      <w:r w:rsidR="00BE58CD" w:rsidRPr="001441CA">
        <w:rPr>
          <w:rFonts w:ascii="Arial" w:hAnsi="Arial" w:cs="Arial"/>
          <w:sz w:val="22"/>
          <w:szCs w:val="22"/>
        </w:rPr>
        <w:t>(</w:t>
      </w:r>
      <w:proofErr w:type="spellStart"/>
      <w:r w:rsidR="00A845A6" w:rsidRPr="001441CA">
        <w:rPr>
          <w:rFonts w:ascii="Arial" w:hAnsi="Arial" w:cs="Arial"/>
          <w:sz w:val="22"/>
          <w:szCs w:val="22"/>
        </w:rPr>
        <w:t>Brattin</w:t>
      </w:r>
      <w:proofErr w:type="spellEnd"/>
      <w:r w:rsidR="00A845A6" w:rsidRPr="001441CA">
        <w:rPr>
          <w:rFonts w:ascii="Arial" w:hAnsi="Arial" w:cs="Arial"/>
          <w:sz w:val="22"/>
          <w:szCs w:val="22"/>
        </w:rPr>
        <w:t xml:space="preserve">, 1991; </w:t>
      </w:r>
      <w:proofErr w:type="spellStart"/>
      <w:r w:rsidR="00A845A6" w:rsidRPr="001441CA">
        <w:rPr>
          <w:rFonts w:ascii="Arial" w:hAnsi="Arial" w:cs="Arial"/>
          <w:sz w:val="22"/>
          <w:szCs w:val="22"/>
        </w:rPr>
        <w:t>Haneem</w:t>
      </w:r>
      <w:proofErr w:type="spellEnd"/>
      <w:r w:rsidR="00A845A6" w:rsidRPr="001441CA">
        <w:rPr>
          <w:rFonts w:ascii="Arial" w:hAnsi="Arial" w:cs="Arial"/>
          <w:sz w:val="22"/>
          <w:szCs w:val="22"/>
        </w:rPr>
        <w:t xml:space="preserve"> et al, 2017; </w:t>
      </w:r>
      <w:r w:rsidR="006377B7" w:rsidRPr="001441CA">
        <w:rPr>
          <w:rFonts w:ascii="Arial" w:hAnsi="Arial" w:cs="Arial"/>
          <w:sz w:val="22"/>
          <w:szCs w:val="22"/>
        </w:rPr>
        <w:t>Harris</w:t>
      </w:r>
      <w:r w:rsidR="00A845A6" w:rsidRPr="001441CA">
        <w:rPr>
          <w:rFonts w:ascii="Arial" w:hAnsi="Arial" w:cs="Arial"/>
          <w:sz w:val="22"/>
          <w:szCs w:val="22"/>
        </w:rPr>
        <w:t xml:space="preserve">, 2011). </w:t>
      </w:r>
      <w:r w:rsidR="001761C5" w:rsidRPr="001441CA">
        <w:rPr>
          <w:rFonts w:ascii="Arial" w:hAnsi="Arial" w:cs="Arial"/>
          <w:sz w:val="22"/>
          <w:szCs w:val="22"/>
        </w:rPr>
        <w:t>These limitations have been considered during the research and will be limited where possible to maintain a high reliability and a high validity of the results enabling the generalisation of the results.</w:t>
      </w:r>
    </w:p>
    <w:p w14:paraId="4424B6B2" w14:textId="3996F2FC" w:rsidR="00740B4B" w:rsidRPr="001441CA" w:rsidRDefault="00740B4B">
      <w:pPr>
        <w:rPr>
          <w:rFonts w:ascii="Arial" w:hAnsi="Arial" w:cs="Arial"/>
          <w:sz w:val="22"/>
          <w:szCs w:val="22"/>
        </w:rPr>
      </w:pPr>
    </w:p>
    <w:p w14:paraId="12C36A80" w14:textId="266C6095" w:rsidR="001B5388" w:rsidRPr="001441CA" w:rsidRDefault="0099019D" w:rsidP="0099019D">
      <w:pPr>
        <w:spacing w:line="360" w:lineRule="auto"/>
        <w:rPr>
          <w:rFonts w:ascii="Arial" w:hAnsi="Arial" w:cs="Arial"/>
          <w:sz w:val="22"/>
          <w:szCs w:val="22"/>
        </w:rPr>
      </w:pPr>
      <w:r w:rsidRPr="001441CA">
        <w:rPr>
          <w:rFonts w:ascii="Arial" w:hAnsi="Arial" w:cs="Arial"/>
          <w:sz w:val="22"/>
          <w:szCs w:val="22"/>
        </w:rPr>
        <w:t xml:space="preserve">As discussed above, both the BERA guidelines and the Universities ethical guidelines have been adhered to throughout this research. </w:t>
      </w:r>
      <w:r w:rsidR="003F7E5C" w:rsidRPr="001441CA">
        <w:rPr>
          <w:rFonts w:ascii="Arial" w:hAnsi="Arial" w:cs="Arial"/>
          <w:sz w:val="22"/>
          <w:szCs w:val="22"/>
        </w:rPr>
        <w:t>Before the research was conducted an ethics form was completed and sent to the school thus meaning t</w:t>
      </w:r>
      <w:r w:rsidR="001B5388" w:rsidRPr="001441CA">
        <w:rPr>
          <w:rFonts w:ascii="Arial" w:hAnsi="Arial" w:cs="Arial"/>
          <w:sz w:val="22"/>
          <w:szCs w:val="22"/>
        </w:rPr>
        <w:t>hat the</w:t>
      </w:r>
      <w:r w:rsidR="003F7E5C" w:rsidRPr="001441CA">
        <w:rPr>
          <w:rFonts w:ascii="Arial" w:hAnsi="Arial" w:cs="Arial"/>
          <w:sz w:val="22"/>
          <w:szCs w:val="22"/>
        </w:rPr>
        <w:t xml:space="preserve"> school had knowledge of the research and what methods of research will be conducted throughout the research window (refer to </w:t>
      </w:r>
      <w:r w:rsidR="002C44E1">
        <w:rPr>
          <w:rFonts w:ascii="Arial" w:hAnsi="Arial" w:cs="Arial"/>
          <w:sz w:val="22"/>
          <w:szCs w:val="22"/>
        </w:rPr>
        <w:t>A</w:t>
      </w:r>
      <w:r w:rsidR="003F7E5C" w:rsidRPr="001441CA">
        <w:rPr>
          <w:rFonts w:ascii="Arial" w:hAnsi="Arial" w:cs="Arial"/>
          <w:sz w:val="22"/>
          <w:szCs w:val="22"/>
        </w:rPr>
        <w:t xml:space="preserve">ppendix </w:t>
      </w:r>
      <w:r w:rsidR="002C44E1">
        <w:rPr>
          <w:rFonts w:ascii="Arial" w:hAnsi="Arial" w:cs="Arial"/>
          <w:sz w:val="22"/>
          <w:szCs w:val="22"/>
        </w:rPr>
        <w:t xml:space="preserve">A </w:t>
      </w:r>
      <w:r w:rsidR="003F7E5C" w:rsidRPr="001441CA">
        <w:rPr>
          <w:rFonts w:ascii="Arial" w:hAnsi="Arial" w:cs="Arial"/>
          <w:sz w:val="22"/>
          <w:szCs w:val="22"/>
        </w:rPr>
        <w:t xml:space="preserve">for ethics form). </w:t>
      </w:r>
      <w:r w:rsidR="00D92CC1" w:rsidRPr="001441CA">
        <w:rPr>
          <w:rFonts w:ascii="Arial" w:hAnsi="Arial" w:cs="Arial"/>
          <w:sz w:val="22"/>
          <w:szCs w:val="22"/>
        </w:rPr>
        <w:t>Ethics are considered highly within research and must be followed to maintain the safety of participants. They are based on well-founded values and morals of right and wrong forming the guidelines that are used today (</w:t>
      </w:r>
      <w:proofErr w:type="spellStart"/>
      <w:r w:rsidR="00D92CC1" w:rsidRPr="001441CA">
        <w:rPr>
          <w:rFonts w:ascii="Arial" w:hAnsi="Arial" w:cs="Arial"/>
          <w:sz w:val="22"/>
          <w:szCs w:val="22"/>
        </w:rPr>
        <w:t>Sandu</w:t>
      </w:r>
      <w:proofErr w:type="spellEnd"/>
      <w:r w:rsidR="00D92CC1" w:rsidRPr="001441CA">
        <w:rPr>
          <w:rFonts w:ascii="Arial" w:hAnsi="Arial" w:cs="Arial"/>
          <w:sz w:val="22"/>
          <w:szCs w:val="22"/>
        </w:rPr>
        <w:t xml:space="preserve"> et al, 2019; Meyer et al, 2023). </w:t>
      </w:r>
    </w:p>
    <w:p w14:paraId="075077F1" w14:textId="7D1343F1" w:rsidR="003F7E5C" w:rsidRPr="001441CA" w:rsidRDefault="003F7E5C" w:rsidP="0099019D">
      <w:pPr>
        <w:spacing w:line="360" w:lineRule="auto"/>
        <w:rPr>
          <w:rFonts w:ascii="Arial" w:hAnsi="Arial" w:cs="Arial"/>
          <w:sz w:val="22"/>
          <w:szCs w:val="22"/>
        </w:rPr>
      </w:pPr>
    </w:p>
    <w:p w14:paraId="67227726" w14:textId="1836F3EA" w:rsidR="002E743C" w:rsidRPr="001441CA" w:rsidRDefault="002E743C" w:rsidP="0099019D">
      <w:pPr>
        <w:spacing w:line="360" w:lineRule="auto"/>
        <w:rPr>
          <w:rFonts w:ascii="Arial" w:hAnsi="Arial" w:cs="Arial"/>
          <w:sz w:val="22"/>
          <w:szCs w:val="22"/>
        </w:rPr>
      </w:pPr>
      <w:r w:rsidRPr="001441CA">
        <w:rPr>
          <w:rFonts w:ascii="Arial" w:hAnsi="Arial" w:cs="Arial"/>
          <w:sz w:val="22"/>
          <w:szCs w:val="22"/>
        </w:rPr>
        <w:t xml:space="preserve">Throughout the study, the participants were advised of their right to withdraw at any time. This allows the participants to withdraw from the research before, during and after the research is conducted. This allows for the safety of the participants to be maintained as they have control over taking part in this optional research. </w:t>
      </w:r>
      <w:r w:rsidR="00AC54FE" w:rsidRPr="001441CA">
        <w:rPr>
          <w:rFonts w:ascii="Arial" w:hAnsi="Arial" w:cs="Arial"/>
          <w:sz w:val="22"/>
          <w:szCs w:val="22"/>
        </w:rPr>
        <w:t xml:space="preserve">(Schaefer et. Al, 2010). The right to withdraw provides participants with accountability over their involvement within the research, they </w:t>
      </w:r>
      <w:r w:rsidR="00203B34" w:rsidRPr="001441CA">
        <w:rPr>
          <w:rFonts w:ascii="Arial" w:hAnsi="Arial" w:cs="Arial"/>
          <w:sz w:val="22"/>
          <w:szCs w:val="22"/>
        </w:rPr>
        <w:t>c</w:t>
      </w:r>
      <w:r w:rsidR="00AC7850" w:rsidRPr="001441CA">
        <w:rPr>
          <w:rFonts w:ascii="Arial" w:hAnsi="Arial" w:cs="Arial"/>
          <w:sz w:val="22"/>
          <w:szCs w:val="22"/>
        </w:rPr>
        <w:t xml:space="preserve">ould </w:t>
      </w:r>
      <w:r w:rsidR="00AC54FE" w:rsidRPr="001441CA">
        <w:rPr>
          <w:rFonts w:ascii="Arial" w:hAnsi="Arial" w:cs="Arial"/>
          <w:sz w:val="22"/>
          <w:szCs w:val="22"/>
        </w:rPr>
        <w:t>withdraw at any time if they do not feel comfortable taking part in the research anymore. The participants do not have to provide a reason as to why they have chosen to withdraw</w:t>
      </w:r>
      <w:r w:rsidR="008B6F55" w:rsidRPr="001441CA">
        <w:rPr>
          <w:rFonts w:ascii="Arial" w:hAnsi="Arial" w:cs="Arial"/>
          <w:sz w:val="22"/>
          <w:szCs w:val="22"/>
        </w:rPr>
        <w:t xml:space="preserve"> (Schaefer et al, 2010; </w:t>
      </w:r>
      <w:proofErr w:type="spellStart"/>
      <w:r w:rsidR="008B6F55" w:rsidRPr="001441CA">
        <w:rPr>
          <w:rFonts w:ascii="Arial" w:hAnsi="Arial" w:cs="Arial"/>
          <w:sz w:val="22"/>
          <w:szCs w:val="22"/>
        </w:rPr>
        <w:lastRenderedPageBreak/>
        <w:t>Sandu</w:t>
      </w:r>
      <w:proofErr w:type="spellEnd"/>
      <w:r w:rsidR="008B6F55" w:rsidRPr="001441CA">
        <w:rPr>
          <w:rFonts w:ascii="Arial" w:hAnsi="Arial" w:cs="Arial"/>
          <w:sz w:val="22"/>
          <w:szCs w:val="22"/>
        </w:rPr>
        <w:t xml:space="preserve"> et al, 2019; Meyer et al, 2023</w:t>
      </w:r>
      <w:r w:rsidR="009200AD" w:rsidRPr="001441CA">
        <w:rPr>
          <w:rFonts w:ascii="Arial" w:hAnsi="Arial" w:cs="Arial"/>
          <w:sz w:val="22"/>
          <w:szCs w:val="22"/>
        </w:rPr>
        <w:t>; BERA, 2018</w:t>
      </w:r>
      <w:r w:rsidR="008B6F55" w:rsidRPr="001441CA">
        <w:rPr>
          <w:rFonts w:ascii="Arial" w:hAnsi="Arial" w:cs="Arial"/>
          <w:sz w:val="22"/>
          <w:szCs w:val="22"/>
        </w:rPr>
        <w:t>)</w:t>
      </w:r>
      <w:r w:rsidR="00AC54FE" w:rsidRPr="001441CA">
        <w:rPr>
          <w:rFonts w:ascii="Arial" w:hAnsi="Arial" w:cs="Arial"/>
          <w:sz w:val="22"/>
          <w:szCs w:val="22"/>
        </w:rPr>
        <w:t xml:space="preserve">. The right to withdraw was considered during this research </w:t>
      </w:r>
      <w:r w:rsidR="008143A2" w:rsidRPr="001441CA">
        <w:rPr>
          <w:rFonts w:ascii="Arial" w:hAnsi="Arial" w:cs="Arial"/>
          <w:sz w:val="22"/>
          <w:szCs w:val="22"/>
        </w:rPr>
        <w:t>both the students and their</w:t>
      </w:r>
      <w:r w:rsidR="00AC54FE" w:rsidRPr="001441CA">
        <w:rPr>
          <w:rFonts w:ascii="Arial" w:hAnsi="Arial" w:cs="Arial"/>
          <w:sz w:val="22"/>
          <w:szCs w:val="22"/>
        </w:rPr>
        <w:t xml:space="preserve"> </w:t>
      </w:r>
      <w:r w:rsidR="008143A2" w:rsidRPr="001441CA">
        <w:rPr>
          <w:rFonts w:ascii="Arial" w:hAnsi="Arial" w:cs="Arial"/>
          <w:sz w:val="22"/>
          <w:szCs w:val="22"/>
        </w:rPr>
        <w:t>p</w:t>
      </w:r>
      <w:r w:rsidRPr="001441CA">
        <w:rPr>
          <w:rFonts w:ascii="Arial" w:hAnsi="Arial" w:cs="Arial"/>
          <w:sz w:val="22"/>
          <w:szCs w:val="22"/>
        </w:rPr>
        <w:t xml:space="preserve">arents were given the option </w:t>
      </w:r>
      <w:r w:rsidR="008143A2" w:rsidRPr="001441CA">
        <w:rPr>
          <w:rFonts w:ascii="Arial" w:hAnsi="Arial" w:cs="Arial"/>
          <w:sz w:val="22"/>
          <w:szCs w:val="22"/>
        </w:rPr>
        <w:t xml:space="preserve">and the parents were able </w:t>
      </w:r>
      <w:r w:rsidRPr="001441CA">
        <w:rPr>
          <w:rFonts w:ascii="Arial" w:hAnsi="Arial" w:cs="Arial"/>
          <w:sz w:val="22"/>
          <w:szCs w:val="22"/>
        </w:rPr>
        <w:t>to withdraw their child at any time during the study.</w:t>
      </w:r>
    </w:p>
    <w:p w14:paraId="780F6F01" w14:textId="77777777" w:rsidR="007D3306" w:rsidRPr="001441CA" w:rsidRDefault="007D3306" w:rsidP="0099019D">
      <w:pPr>
        <w:spacing w:line="360" w:lineRule="auto"/>
        <w:rPr>
          <w:rFonts w:ascii="Arial" w:hAnsi="Arial" w:cs="Arial"/>
          <w:sz w:val="22"/>
          <w:szCs w:val="22"/>
        </w:rPr>
      </w:pPr>
    </w:p>
    <w:p w14:paraId="662559FA" w14:textId="12145E53" w:rsidR="00BD5367" w:rsidRPr="001441CA" w:rsidRDefault="00BD5367" w:rsidP="0099019D">
      <w:pPr>
        <w:spacing w:line="360" w:lineRule="auto"/>
        <w:rPr>
          <w:rFonts w:ascii="Arial" w:hAnsi="Arial" w:cs="Arial"/>
          <w:sz w:val="22"/>
          <w:szCs w:val="22"/>
        </w:rPr>
      </w:pPr>
      <w:r w:rsidRPr="001441CA">
        <w:rPr>
          <w:rFonts w:ascii="Arial" w:hAnsi="Arial" w:cs="Arial"/>
          <w:sz w:val="22"/>
          <w:szCs w:val="22"/>
        </w:rPr>
        <w:t xml:space="preserve">Consent is an important part of conducting research as without it the participants are not able to take part. </w:t>
      </w:r>
      <w:r w:rsidR="00723098" w:rsidRPr="001441CA">
        <w:rPr>
          <w:rFonts w:ascii="Arial" w:hAnsi="Arial" w:cs="Arial"/>
          <w:sz w:val="22"/>
          <w:szCs w:val="22"/>
        </w:rPr>
        <w:t xml:space="preserve">There are two form of consent used within research; assent is the ability to give consent to take part in research </w:t>
      </w:r>
      <w:r w:rsidR="005852B1" w:rsidRPr="001441CA">
        <w:rPr>
          <w:rFonts w:ascii="Arial" w:hAnsi="Arial" w:cs="Arial"/>
          <w:sz w:val="22"/>
          <w:szCs w:val="22"/>
        </w:rPr>
        <w:t>in</w:t>
      </w:r>
      <w:r w:rsidR="00723098" w:rsidRPr="001441CA">
        <w:rPr>
          <w:rFonts w:ascii="Arial" w:hAnsi="Arial" w:cs="Arial"/>
          <w:sz w:val="22"/>
          <w:szCs w:val="22"/>
        </w:rPr>
        <w:t>formally</w:t>
      </w:r>
      <w:r w:rsidR="005852B1" w:rsidRPr="001441CA">
        <w:rPr>
          <w:rFonts w:ascii="Arial" w:hAnsi="Arial" w:cs="Arial"/>
          <w:sz w:val="22"/>
          <w:szCs w:val="22"/>
        </w:rPr>
        <w:t xml:space="preserve"> meaning it is not a legal binding form of consent</w:t>
      </w:r>
      <w:r w:rsidR="00723098" w:rsidRPr="001441CA">
        <w:rPr>
          <w:rFonts w:ascii="Arial" w:hAnsi="Arial" w:cs="Arial"/>
          <w:sz w:val="22"/>
          <w:szCs w:val="22"/>
        </w:rPr>
        <w:t>, the participant must be over 18 to legally give consent</w:t>
      </w:r>
      <w:r w:rsidR="005852B1" w:rsidRPr="001441CA">
        <w:rPr>
          <w:rFonts w:ascii="Arial" w:hAnsi="Arial" w:cs="Arial"/>
          <w:sz w:val="22"/>
          <w:szCs w:val="22"/>
        </w:rPr>
        <w:t xml:space="preserve">, where consent can be achieved through a participant that is over the legal age or through a parent or guardian of an individual under the age </w:t>
      </w:r>
      <w:r w:rsidR="00723098" w:rsidRPr="001441CA">
        <w:rPr>
          <w:rFonts w:ascii="Arial" w:hAnsi="Arial" w:cs="Arial"/>
          <w:sz w:val="22"/>
          <w:szCs w:val="22"/>
        </w:rPr>
        <w:t>(NCI, 2023; Leadbeater, 2006</w:t>
      </w:r>
      <w:r w:rsidR="007D3306" w:rsidRPr="001441CA">
        <w:rPr>
          <w:rFonts w:ascii="Arial" w:hAnsi="Arial" w:cs="Arial"/>
          <w:sz w:val="22"/>
          <w:szCs w:val="22"/>
        </w:rPr>
        <w:t>; BERA, 2018</w:t>
      </w:r>
      <w:r w:rsidR="00723098" w:rsidRPr="001441CA">
        <w:rPr>
          <w:rFonts w:ascii="Arial" w:hAnsi="Arial" w:cs="Arial"/>
          <w:sz w:val="22"/>
          <w:szCs w:val="22"/>
        </w:rPr>
        <w:t xml:space="preserve">). </w:t>
      </w:r>
      <w:r w:rsidR="005852B1" w:rsidRPr="001441CA">
        <w:rPr>
          <w:rFonts w:ascii="Arial" w:hAnsi="Arial" w:cs="Arial"/>
          <w:sz w:val="22"/>
          <w:szCs w:val="22"/>
        </w:rPr>
        <w:t>Although,</w:t>
      </w:r>
      <w:r w:rsidR="00723098" w:rsidRPr="001441CA">
        <w:rPr>
          <w:rFonts w:ascii="Arial" w:hAnsi="Arial" w:cs="Arial"/>
          <w:sz w:val="22"/>
          <w:szCs w:val="22"/>
        </w:rPr>
        <w:t xml:space="preserve"> f</w:t>
      </w:r>
      <w:r w:rsidRPr="001441CA">
        <w:rPr>
          <w:rFonts w:ascii="Arial" w:hAnsi="Arial" w:cs="Arial"/>
          <w:sz w:val="22"/>
          <w:szCs w:val="22"/>
        </w:rPr>
        <w:t>or this study</w:t>
      </w:r>
      <w:r w:rsidR="00723098" w:rsidRPr="001441CA">
        <w:rPr>
          <w:rFonts w:ascii="Arial" w:hAnsi="Arial" w:cs="Arial"/>
          <w:sz w:val="22"/>
          <w:szCs w:val="22"/>
        </w:rPr>
        <w:t xml:space="preserve"> both </w:t>
      </w:r>
      <w:r w:rsidRPr="001441CA">
        <w:rPr>
          <w:rFonts w:ascii="Arial" w:hAnsi="Arial" w:cs="Arial"/>
          <w:sz w:val="22"/>
          <w:szCs w:val="22"/>
        </w:rPr>
        <w:t>assent and informal consent was gained through consent form being sent home</w:t>
      </w:r>
      <w:r w:rsidR="005852B1" w:rsidRPr="001441CA">
        <w:rPr>
          <w:rFonts w:ascii="Arial" w:hAnsi="Arial" w:cs="Arial"/>
          <w:sz w:val="22"/>
          <w:szCs w:val="22"/>
        </w:rPr>
        <w:t xml:space="preserve">. </w:t>
      </w:r>
      <w:r w:rsidR="002C44E1">
        <w:rPr>
          <w:rFonts w:ascii="Arial" w:hAnsi="Arial" w:cs="Arial"/>
          <w:sz w:val="22"/>
          <w:szCs w:val="22"/>
        </w:rPr>
        <w:t>Assent</w:t>
      </w:r>
      <w:r w:rsidR="005852B1" w:rsidRPr="001441CA">
        <w:rPr>
          <w:rFonts w:ascii="Arial" w:hAnsi="Arial" w:cs="Arial"/>
          <w:sz w:val="22"/>
          <w:szCs w:val="22"/>
        </w:rPr>
        <w:t xml:space="preserve"> was gained by the children being aware of the research and saying whether they would like to take part</w:t>
      </w:r>
      <w:r w:rsidRPr="001441CA">
        <w:rPr>
          <w:rFonts w:ascii="Arial" w:hAnsi="Arial" w:cs="Arial"/>
          <w:sz w:val="22"/>
          <w:szCs w:val="22"/>
        </w:rPr>
        <w:t xml:space="preserve">. </w:t>
      </w:r>
      <w:r w:rsidR="002C44E1">
        <w:rPr>
          <w:rFonts w:ascii="Arial" w:hAnsi="Arial" w:cs="Arial"/>
          <w:sz w:val="22"/>
          <w:szCs w:val="22"/>
        </w:rPr>
        <w:t>Where the parents were given a consent form</w:t>
      </w:r>
      <w:r w:rsidR="00445529">
        <w:rPr>
          <w:rFonts w:ascii="Arial" w:hAnsi="Arial" w:cs="Arial"/>
          <w:sz w:val="22"/>
          <w:szCs w:val="22"/>
        </w:rPr>
        <w:t>, to achieve consent,</w:t>
      </w:r>
      <w:r w:rsidR="002C44E1">
        <w:rPr>
          <w:rFonts w:ascii="Arial" w:hAnsi="Arial" w:cs="Arial"/>
          <w:sz w:val="22"/>
          <w:szCs w:val="22"/>
        </w:rPr>
        <w:t xml:space="preserve"> </w:t>
      </w:r>
      <w:r w:rsidR="00445529">
        <w:rPr>
          <w:rFonts w:ascii="Arial" w:hAnsi="Arial" w:cs="Arial"/>
          <w:sz w:val="22"/>
          <w:szCs w:val="22"/>
        </w:rPr>
        <w:t xml:space="preserve">to fill out and return (see Appendix C). </w:t>
      </w:r>
      <w:r w:rsidRPr="001441CA">
        <w:rPr>
          <w:rFonts w:ascii="Arial" w:hAnsi="Arial" w:cs="Arial"/>
          <w:sz w:val="22"/>
          <w:szCs w:val="22"/>
        </w:rPr>
        <w:t>However, not all consent forms were returned which had to be kept in mind when randomly choosing the participants as consent must have been gained for them to take part</w:t>
      </w:r>
      <w:r w:rsidR="005852B1" w:rsidRPr="001441CA">
        <w:rPr>
          <w:rFonts w:ascii="Arial" w:hAnsi="Arial" w:cs="Arial"/>
          <w:sz w:val="22"/>
          <w:szCs w:val="22"/>
        </w:rPr>
        <w:t xml:space="preserve"> in the research. </w:t>
      </w:r>
    </w:p>
    <w:p w14:paraId="1572BEDC" w14:textId="0FA3B5C4" w:rsidR="0099019D" w:rsidRPr="001441CA" w:rsidRDefault="0099019D">
      <w:pPr>
        <w:rPr>
          <w:rFonts w:ascii="Arial" w:hAnsi="Arial" w:cs="Arial"/>
          <w:sz w:val="22"/>
          <w:szCs w:val="22"/>
        </w:rPr>
      </w:pPr>
    </w:p>
    <w:p w14:paraId="1680CB97" w14:textId="683B1BA3" w:rsidR="00EF41D0" w:rsidRPr="001441CA" w:rsidRDefault="00EF41D0" w:rsidP="00D008C7">
      <w:pPr>
        <w:spacing w:line="360" w:lineRule="auto"/>
        <w:rPr>
          <w:rFonts w:ascii="Arial" w:hAnsi="Arial" w:cs="Arial"/>
          <w:sz w:val="22"/>
          <w:szCs w:val="22"/>
        </w:rPr>
      </w:pPr>
      <w:r w:rsidRPr="001441CA">
        <w:rPr>
          <w:rFonts w:ascii="Arial" w:hAnsi="Arial" w:cs="Arial"/>
          <w:sz w:val="22"/>
          <w:szCs w:val="22"/>
        </w:rPr>
        <w:t>The participants are</w:t>
      </w:r>
      <w:r w:rsidR="009200AD" w:rsidRPr="001441CA">
        <w:rPr>
          <w:rFonts w:ascii="Arial" w:hAnsi="Arial" w:cs="Arial"/>
          <w:sz w:val="22"/>
          <w:szCs w:val="22"/>
        </w:rPr>
        <w:t xml:space="preserve"> children</w:t>
      </w:r>
      <w:r w:rsidRPr="001441CA">
        <w:rPr>
          <w:rFonts w:ascii="Arial" w:hAnsi="Arial" w:cs="Arial"/>
          <w:sz w:val="22"/>
          <w:szCs w:val="22"/>
        </w:rPr>
        <w:t xml:space="preserve"> and </w:t>
      </w:r>
      <w:r w:rsidR="007361BD" w:rsidRPr="001441CA">
        <w:rPr>
          <w:rFonts w:ascii="Arial" w:hAnsi="Arial" w:cs="Arial"/>
          <w:sz w:val="22"/>
          <w:szCs w:val="22"/>
        </w:rPr>
        <w:t>are</w:t>
      </w:r>
      <w:r w:rsidRPr="001441CA">
        <w:rPr>
          <w:rFonts w:ascii="Arial" w:hAnsi="Arial" w:cs="Arial"/>
          <w:sz w:val="22"/>
          <w:szCs w:val="22"/>
        </w:rPr>
        <w:t xml:space="preserve"> vulnerable participants</w:t>
      </w:r>
      <w:r w:rsidR="009200AD" w:rsidRPr="001441CA">
        <w:rPr>
          <w:rFonts w:ascii="Arial" w:hAnsi="Arial" w:cs="Arial"/>
          <w:sz w:val="22"/>
          <w:szCs w:val="22"/>
        </w:rPr>
        <w:t xml:space="preserve"> as they are under the age of 18,</w:t>
      </w:r>
      <w:r w:rsidRPr="001441CA">
        <w:rPr>
          <w:rFonts w:ascii="Arial" w:hAnsi="Arial" w:cs="Arial"/>
          <w:sz w:val="22"/>
          <w:szCs w:val="22"/>
        </w:rPr>
        <w:t xml:space="preserve"> resulting in the data protection and confidentiality aspect of the research being of the upmost importance. All participants were kept anonymous</w:t>
      </w:r>
      <w:r w:rsidR="009200AD" w:rsidRPr="001441CA">
        <w:rPr>
          <w:rFonts w:ascii="Arial" w:hAnsi="Arial" w:cs="Arial"/>
          <w:sz w:val="22"/>
          <w:szCs w:val="22"/>
        </w:rPr>
        <w:t xml:space="preserve"> throughout the research</w:t>
      </w:r>
      <w:r w:rsidRPr="001441CA">
        <w:rPr>
          <w:rFonts w:ascii="Arial" w:hAnsi="Arial" w:cs="Arial"/>
          <w:sz w:val="22"/>
          <w:szCs w:val="22"/>
        </w:rPr>
        <w:t xml:space="preserve"> and the school has not been named </w:t>
      </w:r>
      <w:r w:rsidR="007361BD" w:rsidRPr="001441CA">
        <w:rPr>
          <w:rFonts w:ascii="Arial" w:hAnsi="Arial" w:cs="Arial"/>
          <w:sz w:val="22"/>
          <w:szCs w:val="22"/>
        </w:rPr>
        <w:t>to</w:t>
      </w:r>
      <w:r w:rsidRPr="001441CA">
        <w:rPr>
          <w:rFonts w:ascii="Arial" w:hAnsi="Arial" w:cs="Arial"/>
          <w:sz w:val="22"/>
          <w:szCs w:val="22"/>
        </w:rPr>
        <w:t xml:space="preserve"> maintain confidentiality and safety. </w:t>
      </w:r>
      <w:r w:rsidR="009200AD" w:rsidRPr="001441CA">
        <w:rPr>
          <w:rFonts w:ascii="Arial" w:hAnsi="Arial" w:cs="Arial"/>
          <w:sz w:val="22"/>
          <w:szCs w:val="22"/>
        </w:rPr>
        <w:t>Confidentiality is considered the norm of conducting research and researchers must legally adhere to the UK data protection act (1998) for vulnerable participants (BERA, 2018</w:t>
      </w:r>
      <w:r w:rsidR="001B2917" w:rsidRPr="001441CA">
        <w:rPr>
          <w:rFonts w:ascii="Arial" w:hAnsi="Arial" w:cs="Arial"/>
          <w:sz w:val="22"/>
          <w:szCs w:val="22"/>
        </w:rPr>
        <w:t>; Wiles et al, 2007</w:t>
      </w:r>
      <w:r w:rsidR="00E76F48" w:rsidRPr="001441CA">
        <w:rPr>
          <w:rFonts w:ascii="Arial" w:hAnsi="Arial" w:cs="Arial"/>
          <w:sz w:val="22"/>
          <w:szCs w:val="22"/>
        </w:rPr>
        <w:t xml:space="preserve">; </w:t>
      </w:r>
      <w:proofErr w:type="spellStart"/>
      <w:r w:rsidR="00E76F48" w:rsidRPr="001441CA">
        <w:rPr>
          <w:rFonts w:ascii="Arial" w:hAnsi="Arial" w:cs="Arial"/>
          <w:sz w:val="22"/>
          <w:szCs w:val="22"/>
        </w:rPr>
        <w:t>Gubrium</w:t>
      </w:r>
      <w:proofErr w:type="spellEnd"/>
      <w:r w:rsidR="00E76F48" w:rsidRPr="001441CA">
        <w:rPr>
          <w:rFonts w:ascii="Arial" w:hAnsi="Arial" w:cs="Arial"/>
          <w:sz w:val="22"/>
          <w:szCs w:val="22"/>
        </w:rPr>
        <w:t xml:space="preserve"> et al, 2012</w:t>
      </w:r>
      <w:r w:rsidR="009200AD" w:rsidRPr="001441CA">
        <w:rPr>
          <w:rFonts w:ascii="Arial" w:hAnsi="Arial" w:cs="Arial"/>
          <w:sz w:val="22"/>
          <w:szCs w:val="22"/>
        </w:rPr>
        <w:t xml:space="preserve">). </w:t>
      </w:r>
      <w:r w:rsidRPr="001441CA">
        <w:rPr>
          <w:rFonts w:ascii="Arial" w:hAnsi="Arial" w:cs="Arial"/>
          <w:sz w:val="22"/>
          <w:szCs w:val="22"/>
        </w:rPr>
        <w:t>All data collected was stored on a secure OneDrive file accessible to only the researcher and any other individual’s that are required for the research</w:t>
      </w:r>
      <w:r w:rsidR="001B2917" w:rsidRPr="001441CA">
        <w:rPr>
          <w:rFonts w:ascii="Arial" w:hAnsi="Arial" w:cs="Arial"/>
          <w:sz w:val="22"/>
          <w:szCs w:val="22"/>
        </w:rPr>
        <w:t>, such as the university</w:t>
      </w:r>
      <w:r w:rsidRPr="001441CA">
        <w:rPr>
          <w:rFonts w:ascii="Arial" w:hAnsi="Arial" w:cs="Arial"/>
          <w:sz w:val="22"/>
          <w:szCs w:val="22"/>
        </w:rPr>
        <w:t xml:space="preserve">. All raw data was recorded </w:t>
      </w:r>
      <w:r w:rsidR="001B2917" w:rsidRPr="001441CA">
        <w:rPr>
          <w:rFonts w:ascii="Arial" w:hAnsi="Arial" w:cs="Arial"/>
          <w:sz w:val="22"/>
          <w:szCs w:val="22"/>
        </w:rPr>
        <w:t xml:space="preserve">onto this file </w:t>
      </w:r>
      <w:r w:rsidRPr="001441CA">
        <w:rPr>
          <w:rFonts w:ascii="Arial" w:hAnsi="Arial" w:cs="Arial"/>
          <w:sz w:val="22"/>
          <w:szCs w:val="22"/>
        </w:rPr>
        <w:t>and then destroyed to ensure the protection of the participants</w:t>
      </w:r>
      <w:r w:rsidR="001B2917" w:rsidRPr="001441CA">
        <w:rPr>
          <w:rFonts w:ascii="Arial" w:hAnsi="Arial" w:cs="Arial"/>
          <w:sz w:val="22"/>
          <w:szCs w:val="22"/>
        </w:rPr>
        <w:t xml:space="preserve"> anonymity as well as their confidentiality</w:t>
      </w:r>
      <w:r w:rsidRPr="001441CA">
        <w:rPr>
          <w:rFonts w:ascii="Arial" w:hAnsi="Arial" w:cs="Arial"/>
          <w:sz w:val="22"/>
          <w:szCs w:val="22"/>
        </w:rPr>
        <w:t xml:space="preserve">. </w:t>
      </w:r>
    </w:p>
    <w:p w14:paraId="1B9C387B" w14:textId="3A2BE017" w:rsidR="0040180E" w:rsidRPr="001441CA" w:rsidRDefault="0040180E" w:rsidP="005445F9">
      <w:pPr>
        <w:spacing w:line="360" w:lineRule="auto"/>
        <w:rPr>
          <w:rFonts w:ascii="Arial" w:hAnsi="Arial" w:cs="Arial"/>
          <w:sz w:val="22"/>
          <w:szCs w:val="22"/>
        </w:rPr>
      </w:pPr>
    </w:p>
    <w:p w14:paraId="7E6B3294" w14:textId="1D945686" w:rsidR="00882369" w:rsidRPr="001441CA" w:rsidRDefault="000D028A" w:rsidP="005445F9">
      <w:pPr>
        <w:spacing w:line="360" w:lineRule="auto"/>
        <w:rPr>
          <w:rFonts w:ascii="Arial" w:hAnsi="Arial" w:cs="Arial"/>
          <w:sz w:val="22"/>
          <w:szCs w:val="22"/>
        </w:rPr>
      </w:pPr>
      <w:r w:rsidRPr="001441CA">
        <w:rPr>
          <w:rFonts w:ascii="Arial" w:hAnsi="Arial" w:cs="Arial"/>
          <w:sz w:val="22"/>
          <w:szCs w:val="22"/>
        </w:rPr>
        <w:t xml:space="preserve">Mentioned previously, the research question that is being explored is ‘What is the relationship between random student groupings and motivation/attitudes to learning?’. </w:t>
      </w:r>
      <w:r w:rsidR="00882369" w:rsidRPr="001441CA">
        <w:rPr>
          <w:rFonts w:ascii="Arial" w:hAnsi="Arial" w:cs="Arial"/>
          <w:sz w:val="22"/>
          <w:szCs w:val="22"/>
        </w:rPr>
        <w:t xml:space="preserve">Before completing the research there were consent forms given out to make both the students and their parents aware of the research itself. However, only a certain number of consent form were returned which affected the random sampling method used within this research. This limitation questions the researcher bias </w:t>
      </w:r>
      <w:r w:rsidR="00F839A5" w:rsidRPr="001441CA">
        <w:rPr>
          <w:rFonts w:ascii="Arial" w:hAnsi="Arial" w:cs="Arial"/>
          <w:sz w:val="22"/>
          <w:szCs w:val="22"/>
        </w:rPr>
        <w:t xml:space="preserve">(Street, 2012; </w:t>
      </w:r>
      <w:proofErr w:type="spellStart"/>
      <w:r w:rsidR="00F839A5" w:rsidRPr="001441CA">
        <w:rPr>
          <w:rFonts w:ascii="Arial" w:hAnsi="Arial" w:cs="Arial"/>
          <w:sz w:val="22"/>
          <w:szCs w:val="22"/>
        </w:rPr>
        <w:t>Swanborn</w:t>
      </w:r>
      <w:proofErr w:type="spellEnd"/>
      <w:r w:rsidR="00F839A5" w:rsidRPr="001441CA">
        <w:rPr>
          <w:rFonts w:ascii="Arial" w:hAnsi="Arial" w:cs="Arial"/>
          <w:sz w:val="22"/>
          <w:szCs w:val="22"/>
        </w:rPr>
        <w:t xml:space="preserve">, 2010) </w:t>
      </w:r>
      <w:r w:rsidR="00882369" w:rsidRPr="001441CA">
        <w:rPr>
          <w:rFonts w:ascii="Arial" w:hAnsi="Arial" w:cs="Arial"/>
          <w:sz w:val="22"/>
          <w:szCs w:val="22"/>
        </w:rPr>
        <w:t xml:space="preserve">of the research as although the participants </w:t>
      </w:r>
      <w:r w:rsidR="00882369" w:rsidRPr="001441CA">
        <w:rPr>
          <w:rFonts w:ascii="Arial" w:hAnsi="Arial" w:cs="Arial"/>
          <w:sz w:val="22"/>
          <w:szCs w:val="22"/>
        </w:rPr>
        <w:lastRenderedPageBreak/>
        <w:t>were chosen randomly, if they had not returned their consent form then they were unable to take part and the researcher must step in to choose again. However, this limitation would be difficult to avoid</w:t>
      </w:r>
      <w:r w:rsidR="00273A21" w:rsidRPr="001441CA">
        <w:rPr>
          <w:rFonts w:ascii="Arial" w:hAnsi="Arial" w:cs="Arial"/>
          <w:sz w:val="22"/>
          <w:szCs w:val="22"/>
        </w:rPr>
        <w:t xml:space="preserve"> in future research, a possibility to improve this could be to talk to the parents when picking up their children to answer any questions they may have and for them to sign the consent form after the discussion. </w:t>
      </w:r>
    </w:p>
    <w:p w14:paraId="60C1D92F" w14:textId="77777777" w:rsidR="00882369" w:rsidRPr="001441CA" w:rsidRDefault="00882369" w:rsidP="005445F9">
      <w:pPr>
        <w:spacing w:line="360" w:lineRule="auto"/>
        <w:rPr>
          <w:rFonts w:ascii="Arial" w:hAnsi="Arial" w:cs="Arial"/>
          <w:sz w:val="22"/>
          <w:szCs w:val="22"/>
        </w:rPr>
      </w:pPr>
    </w:p>
    <w:p w14:paraId="404513D6" w14:textId="7180441C" w:rsidR="00E43CD5" w:rsidRPr="001441CA" w:rsidRDefault="00D57B1B" w:rsidP="005445F9">
      <w:pPr>
        <w:spacing w:line="360" w:lineRule="auto"/>
        <w:rPr>
          <w:rFonts w:ascii="Arial" w:hAnsi="Arial" w:cs="Arial"/>
          <w:sz w:val="22"/>
          <w:szCs w:val="22"/>
        </w:rPr>
      </w:pPr>
      <w:r w:rsidRPr="001441CA">
        <w:rPr>
          <w:rFonts w:ascii="Arial" w:hAnsi="Arial" w:cs="Arial"/>
          <w:sz w:val="22"/>
          <w:szCs w:val="22"/>
        </w:rPr>
        <w:t>The questionnaire distributed to the participants contained a mixture of open and closed questions resulting in a range of data being gathered. From using thematic analysis and inferential analysis patterns can be seen throughout.</w:t>
      </w:r>
      <w:r w:rsidR="00E43CD5" w:rsidRPr="001441CA">
        <w:rPr>
          <w:rFonts w:ascii="Arial" w:hAnsi="Arial" w:cs="Arial"/>
          <w:sz w:val="22"/>
          <w:szCs w:val="22"/>
        </w:rPr>
        <w:t xml:space="preserve"> </w:t>
      </w:r>
      <w:r w:rsidRPr="001441CA">
        <w:rPr>
          <w:rFonts w:ascii="Arial" w:hAnsi="Arial" w:cs="Arial"/>
          <w:sz w:val="22"/>
          <w:szCs w:val="22"/>
        </w:rPr>
        <w:t>The</w:t>
      </w:r>
      <w:r w:rsidR="00E43CD5" w:rsidRPr="001441CA">
        <w:rPr>
          <w:rFonts w:ascii="Arial" w:hAnsi="Arial" w:cs="Arial"/>
          <w:sz w:val="22"/>
          <w:szCs w:val="22"/>
        </w:rPr>
        <w:t xml:space="preserve"> participants</w:t>
      </w:r>
      <w:r w:rsidRPr="001441CA">
        <w:rPr>
          <w:rFonts w:ascii="Arial" w:hAnsi="Arial" w:cs="Arial"/>
          <w:sz w:val="22"/>
          <w:szCs w:val="22"/>
        </w:rPr>
        <w:t xml:space="preserve"> were </w:t>
      </w:r>
      <w:r w:rsidR="00E43CD5" w:rsidRPr="001441CA">
        <w:rPr>
          <w:rFonts w:ascii="Arial" w:hAnsi="Arial" w:cs="Arial"/>
          <w:sz w:val="22"/>
          <w:szCs w:val="22"/>
        </w:rPr>
        <w:t>asked</w:t>
      </w:r>
      <w:r w:rsidRPr="001441CA">
        <w:rPr>
          <w:rFonts w:ascii="Arial" w:hAnsi="Arial" w:cs="Arial"/>
          <w:sz w:val="22"/>
          <w:szCs w:val="22"/>
        </w:rPr>
        <w:t xml:space="preserve"> in question 2 to answer how being randomly seated makes them feel. This produced interesting </w:t>
      </w:r>
      <w:r w:rsidR="005445F9" w:rsidRPr="001441CA">
        <w:rPr>
          <w:rFonts w:ascii="Arial" w:hAnsi="Arial" w:cs="Arial"/>
          <w:sz w:val="22"/>
          <w:szCs w:val="22"/>
        </w:rPr>
        <w:t xml:space="preserve">qualitative data where 3 of the participants </w:t>
      </w:r>
      <w:r w:rsidR="00E43CD5" w:rsidRPr="001441CA">
        <w:rPr>
          <w:rFonts w:ascii="Arial" w:hAnsi="Arial" w:cs="Arial"/>
          <w:sz w:val="22"/>
          <w:szCs w:val="22"/>
        </w:rPr>
        <w:t xml:space="preserve">said similar answers that they get ‘excited’ they ‘like it’ and that they ‘like Mondays’ whereas the other 2 participants replied with ‘’I don’t know, not nice’ and ‘I don’t like sitting by some people in the class, I get scared’. This suggests that most children within the classroom enjoy having new work partners, however a handful do find the process stressful. One of the participants does have ALN. This links to the understanding of Clarke (2014) who suggests that children with ALN must be considered when randomly choosing seats not to distress or overwhelm them further. Within practice this theory is being used where appropriate to enable a smoother transition for those children. </w:t>
      </w:r>
    </w:p>
    <w:p w14:paraId="478550B5" w14:textId="77777777" w:rsidR="00E43CD5" w:rsidRPr="001441CA" w:rsidRDefault="00E43CD5" w:rsidP="005445F9">
      <w:pPr>
        <w:spacing w:line="360" w:lineRule="auto"/>
        <w:rPr>
          <w:rFonts w:ascii="Arial" w:hAnsi="Arial" w:cs="Arial"/>
          <w:sz w:val="22"/>
          <w:szCs w:val="22"/>
        </w:rPr>
      </w:pPr>
    </w:p>
    <w:p w14:paraId="4D0A8598" w14:textId="55DECAF1" w:rsidR="002602AA" w:rsidRPr="001441CA" w:rsidRDefault="00CB250A" w:rsidP="005445F9">
      <w:pPr>
        <w:spacing w:line="360" w:lineRule="auto"/>
        <w:rPr>
          <w:rFonts w:ascii="Arial" w:hAnsi="Arial" w:cs="Arial"/>
          <w:sz w:val="22"/>
          <w:szCs w:val="22"/>
        </w:rPr>
      </w:pPr>
      <w:r w:rsidRPr="001441CA">
        <w:rPr>
          <w:rFonts w:ascii="Arial" w:hAnsi="Arial" w:cs="Arial"/>
          <w:sz w:val="22"/>
          <w:szCs w:val="22"/>
        </w:rPr>
        <w:t>The results from question 4 were closed, which lead to question 3 being a prompt for further opinions. These results showed some common themes. Question</w:t>
      </w:r>
      <w:r w:rsidR="00E43CD5" w:rsidRPr="001441CA">
        <w:rPr>
          <w:rFonts w:ascii="Arial" w:hAnsi="Arial" w:cs="Arial"/>
          <w:sz w:val="22"/>
          <w:szCs w:val="22"/>
        </w:rPr>
        <w:t xml:space="preserve"> 3 </w:t>
      </w:r>
      <w:r w:rsidRPr="001441CA">
        <w:rPr>
          <w:rFonts w:ascii="Arial" w:hAnsi="Arial" w:cs="Arial"/>
          <w:sz w:val="22"/>
          <w:szCs w:val="22"/>
        </w:rPr>
        <w:t>stated</w:t>
      </w:r>
      <w:r w:rsidR="002745AA" w:rsidRPr="001441CA">
        <w:rPr>
          <w:rFonts w:ascii="Arial" w:hAnsi="Arial" w:cs="Arial"/>
          <w:sz w:val="22"/>
          <w:szCs w:val="22"/>
        </w:rPr>
        <w:t xml:space="preserve"> </w:t>
      </w:r>
      <w:r w:rsidR="00E43CD5" w:rsidRPr="001441CA">
        <w:rPr>
          <w:rFonts w:ascii="Arial" w:hAnsi="Arial" w:cs="Arial"/>
          <w:sz w:val="22"/>
          <w:szCs w:val="22"/>
        </w:rPr>
        <w:t xml:space="preserve">‘Do you think random seating changes your attitude to your learning?’. 3 </w:t>
      </w:r>
      <w:r w:rsidR="00F51EF2" w:rsidRPr="001441CA">
        <w:rPr>
          <w:rFonts w:ascii="Arial" w:hAnsi="Arial" w:cs="Arial"/>
          <w:sz w:val="22"/>
          <w:szCs w:val="22"/>
        </w:rPr>
        <w:t>out of the 5</w:t>
      </w:r>
      <w:r w:rsidR="00E43CD5" w:rsidRPr="001441CA">
        <w:rPr>
          <w:rFonts w:ascii="Arial" w:hAnsi="Arial" w:cs="Arial"/>
          <w:sz w:val="22"/>
          <w:szCs w:val="22"/>
        </w:rPr>
        <w:t xml:space="preserve"> participants had similar responses that link to randomised seating having an impact on their attitude to learning. These responses were ‘I like working with different people’, ‘If I don’t like who I am sitting by I don’t want to work</w:t>
      </w:r>
      <w:r w:rsidR="00F51EF2" w:rsidRPr="001441CA">
        <w:rPr>
          <w:rFonts w:ascii="Arial" w:hAnsi="Arial" w:cs="Arial"/>
          <w:sz w:val="22"/>
          <w:szCs w:val="22"/>
        </w:rPr>
        <w:t xml:space="preserve">’ and ‘I like helping others who need it’. These responses link to Montessori and Clarke’s theory about how mixing the children will have an impact on their learning (Montessori, 1907; Clarke and Hattie, 2018). One of the responses, ‘I like helping others who need it’ provides an interesting conclusion. This response links back to </w:t>
      </w:r>
      <w:r w:rsidR="007F18DB" w:rsidRPr="001441CA">
        <w:rPr>
          <w:rFonts w:ascii="Arial" w:hAnsi="Arial" w:cs="Arial"/>
          <w:sz w:val="22"/>
          <w:szCs w:val="22"/>
        </w:rPr>
        <w:t>Vygotsky’s</w:t>
      </w:r>
      <w:r w:rsidR="00F51EF2" w:rsidRPr="001441CA">
        <w:rPr>
          <w:rFonts w:ascii="Arial" w:hAnsi="Arial" w:cs="Arial"/>
          <w:sz w:val="22"/>
          <w:szCs w:val="22"/>
        </w:rPr>
        <w:t xml:space="preserve"> theory of the more knowledgeable other as the child enjoys helping others and pushing their peers to their full potential (Vygotsky, 1978).</w:t>
      </w:r>
      <w:r w:rsidR="002602AA" w:rsidRPr="001441CA">
        <w:rPr>
          <w:rFonts w:ascii="Arial" w:hAnsi="Arial" w:cs="Arial"/>
          <w:sz w:val="22"/>
          <w:szCs w:val="22"/>
        </w:rPr>
        <w:t xml:space="preserve"> These responses, albeit not all positive, show that randomised groupings do give the opportunity to affect the learners’ attitudes towards learning. A continuation of this along with the considerations of certain children could result in more positive feedback and improved attitudes to learning. </w:t>
      </w:r>
    </w:p>
    <w:p w14:paraId="338F5509" w14:textId="76A9D5A2" w:rsidR="00740B4B" w:rsidRPr="001441CA" w:rsidRDefault="00740B4B">
      <w:pPr>
        <w:rPr>
          <w:rFonts w:ascii="Arial" w:hAnsi="Arial" w:cs="Arial"/>
          <w:sz w:val="22"/>
          <w:szCs w:val="22"/>
        </w:rPr>
      </w:pPr>
    </w:p>
    <w:p w14:paraId="6C75A7D4" w14:textId="32111EFE" w:rsidR="00CC3445" w:rsidRPr="001441CA" w:rsidRDefault="00CC3445" w:rsidP="00CC3445">
      <w:pPr>
        <w:spacing w:line="360" w:lineRule="auto"/>
        <w:rPr>
          <w:rFonts w:ascii="Arial" w:hAnsi="Arial" w:cs="Arial"/>
          <w:sz w:val="22"/>
          <w:szCs w:val="22"/>
        </w:rPr>
      </w:pPr>
      <w:r w:rsidRPr="001441CA">
        <w:rPr>
          <w:rFonts w:ascii="Arial" w:hAnsi="Arial" w:cs="Arial"/>
          <w:sz w:val="22"/>
          <w:szCs w:val="22"/>
        </w:rPr>
        <w:lastRenderedPageBreak/>
        <w:t xml:space="preserve">From conducting the questionnaire research, the limitation of leading questions had </w:t>
      </w:r>
      <w:r w:rsidR="002745AA" w:rsidRPr="001441CA">
        <w:rPr>
          <w:rFonts w:ascii="Arial" w:hAnsi="Arial" w:cs="Arial"/>
          <w:sz w:val="22"/>
          <w:szCs w:val="22"/>
        </w:rPr>
        <w:t>been</w:t>
      </w:r>
      <w:r w:rsidRPr="001441CA">
        <w:rPr>
          <w:rFonts w:ascii="Arial" w:hAnsi="Arial" w:cs="Arial"/>
          <w:sz w:val="22"/>
          <w:szCs w:val="22"/>
        </w:rPr>
        <w:t xml:space="preserve"> considered. Leading questions could affect the reliability of the results leading to researcher bias also coming into question (Dodd and Bradshaw, 1980). However, the questions created </w:t>
      </w:r>
      <w:r w:rsidR="00FA720F" w:rsidRPr="001441CA">
        <w:rPr>
          <w:rFonts w:ascii="Arial" w:hAnsi="Arial" w:cs="Arial"/>
          <w:sz w:val="22"/>
          <w:szCs w:val="22"/>
        </w:rPr>
        <w:t xml:space="preserve">attempted to limit the participants being led towards an answer and further attempted to gain only opinions on the topic in question. </w:t>
      </w:r>
    </w:p>
    <w:p w14:paraId="7286D499" w14:textId="2453BAE4" w:rsidR="0099019D" w:rsidRPr="001441CA" w:rsidRDefault="0099019D">
      <w:pPr>
        <w:rPr>
          <w:rFonts w:ascii="Arial" w:hAnsi="Arial" w:cs="Arial"/>
          <w:sz w:val="22"/>
          <w:szCs w:val="22"/>
        </w:rPr>
      </w:pPr>
    </w:p>
    <w:p w14:paraId="28C0D048" w14:textId="6ABD078B" w:rsidR="007F6AC2" w:rsidRPr="001441CA" w:rsidRDefault="00342AF3" w:rsidP="007D3180">
      <w:pPr>
        <w:spacing w:line="360" w:lineRule="auto"/>
        <w:rPr>
          <w:rFonts w:ascii="Arial" w:hAnsi="Arial" w:cs="Arial"/>
          <w:sz w:val="22"/>
          <w:szCs w:val="22"/>
        </w:rPr>
      </w:pPr>
      <w:r w:rsidRPr="001441CA">
        <w:rPr>
          <w:rFonts w:ascii="Arial" w:hAnsi="Arial" w:cs="Arial"/>
          <w:sz w:val="22"/>
          <w:szCs w:val="22"/>
        </w:rPr>
        <w:t xml:space="preserve">Over the course of the research window the participants within the observation </w:t>
      </w:r>
      <w:r w:rsidR="007F6AC2" w:rsidRPr="001441CA">
        <w:rPr>
          <w:rFonts w:ascii="Arial" w:hAnsi="Arial" w:cs="Arial"/>
          <w:sz w:val="22"/>
          <w:szCs w:val="22"/>
        </w:rPr>
        <w:t xml:space="preserve">presented a difference in each week. Some showed an increase in positive behaviours such as participant 2 on day 1 (Monday) having a major increase within the second week in </w:t>
      </w:r>
      <w:r w:rsidR="002C44E1" w:rsidRPr="001441CA">
        <w:rPr>
          <w:rFonts w:ascii="Arial" w:hAnsi="Arial" w:cs="Arial"/>
          <w:sz w:val="22"/>
          <w:szCs w:val="22"/>
        </w:rPr>
        <w:t>all</w:t>
      </w:r>
      <w:r w:rsidR="007F6AC2" w:rsidRPr="001441CA">
        <w:rPr>
          <w:rFonts w:ascii="Arial" w:hAnsi="Arial" w:cs="Arial"/>
          <w:sz w:val="22"/>
          <w:szCs w:val="22"/>
        </w:rPr>
        <w:t xml:space="preserve"> the behaviours; work related talking, working, </w:t>
      </w:r>
      <w:proofErr w:type="gramStart"/>
      <w:r w:rsidR="007F6AC2" w:rsidRPr="001441CA">
        <w:rPr>
          <w:rFonts w:ascii="Arial" w:hAnsi="Arial" w:cs="Arial"/>
          <w:sz w:val="22"/>
          <w:szCs w:val="22"/>
        </w:rPr>
        <w:t>listening</w:t>
      </w:r>
      <w:proofErr w:type="gramEnd"/>
      <w:r w:rsidR="007F6AC2" w:rsidRPr="001441CA">
        <w:rPr>
          <w:rFonts w:ascii="Arial" w:hAnsi="Arial" w:cs="Arial"/>
          <w:sz w:val="22"/>
          <w:szCs w:val="22"/>
        </w:rPr>
        <w:t xml:space="preserve"> and answering questions about the work. Where participant 2 on day 2 (Tuesday) showed small improvements within the second week on the work-related task behaviour. However, some participants showed an increase in negative behaviours. Participant 2 on day 3 (Wednesday) showed an increase within week 2 in all negative behaviours; not work-related talking, walking around, </w:t>
      </w:r>
      <w:r w:rsidR="00BE26EA" w:rsidRPr="001441CA">
        <w:rPr>
          <w:rFonts w:ascii="Arial" w:hAnsi="Arial" w:cs="Arial"/>
          <w:sz w:val="22"/>
          <w:szCs w:val="22"/>
        </w:rPr>
        <w:t>daydreaming,</w:t>
      </w:r>
      <w:r w:rsidR="007F6AC2" w:rsidRPr="001441CA">
        <w:rPr>
          <w:rFonts w:ascii="Arial" w:hAnsi="Arial" w:cs="Arial"/>
          <w:sz w:val="22"/>
          <w:szCs w:val="22"/>
        </w:rPr>
        <w:t xml:space="preserve"> and seeking attention. </w:t>
      </w:r>
    </w:p>
    <w:p w14:paraId="268FC116" w14:textId="73EF2B13" w:rsidR="007F6AC2" w:rsidRPr="001441CA" w:rsidRDefault="007F6AC2" w:rsidP="007D3180">
      <w:pPr>
        <w:spacing w:line="360" w:lineRule="auto"/>
        <w:rPr>
          <w:rFonts w:ascii="Arial" w:hAnsi="Arial" w:cs="Arial"/>
          <w:sz w:val="22"/>
          <w:szCs w:val="22"/>
        </w:rPr>
      </w:pPr>
    </w:p>
    <w:p w14:paraId="257A20A8" w14:textId="4944182F" w:rsidR="001961EF" w:rsidRPr="001441CA" w:rsidRDefault="007F6AC2" w:rsidP="007D3180">
      <w:pPr>
        <w:spacing w:line="360" w:lineRule="auto"/>
        <w:rPr>
          <w:rFonts w:ascii="Arial" w:hAnsi="Arial" w:cs="Arial"/>
          <w:sz w:val="22"/>
          <w:szCs w:val="22"/>
        </w:rPr>
      </w:pPr>
      <w:r w:rsidRPr="001441CA">
        <w:rPr>
          <w:rFonts w:ascii="Arial" w:hAnsi="Arial" w:cs="Arial"/>
          <w:sz w:val="22"/>
          <w:szCs w:val="22"/>
        </w:rPr>
        <w:t xml:space="preserve">The above results show a conclusion that randomised seating does affect. Performance and attitudes towards learning within the classroom. However, </w:t>
      </w:r>
      <w:r w:rsidR="00BE26EA" w:rsidRPr="001441CA">
        <w:rPr>
          <w:rFonts w:ascii="Arial" w:hAnsi="Arial" w:cs="Arial"/>
          <w:sz w:val="22"/>
          <w:szCs w:val="22"/>
        </w:rPr>
        <w:t>the positive increase in desired classroom behaviours was overall apparent within the data. Participant 2 on day 1 showed a dramatic increase in behaviours, it will be useful to note that this participant has ALN and is considered within the low ability category. The data suggests that by randomising the seating and. Having mixed abilities allowed for participant 2 to thrive and grow within their learning through this week, linking back to Clarke (2014), Vygotsky (1978) and Montessori (1907) in using mixed abilities to increase students attitudes towards learning and having a more knowledgeable other to support them in this. Having a higher ability student next to participant 2 allowed them to thrive and be more included in the classroom, both in the introduction and the work itself having a positive impact on their self-esteem and confidence (Dovidio and Gaertner, 1990</w:t>
      </w:r>
      <w:r w:rsidR="007A6430" w:rsidRPr="001441CA">
        <w:rPr>
          <w:rFonts w:ascii="Arial" w:hAnsi="Arial" w:cs="Arial"/>
          <w:sz w:val="22"/>
          <w:szCs w:val="22"/>
        </w:rPr>
        <w:t>; Clark, 1993</w:t>
      </w:r>
      <w:r w:rsidR="00BE26EA" w:rsidRPr="001441CA">
        <w:rPr>
          <w:rFonts w:ascii="Arial" w:hAnsi="Arial" w:cs="Arial"/>
          <w:sz w:val="22"/>
          <w:szCs w:val="22"/>
        </w:rPr>
        <w:t xml:space="preserve">). Although, the negatives shown by participant 2 on day 3 provide </w:t>
      </w:r>
      <w:r w:rsidR="007A6430" w:rsidRPr="001441CA">
        <w:rPr>
          <w:rFonts w:ascii="Arial" w:hAnsi="Arial" w:cs="Arial"/>
          <w:sz w:val="22"/>
          <w:szCs w:val="22"/>
        </w:rPr>
        <w:t xml:space="preserve">a </w:t>
      </w:r>
      <w:r w:rsidR="00BE26EA" w:rsidRPr="001441CA">
        <w:rPr>
          <w:rFonts w:ascii="Arial" w:hAnsi="Arial" w:cs="Arial"/>
          <w:sz w:val="22"/>
          <w:szCs w:val="22"/>
        </w:rPr>
        <w:t>further insight into the consideration of ALN students strengthening the argument put forward by Clarke and Hattie (2018) which was similarly displayed within the results of the questionnaires suggesting an overall pattern in effectiveness on attitudes to learning.</w:t>
      </w:r>
      <w:r w:rsidR="007A6430" w:rsidRPr="001441CA">
        <w:rPr>
          <w:rFonts w:ascii="Arial" w:hAnsi="Arial" w:cs="Arial"/>
          <w:sz w:val="22"/>
          <w:szCs w:val="22"/>
        </w:rPr>
        <w:t xml:space="preserve"> </w:t>
      </w:r>
      <w:r w:rsidR="00BE26EA" w:rsidRPr="001441CA">
        <w:rPr>
          <w:rFonts w:ascii="Arial" w:hAnsi="Arial" w:cs="Arial"/>
          <w:sz w:val="22"/>
          <w:szCs w:val="22"/>
        </w:rPr>
        <w:t xml:space="preserve"> </w:t>
      </w:r>
    </w:p>
    <w:p w14:paraId="7D105A84" w14:textId="11E01049" w:rsidR="00882369" w:rsidRPr="001441CA" w:rsidRDefault="001961EF" w:rsidP="00C45766">
      <w:pPr>
        <w:spacing w:before="240" w:line="360" w:lineRule="auto"/>
        <w:rPr>
          <w:rFonts w:ascii="Arial" w:hAnsi="Arial" w:cs="Arial"/>
          <w:sz w:val="22"/>
          <w:szCs w:val="22"/>
        </w:rPr>
      </w:pPr>
      <w:r w:rsidRPr="001441CA">
        <w:rPr>
          <w:rFonts w:ascii="Arial" w:hAnsi="Arial" w:cs="Arial"/>
          <w:sz w:val="22"/>
          <w:szCs w:val="22"/>
        </w:rPr>
        <w:t xml:space="preserve">During the observation, the research schedule was adhered to throughout to maintain data that is trustworthy and reliable. The research method of observation proved to be difficult within the classroom setting. The low number of participants did assist in the process however a classroom is a busy environment resulting in a possible inconsistence with the coherence of the </w:t>
      </w:r>
      <w:r w:rsidRPr="001441CA">
        <w:rPr>
          <w:rFonts w:ascii="Arial" w:hAnsi="Arial" w:cs="Arial"/>
          <w:sz w:val="22"/>
          <w:szCs w:val="22"/>
        </w:rPr>
        <w:lastRenderedPageBreak/>
        <w:t>results.</w:t>
      </w:r>
      <w:r w:rsidR="00C45766" w:rsidRPr="001441CA">
        <w:rPr>
          <w:rFonts w:ascii="Arial" w:hAnsi="Arial" w:cs="Arial"/>
          <w:sz w:val="22"/>
          <w:szCs w:val="22"/>
        </w:rPr>
        <w:t xml:space="preserve"> Researcher bias could once again be brought into question as researcher fatigue would have been a high possibility and could result in this data having a low validity (Street, 2012; </w:t>
      </w:r>
      <w:proofErr w:type="spellStart"/>
      <w:r w:rsidR="00C45766" w:rsidRPr="001441CA">
        <w:rPr>
          <w:rFonts w:ascii="Arial" w:hAnsi="Arial" w:cs="Arial"/>
          <w:sz w:val="22"/>
          <w:szCs w:val="22"/>
        </w:rPr>
        <w:t>Swanborn</w:t>
      </w:r>
      <w:proofErr w:type="spellEnd"/>
      <w:r w:rsidR="00C45766" w:rsidRPr="001441CA">
        <w:rPr>
          <w:rFonts w:ascii="Arial" w:hAnsi="Arial" w:cs="Arial"/>
          <w:sz w:val="22"/>
          <w:szCs w:val="22"/>
        </w:rPr>
        <w:t>, 2010).</w:t>
      </w:r>
      <w:r w:rsidR="00882369" w:rsidRPr="001441CA">
        <w:rPr>
          <w:rFonts w:ascii="Arial" w:hAnsi="Arial" w:cs="Arial"/>
          <w:sz w:val="22"/>
          <w:szCs w:val="22"/>
        </w:rPr>
        <w:t xml:space="preserve"> These limitations were considered when completing the process which strengthens the importance of having an observation schedule </w:t>
      </w:r>
      <w:r w:rsidR="003E12DC" w:rsidRPr="001441CA">
        <w:rPr>
          <w:rFonts w:ascii="Arial" w:hAnsi="Arial" w:cs="Arial"/>
          <w:sz w:val="22"/>
          <w:szCs w:val="22"/>
        </w:rPr>
        <w:t>to</w:t>
      </w:r>
      <w:r w:rsidR="00882369" w:rsidRPr="001441CA">
        <w:rPr>
          <w:rFonts w:ascii="Arial" w:hAnsi="Arial" w:cs="Arial"/>
          <w:sz w:val="22"/>
          <w:szCs w:val="22"/>
        </w:rPr>
        <w:t xml:space="preserve"> replicate the process accurately.</w:t>
      </w:r>
    </w:p>
    <w:p w14:paraId="09D5113B" w14:textId="4E02B343" w:rsidR="00D10FA6" w:rsidRPr="001441CA" w:rsidRDefault="00D10FA6">
      <w:pPr>
        <w:rPr>
          <w:rFonts w:ascii="Arial" w:hAnsi="Arial" w:cs="Arial"/>
          <w:sz w:val="22"/>
          <w:szCs w:val="22"/>
        </w:rPr>
      </w:pPr>
    </w:p>
    <w:p w14:paraId="0A829429" w14:textId="1FB398F6" w:rsidR="000E2E03" w:rsidRPr="001441CA" w:rsidRDefault="00D10FA6" w:rsidP="005728F5">
      <w:pPr>
        <w:spacing w:line="360" w:lineRule="auto"/>
        <w:rPr>
          <w:rFonts w:ascii="Arial" w:hAnsi="Arial" w:cs="Arial"/>
          <w:sz w:val="22"/>
          <w:szCs w:val="22"/>
        </w:rPr>
      </w:pPr>
      <w:r w:rsidRPr="001441CA">
        <w:rPr>
          <w:rFonts w:ascii="Arial" w:hAnsi="Arial" w:cs="Arial"/>
          <w:sz w:val="22"/>
          <w:szCs w:val="22"/>
        </w:rPr>
        <w:t xml:space="preserve">Using a case study to research ‘What is the relationship between student groupings and motivation/attitudes to learning?’ has proven to </w:t>
      </w:r>
      <w:r w:rsidR="007107F2" w:rsidRPr="001441CA">
        <w:rPr>
          <w:rFonts w:ascii="Arial" w:hAnsi="Arial" w:cs="Arial"/>
          <w:sz w:val="22"/>
          <w:szCs w:val="22"/>
        </w:rPr>
        <w:t>provide</w:t>
      </w:r>
      <w:r w:rsidR="00240C8D" w:rsidRPr="001441CA">
        <w:rPr>
          <w:rFonts w:ascii="Arial" w:hAnsi="Arial" w:cs="Arial"/>
          <w:sz w:val="22"/>
          <w:szCs w:val="22"/>
        </w:rPr>
        <w:t xml:space="preserve"> </w:t>
      </w:r>
      <w:r w:rsidR="004B205A" w:rsidRPr="001441CA">
        <w:rPr>
          <w:rFonts w:ascii="Arial" w:hAnsi="Arial" w:cs="Arial"/>
          <w:sz w:val="22"/>
          <w:szCs w:val="22"/>
        </w:rPr>
        <w:t>interesting</w:t>
      </w:r>
      <w:r w:rsidR="00240C8D" w:rsidRPr="001441CA">
        <w:rPr>
          <w:rFonts w:ascii="Arial" w:hAnsi="Arial" w:cs="Arial"/>
          <w:sz w:val="22"/>
          <w:szCs w:val="22"/>
        </w:rPr>
        <w:t xml:space="preserve"> results. The research has shown that the theory of randomised seating, put forward by Clarke (2014), does provide an impact on attitudes within learning. However, as found, these attitudes are not always positive. Despite this, there is reasoning to understand that children with ALN need to be considered within the classroom when seating the children randomly (Clarke and Hattie, 2018). </w:t>
      </w:r>
      <w:r w:rsidR="004B205A" w:rsidRPr="001441CA">
        <w:rPr>
          <w:rFonts w:ascii="Arial" w:hAnsi="Arial" w:cs="Arial"/>
          <w:sz w:val="22"/>
          <w:szCs w:val="22"/>
        </w:rPr>
        <w:t xml:space="preserve">From </w:t>
      </w:r>
      <w:r w:rsidR="00240C8D" w:rsidRPr="001441CA">
        <w:rPr>
          <w:rFonts w:ascii="Arial" w:hAnsi="Arial" w:cs="Arial"/>
          <w:sz w:val="22"/>
          <w:szCs w:val="22"/>
        </w:rPr>
        <w:t>considering these individuals</w:t>
      </w:r>
      <w:r w:rsidR="004B205A" w:rsidRPr="001441CA">
        <w:rPr>
          <w:rFonts w:ascii="Arial" w:hAnsi="Arial" w:cs="Arial"/>
          <w:sz w:val="22"/>
          <w:szCs w:val="22"/>
        </w:rPr>
        <w:t xml:space="preserve">, this </w:t>
      </w:r>
      <w:r w:rsidR="00240C8D" w:rsidRPr="001441CA">
        <w:rPr>
          <w:rFonts w:ascii="Arial" w:hAnsi="Arial" w:cs="Arial"/>
          <w:sz w:val="22"/>
          <w:szCs w:val="22"/>
        </w:rPr>
        <w:t xml:space="preserve">will allow for a positive outcome of this theory. Some of the participants within the research with ALN were not considered at the time and therefore suggests the link between randomised seating and low self-esteem (Clark, 1993). These conclusions result in the overall thought that randomised seating should continue to be used within the classroom. </w:t>
      </w:r>
    </w:p>
    <w:p w14:paraId="5265E7D2" w14:textId="77777777" w:rsidR="000E2E03" w:rsidRPr="001441CA" w:rsidRDefault="000E2E03" w:rsidP="005728F5">
      <w:pPr>
        <w:spacing w:line="360" w:lineRule="auto"/>
        <w:rPr>
          <w:rFonts w:ascii="Arial" w:hAnsi="Arial" w:cs="Arial"/>
          <w:sz w:val="22"/>
          <w:szCs w:val="22"/>
        </w:rPr>
      </w:pPr>
    </w:p>
    <w:p w14:paraId="58A3FF55" w14:textId="15D9CA62" w:rsidR="00D10FA6" w:rsidRPr="001441CA" w:rsidRDefault="00240C8D" w:rsidP="005728F5">
      <w:pPr>
        <w:spacing w:line="360" w:lineRule="auto"/>
        <w:rPr>
          <w:rFonts w:ascii="Arial" w:hAnsi="Arial" w:cs="Arial"/>
          <w:sz w:val="22"/>
          <w:szCs w:val="22"/>
        </w:rPr>
      </w:pPr>
      <w:r w:rsidRPr="001441CA">
        <w:rPr>
          <w:rFonts w:ascii="Arial" w:hAnsi="Arial" w:cs="Arial"/>
          <w:sz w:val="22"/>
          <w:szCs w:val="22"/>
        </w:rPr>
        <w:t xml:space="preserve">The practitioner leading </w:t>
      </w:r>
      <w:r w:rsidR="000E2E03" w:rsidRPr="001441CA">
        <w:rPr>
          <w:rFonts w:ascii="Arial" w:hAnsi="Arial" w:cs="Arial"/>
          <w:sz w:val="22"/>
          <w:szCs w:val="22"/>
        </w:rPr>
        <w:t xml:space="preserve">the theory practice knows their class and can consider the children with ALN and in result </w:t>
      </w:r>
      <w:r w:rsidR="001E263B" w:rsidRPr="001441CA">
        <w:rPr>
          <w:rFonts w:ascii="Arial" w:hAnsi="Arial" w:cs="Arial"/>
          <w:sz w:val="22"/>
          <w:szCs w:val="22"/>
        </w:rPr>
        <w:t xml:space="preserve">randomly </w:t>
      </w:r>
      <w:r w:rsidR="000E2E03" w:rsidRPr="001441CA">
        <w:rPr>
          <w:rFonts w:ascii="Arial" w:hAnsi="Arial" w:cs="Arial"/>
          <w:sz w:val="22"/>
          <w:szCs w:val="22"/>
        </w:rPr>
        <w:t>choose their talk partner</w:t>
      </w:r>
      <w:r w:rsidR="001E263B" w:rsidRPr="001441CA">
        <w:rPr>
          <w:rFonts w:ascii="Arial" w:hAnsi="Arial" w:cs="Arial"/>
          <w:sz w:val="22"/>
          <w:szCs w:val="22"/>
        </w:rPr>
        <w:t>s</w:t>
      </w:r>
      <w:r w:rsidR="000E2E03" w:rsidRPr="001441CA">
        <w:rPr>
          <w:rFonts w:ascii="Arial" w:hAnsi="Arial" w:cs="Arial"/>
          <w:sz w:val="22"/>
          <w:szCs w:val="22"/>
        </w:rPr>
        <w:t xml:space="preserve">. </w:t>
      </w:r>
      <w:r w:rsidR="00A55714" w:rsidRPr="001441CA">
        <w:rPr>
          <w:rFonts w:ascii="Arial" w:hAnsi="Arial" w:cs="Arial"/>
          <w:sz w:val="22"/>
          <w:szCs w:val="22"/>
        </w:rPr>
        <w:t xml:space="preserve">The </w:t>
      </w:r>
      <w:r w:rsidR="000E2E03" w:rsidRPr="001441CA">
        <w:rPr>
          <w:rFonts w:ascii="Arial" w:hAnsi="Arial" w:cs="Arial"/>
          <w:sz w:val="22"/>
          <w:szCs w:val="22"/>
        </w:rPr>
        <w:t xml:space="preserve">practitioner can </w:t>
      </w:r>
      <w:r w:rsidR="00A55714" w:rsidRPr="001441CA">
        <w:rPr>
          <w:rFonts w:ascii="Arial" w:hAnsi="Arial" w:cs="Arial"/>
          <w:sz w:val="22"/>
          <w:szCs w:val="22"/>
        </w:rPr>
        <w:t xml:space="preserve">therefore </w:t>
      </w:r>
      <w:r w:rsidR="000E2E03" w:rsidRPr="001441CA">
        <w:rPr>
          <w:rFonts w:ascii="Arial" w:hAnsi="Arial" w:cs="Arial"/>
          <w:sz w:val="22"/>
          <w:szCs w:val="22"/>
        </w:rPr>
        <w:t>have</w:t>
      </w:r>
      <w:r w:rsidR="001E263B" w:rsidRPr="001441CA">
        <w:rPr>
          <w:rFonts w:ascii="Arial" w:hAnsi="Arial" w:cs="Arial"/>
          <w:sz w:val="22"/>
          <w:szCs w:val="22"/>
        </w:rPr>
        <w:t xml:space="preserve"> </w:t>
      </w:r>
      <w:r w:rsidR="000E2E03" w:rsidRPr="001441CA">
        <w:rPr>
          <w:rFonts w:ascii="Arial" w:hAnsi="Arial" w:cs="Arial"/>
          <w:sz w:val="22"/>
          <w:szCs w:val="22"/>
        </w:rPr>
        <w:t xml:space="preserve">control over who is </w:t>
      </w:r>
      <w:r w:rsidR="00A55714" w:rsidRPr="001441CA">
        <w:rPr>
          <w:rFonts w:ascii="Arial" w:hAnsi="Arial" w:cs="Arial"/>
          <w:sz w:val="22"/>
          <w:szCs w:val="22"/>
        </w:rPr>
        <w:t>where</w:t>
      </w:r>
      <w:r w:rsidR="000E2E03" w:rsidRPr="001441CA">
        <w:rPr>
          <w:rFonts w:ascii="Arial" w:hAnsi="Arial" w:cs="Arial"/>
          <w:sz w:val="22"/>
          <w:szCs w:val="22"/>
        </w:rPr>
        <w:t xml:space="preserve"> </w:t>
      </w:r>
      <w:r w:rsidR="00A55714" w:rsidRPr="001441CA">
        <w:rPr>
          <w:rFonts w:ascii="Arial" w:hAnsi="Arial" w:cs="Arial"/>
          <w:sz w:val="22"/>
          <w:szCs w:val="22"/>
        </w:rPr>
        <w:t xml:space="preserve">to lessen </w:t>
      </w:r>
      <w:r w:rsidR="000E2E03" w:rsidRPr="001441CA">
        <w:rPr>
          <w:rFonts w:ascii="Arial" w:hAnsi="Arial" w:cs="Arial"/>
          <w:sz w:val="22"/>
          <w:szCs w:val="22"/>
        </w:rPr>
        <w:t>disruption.</w:t>
      </w:r>
      <w:r w:rsidR="001E263B" w:rsidRPr="001441CA">
        <w:rPr>
          <w:rFonts w:ascii="Arial" w:hAnsi="Arial" w:cs="Arial"/>
          <w:sz w:val="22"/>
          <w:szCs w:val="22"/>
        </w:rPr>
        <w:t xml:space="preserve"> </w:t>
      </w:r>
      <w:r w:rsidR="000E2E03" w:rsidRPr="001441CA">
        <w:rPr>
          <w:rFonts w:ascii="Arial" w:hAnsi="Arial" w:cs="Arial"/>
          <w:sz w:val="22"/>
          <w:szCs w:val="22"/>
        </w:rPr>
        <w:t>This would be my recommendation in continuation with this theory</w:t>
      </w:r>
      <w:r w:rsidR="001E263B" w:rsidRPr="001441CA">
        <w:rPr>
          <w:rFonts w:ascii="Arial" w:hAnsi="Arial" w:cs="Arial"/>
          <w:sz w:val="22"/>
          <w:szCs w:val="22"/>
        </w:rPr>
        <w:t xml:space="preserve"> moving forward</w:t>
      </w:r>
      <w:r w:rsidR="000E2E03" w:rsidRPr="001441CA">
        <w:rPr>
          <w:rFonts w:ascii="Arial" w:hAnsi="Arial" w:cs="Arial"/>
          <w:sz w:val="22"/>
          <w:szCs w:val="22"/>
        </w:rPr>
        <w:t xml:space="preserve">. </w:t>
      </w:r>
    </w:p>
    <w:p w14:paraId="7C93A1AA" w14:textId="1C1493A6" w:rsidR="00F8631B" w:rsidRDefault="00F8631B"/>
    <w:p w14:paraId="34C53915" w14:textId="0743B516" w:rsidR="007107F2" w:rsidRDefault="001441CA">
      <w:r>
        <w:t>Word count:</w:t>
      </w:r>
    </w:p>
    <w:p w14:paraId="3C0A0575" w14:textId="4B86D081" w:rsidR="001441CA" w:rsidRDefault="001441CA"/>
    <w:p w14:paraId="0DF9B198" w14:textId="3F1EC7B2" w:rsidR="001441CA" w:rsidRDefault="001441CA"/>
    <w:p w14:paraId="1ADFC957" w14:textId="163BC1A2" w:rsidR="001441CA" w:rsidRDefault="001441CA"/>
    <w:p w14:paraId="0D803215" w14:textId="0A0DF506" w:rsidR="001441CA" w:rsidRDefault="001441CA"/>
    <w:p w14:paraId="547D8CCB" w14:textId="6F8F28A0" w:rsidR="001441CA" w:rsidRDefault="001441CA"/>
    <w:p w14:paraId="62167D01" w14:textId="70D75BE0" w:rsidR="001441CA" w:rsidRDefault="001441CA"/>
    <w:p w14:paraId="10EC8E4C" w14:textId="5E1BBF11" w:rsidR="002C44E1" w:rsidRDefault="002C44E1"/>
    <w:p w14:paraId="697DD7A0" w14:textId="77777777" w:rsidR="002C44E1" w:rsidRDefault="002C44E1"/>
    <w:p w14:paraId="42DD8697" w14:textId="478128D8" w:rsidR="001441CA" w:rsidRDefault="001441CA"/>
    <w:p w14:paraId="4108C614" w14:textId="08A3BE6B" w:rsidR="001441CA" w:rsidRDefault="001441CA"/>
    <w:p w14:paraId="0CCCB77C" w14:textId="24A7D4C2" w:rsidR="001441CA" w:rsidRDefault="001441CA"/>
    <w:p w14:paraId="5599DF9B" w14:textId="0B2421F1" w:rsidR="001441CA" w:rsidRDefault="001441CA"/>
    <w:p w14:paraId="0436CBDC" w14:textId="77777777" w:rsidR="001441CA" w:rsidRDefault="001441CA"/>
    <w:p w14:paraId="3B10B638" w14:textId="77777777" w:rsidR="001441CA" w:rsidRDefault="001441CA"/>
    <w:p w14:paraId="1A0D96F2" w14:textId="57A06EA5" w:rsidR="00F8631B" w:rsidRDefault="00F8631B">
      <w:pPr>
        <w:rPr>
          <w:rFonts w:ascii="Arial" w:hAnsi="Arial" w:cs="Arial"/>
          <w:sz w:val="28"/>
          <w:szCs w:val="28"/>
          <w:u w:val="single"/>
        </w:rPr>
      </w:pPr>
      <w:r w:rsidRPr="001441CA">
        <w:rPr>
          <w:rFonts w:ascii="Arial" w:hAnsi="Arial" w:cs="Arial"/>
          <w:sz w:val="28"/>
          <w:szCs w:val="28"/>
          <w:u w:val="single"/>
        </w:rPr>
        <w:lastRenderedPageBreak/>
        <w:t>References:</w:t>
      </w:r>
    </w:p>
    <w:p w14:paraId="40C18476" w14:textId="77777777" w:rsidR="00F148F5" w:rsidRPr="001441CA" w:rsidRDefault="00F148F5">
      <w:pPr>
        <w:rPr>
          <w:rFonts w:ascii="Arial" w:hAnsi="Arial" w:cs="Arial"/>
          <w:sz w:val="28"/>
          <w:szCs w:val="28"/>
          <w:u w:val="single"/>
        </w:rPr>
      </w:pPr>
    </w:p>
    <w:p w14:paraId="104C3C8B" w14:textId="57BB5C36" w:rsidR="00F148F5" w:rsidRPr="008F3A84" w:rsidRDefault="00F148F5" w:rsidP="00F148F5">
      <w:pPr>
        <w:pStyle w:val="NormalWeb"/>
        <w:ind w:left="567" w:hanging="567"/>
        <w:rPr>
          <w:sz w:val="22"/>
          <w:szCs w:val="22"/>
        </w:rPr>
      </w:pPr>
      <w:r w:rsidRPr="008F3A84">
        <w:rPr>
          <w:sz w:val="22"/>
          <w:szCs w:val="22"/>
        </w:rPr>
        <w:t xml:space="preserve">2023) </w:t>
      </w:r>
      <w:r w:rsidRPr="008F3A84">
        <w:rPr>
          <w:i/>
          <w:iCs/>
          <w:sz w:val="22"/>
          <w:szCs w:val="22"/>
        </w:rPr>
        <w:t>The Roving Bookshop</w:t>
      </w:r>
      <w:r w:rsidRPr="008F3A84">
        <w:rPr>
          <w:sz w:val="22"/>
          <w:szCs w:val="22"/>
        </w:rPr>
        <w:t>. Available at: https://wp.rovingbooks.com/welcome-to-shirley-clarkes-training-resources-bookshop/ (Accessed: February 22, 2023).</w:t>
      </w:r>
    </w:p>
    <w:p w14:paraId="2F3304AB" w14:textId="4B1218BF" w:rsidR="00F148F5" w:rsidRPr="008F3A84" w:rsidRDefault="00F148F5" w:rsidP="00F148F5">
      <w:pPr>
        <w:pStyle w:val="NormalWeb"/>
        <w:ind w:left="567" w:hanging="567"/>
        <w:rPr>
          <w:sz w:val="22"/>
          <w:szCs w:val="22"/>
        </w:rPr>
      </w:pPr>
      <w:proofErr w:type="spellStart"/>
      <w:r w:rsidRPr="008F3A84">
        <w:rPr>
          <w:sz w:val="22"/>
          <w:szCs w:val="22"/>
        </w:rPr>
        <w:t>Akbayrak</w:t>
      </w:r>
      <w:proofErr w:type="spellEnd"/>
      <w:r w:rsidRPr="008F3A84">
        <w:rPr>
          <w:sz w:val="22"/>
          <w:szCs w:val="22"/>
        </w:rPr>
        <w:t>, B. (2000) “A comparison of two data collecting. Methods: interviews and questionnaires.”</w:t>
      </w:r>
    </w:p>
    <w:p w14:paraId="5346EE1C" w14:textId="50C76F8F" w:rsidR="00F148F5" w:rsidRPr="008F3A84" w:rsidRDefault="00F148F5" w:rsidP="00F148F5">
      <w:pPr>
        <w:pStyle w:val="NormalWeb"/>
        <w:ind w:left="567" w:hanging="567"/>
        <w:rPr>
          <w:sz w:val="22"/>
          <w:szCs w:val="22"/>
        </w:rPr>
      </w:pPr>
      <w:r w:rsidRPr="008F3A84">
        <w:rPr>
          <w:sz w:val="22"/>
          <w:szCs w:val="22"/>
        </w:rPr>
        <w:t xml:space="preserve">Amato, P.R. (1990) “Personality and social network involvement as predictors of helping </w:t>
      </w:r>
      <w:proofErr w:type="spellStart"/>
      <w:r w:rsidRPr="008F3A84">
        <w:rPr>
          <w:sz w:val="22"/>
          <w:szCs w:val="22"/>
        </w:rPr>
        <w:t>behavior</w:t>
      </w:r>
      <w:proofErr w:type="spellEnd"/>
      <w:r w:rsidRPr="008F3A84">
        <w:rPr>
          <w:sz w:val="22"/>
          <w:szCs w:val="22"/>
        </w:rPr>
        <w:t xml:space="preserve"> in Everyday Life,” </w:t>
      </w:r>
      <w:r w:rsidRPr="008F3A84">
        <w:rPr>
          <w:i/>
          <w:iCs/>
          <w:sz w:val="22"/>
          <w:szCs w:val="22"/>
        </w:rPr>
        <w:t>Social Psychology Quarterly</w:t>
      </w:r>
      <w:r w:rsidRPr="008F3A84">
        <w:rPr>
          <w:sz w:val="22"/>
          <w:szCs w:val="22"/>
        </w:rPr>
        <w:t xml:space="preserve">, 53(1), p. 31. Available at: https://doi.org/10.2307/2786867. </w:t>
      </w:r>
    </w:p>
    <w:p w14:paraId="0E0FA595" w14:textId="5BADC7BB" w:rsidR="00F148F5" w:rsidRPr="008F3A84" w:rsidRDefault="00F148F5" w:rsidP="00F148F5">
      <w:pPr>
        <w:pStyle w:val="NormalWeb"/>
        <w:ind w:left="567" w:hanging="567"/>
        <w:rPr>
          <w:sz w:val="22"/>
          <w:szCs w:val="22"/>
        </w:rPr>
      </w:pPr>
      <w:r w:rsidRPr="008F3A84">
        <w:rPr>
          <w:sz w:val="22"/>
          <w:szCs w:val="22"/>
        </w:rPr>
        <w:t xml:space="preserve">Barroso, J., </w:t>
      </w:r>
      <w:proofErr w:type="spellStart"/>
      <w:r w:rsidRPr="008F3A84">
        <w:rPr>
          <w:sz w:val="22"/>
          <w:szCs w:val="22"/>
        </w:rPr>
        <w:t>Sandelowski</w:t>
      </w:r>
      <w:proofErr w:type="spellEnd"/>
      <w:r w:rsidRPr="008F3A84">
        <w:rPr>
          <w:sz w:val="22"/>
          <w:szCs w:val="22"/>
        </w:rPr>
        <w:t xml:space="preserve">, M. and </w:t>
      </w:r>
      <w:proofErr w:type="spellStart"/>
      <w:r w:rsidRPr="008F3A84">
        <w:rPr>
          <w:sz w:val="22"/>
          <w:szCs w:val="22"/>
        </w:rPr>
        <w:t>Voils</w:t>
      </w:r>
      <w:proofErr w:type="spellEnd"/>
      <w:r w:rsidRPr="008F3A84">
        <w:rPr>
          <w:sz w:val="22"/>
          <w:szCs w:val="22"/>
        </w:rPr>
        <w:t xml:space="preserve">, C.I. (2006) “Research results have expiration dates: Ensuring Timely Systematic Reviews,” </w:t>
      </w:r>
      <w:r w:rsidRPr="008F3A84">
        <w:rPr>
          <w:i/>
          <w:iCs/>
          <w:sz w:val="22"/>
          <w:szCs w:val="22"/>
        </w:rPr>
        <w:t>Journal of Evaluation in Clinical Practice</w:t>
      </w:r>
      <w:r w:rsidRPr="008F3A84">
        <w:rPr>
          <w:sz w:val="22"/>
          <w:szCs w:val="22"/>
        </w:rPr>
        <w:t xml:space="preserve">, 12(4), pp. 454–462. Available at: https://doi.org/10.1111/j.1365-2753.2006.00729.x. </w:t>
      </w:r>
    </w:p>
    <w:p w14:paraId="4B4AD4CE" w14:textId="18CDC07B" w:rsidR="00F148F5" w:rsidRPr="008F3A84" w:rsidRDefault="00F148F5" w:rsidP="00F148F5">
      <w:pPr>
        <w:pStyle w:val="NormalWeb"/>
        <w:ind w:left="567" w:hanging="567"/>
        <w:rPr>
          <w:sz w:val="22"/>
          <w:szCs w:val="22"/>
        </w:rPr>
      </w:pPr>
      <w:r w:rsidRPr="008F3A84">
        <w:rPr>
          <w:sz w:val="22"/>
          <w:szCs w:val="22"/>
        </w:rPr>
        <w:t xml:space="preserve"> </w:t>
      </w:r>
      <w:proofErr w:type="spellStart"/>
      <w:r w:rsidRPr="008F3A84">
        <w:rPr>
          <w:sz w:val="22"/>
          <w:szCs w:val="22"/>
        </w:rPr>
        <w:t>Brattin</w:t>
      </w:r>
      <w:proofErr w:type="spellEnd"/>
      <w:r w:rsidRPr="008F3A84">
        <w:rPr>
          <w:sz w:val="22"/>
          <w:szCs w:val="22"/>
        </w:rPr>
        <w:t xml:space="preserve">, B.C. (1991) </w:t>
      </w:r>
      <w:r w:rsidRPr="008F3A84">
        <w:rPr>
          <w:i/>
          <w:iCs/>
          <w:sz w:val="22"/>
          <w:szCs w:val="22"/>
        </w:rPr>
        <w:t>Quantitative methods in library and information science literature descriptive vs. inferential statistics</w:t>
      </w:r>
      <w:r w:rsidRPr="008F3A84">
        <w:rPr>
          <w:sz w:val="22"/>
          <w:szCs w:val="22"/>
        </w:rPr>
        <w:t xml:space="preserve">. Distributed by ERIC Clearinghouse. </w:t>
      </w:r>
    </w:p>
    <w:p w14:paraId="285DF9B0" w14:textId="237845BC" w:rsidR="00D448FA" w:rsidRPr="008F3A84" w:rsidRDefault="00D448FA" w:rsidP="00D448FA">
      <w:pPr>
        <w:pStyle w:val="NormalWeb"/>
        <w:ind w:left="567" w:hanging="567"/>
        <w:rPr>
          <w:sz w:val="22"/>
          <w:szCs w:val="22"/>
        </w:rPr>
      </w:pPr>
      <w:r w:rsidRPr="008F3A84">
        <w:rPr>
          <w:sz w:val="22"/>
          <w:szCs w:val="22"/>
        </w:rPr>
        <w:t xml:space="preserve">Bronfenbrenner, K. (2007) </w:t>
      </w:r>
      <w:r w:rsidRPr="008F3A84">
        <w:rPr>
          <w:i/>
          <w:iCs/>
          <w:sz w:val="22"/>
          <w:szCs w:val="22"/>
        </w:rPr>
        <w:t>Global unions challenging transnational capital through cross-border campaigns</w:t>
      </w:r>
      <w:r w:rsidRPr="008F3A84">
        <w:rPr>
          <w:sz w:val="22"/>
          <w:szCs w:val="22"/>
        </w:rPr>
        <w:t xml:space="preserve">. Ithaca N.Y.: ILR Press/Cornell University Press. </w:t>
      </w:r>
    </w:p>
    <w:p w14:paraId="171079B9" w14:textId="05618568" w:rsidR="00D448FA" w:rsidRPr="008F3A84" w:rsidRDefault="00D448FA" w:rsidP="00D448FA">
      <w:pPr>
        <w:pStyle w:val="NormalWeb"/>
        <w:ind w:left="567" w:hanging="567"/>
        <w:rPr>
          <w:sz w:val="22"/>
          <w:szCs w:val="22"/>
        </w:rPr>
      </w:pPr>
      <w:r w:rsidRPr="008F3A84">
        <w:rPr>
          <w:sz w:val="22"/>
          <w:szCs w:val="22"/>
        </w:rPr>
        <w:t xml:space="preserve">Chapple, C. </w:t>
      </w:r>
      <w:r w:rsidRPr="008F3A84">
        <w:rPr>
          <w:i/>
          <w:iCs/>
          <w:sz w:val="22"/>
          <w:szCs w:val="22"/>
        </w:rPr>
        <w:t>et al.</w:t>
      </w:r>
      <w:r w:rsidRPr="008F3A84">
        <w:rPr>
          <w:sz w:val="22"/>
          <w:szCs w:val="22"/>
        </w:rPr>
        <w:t xml:space="preserve"> (2022) “Physiotherapists’ perceptions of implementing start back in New Zealand: A thematic analysis of Focus Group Data,” </w:t>
      </w:r>
      <w:r w:rsidRPr="008F3A84">
        <w:rPr>
          <w:i/>
          <w:iCs/>
          <w:sz w:val="22"/>
          <w:szCs w:val="22"/>
        </w:rPr>
        <w:t>New Zealand Journal of Physiotherapy</w:t>
      </w:r>
      <w:r w:rsidRPr="008F3A84">
        <w:rPr>
          <w:sz w:val="22"/>
          <w:szCs w:val="22"/>
        </w:rPr>
        <w:t xml:space="preserve">, 50(3), pp. 106–116. Available at: https://doi.org/10.15619/nzjp/50.3.02. </w:t>
      </w:r>
    </w:p>
    <w:p w14:paraId="1461C393" w14:textId="77777777" w:rsidR="00D448FA" w:rsidRPr="008F3A84" w:rsidRDefault="00D448FA" w:rsidP="00D448FA">
      <w:pPr>
        <w:pStyle w:val="NormalWeb"/>
        <w:ind w:left="567" w:hanging="567"/>
        <w:rPr>
          <w:sz w:val="22"/>
          <w:szCs w:val="22"/>
        </w:rPr>
      </w:pPr>
      <w:r w:rsidRPr="008F3A84">
        <w:rPr>
          <w:sz w:val="22"/>
          <w:szCs w:val="22"/>
        </w:rPr>
        <w:t xml:space="preserve">C., H.J.A. and Clarke, S. (2018) </w:t>
      </w:r>
      <w:r w:rsidRPr="008F3A84">
        <w:rPr>
          <w:i/>
          <w:iCs/>
          <w:sz w:val="22"/>
          <w:szCs w:val="22"/>
        </w:rPr>
        <w:t>Visible learning: Feedback</w:t>
      </w:r>
      <w:r w:rsidRPr="008F3A84">
        <w:rPr>
          <w:sz w:val="22"/>
          <w:szCs w:val="22"/>
        </w:rPr>
        <w:t xml:space="preserve">. Abingdon: Routledge. </w:t>
      </w:r>
    </w:p>
    <w:p w14:paraId="053D1BD7" w14:textId="4C7CAFBE" w:rsidR="00D448FA" w:rsidRPr="008F3A84" w:rsidRDefault="00D448FA" w:rsidP="00D448FA">
      <w:pPr>
        <w:pStyle w:val="NormalWeb"/>
        <w:ind w:left="567" w:hanging="567"/>
        <w:rPr>
          <w:sz w:val="22"/>
          <w:szCs w:val="22"/>
        </w:rPr>
      </w:pPr>
      <w:r w:rsidRPr="008F3A84">
        <w:rPr>
          <w:sz w:val="22"/>
          <w:szCs w:val="22"/>
        </w:rPr>
        <w:t xml:space="preserve">Clarke, S. (2014) </w:t>
      </w:r>
      <w:r w:rsidRPr="008F3A84">
        <w:rPr>
          <w:i/>
          <w:iCs/>
          <w:sz w:val="22"/>
          <w:szCs w:val="22"/>
        </w:rPr>
        <w:t>Outstanding formative assessment: Culture and practice</w:t>
      </w:r>
      <w:r w:rsidRPr="008F3A84">
        <w:rPr>
          <w:sz w:val="22"/>
          <w:szCs w:val="22"/>
        </w:rPr>
        <w:t xml:space="preserve">. </w:t>
      </w:r>
    </w:p>
    <w:p w14:paraId="6CED4DBD" w14:textId="45CF374F" w:rsidR="00F148F5" w:rsidRPr="008F3A84" w:rsidRDefault="00F148F5" w:rsidP="00F148F5">
      <w:pPr>
        <w:pStyle w:val="NormalWeb"/>
        <w:ind w:left="567" w:hanging="567"/>
        <w:rPr>
          <w:sz w:val="22"/>
          <w:szCs w:val="22"/>
        </w:rPr>
      </w:pPr>
      <w:r w:rsidRPr="008F3A84">
        <w:rPr>
          <w:sz w:val="22"/>
          <w:szCs w:val="22"/>
        </w:rPr>
        <w:t xml:space="preserve">Cohen, L., Manion, L. and B., M.K.R. (2018) </w:t>
      </w:r>
      <w:r w:rsidRPr="008F3A84">
        <w:rPr>
          <w:i/>
          <w:iCs/>
          <w:sz w:val="22"/>
          <w:szCs w:val="22"/>
        </w:rPr>
        <w:t>Research methods in education</w:t>
      </w:r>
      <w:r w:rsidRPr="008F3A84">
        <w:rPr>
          <w:sz w:val="22"/>
          <w:szCs w:val="22"/>
        </w:rPr>
        <w:t xml:space="preserve">. London: Routledge. </w:t>
      </w:r>
    </w:p>
    <w:p w14:paraId="07721886" w14:textId="71C8BBD4" w:rsidR="00F148F5" w:rsidRPr="008F3A84" w:rsidRDefault="00F148F5" w:rsidP="00F148F5">
      <w:pPr>
        <w:pStyle w:val="NormalWeb"/>
        <w:ind w:left="567" w:hanging="567"/>
        <w:rPr>
          <w:sz w:val="22"/>
          <w:szCs w:val="22"/>
        </w:rPr>
      </w:pPr>
      <w:r w:rsidRPr="008F3A84">
        <w:rPr>
          <w:sz w:val="22"/>
          <w:szCs w:val="22"/>
        </w:rPr>
        <w:t xml:space="preserve">Cousin, G. (2005) “Case Study </w:t>
      </w:r>
      <w:proofErr w:type="spellStart"/>
      <w:r w:rsidRPr="008F3A84">
        <w:rPr>
          <w:sz w:val="22"/>
          <w:szCs w:val="22"/>
        </w:rPr>
        <w:t>Researc</w:t>
      </w:r>
      <w:proofErr w:type="spellEnd"/>
      <w:r w:rsidRPr="008F3A84">
        <w:rPr>
          <w:sz w:val="22"/>
          <w:szCs w:val="22"/>
        </w:rPr>
        <w:t xml:space="preserve">,” </w:t>
      </w:r>
      <w:r w:rsidRPr="008F3A84">
        <w:rPr>
          <w:i/>
          <w:iCs/>
          <w:sz w:val="22"/>
          <w:szCs w:val="22"/>
        </w:rPr>
        <w:t>Geography in higher education</w:t>
      </w:r>
      <w:r w:rsidRPr="008F3A84">
        <w:rPr>
          <w:sz w:val="22"/>
          <w:szCs w:val="22"/>
        </w:rPr>
        <w:t xml:space="preserve">, 29(3), pp. 421–427. Available at: https://doi.org/https://www.tandfonline.com/doi/epdf/10.1080/03098260500290967?needAccess=true&amp;role=button. </w:t>
      </w:r>
    </w:p>
    <w:p w14:paraId="3CDAA1B6" w14:textId="3C7139D9" w:rsidR="00F148F5" w:rsidRPr="008F3A84" w:rsidRDefault="00F148F5" w:rsidP="00F148F5">
      <w:pPr>
        <w:pStyle w:val="NormalWeb"/>
        <w:ind w:left="567" w:hanging="567"/>
        <w:rPr>
          <w:sz w:val="22"/>
          <w:szCs w:val="22"/>
        </w:rPr>
      </w:pPr>
      <w:r w:rsidRPr="008F3A84">
        <w:rPr>
          <w:sz w:val="22"/>
          <w:szCs w:val="22"/>
        </w:rPr>
        <w:t xml:space="preserve">Darwin Holmes, A.G. (2020) “Researcher positionality - a consideration of its influence and place in qualitative research - a new researcher guide,” </w:t>
      </w:r>
      <w:proofErr w:type="spellStart"/>
      <w:r w:rsidRPr="008F3A84">
        <w:rPr>
          <w:i/>
          <w:iCs/>
          <w:sz w:val="22"/>
          <w:szCs w:val="22"/>
        </w:rPr>
        <w:t>Shanlax</w:t>
      </w:r>
      <w:proofErr w:type="spellEnd"/>
      <w:r w:rsidRPr="008F3A84">
        <w:rPr>
          <w:i/>
          <w:iCs/>
          <w:sz w:val="22"/>
          <w:szCs w:val="22"/>
        </w:rPr>
        <w:t xml:space="preserve"> International Journal of Education</w:t>
      </w:r>
      <w:r w:rsidRPr="008F3A84">
        <w:rPr>
          <w:sz w:val="22"/>
          <w:szCs w:val="22"/>
        </w:rPr>
        <w:t xml:space="preserve">, 8(4), pp. 1–10. Available at: https://doi.org/10.34293/education.v8i4.3232. </w:t>
      </w:r>
    </w:p>
    <w:p w14:paraId="3375DDC5" w14:textId="297BA395" w:rsidR="00F148F5" w:rsidRPr="008F3A84" w:rsidRDefault="00F148F5" w:rsidP="00F148F5">
      <w:pPr>
        <w:pStyle w:val="NormalWeb"/>
        <w:ind w:left="567" w:hanging="567"/>
        <w:rPr>
          <w:sz w:val="22"/>
          <w:szCs w:val="22"/>
        </w:rPr>
      </w:pPr>
      <w:r w:rsidRPr="008F3A84">
        <w:rPr>
          <w:sz w:val="22"/>
          <w:szCs w:val="22"/>
        </w:rPr>
        <w:t xml:space="preserve">Dede, C. (2011) </w:t>
      </w:r>
      <w:r w:rsidRPr="008F3A84">
        <w:rPr>
          <w:i/>
          <w:iCs/>
          <w:sz w:val="22"/>
          <w:szCs w:val="22"/>
        </w:rPr>
        <w:t>Why Design-Based Research Is Both Important and Difficult</w:t>
      </w:r>
      <w:r w:rsidRPr="008F3A84">
        <w:rPr>
          <w:sz w:val="22"/>
          <w:szCs w:val="22"/>
        </w:rPr>
        <w:t xml:space="preserve">, 45(114). Available at: https://doi.org/https://www.jstor.org/stable/pdf/44429182.pdf?refreqid=excelsior%3Ad8c9c241f78554083b5401d0f91e7b73&amp;ab_segments=&amp;origin=&amp;initiator=&amp;acceptTC=1. </w:t>
      </w:r>
    </w:p>
    <w:p w14:paraId="073F4A99" w14:textId="5720C5E5" w:rsidR="00F148F5" w:rsidRPr="008F3A84" w:rsidRDefault="00F148F5" w:rsidP="00F148F5">
      <w:pPr>
        <w:pStyle w:val="NormalWeb"/>
        <w:ind w:left="567" w:hanging="567"/>
        <w:rPr>
          <w:sz w:val="22"/>
          <w:szCs w:val="22"/>
        </w:rPr>
      </w:pPr>
      <w:r w:rsidRPr="008F3A84">
        <w:rPr>
          <w:sz w:val="22"/>
          <w:szCs w:val="22"/>
        </w:rPr>
        <w:t xml:space="preserve">Denzin, N.K. and Lincoln, Y.S. (2005) </w:t>
      </w:r>
      <w:r w:rsidRPr="008F3A84">
        <w:rPr>
          <w:i/>
          <w:iCs/>
          <w:sz w:val="22"/>
          <w:szCs w:val="22"/>
        </w:rPr>
        <w:t>The sage handbook of qualitative research</w:t>
      </w:r>
      <w:r w:rsidRPr="008F3A84">
        <w:rPr>
          <w:sz w:val="22"/>
          <w:szCs w:val="22"/>
        </w:rPr>
        <w:t xml:space="preserve">. Thousand Oaks: Sage Publications. </w:t>
      </w:r>
    </w:p>
    <w:p w14:paraId="1F54BFB4" w14:textId="098D07E1" w:rsidR="00F148F5" w:rsidRPr="008F3A84" w:rsidRDefault="00F148F5" w:rsidP="00F148F5">
      <w:pPr>
        <w:pStyle w:val="NormalWeb"/>
        <w:ind w:left="567" w:hanging="567"/>
        <w:rPr>
          <w:sz w:val="22"/>
          <w:szCs w:val="22"/>
        </w:rPr>
      </w:pPr>
      <w:r w:rsidRPr="008F3A84">
        <w:rPr>
          <w:sz w:val="22"/>
          <w:szCs w:val="22"/>
        </w:rPr>
        <w:lastRenderedPageBreak/>
        <w:t xml:space="preserve">Dodd, D.H. and Bradshaw, J.M. (1980) “Leading questions and memory: Pragmatic constraints,” </w:t>
      </w:r>
      <w:r w:rsidRPr="008F3A84">
        <w:rPr>
          <w:i/>
          <w:iCs/>
          <w:sz w:val="22"/>
          <w:szCs w:val="22"/>
        </w:rPr>
        <w:t xml:space="preserve">Journal of Verbal Learning and Verbal </w:t>
      </w:r>
      <w:proofErr w:type="spellStart"/>
      <w:r w:rsidRPr="008F3A84">
        <w:rPr>
          <w:i/>
          <w:iCs/>
          <w:sz w:val="22"/>
          <w:szCs w:val="22"/>
        </w:rPr>
        <w:t>Behavior</w:t>
      </w:r>
      <w:proofErr w:type="spellEnd"/>
      <w:r w:rsidRPr="008F3A84">
        <w:rPr>
          <w:sz w:val="22"/>
          <w:szCs w:val="22"/>
        </w:rPr>
        <w:t xml:space="preserve">, 19(6), pp. 695–704. Available at: https://doi.org/10.1016/s0022-5371(80)90379-5. </w:t>
      </w:r>
    </w:p>
    <w:p w14:paraId="02740B6C" w14:textId="0D87881F" w:rsidR="00F148F5" w:rsidRPr="008F3A84" w:rsidRDefault="00F148F5" w:rsidP="00F148F5">
      <w:pPr>
        <w:pStyle w:val="NormalWeb"/>
        <w:ind w:left="567" w:hanging="567"/>
        <w:rPr>
          <w:sz w:val="22"/>
          <w:szCs w:val="22"/>
        </w:rPr>
      </w:pPr>
      <w:r w:rsidRPr="008F3A84">
        <w:rPr>
          <w:i/>
          <w:iCs/>
          <w:sz w:val="22"/>
          <w:szCs w:val="22"/>
        </w:rPr>
        <w:t>Dr Shirley Clarke</w:t>
      </w:r>
      <w:r w:rsidRPr="008F3A84">
        <w:rPr>
          <w:sz w:val="22"/>
          <w:szCs w:val="22"/>
        </w:rPr>
        <w:t xml:space="preserve"> (2022) </w:t>
      </w:r>
      <w:r w:rsidRPr="008F3A84">
        <w:rPr>
          <w:i/>
          <w:iCs/>
          <w:sz w:val="22"/>
          <w:szCs w:val="22"/>
        </w:rPr>
        <w:t>World Education Summit</w:t>
      </w:r>
      <w:r w:rsidRPr="008F3A84">
        <w:rPr>
          <w:sz w:val="22"/>
          <w:szCs w:val="22"/>
        </w:rPr>
        <w:t xml:space="preserve">. Available at: https://www.worldedsummit.com/speakers/dr-shirely-clarke/ (Accessed: February 24, 2023). </w:t>
      </w:r>
    </w:p>
    <w:p w14:paraId="0FA80DFA" w14:textId="4A8D6348" w:rsidR="00F148F5" w:rsidRPr="008F3A84" w:rsidRDefault="00F148F5" w:rsidP="00F148F5">
      <w:pPr>
        <w:pStyle w:val="NormalWeb"/>
        <w:ind w:left="567" w:hanging="567"/>
        <w:rPr>
          <w:sz w:val="22"/>
          <w:szCs w:val="22"/>
        </w:rPr>
      </w:pPr>
      <w:r w:rsidRPr="008F3A84">
        <w:rPr>
          <w:sz w:val="22"/>
          <w:szCs w:val="22"/>
        </w:rPr>
        <w:t xml:space="preserve">Estyn (2023). Available </w:t>
      </w:r>
      <w:proofErr w:type="gramStart"/>
      <w:r w:rsidRPr="008F3A84">
        <w:rPr>
          <w:sz w:val="22"/>
          <w:szCs w:val="22"/>
        </w:rPr>
        <w:t>at :</w:t>
      </w:r>
      <w:proofErr w:type="gramEnd"/>
      <w:r w:rsidRPr="008F3A84">
        <w:rPr>
          <w:sz w:val="22"/>
          <w:szCs w:val="22"/>
        </w:rPr>
        <w:t xml:space="preserve"> </w:t>
      </w:r>
      <w:hyperlink r:id="rId6" w:history="1">
        <w:r w:rsidRPr="008F3A84">
          <w:rPr>
            <w:rStyle w:val="Hyperlink"/>
            <w:sz w:val="22"/>
            <w:szCs w:val="22"/>
          </w:rPr>
          <w:t>https://www.estyn.gov.wales/</w:t>
        </w:r>
      </w:hyperlink>
      <w:r w:rsidRPr="008F3A84">
        <w:rPr>
          <w:sz w:val="22"/>
          <w:szCs w:val="22"/>
        </w:rPr>
        <w:t xml:space="preserve"> (Accessed: February 22, 2023)</w:t>
      </w:r>
    </w:p>
    <w:p w14:paraId="2D268F88" w14:textId="55F2424F" w:rsidR="00F148F5" w:rsidRPr="008F3A84" w:rsidRDefault="00F148F5" w:rsidP="00F148F5">
      <w:pPr>
        <w:pStyle w:val="NormalWeb"/>
        <w:ind w:left="567" w:hanging="567"/>
        <w:rPr>
          <w:sz w:val="22"/>
          <w:szCs w:val="22"/>
        </w:rPr>
      </w:pPr>
      <w:r w:rsidRPr="008F3A84">
        <w:rPr>
          <w:sz w:val="22"/>
          <w:szCs w:val="22"/>
        </w:rPr>
        <w:t xml:space="preserve">Farrell, S. (no date) </w:t>
      </w:r>
      <w:r w:rsidRPr="008F3A84">
        <w:rPr>
          <w:i/>
          <w:iCs/>
          <w:sz w:val="22"/>
          <w:szCs w:val="22"/>
        </w:rPr>
        <w:t>Open-ended vs. closed-ended questions in User Research</w:t>
      </w:r>
      <w:r w:rsidRPr="008F3A84">
        <w:rPr>
          <w:sz w:val="22"/>
          <w:szCs w:val="22"/>
        </w:rPr>
        <w:t xml:space="preserve">, </w:t>
      </w:r>
      <w:r w:rsidRPr="008F3A84">
        <w:rPr>
          <w:i/>
          <w:iCs/>
          <w:sz w:val="22"/>
          <w:szCs w:val="22"/>
        </w:rPr>
        <w:t>Nielsen Norman Group</w:t>
      </w:r>
      <w:r w:rsidRPr="008F3A84">
        <w:rPr>
          <w:sz w:val="22"/>
          <w:szCs w:val="22"/>
        </w:rPr>
        <w:t xml:space="preserve">. Available at: https://www.nngroup.com/articles/open-ended-questions/#:~:text=Open%2Dended%20questions%20are%20questions,or%20All%20of%20the%20Above). (Accessed: February 24, 2023). </w:t>
      </w:r>
    </w:p>
    <w:p w14:paraId="49E6B6D4" w14:textId="3BEA2B4B" w:rsidR="00F148F5" w:rsidRPr="008F3A84" w:rsidRDefault="00F148F5" w:rsidP="00F148F5">
      <w:pPr>
        <w:pStyle w:val="NormalWeb"/>
        <w:ind w:left="567" w:hanging="567"/>
        <w:rPr>
          <w:sz w:val="22"/>
          <w:szCs w:val="22"/>
        </w:rPr>
      </w:pPr>
      <w:r w:rsidRPr="008F3A84">
        <w:rPr>
          <w:i/>
          <w:iCs/>
          <w:sz w:val="22"/>
          <w:szCs w:val="22"/>
        </w:rPr>
        <w:t>Field notes</w:t>
      </w:r>
      <w:r w:rsidRPr="008F3A84">
        <w:rPr>
          <w:sz w:val="22"/>
          <w:szCs w:val="22"/>
        </w:rPr>
        <w:t xml:space="preserve"> (2018) </w:t>
      </w:r>
      <w:r w:rsidRPr="008F3A84">
        <w:rPr>
          <w:i/>
          <w:iCs/>
          <w:sz w:val="22"/>
          <w:szCs w:val="22"/>
        </w:rPr>
        <w:t>SAGE Research Methods</w:t>
      </w:r>
      <w:r w:rsidRPr="008F3A84">
        <w:rPr>
          <w:sz w:val="22"/>
          <w:szCs w:val="22"/>
        </w:rPr>
        <w:t xml:space="preserve">. Available at: https://methods.sagepub.com/reference/the-sage-encyclopedia-of-communication-research-methods/i5649.xml (Accessed: February 24, 2023). </w:t>
      </w:r>
    </w:p>
    <w:p w14:paraId="4FAEBB90" w14:textId="34D72260" w:rsidR="00F148F5" w:rsidRPr="008F3A84" w:rsidRDefault="00F148F5" w:rsidP="00F148F5">
      <w:pPr>
        <w:pStyle w:val="NormalWeb"/>
        <w:ind w:left="567" w:hanging="567"/>
        <w:rPr>
          <w:sz w:val="22"/>
          <w:szCs w:val="22"/>
        </w:rPr>
      </w:pPr>
      <w:r w:rsidRPr="008F3A84">
        <w:rPr>
          <w:sz w:val="22"/>
          <w:szCs w:val="22"/>
        </w:rPr>
        <w:t xml:space="preserve">Frost, J. (2023) </w:t>
      </w:r>
      <w:r w:rsidRPr="008F3A84">
        <w:rPr>
          <w:i/>
          <w:iCs/>
          <w:sz w:val="22"/>
          <w:szCs w:val="22"/>
        </w:rPr>
        <w:t>Representative sample: Definition, uses &amp; methods</w:t>
      </w:r>
      <w:r w:rsidRPr="008F3A84">
        <w:rPr>
          <w:sz w:val="22"/>
          <w:szCs w:val="22"/>
        </w:rPr>
        <w:t xml:space="preserve">, </w:t>
      </w:r>
      <w:r w:rsidRPr="008F3A84">
        <w:rPr>
          <w:i/>
          <w:iCs/>
          <w:sz w:val="22"/>
          <w:szCs w:val="22"/>
        </w:rPr>
        <w:t xml:space="preserve">Statistics </w:t>
      </w:r>
      <w:proofErr w:type="gramStart"/>
      <w:r w:rsidRPr="008F3A84">
        <w:rPr>
          <w:i/>
          <w:iCs/>
          <w:sz w:val="22"/>
          <w:szCs w:val="22"/>
        </w:rPr>
        <w:t>By</w:t>
      </w:r>
      <w:proofErr w:type="gramEnd"/>
      <w:r w:rsidRPr="008F3A84">
        <w:rPr>
          <w:i/>
          <w:iCs/>
          <w:sz w:val="22"/>
          <w:szCs w:val="22"/>
        </w:rPr>
        <w:t xml:space="preserve"> Jim</w:t>
      </w:r>
      <w:r w:rsidRPr="008F3A84">
        <w:rPr>
          <w:sz w:val="22"/>
          <w:szCs w:val="22"/>
        </w:rPr>
        <w:t xml:space="preserve">. Available at: https://statisticsbyjim.com/basics/representative-sample/ (Accessed: February 23, 2023). </w:t>
      </w:r>
    </w:p>
    <w:p w14:paraId="2C5ACEC7" w14:textId="77777777" w:rsidR="00A65107" w:rsidRPr="008F3A84" w:rsidRDefault="00A65107" w:rsidP="00A65107">
      <w:pPr>
        <w:pStyle w:val="NormalWeb"/>
        <w:ind w:left="567" w:hanging="567"/>
        <w:rPr>
          <w:sz w:val="22"/>
          <w:szCs w:val="22"/>
        </w:rPr>
      </w:pPr>
      <w:proofErr w:type="spellStart"/>
      <w:r w:rsidRPr="008F3A84">
        <w:rPr>
          <w:sz w:val="22"/>
          <w:szCs w:val="22"/>
        </w:rPr>
        <w:t>Gómez</w:t>
      </w:r>
      <w:proofErr w:type="spellEnd"/>
      <w:r w:rsidRPr="008F3A84">
        <w:rPr>
          <w:sz w:val="22"/>
          <w:szCs w:val="22"/>
        </w:rPr>
        <w:t xml:space="preserve"> Jorge Marx and </w:t>
      </w:r>
      <w:proofErr w:type="spellStart"/>
      <w:r w:rsidRPr="008F3A84">
        <w:rPr>
          <w:sz w:val="22"/>
          <w:szCs w:val="22"/>
        </w:rPr>
        <w:t>Mouselli</w:t>
      </w:r>
      <w:proofErr w:type="spellEnd"/>
      <w:r w:rsidRPr="008F3A84">
        <w:rPr>
          <w:sz w:val="22"/>
          <w:szCs w:val="22"/>
        </w:rPr>
        <w:t xml:space="preserve">, S. (2018) </w:t>
      </w:r>
      <w:r w:rsidRPr="008F3A84">
        <w:rPr>
          <w:i/>
          <w:iCs/>
          <w:sz w:val="22"/>
          <w:szCs w:val="22"/>
        </w:rPr>
        <w:t>Modernizing the academic teaching and research environment methodologies and cases in Business Research</w:t>
      </w:r>
      <w:r w:rsidRPr="008F3A84">
        <w:rPr>
          <w:sz w:val="22"/>
          <w:szCs w:val="22"/>
        </w:rPr>
        <w:t xml:space="preserve">. Cham: Springer International Publishing. </w:t>
      </w:r>
    </w:p>
    <w:p w14:paraId="3C4E8BED" w14:textId="16A83DE6" w:rsidR="00A65107" w:rsidRPr="008F3A84" w:rsidRDefault="00A65107" w:rsidP="00A65107">
      <w:pPr>
        <w:pStyle w:val="NormalWeb"/>
        <w:ind w:left="567" w:hanging="567"/>
        <w:rPr>
          <w:sz w:val="22"/>
          <w:szCs w:val="22"/>
        </w:rPr>
      </w:pPr>
      <w:proofErr w:type="spellStart"/>
      <w:r w:rsidRPr="008F3A84">
        <w:rPr>
          <w:sz w:val="22"/>
          <w:szCs w:val="22"/>
        </w:rPr>
        <w:t>Gubrium</w:t>
      </w:r>
      <w:proofErr w:type="spellEnd"/>
      <w:r w:rsidRPr="008F3A84">
        <w:rPr>
          <w:sz w:val="22"/>
          <w:szCs w:val="22"/>
        </w:rPr>
        <w:t xml:space="preserve">, J.F. (2012) </w:t>
      </w:r>
      <w:r w:rsidRPr="008F3A84">
        <w:rPr>
          <w:i/>
          <w:iCs/>
          <w:sz w:val="22"/>
          <w:szCs w:val="22"/>
        </w:rPr>
        <w:t>The sage handbook of interview research: The complexity of the craft</w:t>
      </w:r>
      <w:r w:rsidRPr="008F3A84">
        <w:rPr>
          <w:sz w:val="22"/>
          <w:szCs w:val="22"/>
        </w:rPr>
        <w:t xml:space="preserve">. Thousand Oaks, CA: Sage publications, inc. </w:t>
      </w:r>
    </w:p>
    <w:p w14:paraId="4F5B59E0" w14:textId="04FFB2A1" w:rsidR="00A65107" w:rsidRPr="008F3A84" w:rsidRDefault="00A65107" w:rsidP="00A65107">
      <w:pPr>
        <w:pStyle w:val="NormalWeb"/>
        <w:ind w:left="567" w:hanging="567"/>
        <w:rPr>
          <w:sz w:val="22"/>
          <w:szCs w:val="22"/>
        </w:rPr>
      </w:pPr>
      <w:r w:rsidRPr="008F3A84">
        <w:rPr>
          <w:sz w:val="22"/>
          <w:szCs w:val="22"/>
        </w:rPr>
        <w:t xml:space="preserve">Guy-Evans], [O. (1970) </w:t>
      </w:r>
      <w:r w:rsidRPr="008F3A84">
        <w:rPr>
          <w:i/>
          <w:iCs/>
          <w:sz w:val="22"/>
          <w:szCs w:val="22"/>
        </w:rPr>
        <w:t>[Bronfenbrenner's ecological systems theory]</w:t>
      </w:r>
      <w:r w:rsidRPr="008F3A84">
        <w:rPr>
          <w:sz w:val="22"/>
          <w:szCs w:val="22"/>
        </w:rPr>
        <w:t xml:space="preserve">, </w:t>
      </w:r>
      <w:r w:rsidRPr="008F3A84">
        <w:rPr>
          <w:i/>
          <w:iCs/>
          <w:sz w:val="22"/>
          <w:szCs w:val="22"/>
        </w:rPr>
        <w:t>https://www.simplypsychology.org/Bronfenbrenner.html</w:t>
      </w:r>
      <w:r w:rsidRPr="008F3A84">
        <w:rPr>
          <w:sz w:val="22"/>
          <w:szCs w:val="22"/>
        </w:rPr>
        <w:t xml:space="preserve">. Available at: https://www.simplypsychology.org/Bronfenbrenner.html (Accessed: February 24, 2023). </w:t>
      </w:r>
    </w:p>
    <w:p w14:paraId="33F6368E" w14:textId="77777777" w:rsidR="00A65107" w:rsidRPr="008F3A84" w:rsidRDefault="00A65107" w:rsidP="00A65107">
      <w:pPr>
        <w:pStyle w:val="NormalWeb"/>
        <w:ind w:left="567" w:hanging="567"/>
        <w:rPr>
          <w:sz w:val="22"/>
          <w:szCs w:val="22"/>
        </w:rPr>
      </w:pPr>
      <w:proofErr w:type="spellStart"/>
      <w:r w:rsidRPr="008F3A84">
        <w:rPr>
          <w:sz w:val="22"/>
          <w:szCs w:val="22"/>
        </w:rPr>
        <w:t>Haneem</w:t>
      </w:r>
      <w:proofErr w:type="spellEnd"/>
      <w:r w:rsidRPr="008F3A84">
        <w:rPr>
          <w:sz w:val="22"/>
          <w:szCs w:val="22"/>
        </w:rPr>
        <w:t xml:space="preserve">, F. </w:t>
      </w:r>
      <w:r w:rsidRPr="008F3A84">
        <w:rPr>
          <w:i/>
          <w:iCs/>
          <w:sz w:val="22"/>
          <w:szCs w:val="22"/>
        </w:rPr>
        <w:t>et al.</w:t>
      </w:r>
      <w:r w:rsidRPr="008F3A84">
        <w:rPr>
          <w:sz w:val="22"/>
          <w:szCs w:val="22"/>
        </w:rPr>
        <w:t xml:space="preserve"> (2017) “Descriptive analysis and text analysis in Systematic Literature Review: A review of master data management,” </w:t>
      </w:r>
      <w:r w:rsidRPr="008F3A84">
        <w:rPr>
          <w:i/>
          <w:iCs/>
          <w:sz w:val="22"/>
          <w:szCs w:val="22"/>
        </w:rPr>
        <w:t>2017 International Conference on Research and Innovation in Information Systems (ICRIIS)</w:t>
      </w:r>
      <w:r w:rsidRPr="008F3A84">
        <w:rPr>
          <w:sz w:val="22"/>
          <w:szCs w:val="22"/>
        </w:rPr>
        <w:t xml:space="preserve"> [Preprint]. Available at: https://doi.org/10.1109/icriis.2017.8002473. </w:t>
      </w:r>
    </w:p>
    <w:p w14:paraId="79C920A4" w14:textId="0270EAED" w:rsidR="00A65107" w:rsidRPr="008F3A84" w:rsidRDefault="00A65107" w:rsidP="00A65107">
      <w:pPr>
        <w:pStyle w:val="NormalWeb"/>
        <w:ind w:left="567" w:hanging="567"/>
        <w:rPr>
          <w:sz w:val="22"/>
          <w:szCs w:val="22"/>
        </w:rPr>
      </w:pPr>
      <w:r w:rsidRPr="008F3A84">
        <w:rPr>
          <w:sz w:val="22"/>
          <w:szCs w:val="22"/>
        </w:rPr>
        <w:t xml:space="preserve">Harris, J. (2011) </w:t>
      </w:r>
      <w:r w:rsidRPr="008F3A84">
        <w:rPr>
          <w:i/>
          <w:iCs/>
          <w:sz w:val="22"/>
          <w:szCs w:val="22"/>
        </w:rPr>
        <w:t>Adaptive e-learning to improve dietary behaviour: A systematic review and cost-effectiveness analysis</w:t>
      </w:r>
      <w:r w:rsidRPr="008F3A84">
        <w:rPr>
          <w:sz w:val="22"/>
          <w:szCs w:val="22"/>
        </w:rPr>
        <w:t xml:space="preserve">. Perth: Prepress Projects Ltd. on behalf of NETSCC, HTA. </w:t>
      </w:r>
    </w:p>
    <w:p w14:paraId="40F13D18" w14:textId="7D56D027" w:rsidR="00A65107" w:rsidRPr="008F3A84" w:rsidRDefault="00A65107" w:rsidP="00A65107">
      <w:pPr>
        <w:pStyle w:val="NormalWeb"/>
        <w:ind w:left="567" w:hanging="567"/>
        <w:rPr>
          <w:sz w:val="22"/>
          <w:szCs w:val="22"/>
        </w:rPr>
      </w:pPr>
      <w:proofErr w:type="spellStart"/>
      <w:r w:rsidRPr="008F3A84">
        <w:rPr>
          <w:sz w:val="22"/>
          <w:szCs w:val="22"/>
        </w:rPr>
        <w:t>Hammang</w:t>
      </w:r>
      <w:proofErr w:type="spellEnd"/>
      <w:r w:rsidRPr="008F3A84">
        <w:rPr>
          <w:sz w:val="22"/>
          <w:szCs w:val="22"/>
        </w:rPr>
        <w:t xml:space="preserve">, A. (2012) “THE EFFECT OF SEATING ASSIGNMENTS ON STUDENT ACHIEVEMENT IN THE BIOLOGY CLASSROOM.” </w:t>
      </w:r>
    </w:p>
    <w:p w14:paraId="2948BCCB" w14:textId="667F8CCA" w:rsidR="00A65107" w:rsidRPr="008F3A84" w:rsidRDefault="00475C9B" w:rsidP="00A65107">
      <w:pPr>
        <w:pStyle w:val="NormalWeb"/>
        <w:ind w:left="567" w:hanging="567"/>
        <w:rPr>
          <w:sz w:val="22"/>
          <w:szCs w:val="22"/>
        </w:rPr>
      </w:pPr>
      <w:r w:rsidRPr="008F3A84">
        <w:rPr>
          <w:sz w:val="22"/>
          <w:szCs w:val="22"/>
        </w:rPr>
        <w:t xml:space="preserve">Hancock, D.R., </w:t>
      </w:r>
      <w:proofErr w:type="spellStart"/>
      <w:r w:rsidRPr="008F3A84">
        <w:rPr>
          <w:sz w:val="22"/>
          <w:szCs w:val="22"/>
        </w:rPr>
        <w:t>Algozzine</w:t>
      </w:r>
      <w:proofErr w:type="spellEnd"/>
      <w:r w:rsidRPr="008F3A84">
        <w:rPr>
          <w:sz w:val="22"/>
          <w:szCs w:val="22"/>
        </w:rPr>
        <w:t xml:space="preserve">, R. and Lim, J.H. (2021) </w:t>
      </w:r>
      <w:r w:rsidRPr="008F3A84">
        <w:rPr>
          <w:i/>
          <w:iCs/>
          <w:sz w:val="22"/>
          <w:szCs w:val="22"/>
        </w:rPr>
        <w:t>Doing case study research: A practical guide for beginning researchers</w:t>
      </w:r>
      <w:r w:rsidRPr="008F3A84">
        <w:rPr>
          <w:sz w:val="22"/>
          <w:szCs w:val="22"/>
        </w:rPr>
        <w:t>. New York: Teachers College Press.</w:t>
      </w:r>
    </w:p>
    <w:p w14:paraId="655E2790" w14:textId="2D692DA2" w:rsidR="00475C9B" w:rsidRPr="008F3A84" w:rsidRDefault="00475C9B" w:rsidP="00475C9B">
      <w:pPr>
        <w:pStyle w:val="NormalWeb"/>
        <w:ind w:left="567" w:hanging="567"/>
        <w:rPr>
          <w:sz w:val="22"/>
          <w:szCs w:val="22"/>
        </w:rPr>
      </w:pPr>
      <w:r w:rsidRPr="008F3A84">
        <w:rPr>
          <w:sz w:val="22"/>
          <w:szCs w:val="22"/>
        </w:rPr>
        <w:t xml:space="preserve">Hayes, A. (2023) </w:t>
      </w:r>
      <w:r w:rsidRPr="008F3A84">
        <w:rPr>
          <w:i/>
          <w:iCs/>
          <w:sz w:val="22"/>
          <w:szCs w:val="22"/>
        </w:rPr>
        <w:t>Simple random sampling: 6 basic steps</w:t>
      </w:r>
      <w:r w:rsidRPr="008F3A84">
        <w:rPr>
          <w:sz w:val="22"/>
          <w:szCs w:val="22"/>
        </w:rPr>
        <w:t xml:space="preserve">, </w:t>
      </w:r>
      <w:r w:rsidRPr="008F3A84">
        <w:rPr>
          <w:i/>
          <w:iCs/>
          <w:sz w:val="22"/>
          <w:szCs w:val="22"/>
        </w:rPr>
        <w:t>Investopedia</w:t>
      </w:r>
      <w:r w:rsidRPr="008F3A84">
        <w:rPr>
          <w:sz w:val="22"/>
          <w:szCs w:val="22"/>
        </w:rPr>
        <w:t xml:space="preserve">. Investopedia. Available at: https://www.investopedia.com/terms/s/simple-random-sample.asp (Accessed: February 23, 2023). </w:t>
      </w:r>
    </w:p>
    <w:p w14:paraId="370870B3" w14:textId="72B79FE1" w:rsidR="00A65107" w:rsidRPr="008F3A84" w:rsidRDefault="00A65107" w:rsidP="00A65107">
      <w:pPr>
        <w:pStyle w:val="NormalWeb"/>
        <w:ind w:left="567" w:hanging="567"/>
        <w:rPr>
          <w:sz w:val="22"/>
          <w:szCs w:val="22"/>
        </w:rPr>
      </w:pPr>
      <w:r w:rsidRPr="008F3A84">
        <w:rPr>
          <w:sz w:val="22"/>
          <w:szCs w:val="22"/>
        </w:rPr>
        <w:t xml:space="preserve">H., B.N.W. (2003) </w:t>
      </w:r>
      <w:proofErr w:type="spellStart"/>
      <w:r w:rsidRPr="008F3A84">
        <w:rPr>
          <w:i/>
          <w:iCs/>
          <w:sz w:val="22"/>
          <w:szCs w:val="22"/>
        </w:rPr>
        <w:t>Analyzing</w:t>
      </w:r>
      <w:proofErr w:type="spellEnd"/>
      <w:r w:rsidRPr="008F3A84">
        <w:rPr>
          <w:i/>
          <w:iCs/>
          <w:sz w:val="22"/>
          <w:szCs w:val="22"/>
        </w:rPr>
        <w:t xml:space="preserve"> quantitative data: From description to explanation</w:t>
      </w:r>
      <w:r w:rsidRPr="008F3A84">
        <w:rPr>
          <w:sz w:val="22"/>
          <w:szCs w:val="22"/>
        </w:rPr>
        <w:t xml:space="preserve">. London: Sage Publications. </w:t>
      </w:r>
    </w:p>
    <w:p w14:paraId="097D6D02" w14:textId="2F45C2B0" w:rsidR="00A65107" w:rsidRPr="008F3A84" w:rsidRDefault="00A65107" w:rsidP="00A65107">
      <w:pPr>
        <w:pStyle w:val="NormalWeb"/>
        <w:ind w:left="567" w:hanging="567"/>
        <w:rPr>
          <w:sz w:val="22"/>
          <w:szCs w:val="22"/>
        </w:rPr>
      </w:pPr>
      <w:r w:rsidRPr="008F3A84">
        <w:rPr>
          <w:sz w:val="22"/>
          <w:szCs w:val="22"/>
        </w:rPr>
        <w:lastRenderedPageBreak/>
        <w:t xml:space="preserve">Humble, S. (2020) </w:t>
      </w:r>
      <w:r w:rsidRPr="008F3A84">
        <w:rPr>
          <w:i/>
          <w:iCs/>
          <w:sz w:val="22"/>
          <w:szCs w:val="22"/>
        </w:rPr>
        <w:t>Quantitative analysis of questionnaires techniques to explore structures and relationships</w:t>
      </w:r>
      <w:r w:rsidRPr="008F3A84">
        <w:rPr>
          <w:sz w:val="22"/>
          <w:szCs w:val="22"/>
        </w:rPr>
        <w:t xml:space="preserve">. London: Routledge Taylor &amp; Francis Group. </w:t>
      </w:r>
    </w:p>
    <w:p w14:paraId="224A93EF" w14:textId="32FEFABB" w:rsidR="00A65107" w:rsidRPr="008F3A84" w:rsidRDefault="00A65107" w:rsidP="00A65107">
      <w:pPr>
        <w:pStyle w:val="NormalWeb"/>
        <w:ind w:left="567" w:hanging="567"/>
        <w:rPr>
          <w:sz w:val="22"/>
          <w:szCs w:val="22"/>
        </w:rPr>
      </w:pPr>
      <w:proofErr w:type="spellStart"/>
      <w:r w:rsidRPr="008F3A84">
        <w:rPr>
          <w:sz w:val="22"/>
          <w:szCs w:val="22"/>
        </w:rPr>
        <w:t>Kawulich</w:t>
      </w:r>
      <w:proofErr w:type="spellEnd"/>
      <w:r w:rsidRPr="008F3A84">
        <w:rPr>
          <w:sz w:val="22"/>
          <w:szCs w:val="22"/>
        </w:rPr>
        <w:t>, B. (2012) “Collecting data through observation.” University of West Georgia.</w:t>
      </w:r>
    </w:p>
    <w:p w14:paraId="55699290" w14:textId="77777777" w:rsidR="00A65107" w:rsidRPr="008F3A84" w:rsidRDefault="00A65107" w:rsidP="00A65107">
      <w:pPr>
        <w:pStyle w:val="NormalWeb"/>
        <w:ind w:left="567" w:hanging="567"/>
        <w:rPr>
          <w:sz w:val="22"/>
          <w:szCs w:val="22"/>
        </w:rPr>
      </w:pPr>
      <w:r w:rsidRPr="008F3A84">
        <w:rPr>
          <w:sz w:val="22"/>
          <w:szCs w:val="22"/>
        </w:rPr>
        <w:t xml:space="preserve">Kenny, D., </w:t>
      </w:r>
      <w:proofErr w:type="spellStart"/>
      <w:r w:rsidRPr="008F3A84">
        <w:rPr>
          <w:sz w:val="22"/>
          <w:szCs w:val="22"/>
        </w:rPr>
        <w:t>Kashy</w:t>
      </w:r>
      <w:proofErr w:type="spellEnd"/>
      <w:r w:rsidRPr="008F3A84">
        <w:rPr>
          <w:sz w:val="22"/>
          <w:szCs w:val="22"/>
        </w:rPr>
        <w:t xml:space="preserve">, D. and Bolger, N. (1998) “Thorne, S. (2000) ‘Data analysis in qualitative </w:t>
      </w:r>
      <w:proofErr w:type="gramStart"/>
      <w:r w:rsidRPr="008F3A84">
        <w:rPr>
          <w:sz w:val="22"/>
          <w:szCs w:val="22"/>
        </w:rPr>
        <w:t>research ,</w:t>
      </w:r>
      <w:proofErr w:type="gramEnd"/>
      <w:r w:rsidRPr="008F3A84">
        <w:rPr>
          <w:sz w:val="22"/>
          <w:szCs w:val="22"/>
        </w:rPr>
        <w:t xml:space="preserve">’ Evidenced-based nursing, pp. 68–70. ,” </w:t>
      </w:r>
      <w:r w:rsidRPr="008F3A84">
        <w:rPr>
          <w:i/>
          <w:iCs/>
          <w:sz w:val="22"/>
          <w:szCs w:val="22"/>
        </w:rPr>
        <w:t xml:space="preserve">Handbook of social psychology </w:t>
      </w:r>
      <w:r w:rsidRPr="008F3A84">
        <w:rPr>
          <w:sz w:val="22"/>
          <w:szCs w:val="22"/>
        </w:rPr>
        <w:t xml:space="preserve">, 1. </w:t>
      </w:r>
    </w:p>
    <w:p w14:paraId="7AE59A9E" w14:textId="02A475B0" w:rsidR="00A65107" w:rsidRPr="008F3A84" w:rsidRDefault="00A65107" w:rsidP="00A65107">
      <w:pPr>
        <w:pStyle w:val="NormalWeb"/>
        <w:ind w:left="567" w:hanging="567"/>
        <w:rPr>
          <w:sz w:val="22"/>
          <w:szCs w:val="22"/>
        </w:rPr>
      </w:pPr>
      <w:r w:rsidRPr="008F3A84">
        <w:rPr>
          <w:sz w:val="22"/>
          <w:szCs w:val="22"/>
        </w:rPr>
        <w:t xml:space="preserve">Kiger, M.E. and </w:t>
      </w:r>
      <w:proofErr w:type="spellStart"/>
      <w:r w:rsidRPr="008F3A84">
        <w:rPr>
          <w:sz w:val="22"/>
          <w:szCs w:val="22"/>
        </w:rPr>
        <w:t>Varpio</w:t>
      </w:r>
      <w:proofErr w:type="spellEnd"/>
      <w:r w:rsidRPr="008F3A84">
        <w:rPr>
          <w:sz w:val="22"/>
          <w:szCs w:val="22"/>
        </w:rPr>
        <w:t xml:space="preserve">, L. (2020) “Thematic analysis of qualitative data: </w:t>
      </w:r>
      <w:proofErr w:type="spellStart"/>
      <w:r w:rsidRPr="008F3A84">
        <w:rPr>
          <w:sz w:val="22"/>
          <w:szCs w:val="22"/>
        </w:rPr>
        <w:t>Amee</w:t>
      </w:r>
      <w:proofErr w:type="spellEnd"/>
      <w:r w:rsidRPr="008F3A84">
        <w:rPr>
          <w:sz w:val="22"/>
          <w:szCs w:val="22"/>
        </w:rPr>
        <w:t xml:space="preserve"> Guide no. 131,” </w:t>
      </w:r>
      <w:r w:rsidRPr="008F3A84">
        <w:rPr>
          <w:i/>
          <w:iCs/>
          <w:sz w:val="22"/>
          <w:szCs w:val="22"/>
        </w:rPr>
        <w:t>Medical Teacher</w:t>
      </w:r>
      <w:r w:rsidRPr="008F3A84">
        <w:rPr>
          <w:sz w:val="22"/>
          <w:szCs w:val="22"/>
        </w:rPr>
        <w:t xml:space="preserve">, 42(8), pp. 846–854. Available at: https://doi.org/10.1080/0142159x.2020.1755030. </w:t>
      </w:r>
    </w:p>
    <w:p w14:paraId="23BBD040" w14:textId="77777777" w:rsidR="00475C9B" w:rsidRPr="008F3A84" w:rsidRDefault="00475C9B" w:rsidP="00475C9B">
      <w:pPr>
        <w:pStyle w:val="NormalWeb"/>
        <w:ind w:left="567" w:hanging="567"/>
        <w:rPr>
          <w:sz w:val="22"/>
          <w:szCs w:val="22"/>
        </w:rPr>
      </w:pPr>
      <w:r w:rsidRPr="008F3A84">
        <w:rPr>
          <w:sz w:val="22"/>
          <w:szCs w:val="22"/>
        </w:rPr>
        <w:t xml:space="preserve">Lambert, M. (2019) </w:t>
      </w:r>
      <w:r w:rsidRPr="008F3A84">
        <w:rPr>
          <w:i/>
          <w:iCs/>
          <w:sz w:val="22"/>
          <w:szCs w:val="22"/>
        </w:rPr>
        <w:t>Practical research methods in education: An early researcher's critical guide</w:t>
      </w:r>
      <w:r w:rsidRPr="008F3A84">
        <w:rPr>
          <w:sz w:val="22"/>
          <w:szCs w:val="22"/>
        </w:rPr>
        <w:t xml:space="preserve">. Abingdon, Oxon: Routledge. </w:t>
      </w:r>
    </w:p>
    <w:p w14:paraId="7730DE9E" w14:textId="55F61731" w:rsidR="00475C9B" w:rsidRPr="008F3A84" w:rsidRDefault="00475C9B" w:rsidP="00475C9B">
      <w:pPr>
        <w:pStyle w:val="NormalWeb"/>
        <w:ind w:left="567" w:hanging="567"/>
        <w:rPr>
          <w:sz w:val="22"/>
          <w:szCs w:val="22"/>
        </w:rPr>
      </w:pPr>
      <w:proofErr w:type="spellStart"/>
      <w:r w:rsidRPr="008F3A84">
        <w:rPr>
          <w:sz w:val="22"/>
          <w:szCs w:val="22"/>
        </w:rPr>
        <w:t>Lazaraton</w:t>
      </w:r>
      <w:proofErr w:type="spellEnd"/>
      <w:r w:rsidRPr="008F3A84">
        <w:rPr>
          <w:sz w:val="22"/>
          <w:szCs w:val="22"/>
        </w:rPr>
        <w:t xml:space="preserve">, A. (1995) “Qualitative Research in Applied Linguistics: A Progress Report,” </w:t>
      </w:r>
      <w:r w:rsidRPr="008F3A84">
        <w:rPr>
          <w:i/>
          <w:iCs/>
          <w:sz w:val="22"/>
          <w:szCs w:val="22"/>
        </w:rPr>
        <w:t>TESOL Quarterly</w:t>
      </w:r>
      <w:r w:rsidRPr="008F3A84">
        <w:rPr>
          <w:sz w:val="22"/>
          <w:szCs w:val="22"/>
        </w:rPr>
        <w:t xml:space="preserve">, 29(3), p. 455. Available at: https://doi.org/10.2307/3588071. </w:t>
      </w:r>
    </w:p>
    <w:p w14:paraId="5CE4A810" w14:textId="4C23719F" w:rsidR="00A65107" w:rsidRPr="008F3A84" w:rsidRDefault="00A65107" w:rsidP="00A65107">
      <w:pPr>
        <w:pStyle w:val="NormalWeb"/>
        <w:ind w:left="567" w:hanging="567"/>
        <w:rPr>
          <w:sz w:val="22"/>
          <w:szCs w:val="22"/>
        </w:rPr>
      </w:pPr>
      <w:r w:rsidRPr="008F3A84">
        <w:rPr>
          <w:sz w:val="22"/>
          <w:szCs w:val="22"/>
        </w:rPr>
        <w:t xml:space="preserve">Leadbeater, B. (2006) </w:t>
      </w:r>
      <w:r w:rsidRPr="008F3A84">
        <w:rPr>
          <w:i/>
          <w:iCs/>
          <w:sz w:val="22"/>
          <w:szCs w:val="22"/>
        </w:rPr>
        <w:t>Ethical issues in community-based research with children and Youth</w:t>
      </w:r>
      <w:r w:rsidRPr="008F3A84">
        <w:rPr>
          <w:sz w:val="22"/>
          <w:szCs w:val="22"/>
        </w:rPr>
        <w:t xml:space="preserve">. Toronto: University of Toronto Press. </w:t>
      </w:r>
    </w:p>
    <w:p w14:paraId="7A9E3DF5" w14:textId="7D4C7A05" w:rsidR="00475C9B" w:rsidRPr="008F3A84" w:rsidRDefault="00475C9B" w:rsidP="00475C9B">
      <w:pPr>
        <w:pStyle w:val="NormalWeb"/>
        <w:ind w:left="567" w:hanging="567"/>
        <w:rPr>
          <w:sz w:val="22"/>
          <w:szCs w:val="22"/>
        </w:rPr>
      </w:pPr>
      <w:proofErr w:type="spellStart"/>
      <w:r w:rsidRPr="008F3A84">
        <w:rPr>
          <w:i/>
          <w:iCs/>
          <w:sz w:val="22"/>
          <w:szCs w:val="22"/>
        </w:rPr>
        <w:t>Libguides</w:t>
      </w:r>
      <w:proofErr w:type="spellEnd"/>
      <w:r w:rsidRPr="008F3A84">
        <w:rPr>
          <w:i/>
          <w:iCs/>
          <w:sz w:val="22"/>
          <w:szCs w:val="22"/>
        </w:rPr>
        <w:t>: Research Methods: What are research methods?</w:t>
      </w:r>
      <w:r w:rsidRPr="008F3A84">
        <w:rPr>
          <w:sz w:val="22"/>
          <w:szCs w:val="22"/>
        </w:rPr>
        <w:t xml:space="preserve"> (</w:t>
      </w:r>
      <w:proofErr w:type="gramStart"/>
      <w:r w:rsidRPr="008F3A84">
        <w:rPr>
          <w:sz w:val="22"/>
          <w:szCs w:val="22"/>
        </w:rPr>
        <w:t>no</w:t>
      </w:r>
      <w:proofErr w:type="gramEnd"/>
      <w:r w:rsidRPr="008F3A84">
        <w:rPr>
          <w:sz w:val="22"/>
          <w:szCs w:val="22"/>
        </w:rPr>
        <w:t xml:space="preserve"> date) </w:t>
      </w:r>
      <w:r w:rsidRPr="008F3A84">
        <w:rPr>
          <w:i/>
          <w:iCs/>
          <w:sz w:val="22"/>
          <w:szCs w:val="22"/>
        </w:rPr>
        <w:t xml:space="preserve">What are research methods? - Research Methods - </w:t>
      </w:r>
      <w:proofErr w:type="spellStart"/>
      <w:r w:rsidRPr="008F3A84">
        <w:rPr>
          <w:i/>
          <w:iCs/>
          <w:sz w:val="22"/>
          <w:szCs w:val="22"/>
        </w:rPr>
        <w:t>LibGuides</w:t>
      </w:r>
      <w:proofErr w:type="spellEnd"/>
      <w:r w:rsidRPr="008F3A84">
        <w:rPr>
          <w:i/>
          <w:iCs/>
          <w:sz w:val="22"/>
          <w:szCs w:val="22"/>
        </w:rPr>
        <w:t xml:space="preserve"> at University of Newcastle Library</w:t>
      </w:r>
      <w:r w:rsidRPr="008F3A84">
        <w:rPr>
          <w:sz w:val="22"/>
          <w:szCs w:val="22"/>
        </w:rPr>
        <w:t xml:space="preserve">. Available at: https://libguides.newcastle.edu.au/researchmethods#:~:text=Research%20methods%20are%20the%20strategies,different%20tools%20for%20data%20collection. (Accessed: February 24, 2023). </w:t>
      </w:r>
    </w:p>
    <w:p w14:paraId="79F1FCE3" w14:textId="3026E4AA" w:rsidR="00A65107" w:rsidRPr="008F3A84" w:rsidRDefault="00A65107" w:rsidP="00A65107">
      <w:pPr>
        <w:pStyle w:val="NormalWeb"/>
        <w:ind w:left="567" w:hanging="567"/>
        <w:rPr>
          <w:sz w:val="22"/>
          <w:szCs w:val="22"/>
        </w:rPr>
      </w:pPr>
      <w:proofErr w:type="spellStart"/>
      <w:r w:rsidRPr="008F3A84">
        <w:rPr>
          <w:sz w:val="22"/>
          <w:szCs w:val="22"/>
        </w:rPr>
        <w:t>Lindle</w:t>
      </w:r>
      <w:proofErr w:type="spellEnd"/>
      <w:r w:rsidRPr="008F3A84">
        <w:rPr>
          <w:sz w:val="22"/>
          <w:szCs w:val="22"/>
        </w:rPr>
        <w:t xml:space="preserve">, J.C. (no date) </w:t>
      </w:r>
      <w:r w:rsidRPr="008F3A84">
        <w:rPr>
          <w:i/>
          <w:iCs/>
          <w:sz w:val="22"/>
          <w:szCs w:val="22"/>
        </w:rPr>
        <w:t>Review of the literature on tracking and ability grouping. Second draft</w:t>
      </w:r>
      <w:r w:rsidRPr="008F3A84">
        <w:rPr>
          <w:sz w:val="22"/>
          <w:szCs w:val="22"/>
        </w:rPr>
        <w:t xml:space="preserve">. </w:t>
      </w:r>
    </w:p>
    <w:p w14:paraId="5F1F2A38" w14:textId="214E132E" w:rsidR="00A65107" w:rsidRPr="008F3A84" w:rsidRDefault="00A65107" w:rsidP="00A65107">
      <w:pPr>
        <w:pStyle w:val="NormalWeb"/>
        <w:ind w:left="567" w:hanging="567"/>
        <w:rPr>
          <w:sz w:val="22"/>
          <w:szCs w:val="22"/>
        </w:rPr>
      </w:pPr>
      <w:r w:rsidRPr="008F3A84">
        <w:rPr>
          <w:sz w:val="22"/>
          <w:szCs w:val="22"/>
        </w:rPr>
        <w:t xml:space="preserve">Maguire, M. and Delahunt, B. (2017) “Doing a Thematic Analysis: A Practical, Step-by-Step Guide for Learning and Teaching Scholars.,” 3. </w:t>
      </w:r>
    </w:p>
    <w:p w14:paraId="31A711EC" w14:textId="4EC57090" w:rsidR="00A65107" w:rsidRPr="008F3A84" w:rsidRDefault="00A65107" w:rsidP="00A65107">
      <w:pPr>
        <w:shd w:val="clear" w:color="auto" w:fill="FFFFFF"/>
        <w:spacing w:line="300" w:lineRule="atLeast"/>
        <w:rPr>
          <w:rFonts w:ascii="Times New Roman" w:eastAsia="Times New Roman" w:hAnsi="Times New Roman" w:cs="Times New Roman"/>
          <w:color w:val="232323"/>
          <w:sz w:val="22"/>
          <w:szCs w:val="22"/>
          <w:lang w:eastAsia="en-GB"/>
        </w:rPr>
      </w:pPr>
      <w:r w:rsidRPr="00871E48">
        <w:rPr>
          <w:rFonts w:ascii="Times New Roman" w:eastAsia="Times New Roman" w:hAnsi="Times New Roman" w:cs="Times New Roman"/>
          <w:color w:val="232323"/>
          <w:sz w:val="22"/>
          <w:szCs w:val="22"/>
          <w:lang w:eastAsia="en-GB"/>
        </w:rPr>
        <w:t xml:space="preserve">Marshall, C. and Rossman, G.B. (1999) </w:t>
      </w:r>
      <w:r w:rsidRPr="008F3A84">
        <w:rPr>
          <w:rFonts w:ascii="Times New Roman" w:eastAsia="Times New Roman" w:hAnsi="Times New Roman" w:cs="Times New Roman"/>
          <w:color w:val="232323"/>
          <w:sz w:val="22"/>
          <w:szCs w:val="22"/>
          <w:lang w:eastAsia="en-GB"/>
        </w:rPr>
        <w:t>‘</w:t>
      </w:r>
      <w:r w:rsidRPr="00871E48">
        <w:rPr>
          <w:rFonts w:ascii="Times New Roman" w:eastAsia="Times New Roman" w:hAnsi="Times New Roman" w:cs="Times New Roman"/>
          <w:color w:val="232323"/>
          <w:sz w:val="22"/>
          <w:szCs w:val="22"/>
          <w:lang w:eastAsia="en-GB"/>
        </w:rPr>
        <w:t>Designing Qualitative Research</w:t>
      </w:r>
      <w:r w:rsidRPr="008F3A84">
        <w:rPr>
          <w:rFonts w:ascii="Times New Roman" w:eastAsia="Times New Roman" w:hAnsi="Times New Roman" w:cs="Times New Roman"/>
          <w:color w:val="232323"/>
          <w:sz w:val="22"/>
          <w:szCs w:val="22"/>
          <w:lang w:eastAsia="en-GB"/>
        </w:rPr>
        <w:t>’</w:t>
      </w:r>
      <w:r w:rsidRPr="00871E48">
        <w:rPr>
          <w:rFonts w:ascii="Times New Roman" w:eastAsia="Times New Roman" w:hAnsi="Times New Roman" w:cs="Times New Roman"/>
          <w:color w:val="232323"/>
          <w:sz w:val="22"/>
          <w:szCs w:val="22"/>
          <w:lang w:eastAsia="en-GB"/>
        </w:rPr>
        <w:t>. 3rd Edition, International Educational and Professional Publisher, California, 35.</w:t>
      </w:r>
    </w:p>
    <w:p w14:paraId="1D3CCECC" w14:textId="0DFF68E7" w:rsidR="00A65107" w:rsidRPr="008F3A84" w:rsidRDefault="00A65107" w:rsidP="00A65107">
      <w:pPr>
        <w:pStyle w:val="NormalWeb"/>
        <w:ind w:left="567" w:hanging="567"/>
        <w:rPr>
          <w:color w:val="222222"/>
          <w:sz w:val="22"/>
          <w:szCs w:val="22"/>
          <w:shd w:val="clear" w:color="auto" w:fill="FFFFFF"/>
        </w:rPr>
      </w:pPr>
      <w:r w:rsidRPr="008F3A84">
        <w:rPr>
          <w:color w:val="222222"/>
          <w:sz w:val="22"/>
          <w:szCs w:val="22"/>
          <w:shd w:val="clear" w:color="auto" w:fill="FFFFFF"/>
        </w:rPr>
        <w:t>McLeod, S.A., 2014. Lev Vygotsky</w:t>
      </w:r>
    </w:p>
    <w:p w14:paraId="6725434D" w14:textId="49B4C9B3" w:rsidR="00A65107" w:rsidRPr="008F3A84" w:rsidRDefault="00A65107" w:rsidP="00A65107">
      <w:pPr>
        <w:pStyle w:val="NormalWeb"/>
        <w:ind w:left="567" w:hanging="567"/>
        <w:rPr>
          <w:sz w:val="22"/>
          <w:szCs w:val="22"/>
        </w:rPr>
      </w:pPr>
      <w:proofErr w:type="spellStart"/>
      <w:r w:rsidRPr="008F3A84">
        <w:rPr>
          <w:sz w:val="22"/>
          <w:szCs w:val="22"/>
        </w:rPr>
        <w:t>Meinke</w:t>
      </w:r>
      <w:proofErr w:type="spellEnd"/>
      <w:r w:rsidRPr="008F3A84">
        <w:rPr>
          <w:sz w:val="22"/>
          <w:szCs w:val="22"/>
        </w:rPr>
        <w:t xml:space="preserve">, H. (2019) </w:t>
      </w:r>
      <w:r w:rsidRPr="008F3A84">
        <w:rPr>
          <w:i/>
          <w:iCs/>
          <w:sz w:val="22"/>
          <w:szCs w:val="22"/>
        </w:rPr>
        <w:t xml:space="preserve">Exploring the pros and cons of </w:t>
      </w:r>
      <w:proofErr w:type="spellStart"/>
      <w:r w:rsidRPr="008F3A84">
        <w:rPr>
          <w:i/>
          <w:iCs/>
          <w:sz w:val="22"/>
          <w:szCs w:val="22"/>
        </w:rPr>
        <w:t>montessori</w:t>
      </w:r>
      <w:proofErr w:type="spellEnd"/>
      <w:r w:rsidRPr="008F3A84">
        <w:rPr>
          <w:i/>
          <w:iCs/>
          <w:sz w:val="22"/>
          <w:szCs w:val="22"/>
        </w:rPr>
        <w:t xml:space="preserve"> education</w:t>
      </w:r>
      <w:r w:rsidRPr="008F3A84">
        <w:rPr>
          <w:sz w:val="22"/>
          <w:szCs w:val="22"/>
        </w:rPr>
        <w:t xml:space="preserve">, </w:t>
      </w:r>
      <w:r w:rsidRPr="008F3A84">
        <w:rPr>
          <w:i/>
          <w:iCs/>
          <w:sz w:val="22"/>
          <w:szCs w:val="22"/>
        </w:rPr>
        <w:t>Rasmussen University</w:t>
      </w:r>
      <w:r w:rsidRPr="008F3A84">
        <w:rPr>
          <w:sz w:val="22"/>
          <w:szCs w:val="22"/>
        </w:rPr>
        <w:t xml:space="preserve">. Available at: https://www.rasmussen.edu/degrees/education/blog/pros_cons_montessori_education/#:~:text=The%20Montessori%20Method%20was%20developed,encourage%20independence%20among%20their%20pupils. (Accessed: February 24, 2023). </w:t>
      </w:r>
    </w:p>
    <w:p w14:paraId="4934710F" w14:textId="7B370F9F" w:rsidR="00F148F5" w:rsidRPr="008F3A84" w:rsidRDefault="00475C9B" w:rsidP="00475C9B">
      <w:pPr>
        <w:pStyle w:val="NormalWeb"/>
        <w:ind w:left="567" w:hanging="567"/>
        <w:rPr>
          <w:sz w:val="22"/>
          <w:szCs w:val="22"/>
        </w:rPr>
      </w:pPr>
      <w:r w:rsidRPr="008F3A84">
        <w:rPr>
          <w:sz w:val="22"/>
          <w:szCs w:val="22"/>
        </w:rPr>
        <w:t xml:space="preserve">Michael, A. and </w:t>
      </w:r>
      <w:proofErr w:type="spellStart"/>
      <w:r w:rsidRPr="008F3A84">
        <w:rPr>
          <w:sz w:val="22"/>
          <w:szCs w:val="22"/>
        </w:rPr>
        <w:t>Carnochan</w:t>
      </w:r>
      <w:proofErr w:type="spellEnd"/>
      <w:r w:rsidRPr="008F3A84">
        <w:rPr>
          <w:sz w:val="22"/>
          <w:szCs w:val="22"/>
        </w:rPr>
        <w:t xml:space="preserve">, S. (2020) “What is practice research and why is it important,” </w:t>
      </w:r>
      <w:r w:rsidRPr="008F3A84">
        <w:rPr>
          <w:i/>
          <w:iCs/>
          <w:sz w:val="22"/>
          <w:szCs w:val="22"/>
        </w:rPr>
        <w:t>Practice Research in the Human Services</w:t>
      </w:r>
      <w:r w:rsidRPr="008F3A84">
        <w:rPr>
          <w:sz w:val="22"/>
          <w:szCs w:val="22"/>
        </w:rPr>
        <w:t xml:space="preserve">, pp. 1–25. Available at: https://doi.org/10.1093/oso/9780197518335.003.0001. </w:t>
      </w:r>
    </w:p>
    <w:p w14:paraId="3FC0505B" w14:textId="2221A5F6" w:rsidR="00F148F5" w:rsidRPr="008F3A84" w:rsidRDefault="00475C9B" w:rsidP="00475C9B">
      <w:pPr>
        <w:pStyle w:val="NormalWeb"/>
        <w:ind w:left="567" w:hanging="567"/>
        <w:rPr>
          <w:sz w:val="22"/>
          <w:szCs w:val="22"/>
        </w:rPr>
      </w:pPr>
      <w:r w:rsidRPr="008F3A84">
        <w:rPr>
          <w:sz w:val="22"/>
          <w:szCs w:val="22"/>
        </w:rPr>
        <w:t xml:space="preserve">Nations, U. (2022) </w:t>
      </w:r>
      <w:r w:rsidRPr="008F3A84">
        <w:rPr>
          <w:i/>
          <w:iCs/>
          <w:sz w:val="22"/>
          <w:szCs w:val="22"/>
        </w:rPr>
        <w:t>UN Convention on the rights of the child</w:t>
      </w:r>
      <w:r w:rsidRPr="008F3A84">
        <w:rPr>
          <w:sz w:val="22"/>
          <w:szCs w:val="22"/>
        </w:rPr>
        <w:t xml:space="preserve">, </w:t>
      </w:r>
      <w:r w:rsidRPr="008F3A84">
        <w:rPr>
          <w:i/>
          <w:iCs/>
          <w:sz w:val="22"/>
          <w:szCs w:val="22"/>
        </w:rPr>
        <w:t>UNICEF UK</w:t>
      </w:r>
      <w:r w:rsidRPr="008F3A84">
        <w:rPr>
          <w:sz w:val="22"/>
          <w:szCs w:val="22"/>
        </w:rPr>
        <w:t xml:space="preserve">. Available at: https://www.unicef.org.uk/what-we-do/un-convention-child-rights/#:~:text=Every%20child%20has%20rights%20%E2%80%9Cwithout,status%E2%80%9D%20(Article%202). (Accessed: February 22, 2023). </w:t>
      </w:r>
    </w:p>
    <w:p w14:paraId="19B26023" w14:textId="404FC7D2" w:rsidR="00475C9B" w:rsidRPr="008F3A84" w:rsidRDefault="00475C9B" w:rsidP="00475C9B">
      <w:pPr>
        <w:pStyle w:val="NormalWeb"/>
        <w:ind w:left="567" w:hanging="567"/>
        <w:rPr>
          <w:sz w:val="22"/>
          <w:szCs w:val="22"/>
        </w:rPr>
      </w:pPr>
      <w:r w:rsidRPr="008F3A84">
        <w:rPr>
          <w:sz w:val="22"/>
          <w:szCs w:val="22"/>
        </w:rPr>
        <w:lastRenderedPageBreak/>
        <w:t xml:space="preserve">Nightingale, V. (2008) </w:t>
      </w:r>
      <w:r w:rsidRPr="008F3A84">
        <w:rPr>
          <w:i/>
          <w:iCs/>
          <w:sz w:val="22"/>
          <w:szCs w:val="22"/>
        </w:rPr>
        <w:t>Why observing matters</w:t>
      </w:r>
      <w:r w:rsidRPr="008F3A84">
        <w:rPr>
          <w:sz w:val="22"/>
          <w:szCs w:val="22"/>
        </w:rPr>
        <w:t xml:space="preserve">. Edinburgh, Scotland: Edinburgh University Press. </w:t>
      </w:r>
    </w:p>
    <w:p w14:paraId="4FB1A9B7" w14:textId="481EC66A" w:rsidR="00A65107" w:rsidRPr="008F3A84" w:rsidRDefault="00A65107" w:rsidP="00A65107">
      <w:pPr>
        <w:pStyle w:val="NormalWeb"/>
        <w:rPr>
          <w:sz w:val="22"/>
          <w:szCs w:val="22"/>
        </w:rPr>
      </w:pPr>
      <w:r w:rsidRPr="008F3A84">
        <w:rPr>
          <w:sz w:val="22"/>
          <w:szCs w:val="22"/>
        </w:rPr>
        <w:t xml:space="preserve">Nowell, L.S. </w:t>
      </w:r>
      <w:r w:rsidRPr="008F3A84">
        <w:rPr>
          <w:i/>
          <w:iCs/>
          <w:sz w:val="22"/>
          <w:szCs w:val="22"/>
        </w:rPr>
        <w:t>et al.</w:t>
      </w:r>
      <w:r w:rsidRPr="008F3A84">
        <w:rPr>
          <w:sz w:val="22"/>
          <w:szCs w:val="22"/>
        </w:rPr>
        <w:t xml:space="preserve"> (2017) “Thematic analysis,” </w:t>
      </w:r>
      <w:r w:rsidRPr="008F3A84">
        <w:rPr>
          <w:i/>
          <w:iCs/>
          <w:sz w:val="22"/>
          <w:szCs w:val="22"/>
        </w:rPr>
        <w:t>International Journal of Qualitative Methods</w:t>
      </w:r>
      <w:r w:rsidRPr="008F3A84">
        <w:rPr>
          <w:sz w:val="22"/>
          <w:szCs w:val="22"/>
        </w:rPr>
        <w:t xml:space="preserve">, 16(1), p. 160940691773384. Available at: https://doi.org/10.1177/1609406917733847. </w:t>
      </w:r>
    </w:p>
    <w:p w14:paraId="7FE89BEA" w14:textId="64C547ED" w:rsidR="00475C9B" w:rsidRPr="008F3A84" w:rsidRDefault="00475C9B" w:rsidP="00475C9B">
      <w:pPr>
        <w:pStyle w:val="NormalWeb"/>
        <w:ind w:left="567" w:hanging="567"/>
        <w:rPr>
          <w:sz w:val="22"/>
          <w:szCs w:val="22"/>
        </w:rPr>
      </w:pPr>
      <w:r w:rsidRPr="008F3A84">
        <w:rPr>
          <w:sz w:val="22"/>
          <w:szCs w:val="22"/>
        </w:rPr>
        <w:t xml:space="preserve">Patten, M.L. and Newhart, M. (2017) </w:t>
      </w:r>
      <w:r w:rsidRPr="008F3A84">
        <w:rPr>
          <w:i/>
          <w:iCs/>
          <w:sz w:val="22"/>
          <w:szCs w:val="22"/>
        </w:rPr>
        <w:t>Understanding research methods: An overview of the Essentials</w:t>
      </w:r>
      <w:r w:rsidRPr="008F3A84">
        <w:rPr>
          <w:sz w:val="22"/>
          <w:szCs w:val="22"/>
        </w:rPr>
        <w:t xml:space="preserve">. New York, NY: Routledge. </w:t>
      </w:r>
    </w:p>
    <w:p w14:paraId="69A650EA" w14:textId="73BA83D0" w:rsidR="00475C9B" w:rsidRPr="008F3A84" w:rsidRDefault="00475C9B" w:rsidP="00475C9B">
      <w:pPr>
        <w:pStyle w:val="NormalWeb"/>
        <w:ind w:left="567" w:hanging="567"/>
        <w:rPr>
          <w:sz w:val="22"/>
          <w:szCs w:val="22"/>
        </w:rPr>
      </w:pPr>
      <w:proofErr w:type="spellStart"/>
      <w:r w:rsidRPr="008F3A84">
        <w:rPr>
          <w:sz w:val="22"/>
          <w:szCs w:val="22"/>
        </w:rPr>
        <w:t>Phillippi</w:t>
      </w:r>
      <w:proofErr w:type="spellEnd"/>
      <w:r w:rsidRPr="008F3A84">
        <w:rPr>
          <w:sz w:val="22"/>
          <w:szCs w:val="22"/>
        </w:rPr>
        <w:t xml:space="preserve">, J. and Lauderdale, J. (2017) “A guide to field notes for qualitative research: Context and conversation,” </w:t>
      </w:r>
      <w:r w:rsidRPr="008F3A84">
        <w:rPr>
          <w:i/>
          <w:iCs/>
          <w:sz w:val="22"/>
          <w:szCs w:val="22"/>
        </w:rPr>
        <w:t>Qualitative Health Research</w:t>
      </w:r>
      <w:r w:rsidRPr="008F3A84">
        <w:rPr>
          <w:sz w:val="22"/>
          <w:szCs w:val="22"/>
        </w:rPr>
        <w:t xml:space="preserve">, 28(3), pp. 381–388. Available at: https://doi.org/10.1177/1049732317697102. </w:t>
      </w:r>
    </w:p>
    <w:p w14:paraId="555FC397" w14:textId="4D1F3591" w:rsidR="00A65107" w:rsidRPr="008F3A84" w:rsidRDefault="00A65107" w:rsidP="00A65107">
      <w:pPr>
        <w:pStyle w:val="NormalWeb"/>
        <w:ind w:left="567" w:hanging="567"/>
        <w:rPr>
          <w:sz w:val="22"/>
          <w:szCs w:val="22"/>
        </w:rPr>
      </w:pPr>
      <w:proofErr w:type="spellStart"/>
      <w:r w:rsidRPr="008F3A84">
        <w:rPr>
          <w:sz w:val="22"/>
          <w:szCs w:val="22"/>
        </w:rPr>
        <w:t>Phleger</w:t>
      </w:r>
      <w:proofErr w:type="spellEnd"/>
      <w:r w:rsidRPr="008F3A84">
        <w:rPr>
          <w:sz w:val="22"/>
          <w:szCs w:val="22"/>
        </w:rPr>
        <w:t xml:space="preserve">, P. (2022) </w:t>
      </w:r>
      <w:r w:rsidRPr="008F3A84">
        <w:rPr>
          <w:i/>
          <w:iCs/>
          <w:sz w:val="22"/>
          <w:szCs w:val="22"/>
        </w:rPr>
        <w:t>Education Research: Across Multiple Paradigms</w:t>
      </w:r>
      <w:r w:rsidRPr="008F3A84">
        <w:rPr>
          <w:sz w:val="22"/>
          <w:szCs w:val="22"/>
        </w:rPr>
        <w:t xml:space="preserve">. EdTech Books. </w:t>
      </w:r>
    </w:p>
    <w:p w14:paraId="3E26F9A6" w14:textId="77777777" w:rsidR="00A65107" w:rsidRPr="008F3A84" w:rsidRDefault="00A65107" w:rsidP="00A65107">
      <w:pPr>
        <w:pStyle w:val="NormalWeb"/>
        <w:ind w:left="567" w:hanging="567"/>
        <w:rPr>
          <w:sz w:val="22"/>
          <w:szCs w:val="22"/>
        </w:rPr>
      </w:pPr>
      <w:r w:rsidRPr="008F3A84">
        <w:rPr>
          <w:sz w:val="22"/>
          <w:szCs w:val="22"/>
        </w:rPr>
        <w:t xml:space="preserve">Popenoe, R. </w:t>
      </w:r>
      <w:r w:rsidRPr="008F3A84">
        <w:rPr>
          <w:i/>
          <w:iCs/>
          <w:sz w:val="22"/>
          <w:szCs w:val="22"/>
        </w:rPr>
        <w:t>et al.</w:t>
      </w:r>
      <w:r w:rsidRPr="008F3A84">
        <w:rPr>
          <w:sz w:val="22"/>
          <w:szCs w:val="22"/>
        </w:rPr>
        <w:t xml:space="preserve"> (2021) “A practical guide to data analysis in general literature reviews,” </w:t>
      </w:r>
      <w:r w:rsidRPr="008F3A84">
        <w:rPr>
          <w:i/>
          <w:iCs/>
          <w:sz w:val="22"/>
          <w:szCs w:val="22"/>
        </w:rPr>
        <w:t>Nordic Journal of Nursing Research</w:t>
      </w:r>
      <w:r w:rsidRPr="008F3A84">
        <w:rPr>
          <w:sz w:val="22"/>
          <w:szCs w:val="22"/>
        </w:rPr>
        <w:t>, 41(4), pp. 175–186. Available at: https://doi.org/10.1177/2057158521991949.</w:t>
      </w:r>
    </w:p>
    <w:p w14:paraId="4156E89F" w14:textId="687E6AE2" w:rsidR="00A65107" w:rsidRPr="008F3A84" w:rsidRDefault="00A65107" w:rsidP="00A65107">
      <w:pPr>
        <w:pStyle w:val="NormalWeb"/>
        <w:ind w:left="567" w:hanging="567"/>
        <w:rPr>
          <w:sz w:val="22"/>
          <w:szCs w:val="22"/>
        </w:rPr>
      </w:pPr>
      <w:proofErr w:type="spellStart"/>
      <w:r w:rsidRPr="008F3A84">
        <w:rPr>
          <w:sz w:val="22"/>
          <w:szCs w:val="22"/>
        </w:rPr>
        <w:t>Povell</w:t>
      </w:r>
      <w:proofErr w:type="spellEnd"/>
      <w:r w:rsidRPr="008F3A84">
        <w:rPr>
          <w:sz w:val="22"/>
          <w:szCs w:val="22"/>
        </w:rPr>
        <w:t xml:space="preserve">, P. (2010) </w:t>
      </w:r>
      <w:r w:rsidRPr="008F3A84">
        <w:rPr>
          <w:i/>
          <w:iCs/>
          <w:sz w:val="22"/>
          <w:szCs w:val="22"/>
        </w:rPr>
        <w:t xml:space="preserve">Montessori comes to America: The leadership of Maria Montessori and Nancy McCormick </w:t>
      </w:r>
      <w:proofErr w:type="spellStart"/>
      <w:r w:rsidRPr="008F3A84">
        <w:rPr>
          <w:i/>
          <w:iCs/>
          <w:sz w:val="22"/>
          <w:szCs w:val="22"/>
        </w:rPr>
        <w:t>rambusch</w:t>
      </w:r>
      <w:proofErr w:type="spellEnd"/>
      <w:r w:rsidRPr="008F3A84">
        <w:rPr>
          <w:sz w:val="22"/>
          <w:szCs w:val="22"/>
        </w:rPr>
        <w:t xml:space="preserve">. Lanham (Md.): University Press of America. </w:t>
      </w:r>
    </w:p>
    <w:p w14:paraId="1A4D4535" w14:textId="2F5A7B95" w:rsidR="00475C9B" w:rsidRPr="008F3A84" w:rsidRDefault="00475C9B" w:rsidP="00475C9B">
      <w:pPr>
        <w:pStyle w:val="NormalWeb"/>
        <w:ind w:left="567" w:hanging="567"/>
        <w:rPr>
          <w:sz w:val="22"/>
          <w:szCs w:val="22"/>
        </w:rPr>
      </w:pPr>
      <w:r w:rsidRPr="008F3A84">
        <w:rPr>
          <w:sz w:val="22"/>
          <w:szCs w:val="22"/>
        </w:rPr>
        <w:t xml:space="preserve">Prasanna (2022) </w:t>
      </w:r>
      <w:r w:rsidRPr="008F3A84">
        <w:rPr>
          <w:i/>
          <w:iCs/>
          <w:sz w:val="22"/>
          <w:szCs w:val="22"/>
        </w:rPr>
        <w:t xml:space="preserve">Advantages and disadvantages of questionnaire: Top 6 questionnaire advantages and </w:t>
      </w:r>
      <w:proofErr w:type="spellStart"/>
      <w:r w:rsidRPr="008F3A84">
        <w:rPr>
          <w:i/>
          <w:iCs/>
          <w:sz w:val="22"/>
          <w:szCs w:val="22"/>
        </w:rPr>
        <w:t>Dsadvantages</w:t>
      </w:r>
      <w:proofErr w:type="spellEnd"/>
      <w:r w:rsidRPr="008F3A84">
        <w:rPr>
          <w:i/>
          <w:iCs/>
          <w:sz w:val="22"/>
          <w:szCs w:val="22"/>
        </w:rPr>
        <w:t>, pros and cons</w:t>
      </w:r>
      <w:r w:rsidRPr="008F3A84">
        <w:rPr>
          <w:sz w:val="22"/>
          <w:szCs w:val="22"/>
        </w:rPr>
        <w:t xml:space="preserve">, </w:t>
      </w:r>
      <w:r w:rsidRPr="008F3A84">
        <w:rPr>
          <w:i/>
          <w:iCs/>
          <w:sz w:val="22"/>
          <w:szCs w:val="22"/>
        </w:rPr>
        <w:t>A Plus Topper</w:t>
      </w:r>
      <w:r w:rsidRPr="008F3A84">
        <w:rPr>
          <w:sz w:val="22"/>
          <w:szCs w:val="22"/>
        </w:rPr>
        <w:t xml:space="preserve">. Available at: https://www.aplustopper.com/advantages-and-disadvantages-of-questionnaire/ (Accessed: February 24, 2023). </w:t>
      </w:r>
    </w:p>
    <w:p w14:paraId="7F653B71" w14:textId="6D79608A" w:rsidR="00475C9B" w:rsidRPr="008F3A84" w:rsidRDefault="00475C9B" w:rsidP="00475C9B">
      <w:pPr>
        <w:pStyle w:val="NormalWeb"/>
        <w:ind w:left="567" w:hanging="567"/>
        <w:rPr>
          <w:sz w:val="22"/>
          <w:szCs w:val="22"/>
        </w:rPr>
      </w:pPr>
      <w:r w:rsidRPr="008F3A84">
        <w:rPr>
          <w:sz w:val="22"/>
          <w:szCs w:val="22"/>
        </w:rPr>
        <w:t xml:space="preserve">Presser, S. (2004) </w:t>
      </w:r>
      <w:r w:rsidRPr="008F3A84">
        <w:rPr>
          <w:i/>
          <w:iCs/>
          <w:sz w:val="22"/>
          <w:szCs w:val="22"/>
        </w:rPr>
        <w:t>Methods for testing and evaluating survey: Questionnaires</w:t>
      </w:r>
      <w:r w:rsidRPr="008F3A84">
        <w:rPr>
          <w:sz w:val="22"/>
          <w:szCs w:val="22"/>
        </w:rPr>
        <w:t xml:space="preserve">. Hoboken, NJ.: John Wiles &amp; Sons. </w:t>
      </w:r>
    </w:p>
    <w:p w14:paraId="6479917B" w14:textId="6F150BAC" w:rsidR="00A65107" w:rsidRPr="008F3A84" w:rsidRDefault="00A65107" w:rsidP="00A65107">
      <w:pPr>
        <w:pStyle w:val="NormalWeb"/>
        <w:ind w:left="567" w:hanging="567"/>
        <w:rPr>
          <w:sz w:val="22"/>
          <w:szCs w:val="22"/>
        </w:rPr>
      </w:pPr>
      <w:r w:rsidRPr="008F3A84">
        <w:rPr>
          <w:sz w:val="22"/>
          <w:szCs w:val="22"/>
        </w:rPr>
        <w:t xml:space="preserve">Schaefer, O. and Wertheimer, A. (2010) “The Right to Withdraw from Research.” </w:t>
      </w:r>
    </w:p>
    <w:p w14:paraId="1093DDA6" w14:textId="45E66B66" w:rsidR="00475C9B" w:rsidRPr="008F3A84" w:rsidRDefault="00475C9B" w:rsidP="00475C9B">
      <w:pPr>
        <w:pStyle w:val="NormalWeb"/>
        <w:ind w:left="567" w:hanging="567"/>
        <w:rPr>
          <w:sz w:val="22"/>
          <w:szCs w:val="22"/>
        </w:rPr>
      </w:pPr>
      <w:proofErr w:type="spellStart"/>
      <w:r w:rsidRPr="008F3A84">
        <w:rPr>
          <w:sz w:val="22"/>
          <w:szCs w:val="22"/>
        </w:rPr>
        <w:t>Simkus</w:t>
      </w:r>
      <w:proofErr w:type="spellEnd"/>
      <w:r w:rsidRPr="008F3A84">
        <w:rPr>
          <w:sz w:val="22"/>
          <w:szCs w:val="22"/>
        </w:rPr>
        <w:t xml:space="preserve">, J. (no date) </w:t>
      </w:r>
      <w:r w:rsidRPr="008F3A84">
        <w:rPr>
          <w:i/>
          <w:iCs/>
          <w:sz w:val="22"/>
          <w:szCs w:val="22"/>
        </w:rPr>
        <w:t>Simple random sampling: Definition, steps and examples</w:t>
      </w:r>
      <w:r w:rsidRPr="008F3A84">
        <w:rPr>
          <w:sz w:val="22"/>
          <w:szCs w:val="22"/>
        </w:rPr>
        <w:t xml:space="preserve">, </w:t>
      </w:r>
      <w:r w:rsidRPr="008F3A84">
        <w:rPr>
          <w:i/>
          <w:iCs/>
          <w:sz w:val="22"/>
          <w:szCs w:val="22"/>
        </w:rPr>
        <w:t>Simple Random Sampling | Definition, Steps &amp; Examples - Simply Psychology</w:t>
      </w:r>
      <w:r w:rsidRPr="008F3A84">
        <w:rPr>
          <w:sz w:val="22"/>
          <w:szCs w:val="22"/>
        </w:rPr>
        <w:t xml:space="preserve">. Available at: https://www.simplypsychology.org/simple-random-sampling.html (Accessed: February 23, 2023). </w:t>
      </w:r>
    </w:p>
    <w:p w14:paraId="33B2F3CF" w14:textId="2440B43B" w:rsidR="00A65107" w:rsidRPr="008F3A84" w:rsidRDefault="00A65107" w:rsidP="00A65107">
      <w:pPr>
        <w:pStyle w:val="NormalWeb"/>
        <w:ind w:left="567" w:hanging="567"/>
        <w:rPr>
          <w:sz w:val="22"/>
          <w:szCs w:val="22"/>
        </w:rPr>
      </w:pPr>
      <w:r w:rsidRPr="008F3A84">
        <w:rPr>
          <w:sz w:val="22"/>
          <w:szCs w:val="22"/>
        </w:rPr>
        <w:t xml:space="preserve">Smith, L., </w:t>
      </w:r>
      <w:proofErr w:type="spellStart"/>
      <w:r w:rsidRPr="008F3A84">
        <w:rPr>
          <w:sz w:val="22"/>
          <w:szCs w:val="22"/>
        </w:rPr>
        <w:t>Dockrell</w:t>
      </w:r>
      <w:proofErr w:type="spellEnd"/>
      <w:r w:rsidRPr="008F3A84">
        <w:rPr>
          <w:sz w:val="22"/>
          <w:szCs w:val="22"/>
        </w:rPr>
        <w:t xml:space="preserve">, J.E. and Tomlinson, P. (2014) </w:t>
      </w:r>
      <w:r w:rsidRPr="008F3A84">
        <w:rPr>
          <w:i/>
          <w:iCs/>
          <w:sz w:val="22"/>
          <w:szCs w:val="22"/>
        </w:rPr>
        <w:t>Piaget, Vygotsky and beyond: Future issues for developmental psychology and Education</w:t>
      </w:r>
      <w:r w:rsidRPr="008F3A84">
        <w:rPr>
          <w:sz w:val="22"/>
          <w:szCs w:val="22"/>
        </w:rPr>
        <w:t xml:space="preserve">. London: Routledge Taylor &amp; Group. </w:t>
      </w:r>
    </w:p>
    <w:p w14:paraId="5D2AC99B" w14:textId="2F3216DB" w:rsidR="00475C9B" w:rsidRPr="008F3A84" w:rsidRDefault="00475C9B" w:rsidP="00475C9B">
      <w:pPr>
        <w:pStyle w:val="NormalWeb"/>
        <w:ind w:left="567" w:hanging="567"/>
        <w:rPr>
          <w:sz w:val="22"/>
          <w:szCs w:val="22"/>
        </w:rPr>
      </w:pPr>
      <w:r w:rsidRPr="008F3A84">
        <w:rPr>
          <w:sz w:val="22"/>
          <w:szCs w:val="22"/>
        </w:rPr>
        <w:t xml:space="preserve">Street, C.T. and Ward, K.W. (2012) “Improving validity and reliability in longitudinal case study timelines,” </w:t>
      </w:r>
      <w:r w:rsidRPr="008F3A84">
        <w:rPr>
          <w:i/>
          <w:iCs/>
          <w:sz w:val="22"/>
          <w:szCs w:val="22"/>
        </w:rPr>
        <w:t>European Journal of Information Systems</w:t>
      </w:r>
      <w:r w:rsidRPr="008F3A84">
        <w:rPr>
          <w:sz w:val="22"/>
          <w:szCs w:val="22"/>
        </w:rPr>
        <w:t xml:space="preserve">, 21(2), pp. 160–175. Available at: https://doi.org/10.1057/ejis.2011.53. </w:t>
      </w:r>
    </w:p>
    <w:p w14:paraId="2FA39C49" w14:textId="105C7919" w:rsidR="00A65107" w:rsidRPr="008F3A84" w:rsidRDefault="00A65107" w:rsidP="00A65107">
      <w:pPr>
        <w:pStyle w:val="NormalWeb"/>
        <w:ind w:left="567" w:hanging="567"/>
        <w:rPr>
          <w:sz w:val="22"/>
          <w:szCs w:val="22"/>
        </w:rPr>
      </w:pPr>
      <w:r w:rsidRPr="008F3A84">
        <w:rPr>
          <w:i/>
          <w:iCs/>
          <w:sz w:val="22"/>
          <w:szCs w:val="22"/>
        </w:rPr>
        <w:t>Subject guides: Research guide: Data analysis and reporting findings</w:t>
      </w:r>
      <w:r w:rsidRPr="008F3A84">
        <w:rPr>
          <w:sz w:val="22"/>
          <w:szCs w:val="22"/>
        </w:rPr>
        <w:t xml:space="preserve"> (no date) </w:t>
      </w:r>
      <w:r w:rsidRPr="008F3A84">
        <w:rPr>
          <w:i/>
          <w:iCs/>
          <w:sz w:val="22"/>
          <w:szCs w:val="22"/>
        </w:rPr>
        <w:t>Banner</w:t>
      </w:r>
      <w:r w:rsidRPr="008F3A84">
        <w:rPr>
          <w:sz w:val="22"/>
          <w:szCs w:val="22"/>
        </w:rPr>
        <w:t xml:space="preserve">. Available at: https://library.up.ac.za/c.php?g=485435&amp;p=4425510 (Accessed: February 25, 2023). </w:t>
      </w:r>
    </w:p>
    <w:p w14:paraId="4D85280F" w14:textId="2956B9DF" w:rsidR="00475C9B" w:rsidRPr="008F3A84" w:rsidRDefault="00475C9B" w:rsidP="00475C9B">
      <w:pPr>
        <w:pStyle w:val="NormalWeb"/>
        <w:ind w:left="567" w:hanging="567"/>
        <w:rPr>
          <w:sz w:val="22"/>
          <w:szCs w:val="22"/>
        </w:rPr>
      </w:pPr>
      <w:proofErr w:type="spellStart"/>
      <w:r w:rsidRPr="008F3A84">
        <w:rPr>
          <w:sz w:val="22"/>
          <w:szCs w:val="22"/>
        </w:rPr>
        <w:t>Swanborn</w:t>
      </w:r>
      <w:proofErr w:type="spellEnd"/>
      <w:r w:rsidRPr="008F3A84">
        <w:rPr>
          <w:sz w:val="22"/>
          <w:szCs w:val="22"/>
        </w:rPr>
        <w:t xml:space="preserve">, P. (2010) </w:t>
      </w:r>
      <w:r w:rsidRPr="008F3A84">
        <w:rPr>
          <w:i/>
          <w:iCs/>
          <w:sz w:val="22"/>
          <w:szCs w:val="22"/>
        </w:rPr>
        <w:t>Case study research: What, why and how?</w:t>
      </w:r>
      <w:r w:rsidRPr="008F3A84">
        <w:rPr>
          <w:sz w:val="22"/>
          <w:szCs w:val="22"/>
        </w:rPr>
        <w:t xml:space="preserve"> Thousand Oaks, CA: SAGE Publications. </w:t>
      </w:r>
    </w:p>
    <w:p w14:paraId="5B13F9A0" w14:textId="77777777" w:rsidR="00475C9B" w:rsidRPr="008F3A84" w:rsidRDefault="00475C9B" w:rsidP="00475C9B">
      <w:pPr>
        <w:pStyle w:val="NormalWeb"/>
        <w:ind w:left="567" w:hanging="567"/>
        <w:rPr>
          <w:sz w:val="22"/>
          <w:szCs w:val="22"/>
        </w:rPr>
      </w:pPr>
      <w:proofErr w:type="spellStart"/>
      <w:r w:rsidRPr="008F3A84">
        <w:rPr>
          <w:sz w:val="22"/>
          <w:szCs w:val="22"/>
        </w:rPr>
        <w:t>Svard</w:t>
      </w:r>
      <w:proofErr w:type="spellEnd"/>
      <w:r w:rsidRPr="008F3A84">
        <w:rPr>
          <w:sz w:val="22"/>
          <w:szCs w:val="22"/>
        </w:rPr>
        <w:t xml:space="preserve">, A. (2006) </w:t>
      </w:r>
      <w:r w:rsidRPr="008F3A84">
        <w:rPr>
          <w:i/>
          <w:iCs/>
          <w:sz w:val="22"/>
          <w:szCs w:val="22"/>
        </w:rPr>
        <w:t>The challenge of mixed-ability classes</w:t>
      </w:r>
      <w:r w:rsidRPr="008F3A84">
        <w:rPr>
          <w:sz w:val="22"/>
          <w:szCs w:val="22"/>
        </w:rPr>
        <w:t xml:space="preserve">. </w:t>
      </w:r>
    </w:p>
    <w:p w14:paraId="7F25755A" w14:textId="79EBE06E" w:rsidR="00475C9B" w:rsidRPr="008F3A84" w:rsidRDefault="00475C9B" w:rsidP="00475C9B">
      <w:pPr>
        <w:pStyle w:val="NormalWeb"/>
        <w:ind w:left="567" w:hanging="567"/>
        <w:rPr>
          <w:sz w:val="22"/>
          <w:szCs w:val="22"/>
        </w:rPr>
      </w:pPr>
      <w:proofErr w:type="spellStart"/>
      <w:r w:rsidRPr="008F3A84">
        <w:rPr>
          <w:sz w:val="22"/>
          <w:szCs w:val="22"/>
        </w:rPr>
        <w:lastRenderedPageBreak/>
        <w:t>Tobia</w:t>
      </w:r>
      <w:proofErr w:type="spellEnd"/>
      <w:r w:rsidRPr="008F3A84">
        <w:rPr>
          <w:sz w:val="22"/>
          <w:szCs w:val="22"/>
        </w:rPr>
        <w:t xml:space="preserve">, V. </w:t>
      </w:r>
      <w:r w:rsidRPr="008F3A84">
        <w:rPr>
          <w:i/>
          <w:iCs/>
          <w:sz w:val="22"/>
          <w:szCs w:val="22"/>
        </w:rPr>
        <w:t>et al.</w:t>
      </w:r>
      <w:r w:rsidRPr="008F3A84">
        <w:rPr>
          <w:sz w:val="22"/>
          <w:szCs w:val="22"/>
        </w:rPr>
        <w:t xml:space="preserve"> (2020) “The influence of classroom seating arrangement on children’s cognitive processes in primary school: The role of individual variables.” Available at: https://doi.org/10.21203/rs.3.rs-67940/v1. </w:t>
      </w:r>
    </w:p>
    <w:p w14:paraId="345C8A1A" w14:textId="2C2E2F89" w:rsidR="00475C9B" w:rsidRPr="008F3A84" w:rsidRDefault="00475C9B" w:rsidP="00475C9B">
      <w:pPr>
        <w:pStyle w:val="NormalWeb"/>
        <w:ind w:left="567" w:hanging="567"/>
        <w:rPr>
          <w:sz w:val="22"/>
          <w:szCs w:val="22"/>
        </w:rPr>
      </w:pPr>
      <w:r w:rsidRPr="008F3A84">
        <w:rPr>
          <w:sz w:val="22"/>
          <w:szCs w:val="22"/>
        </w:rPr>
        <w:t xml:space="preserve">Thomas, G. (2013) “From question to inquiry: Operationalising the case study for research in teaching,” </w:t>
      </w:r>
      <w:r w:rsidRPr="008F3A84">
        <w:rPr>
          <w:i/>
          <w:iCs/>
          <w:sz w:val="22"/>
          <w:szCs w:val="22"/>
        </w:rPr>
        <w:t>Journal of Education for Teaching</w:t>
      </w:r>
      <w:r w:rsidRPr="008F3A84">
        <w:rPr>
          <w:sz w:val="22"/>
          <w:szCs w:val="22"/>
        </w:rPr>
        <w:t xml:space="preserve">, 39(5), pp. 590–601. Available at: https://doi.org/10.1080/02607476.2013.852299. </w:t>
      </w:r>
    </w:p>
    <w:p w14:paraId="02E26374" w14:textId="31208E66" w:rsidR="00A65107" w:rsidRPr="008F3A84" w:rsidRDefault="00A65107" w:rsidP="00A65107">
      <w:pPr>
        <w:pStyle w:val="NormalWeb"/>
        <w:ind w:left="567" w:hanging="567"/>
        <w:rPr>
          <w:sz w:val="22"/>
          <w:szCs w:val="22"/>
        </w:rPr>
      </w:pPr>
      <w:r w:rsidRPr="008F3A84">
        <w:rPr>
          <w:sz w:val="22"/>
          <w:szCs w:val="22"/>
        </w:rPr>
        <w:t xml:space="preserve">Thorne, S. (2000) “Data analysis in qualitative </w:t>
      </w:r>
      <w:proofErr w:type="gramStart"/>
      <w:r w:rsidRPr="008F3A84">
        <w:rPr>
          <w:sz w:val="22"/>
          <w:szCs w:val="22"/>
        </w:rPr>
        <w:t>research ,</w:t>
      </w:r>
      <w:proofErr w:type="gramEnd"/>
      <w:r w:rsidRPr="008F3A84">
        <w:rPr>
          <w:sz w:val="22"/>
          <w:szCs w:val="22"/>
        </w:rPr>
        <w:t xml:space="preserve">” </w:t>
      </w:r>
      <w:r w:rsidRPr="008F3A84">
        <w:rPr>
          <w:i/>
          <w:iCs/>
          <w:sz w:val="22"/>
          <w:szCs w:val="22"/>
        </w:rPr>
        <w:t>Evidenced-based nursing</w:t>
      </w:r>
      <w:r w:rsidRPr="008F3A84">
        <w:rPr>
          <w:sz w:val="22"/>
          <w:szCs w:val="22"/>
        </w:rPr>
        <w:t xml:space="preserve">, pp. 68–70. </w:t>
      </w:r>
    </w:p>
    <w:p w14:paraId="16674B36" w14:textId="6B73CC7A" w:rsidR="00475C9B" w:rsidRPr="008F3A84" w:rsidRDefault="00475C9B" w:rsidP="00475C9B">
      <w:pPr>
        <w:pStyle w:val="NormalWeb"/>
        <w:ind w:left="567" w:hanging="567"/>
        <w:rPr>
          <w:sz w:val="22"/>
          <w:szCs w:val="22"/>
        </w:rPr>
      </w:pPr>
      <w:r w:rsidRPr="008F3A84">
        <w:rPr>
          <w:sz w:val="22"/>
          <w:szCs w:val="22"/>
        </w:rPr>
        <w:t xml:space="preserve">Treanor, F. (2010) “Structured Observation – an assessment of methodological strengths and weaknesses from two epistemological </w:t>
      </w:r>
      <w:proofErr w:type="gramStart"/>
      <w:r w:rsidRPr="008F3A84">
        <w:rPr>
          <w:sz w:val="22"/>
          <w:szCs w:val="22"/>
        </w:rPr>
        <w:t>perspectives .</w:t>
      </w:r>
      <w:proofErr w:type="gramEnd"/>
      <w:r w:rsidRPr="008F3A84">
        <w:rPr>
          <w:sz w:val="22"/>
          <w:szCs w:val="22"/>
        </w:rPr>
        <w:t xml:space="preserve">” </w:t>
      </w:r>
    </w:p>
    <w:p w14:paraId="54784FFE" w14:textId="528865DA" w:rsidR="00A65107" w:rsidRPr="008F3A84" w:rsidRDefault="00A65107" w:rsidP="00A65107">
      <w:pPr>
        <w:pStyle w:val="NormalWeb"/>
        <w:ind w:left="567" w:hanging="567"/>
        <w:rPr>
          <w:sz w:val="22"/>
          <w:szCs w:val="22"/>
        </w:rPr>
      </w:pPr>
      <w:r w:rsidRPr="008F3A84">
        <w:rPr>
          <w:sz w:val="22"/>
          <w:szCs w:val="22"/>
        </w:rPr>
        <w:t xml:space="preserve">University, S.C. (no date) </w:t>
      </w:r>
      <w:r w:rsidRPr="008F3A84">
        <w:rPr>
          <w:i/>
          <w:iCs/>
          <w:sz w:val="22"/>
          <w:szCs w:val="22"/>
        </w:rPr>
        <w:t xml:space="preserve">What is </w:t>
      </w:r>
      <w:proofErr w:type="gramStart"/>
      <w:r w:rsidRPr="008F3A84">
        <w:rPr>
          <w:i/>
          <w:iCs/>
          <w:sz w:val="22"/>
          <w:szCs w:val="22"/>
        </w:rPr>
        <w:t>ethics?</w:t>
      </w:r>
      <w:r w:rsidRPr="008F3A84">
        <w:rPr>
          <w:sz w:val="22"/>
          <w:szCs w:val="22"/>
        </w:rPr>
        <w:t>,</w:t>
      </w:r>
      <w:proofErr w:type="gramEnd"/>
      <w:r w:rsidRPr="008F3A84">
        <w:rPr>
          <w:sz w:val="22"/>
          <w:szCs w:val="22"/>
        </w:rPr>
        <w:t xml:space="preserve"> </w:t>
      </w:r>
      <w:r w:rsidRPr="008F3A84">
        <w:rPr>
          <w:i/>
          <w:iCs/>
          <w:sz w:val="22"/>
          <w:szCs w:val="22"/>
        </w:rPr>
        <w:t xml:space="preserve">Markkula </w:t>
      </w:r>
      <w:proofErr w:type="spellStart"/>
      <w:r w:rsidRPr="008F3A84">
        <w:rPr>
          <w:i/>
          <w:iCs/>
          <w:sz w:val="22"/>
          <w:szCs w:val="22"/>
        </w:rPr>
        <w:t>Center</w:t>
      </w:r>
      <w:proofErr w:type="spellEnd"/>
      <w:r w:rsidRPr="008F3A84">
        <w:rPr>
          <w:i/>
          <w:iCs/>
          <w:sz w:val="22"/>
          <w:szCs w:val="22"/>
        </w:rPr>
        <w:t xml:space="preserve"> for Applied Ethics</w:t>
      </w:r>
      <w:r w:rsidRPr="008F3A84">
        <w:rPr>
          <w:sz w:val="22"/>
          <w:szCs w:val="22"/>
        </w:rPr>
        <w:t xml:space="preserve">. Available at: https://www.scu.edu/ethics/ethics-resources/ethical-decision-making/what-is-ethics/ (Accessed: February 24, 2023). </w:t>
      </w:r>
    </w:p>
    <w:p w14:paraId="55B8392E" w14:textId="389FFE59" w:rsidR="00A65107" w:rsidRPr="008F3A84" w:rsidRDefault="00A65107" w:rsidP="00A65107">
      <w:pPr>
        <w:pStyle w:val="NormalWeb"/>
        <w:ind w:left="567" w:hanging="567"/>
        <w:rPr>
          <w:sz w:val="22"/>
          <w:szCs w:val="22"/>
        </w:rPr>
      </w:pPr>
      <w:r w:rsidRPr="008F3A84">
        <w:rPr>
          <w:sz w:val="22"/>
          <w:szCs w:val="22"/>
        </w:rPr>
        <w:t xml:space="preserve">VYGOTSKY, L.S. (1978) </w:t>
      </w:r>
      <w:r w:rsidRPr="008F3A84">
        <w:rPr>
          <w:i/>
          <w:iCs/>
          <w:sz w:val="22"/>
          <w:szCs w:val="22"/>
        </w:rPr>
        <w:t>Mind in society: Development of Higher Psychological Processes</w:t>
      </w:r>
      <w:r w:rsidRPr="008F3A84">
        <w:rPr>
          <w:sz w:val="22"/>
          <w:szCs w:val="22"/>
        </w:rPr>
        <w:t xml:space="preserve">. Harvard UP. </w:t>
      </w:r>
    </w:p>
    <w:p w14:paraId="08ECA30A" w14:textId="6107E226" w:rsidR="00A65107" w:rsidRPr="008F3A84" w:rsidRDefault="00A65107" w:rsidP="00A65107">
      <w:pPr>
        <w:pStyle w:val="NormalWeb"/>
        <w:ind w:left="567" w:hanging="567"/>
        <w:rPr>
          <w:sz w:val="22"/>
          <w:szCs w:val="22"/>
        </w:rPr>
      </w:pPr>
      <w:r w:rsidRPr="008F3A84">
        <w:rPr>
          <w:sz w:val="22"/>
          <w:szCs w:val="22"/>
        </w:rPr>
        <w:t xml:space="preserve">WANNARKA, R.A.C.H.E.L. and RUHL, K.A.T.H.Y. (2008) “Seating arrangements that promote positive academic and behavioural outcomes: A review of empirical research,” </w:t>
      </w:r>
      <w:r w:rsidRPr="008F3A84">
        <w:rPr>
          <w:i/>
          <w:iCs/>
          <w:sz w:val="22"/>
          <w:szCs w:val="22"/>
        </w:rPr>
        <w:t>Support for Learning</w:t>
      </w:r>
      <w:r w:rsidRPr="008F3A84">
        <w:rPr>
          <w:sz w:val="22"/>
          <w:szCs w:val="22"/>
        </w:rPr>
        <w:t xml:space="preserve">, 23(2), pp. 89–93. Available at: https://doi.org/10.1111/j.1467-9604.2008.00375.x. </w:t>
      </w:r>
    </w:p>
    <w:p w14:paraId="4E10D0A8" w14:textId="023E13D5" w:rsidR="00475C9B" w:rsidRPr="008F3A84" w:rsidRDefault="00475C9B" w:rsidP="00475C9B">
      <w:pPr>
        <w:pStyle w:val="NormalWeb"/>
        <w:ind w:left="567" w:hanging="567"/>
        <w:rPr>
          <w:sz w:val="22"/>
          <w:szCs w:val="22"/>
        </w:rPr>
      </w:pPr>
      <w:r w:rsidRPr="008F3A84">
        <w:rPr>
          <w:sz w:val="22"/>
          <w:szCs w:val="22"/>
        </w:rPr>
        <w:t xml:space="preserve">Warwick, P. </w:t>
      </w:r>
      <w:r w:rsidRPr="008F3A84">
        <w:rPr>
          <w:i/>
          <w:iCs/>
          <w:sz w:val="22"/>
          <w:szCs w:val="22"/>
        </w:rPr>
        <w:t>et al.</w:t>
      </w:r>
      <w:r w:rsidRPr="008F3A84">
        <w:rPr>
          <w:sz w:val="22"/>
          <w:szCs w:val="22"/>
        </w:rPr>
        <w:t xml:space="preserve"> (2016) “Connecting observations of student and teacher learning: An examination of dialogic processes in lesson study discussions in mathematics,” </w:t>
      </w:r>
      <w:r w:rsidRPr="008F3A84">
        <w:rPr>
          <w:i/>
          <w:iCs/>
          <w:sz w:val="22"/>
          <w:szCs w:val="22"/>
        </w:rPr>
        <w:t>ZDM</w:t>
      </w:r>
      <w:r w:rsidRPr="008F3A84">
        <w:rPr>
          <w:sz w:val="22"/>
          <w:szCs w:val="22"/>
        </w:rPr>
        <w:t xml:space="preserve">, 48(4), pp. 555–569. Available at: https://doi.org/10.1007/s11858-015-0750-z. </w:t>
      </w:r>
    </w:p>
    <w:p w14:paraId="18066A9B" w14:textId="4FAE7CFD" w:rsidR="00F148F5" w:rsidRPr="008F3A84" w:rsidRDefault="00475C9B" w:rsidP="00475C9B">
      <w:pPr>
        <w:pStyle w:val="NormalWeb"/>
        <w:ind w:left="567" w:hanging="567"/>
        <w:rPr>
          <w:sz w:val="22"/>
          <w:szCs w:val="22"/>
        </w:rPr>
      </w:pPr>
      <w:proofErr w:type="spellStart"/>
      <w:proofErr w:type="gramStart"/>
      <w:r w:rsidRPr="008F3A84">
        <w:rPr>
          <w:sz w:val="22"/>
          <w:szCs w:val="22"/>
        </w:rPr>
        <w:t>Wielenga</w:t>
      </w:r>
      <w:proofErr w:type="spellEnd"/>
      <w:r w:rsidRPr="008F3A84">
        <w:rPr>
          <w:sz w:val="22"/>
          <w:szCs w:val="22"/>
        </w:rPr>
        <w:t xml:space="preserve"> ,</w:t>
      </w:r>
      <w:proofErr w:type="gramEnd"/>
      <w:r w:rsidRPr="008F3A84">
        <w:rPr>
          <w:sz w:val="22"/>
          <w:szCs w:val="22"/>
        </w:rPr>
        <w:t xml:space="preserve"> B. </w:t>
      </w:r>
      <w:r w:rsidRPr="008F3A84">
        <w:rPr>
          <w:i/>
          <w:iCs/>
          <w:sz w:val="22"/>
          <w:szCs w:val="22"/>
        </w:rPr>
        <w:t>et al.</w:t>
      </w:r>
      <w:r w:rsidRPr="008F3A84">
        <w:rPr>
          <w:sz w:val="22"/>
          <w:szCs w:val="22"/>
        </w:rPr>
        <w:t xml:space="preserve"> (2016) </w:t>
      </w:r>
      <w:r w:rsidRPr="008F3A84">
        <w:rPr>
          <w:i/>
          <w:iCs/>
          <w:sz w:val="22"/>
          <w:szCs w:val="22"/>
        </w:rPr>
        <w:t>What every teacher needs to know about... seating plans</w:t>
      </w:r>
      <w:r w:rsidRPr="008F3A84">
        <w:rPr>
          <w:sz w:val="22"/>
          <w:szCs w:val="22"/>
        </w:rPr>
        <w:t xml:space="preserve">, </w:t>
      </w:r>
      <w:r w:rsidRPr="008F3A84">
        <w:rPr>
          <w:i/>
          <w:iCs/>
          <w:sz w:val="22"/>
          <w:szCs w:val="22"/>
        </w:rPr>
        <w:t>What every teacher needs to know about… seating plans</w:t>
      </w:r>
      <w:r w:rsidRPr="008F3A84">
        <w:rPr>
          <w:sz w:val="22"/>
          <w:szCs w:val="22"/>
        </w:rPr>
        <w:t xml:space="preserve">. Available at: https://learningspy.co.uk/planning/every-teacher-needs-know-seating-plans/ (Accessed: February 22, 2023). </w:t>
      </w:r>
    </w:p>
    <w:p w14:paraId="73FDC601" w14:textId="0AFBA4D7" w:rsidR="00A65107" w:rsidRPr="008F3A84" w:rsidRDefault="00A65107" w:rsidP="00A65107">
      <w:pPr>
        <w:pStyle w:val="NormalWeb"/>
        <w:ind w:left="567" w:hanging="567"/>
        <w:rPr>
          <w:sz w:val="22"/>
          <w:szCs w:val="22"/>
        </w:rPr>
      </w:pPr>
      <w:r w:rsidRPr="008F3A84">
        <w:rPr>
          <w:sz w:val="22"/>
          <w:szCs w:val="22"/>
        </w:rPr>
        <w:t xml:space="preserve">Wiles, R. </w:t>
      </w:r>
      <w:r w:rsidRPr="008F3A84">
        <w:rPr>
          <w:i/>
          <w:iCs/>
          <w:sz w:val="22"/>
          <w:szCs w:val="22"/>
        </w:rPr>
        <w:t>et al.</w:t>
      </w:r>
      <w:r w:rsidRPr="008F3A84">
        <w:rPr>
          <w:sz w:val="22"/>
          <w:szCs w:val="22"/>
        </w:rPr>
        <w:t xml:space="preserve"> (2008) “The management of confidentiality and anonymity in Social Research,” </w:t>
      </w:r>
      <w:r w:rsidRPr="008F3A84">
        <w:rPr>
          <w:i/>
          <w:iCs/>
          <w:sz w:val="22"/>
          <w:szCs w:val="22"/>
        </w:rPr>
        <w:t>International Journal of Social Research Methodology</w:t>
      </w:r>
      <w:r w:rsidRPr="008F3A84">
        <w:rPr>
          <w:sz w:val="22"/>
          <w:szCs w:val="22"/>
        </w:rPr>
        <w:t xml:space="preserve">, 11(5), pp. 417–428. Available at: https://doi.org/10.1080/13645570701622231. </w:t>
      </w:r>
    </w:p>
    <w:p w14:paraId="69EA8950" w14:textId="5EA8CC9E" w:rsidR="00475C9B" w:rsidRPr="008F3A84" w:rsidRDefault="00475C9B" w:rsidP="00475C9B">
      <w:pPr>
        <w:pStyle w:val="NormalWeb"/>
        <w:ind w:left="567" w:hanging="567"/>
        <w:rPr>
          <w:sz w:val="22"/>
          <w:szCs w:val="22"/>
        </w:rPr>
      </w:pPr>
      <w:r w:rsidRPr="008F3A84">
        <w:rPr>
          <w:sz w:val="22"/>
          <w:szCs w:val="22"/>
        </w:rPr>
        <w:t xml:space="preserve">Williamson, K. (2018) “Questionnaires, individual interviews and focus group interviews,” </w:t>
      </w:r>
      <w:r w:rsidRPr="008F3A84">
        <w:rPr>
          <w:i/>
          <w:iCs/>
          <w:sz w:val="22"/>
          <w:szCs w:val="22"/>
        </w:rPr>
        <w:t>Research Methods</w:t>
      </w:r>
      <w:r w:rsidRPr="008F3A84">
        <w:rPr>
          <w:sz w:val="22"/>
          <w:szCs w:val="22"/>
        </w:rPr>
        <w:t xml:space="preserve">, pp. 379–403. Available at: https://doi.org/10.1016/b978-0-08-102220-7.00016-9. </w:t>
      </w:r>
    </w:p>
    <w:p w14:paraId="0CBEB646" w14:textId="7B66D0FE" w:rsidR="00A65107" w:rsidRPr="008F3A84" w:rsidRDefault="00A65107" w:rsidP="00A65107">
      <w:pPr>
        <w:pStyle w:val="NormalWeb"/>
        <w:ind w:left="567" w:hanging="567"/>
        <w:rPr>
          <w:sz w:val="22"/>
          <w:szCs w:val="22"/>
        </w:rPr>
      </w:pPr>
      <w:r w:rsidRPr="008F3A84">
        <w:rPr>
          <w:sz w:val="22"/>
          <w:szCs w:val="22"/>
        </w:rPr>
        <w:t xml:space="preserve">Wiley. </w:t>
      </w:r>
      <w:r w:rsidRPr="008F3A84">
        <w:rPr>
          <w:i/>
          <w:iCs/>
          <w:sz w:val="22"/>
          <w:szCs w:val="22"/>
        </w:rPr>
        <w:t>British Educational Research Journal</w:t>
      </w:r>
      <w:r w:rsidRPr="008F3A84">
        <w:rPr>
          <w:sz w:val="22"/>
          <w:szCs w:val="22"/>
        </w:rPr>
        <w:t xml:space="preserve"> (2001). </w:t>
      </w:r>
    </w:p>
    <w:p w14:paraId="360142D1" w14:textId="19B6743E" w:rsidR="00475C9B" w:rsidRPr="008F3A84" w:rsidRDefault="00475C9B" w:rsidP="00475C9B">
      <w:pPr>
        <w:pStyle w:val="NormalWeb"/>
        <w:ind w:left="567" w:hanging="567"/>
        <w:rPr>
          <w:sz w:val="22"/>
          <w:szCs w:val="22"/>
        </w:rPr>
      </w:pPr>
      <w:r w:rsidRPr="008F3A84">
        <w:rPr>
          <w:sz w:val="22"/>
          <w:szCs w:val="22"/>
        </w:rPr>
        <w:t xml:space="preserve">Worley, P. (2015) “Open thinking, closed questioning: Two kinds of open and closed question,” </w:t>
      </w:r>
      <w:r w:rsidRPr="008F3A84">
        <w:rPr>
          <w:i/>
          <w:iCs/>
          <w:sz w:val="22"/>
          <w:szCs w:val="22"/>
        </w:rPr>
        <w:t>Journal of Philosophy in Schools</w:t>
      </w:r>
      <w:r w:rsidRPr="008F3A84">
        <w:rPr>
          <w:sz w:val="22"/>
          <w:szCs w:val="22"/>
        </w:rPr>
        <w:t xml:space="preserve">, 2(2). Available at: https://doi.org/10.21913/jps.v2i2.1269. </w:t>
      </w:r>
    </w:p>
    <w:p w14:paraId="78CA4032" w14:textId="7DC2FEF7" w:rsidR="003E0B5E" w:rsidRPr="008F3A84" w:rsidRDefault="003E0B5E" w:rsidP="003E0B5E">
      <w:pPr>
        <w:pStyle w:val="NormalWeb"/>
        <w:ind w:left="567" w:hanging="567"/>
        <w:rPr>
          <w:sz w:val="22"/>
          <w:szCs w:val="22"/>
        </w:rPr>
      </w:pPr>
      <w:r w:rsidRPr="008F3A84">
        <w:rPr>
          <w:sz w:val="22"/>
          <w:szCs w:val="22"/>
        </w:rPr>
        <w:t xml:space="preserve">Wyse, D. </w:t>
      </w:r>
      <w:r w:rsidRPr="008F3A84">
        <w:rPr>
          <w:i/>
          <w:iCs/>
          <w:sz w:val="22"/>
          <w:szCs w:val="22"/>
        </w:rPr>
        <w:t>et al.</w:t>
      </w:r>
      <w:r w:rsidRPr="008F3A84">
        <w:rPr>
          <w:sz w:val="22"/>
          <w:szCs w:val="22"/>
        </w:rPr>
        <w:t xml:space="preserve"> (2017) </w:t>
      </w:r>
      <w:r w:rsidRPr="008F3A84">
        <w:rPr>
          <w:i/>
          <w:iCs/>
          <w:sz w:val="22"/>
          <w:szCs w:val="22"/>
        </w:rPr>
        <w:t xml:space="preserve">The </w:t>
      </w:r>
      <w:proofErr w:type="spellStart"/>
      <w:r w:rsidRPr="008F3A84">
        <w:rPr>
          <w:i/>
          <w:iCs/>
          <w:sz w:val="22"/>
          <w:szCs w:val="22"/>
        </w:rPr>
        <w:t>bera</w:t>
      </w:r>
      <w:proofErr w:type="spellEnd"/>
      <w:r w:rsidRPr="008F3A84">
        <w:rPr>
          <w:i/>
          <w:iCs/>
          <w:sz w:val="22"/>
          <w:szCs w:val="22"/>
        </w:rPr>
        <w:t>/sage handbook of educational research</w:t>
      </w:r>
      <w:r w:rsidRPr="008F3A84">
        <w:rPr>
          <w:sz w:val="22"/>
          <w:szCs w:val="22"/>
        </w:rPr>
        <w:t xml:space="preserve">. Los Angeles: SAGE. </w:t>
      </w:r>
    </w:p>
    <w:p w14:paraId="4B3918FF" w14:textId="1C968B8F" w:rsidR="00F8631B" w:rsidRDefault="00F8631B"/>
    <w:sectPr w:rsidR="00F8631B">
      <w:headerReference w:type="default" r:id="rId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F6478" w14:textId="77777777" w:rsidR="0007781C" w:rsidRDefault="0007781C" w:rsidP="001441CA">
      <w:r>
        <w:separator/>
      </w:r>
    </w:p>
  </w:endnote>
  <w:endnote w:type="continuationSeparator" w:id="0">
    <w:p w14:paraId="31217B24" w14:textId="77777777" w:rsidR="0007781C" w:rsidRDefault="0007781C" w:rsidP="0014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7710683"/>
      <w:docPartObj>
        <w:docPartGallery w:val="Page Numbers (Bottom of Page)"/>
        <w:docPartUnique/>
      </w:docPartObj>
    </w:sdtPr>
    <w:sdtContent>
      <w:p w14:paraId="17EFA89D" w14:textId="6D03CBA2" w:rsidR="001441CA" w:rsidRDefault="001441CA" w:rsidP="00211E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FF4B10" w14:textId="77777777" w:rsidR="001441CA" w:rsidRDefault="001441CA" w:rsidP="001441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7667192"/>
      <w:docPartObj>
        <w:docPartGallery w:val="Page Numbers (Bottom of Page)"/>
        <w:docPartUnique/>
      </w:docPartObj>
    </w:sdtPr>
    <w:sdtContent>
      <w:p w14:paraId="7BD66F66" w14:textId="5F5EDFCA" w:rsidR="001441CA" w:rsidRDefault="001441CA" w:rsidP="00211E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F219D8" w14:textId="77777777" w:rsidR="001441CA" w:rsidRDefault="001441CA" w:rsidP="001441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15E71" w14:textId="77777777" w:rsidR="0007781C" w:rsidRDefault="0007781C" w:rsidP="001441CA">
      <w:r>
        <w:separator/>
      </w:r>
    </w:p>
  </w:footnote>
  <w:footnote w:type="continuationSeparator" w:id="0">
    <w:p w14:paraId="4115B094" w14:textId="77777777" w:rsidR="0007781C" w:rsidRDefault="0007781C" w:rsidP="00144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B78E" w14:textId="663475E5" w:rsidR="001441CA" w:rsidRDefault="001441CA">
    <w:pPr>
      <w:pStyle w:val="Header"/>
    </w:pPr>
    <w:r>
      <w:t>ECAD 6010</w:t>
    </w:r>
    <w:r>
      <w:ptab w:relativeTo="margin" w:alignment="center" w:leader="none"/>
    </w:r>
    <w:r>
      <w:ptab w:relativeTo="margin" w:alignment="right" w:leader="none"/>
    </w:r>
    <w:r>
      <w:t>2004766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84"/>
    <w:rsid w:val="0000075A"/>
    <w:rsid w:val="0000719C"/>
    <w:rsid w:val="00024C80"/>
    <w:rsid w:val="000555C3"/>
    <w:rsid w:val="00064E0C"/>
    <w:rsid w:val="0007781C"/>
    <w:rsid w:val="00081C8C"/>
    <w:rsid w:val="00084FF5"/>
    <w:rsid w:val="000933A8"/>
    <w:rsid w:val="000D028A"/>
    <w:rsid w:val="000D676D"/>
    <w:rsid w:val="000D7BBE"/>
    <w:rsid w:val="000E2E03"/>
    <w:rsid w:val="000F5B40"/>
    <w:rsid w:val="00107DBA"/>
    <w:rsid w:val="00111652"/>
    <w:rsid w:val="001258C7"/>
    <w:rsid w:val="001441CA"/>
    <w:rsid w:val="001510F7"/>
    <w:rsid w:val="001761C5"/>
    <w:rsid w:val="00177CC1"/>
    <w:rsid w:val="001856B1"/>
    <w:rsid w:val="001961EF"/>
    <w:rsid w:val="001A16CE"/>
    <w:rsid w:val="001B2917"/>
    <w:rsid w:val="001B5388"/>
    <w:rsid w:val="001E0E9F"/>
    <w:rsid w:val="001E263B"/>
    <w:rsid w:val="001E78F4"/>
    <w:rsid w:val="00203B34"/>
    <w:rsid w:val="00227C2D"/>
    <w:rsid w:val="00240C8D"/>
    <w:rsid w:val="00241B2C"/>
    <w:rsid w:val="00257FEF"/>
    <w:rsid w:val="002602AA"/>
    <w:rsid w:val="00261EEF"/>
    <w:rsid w:val="002620C5"/>
    <w:rsid w:val="00264303"/>
    <w:rsid w:val="00264C9E"/>
    <w:rsid w:val="00273A21"/>
    <w:rsid w:val="002745AA"/>
    <w:rsid w:val="00275630"/>
    <w:rsid w:val="002923EB"/>
    <w:rsid w:val="002A2F65"/>
    <w:rsid w:val="002A4F65"/>
    <w:rsid w:val="002A77BF"/>
    <w:rsid w:val="002C3D57"/>
    <w:rsid w:val="002C44E1"/>
    <w:rsid w:val="002E743C"/>
    <w:rsid w:val="002F4CB5"/>
    <w:rsid w:val="0031502B"/>
    <w:rsid w:val="00325F60"/>
    <w:rsid w:val="00336849"/>
    <w:rsid w:val="00342AF3"/>
    <w:rsid w:val="003677DD"/>
    <w:rsid w:val="00381C6B"/>
    <w:rsid w:val="00393D22"/>
    <w:rsid w:val="003A0D67"/>
    <w:rsid w:val="003C487D"/>
    <w:rsid w:val="003E0B5E"/>
    <w:rsid w:val="003E12DC"/>
    <w:rsid w:val="003F3497"/>
    <w:rsid w:val="003F7E5C"/>
    <w:rsid w:val="0040180E"/>
    <w:rsid w:val="00404C9E"/>
    <w:rsid w:val="00445529"/>
    <w:rsid w:val="00466ADF"/>
    <w:rsid w:val="00475C9B"/>
    <w:rsid w:val="00477312"/>
    <w:rsid w:val="004A5B91"/>
    <w:rsid w:val="004A6497"/>
    <w:rsid w:val="004B122C"/>
    <w:rsid w:val="004B205A"/>
    <w:rsid w:val="004E0A9B"/>
    <w:rsid w:val="004E2027"/>
    <w:rsid w:val="00501E2E"/>
    <w:rsid w:val="00517FC5"/>
    <w:rsid w:val="005445F9"/>
    <w:rsid w:val="00572218"/>
    <w:rsid w:val="005728F5"/>
    <w:rsid w:val="005852B1"/>
    <w:rsid w:val="005A05EA"/>
    <w:rsid w:val="005A4D38"/>
    <w:rsid w:val="005B152F"/>
    <w:rsid w:val="005E26E6"/>
    <w:rsid w:val="005E2E24"/>
    <w:rsid w:val="0060232A"/>
    <w:rsid w:val="00612C5B"/>
    <w:rsid w:val="00633C03"/>
    <w:rsid w:val="006376D1"/>
    <w:rsid w:val="006377B7"/>
    <w:rsid w:val="00682840"/>
    <w:rsid w:val="006907F9"/>
    <w:rsid w:val="006A4B7C"/>
    <w:rsid w:val="006B1984"/>
    <w:rsid w:val="006D07C1"/>
    <w:rsid w:val="006F0127"/>
    <w:rsid w:val="006F0E72"/>
    <w:rsid w:val="007101BF"/>
    <w:rsid w:val="007107F2"/>
    <w:rsid w:val="00723098"/>
    <w:rsid w:val="007361BD"/>
    <w:rsid w:val="00740B4B"/>
    <w:rsid w:val="007541C0"/>
    <w:rsid w:val="00757810"/>
    <w:rsid w:val="00770C63"/>
    <w:rsid w:val="007818A7"/>
    <w:rsid w:val="007948B3"/>
    <w:rsid w:val="007A0586"/>
    <w:rsid w:val="007A6430"/>
    <w:rsid w:val="007C6AD2"/>
    <w:rsid w:val="007C7633"/>
    <w:rsid w:val="007D3180"/>
    <w:rsid w:val="007D3306"/>
    <w:rsid w:val="007F18DB"/>
    <w:rsid w:val="007F6AC2"/>
    <w:rsid w:val="008143A2"/>
    <w:rsid w:val="00823A13"/>
    <w:rsid w:val="00864466"/>
    <w:rsid w:val="00870EA7"/>
    <w:rsid w:val="00871E48"/>
    <w:rsid w:val="008720CB"/>
    <w:rsid w:val="008728AC"/>
    <w:rsid w:val="00882369"/>
    <w:rsid w:val="008901C7"/>
    <w:rsid w:val="008B42C6"/>
    <w:rsid w:val="008B6F55"/>
    <w:rsid w:val="008C376E"/>
    <w:rsid w:val="008E1D86"/>
    <w:rsid w:val="008F3A84"/>
    <w:rsid w:val="008F7F2C"/>
    <w:rsid w:val="009125C0"/>
    <w:rsid w:val="009200AD"/>
    <w:rsid w:val="00920AE0"/>
    <w:rsid w:val="00925064"/>
    <w:rsid w:val="00936E45"/>
    <w:rsid w:val="00945277"/>
    <w:rsid w:val="00945CD3"/>
    <w:rsid w:val="0099019D"/>
    <w:rsid w:val="00990E24"/>
    <w:rsid w:val="009941BD"/>
    <w:rsid w:val="009F459D"/>
    <w:rsid w:val="00A0635C"/>
    <w:rsid w:val="00A41BAF"/>
    <w:rsid w:val="00A42C1C"/>
    <w:rsid w:val="00A449D6"/>
    <w:rsid w:val="00A55439"/>
    <w:rsid w:val="00A55714"/>
    <w:rsid w:val="00A65107"/>
    <w:rsid w:val="00A845A6"/>
    <w:rsid w:val="00A84F34"/>
    <w:rsid w:val="00AC54FE"/>
    <w:rsid w:val="00AC7850"/>
    <w:rsid w:val="00B10514"/>
    <w:rsid w:val="00B1792E"/>
    <w:rsid w:val="00B30CD3"/>
    <w:rsid w:val="00B60D6D"/>
    <w:rsid w:val="00B75D56"/>
    <w:rsid w:val="00B87F8D"/>
    <w:rsid w:val="00B90CF1"/>
    <w:rsid w:val="00B934D9"/>
    <w:rsid w:val="00B944DF"/>
    <w:rsid w:val="00B96F6A"/>
    <w:rsid w:val="00BD5367"/>
    <w:rsid w:val="00BE26EA"/>
    <w:rsid w:val="00BE58CD"/>
    <w:rsid w:val="00C07F4A"/>
    <w:rsid w:val="00C205C5"/>
    <w:rsid w:val="00C2387E"/>
    <w:rsid w:val="00C434AE"/>
    <w:rsid w:val="00C45766"/>
    <w:rsid w:val="00C77716"/>
    <w:rsid w:val="00C77B59"/>
    <w:rsid w:val="00C81ECB"/>
    <w:rsid w:val="00C90E9A"/>
    <w:rsid w:val="00CB2252"/>
    <w:rsid w:val="00CB250A"/>
    <w:rsid w:val="00CC3445"/>
    <w:rsid w:val="00CD2384"/>
    <w:rsid w:val="00CD47D1"/>
    <w:rsid w:val="00D008C7"/>
    <w:rsid w:val="00D10FA6"/>
    <w:rsid w:val="00D27280"/>
    <w:rsid w:val="00D33FC8"/>
    <w:rsid w:val="00D448FA"/>
    <w:rsid w:val="00D47973"/>
    <w:rsid w:val="00D56604"/>
    <w:rsid w:val="00D57B1B"/>
    <w:rsid w:val="00D6427B"/>
    <w:rsid w:val="00D64C06"/>
    <w:rsid w:val="00D92CC1"/>
    <w:rsid w:val="00DB5C65"/>
    <w:rsid w:val="00DB64BB"/>
    <w:rsid w:val="00DC7524"/>
    <w:rsid w:val="00E14958"/>
    <w:rsid w:val="00E16AAA"/>
    <w:rsid w:val="00E21FB5"/>
    <w:rsid w:val="00E35A69"/>
    <w:rsid w:val="00E43CD5"/>
    <w:rsid w:val="00E63087"/>
    <w:rsid w:val="00E7034C"/>
    <w:rsid w:val="00E76F48"/>
    <w:rsid w:val="00E84314"/>
    <w:rsid w:val="00EA4C21"/>
    <w:rsid w:val="00EB676E"/>
    <w:rsid w:val="00EC11AB"/>
    <w:rsid w:val="00EC5092"/>
    <w:rsid w:val="00EF41D0"/>
    <w:rsid w:val="00F010E1"/>
    <w:rsid w:val="00F148F5"/>
    <w:rsid w:val="00F23253"/>
    <w:rsid w:val="00F34B67"/>
    <w:rsid w:val="00F41E9C"/>
    <w:rsid w:val="00F51BFE"/>
    <w:rsid w:val="00F51EF2"/>
    <w:rsid w:val="00F80C77"/>
    <w:rsid w:val="00F839A5"/>
    <w:rsid w:val="00F8631B"/>
    <w:rsid w:val="00F90369"/>
    <w:rsid w:val="00F967C2"/>
    <w:rsid w:val="00FA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AE8378"/>
  <w15:chartTrackingRefBased/>
  <w15:docId w15:val="{568844A2-1FC8-FC4C-AAA4-14ADFBA9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0B5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81C6B"/>
    <w:rPr>
      <w:color w:val="0563C1" w:themeColor="hyperlink"/>
      <w:u w:val="single"/>
    </w:rPr>
  </w:style>
  <w:style w:type="character" w:styleId="UnresolvedMention">
    <w:name w:val="Unresolved Mention"/>
    <w:basedOn w:val="DefaultParagraphFont"/>
    <w:uiPriority w:val="99"/>
    <w:semiHidden/>
    <w:unhideWhenUsed/>
    <w:rsid w:val="00381C6B"/>
    <w:rPr>
      <w:color w:val="605E5C"/>
      <w:shd w:val="clear" w:color="auto" w:fill="E1DFDD"/>
    </w:rPr>
  </w:style>
  <w:style w:type="character" w:styleId="FollowedHyperlink">
    <w:name w:val="FollowedHyperlink"/>
    <w:basedOn w:val="DefaultParagraphFont"/>
    <w:uiPriority w:val="99"/>
    <w:semiHidden/>
    <w:unhideWhenUsed/>
    <w:rsid w:val="00381C6B"/>
    <w:rPr>
      <w:color w:val="954F72" w:themeColor="followedHyperlink"/>
      <w:u w:val="single"/>
    </w:rPr>
  </w:style>
  <w:style w:type="paragraph" w:styleId="Header">
    <w:name w:val="header"/>
    <w:basedOn w:val="Normal"/>
    <w:link w:val="HeaderChar"/>
    <w:uiPriority w:val="99"/>
    <w:unhideWhenUsed/>
    <w:rsid w:val="001441CA"/>
    <w:pPr>
      <w:tabs>
        <w:tab w:val="center" w:pos="4680"/>
        <w:tab w:val="right" w:pos="9360"/>
      </w:tabs>
    </w:pPr>
  </w:style>
  <w:style w:type="character" w:customStyle="1" w:styleId="HeaderChar">
    <w:name w:val="Header Char"/>
    <w:basedOn w:val="DefaultParagraphFont"/>
    <w:link w:val="Header"/>
    <w:uiPriority w:val="99"/>
    <w:rsid w:val="001441CA"/>
  </w:style>
  <w:style w:type="paragraph" w:styleId="Footer">
    <w:name w:val="footer"/>
    <w:basedOn w:val="Normal"/>
    <w:link w:val="FooterChar"/>
    <w:uiPriority w:val="99"/>
    <w:unhideWhenUsed/>
    <w:rsid w:val="001441CA"/>
    <w:pPr>
      <w:tabs>
        <w:tab w:val="center" w:pos="4680"/>
        <w:tab w:val="right" w:pos="9360"/>
      </w:tabs>
    </w:pPr>
  </w:style>
  <w:style w:type="character" w:customStyle="1" w:styleId="FooterChar">
    <w:name w:val="Footer Char"/>
    <w:basedOn w:val="DefaultParagraphFont"/>
    <w:link w:val="Footer"/>
    <w:uiPriority w:val="99"/>
    <w:rsid w:val="001441CA"/>
  </w:style>
  <w:style w:type="character" w:styleId="PageNumber">
    <w:name w:val="page number"/>
    <w:basedOn w:val="DefaultParagraphFont"/>
    <w:uiPriority w:val="99"/>
    <w:semiHidden/>
    <w:unhideWhenUsed/>
    <w:rsid w:val="001441CA"/>
  </w:style>
  <w:style w:type="paragraph" w:customStyle="1" w:styleId="AssignBody">
    <w:name w:val="AssignBody"/>
    <w:basedOn w:val="Normal"/>
    <w:link w:val="AssignBodyChar"/>
    <w:qFormat/>
    <w:rsid w:val="001441CA"/>
    <w:pPr>
      <w:spacing w:line="360" w:lineRule="auto"/>
    </w:pPr>
    <w:rPr>
      <w:rFonts w:ascii="Arial" w:hAnsi="Arial"/>
      <w:sz w:val="22"/>
      <w:szCs w:val="22"/>
    </w:rPr>
  </w:style>
  <w:style w:type="character" w:customStyle="1" w:styleId="AssignBodyChar">
    <w:name w:val="AssignBody Char"/>
    <w:basedOn w:val="DefaultParagraphFont"/>
    <w:link w:val="AssignBody"/>
    <w:rsid w:val="001441CA"/>
    <w:rPr>
      <w:rFonts w:ascii="Arial" w:hAnsi="Arial"/>
      <w:sz w:val="22"/>
      <w:szCs w:val="22"/>
    </w:rPr>
  </w:style>
  <w:style w:type="table" w:styleId="TableGrid">
    <w:name w:val="Table Grid"/>
    <w:basedOn w:val="TableNormal"/>
    <w:uiPriority w:val="39"/>
    <w:rsid w:val="001441C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3611">
      <w:bodyDiv w:val="1"/>
      <w:marLeft w:val="0"/>
      <w:marRight w:val="0"/>
      <w:marTop w:val="0"/>
      <w:marBottom w:val="0"/>
      <w:divBdr>
        <w:top w:val="none" w:sz="0" w:space="0" w:color="auto"/>
        <w:left w:val="none" w:sz="0" w:space="0" w:color="auto"/>
        <w:bottom w:val="none" w:sz="0" w:space="0" w:color="auto"/>
        <w:right w:val="none" w:sz="0" w:space="0" w:color="auto"/>
      </w:divBdr>
    </w:div>
    <w:div w:id="121118741">
      <w:bodyDiv w:val="1"/>
      <w:marLeft w:val="0"/>
      <w:marRight w:val="0"/>
      <w:marTop w:val="0"/>
      <w:marBottom w:val="0"/>
      <w:divBdr>
        <w:top w:val="none" w:sz="0" w:space="0" w:color="auto"/>
        <w:left w:val="none" w:sz="0" w:space="0" w:color="auto"/>
        <w:bottom w:val="none" w:sz="0" w:space="0" w:color="auto"/>
        <w:right w:val="none" w:sz="0" w:space="0" w:color="auto"/>
      </w:divBdr>
    </w:div>
    <w:div w:id="122500992">
      <w:bodyDiv w:val="1"/>
      <w:marLeft w:val="0"/>
      <w:marRight w:val="0"/>
      <w:marTop w:val="0"/>
      <w:marBottom w:val="0"/>
      <w:divBdr>
        <w:top w:val="none" w:sz="0" w:space="0" w:color="auto"/>
        <w:left w:val="none" w:sz="0" w:space="0" w:color="auto"/>
        <w:bottom w:val="none" w:sz="0" w:space="0" w:color="auto"/>
        <w:right w:val="none" w:sz="0" w:space="0" w:color="auto"/>
      </w:divBdr>
    </w:div>
    <w:div w:id="131409242">
      <w:bodyDiv w:val="1"/>
      <w:marLeft w:val="0"/>
      <w:marRight w:val="0"/>
      <w:marTop w:val="0"/>
      <w:marBottom w:val="0"/>
      <w:divBdr>
        <w:top w:val="none" w:sz="0" w:space="0" w:color="auto"/>
        <w:left w:val="none" w:sz="0" w:space="0" w:color="auto"/>
        <w:bottom w:val="none" w:sz="0" w:space="0" w:color="auto"/>
        <w:right w:val="none" w:sz="0" w:space="0" w:color="auto"/>
      </w:divBdr>
    </w:div>
    <w:div w:id="132138022">
      <w:bodyDiv w:val="1"/>
      <w:marLeft w:val="0"/>
      <w:marRight w:val="0"/>
      <w:marTop w:val="0"/>
      <w:marBottom w:val="0"/>
      <w:divBdr>
        <w:top w:val="none" w:sz="0" w:space="0" w:color="auto"/>
        <w:left w:val="none" w:sz="0" w:space="0" w:color="auto"/>
        <w:bottom w:val="none" w:sz="0" w:space="0" w:color="auto"/>
        <w:right w:val="none" w:sz="0" w:space="0" w:color="auto"/>
      </w:divBdr>
    </w:div>
    <w:div w:id="160853211">
      <w:bodyDiv w:val="1"/>
      <w:marLeft w:val="0"/>
      <w:marRight w:val="0"/>
      <w:marTop w:val="0"/>
      <w:marBottom w:val="0"/>
      <w:divBdr>
        <w:top w:val="none" w:sz="0" w:space="0" w:color="auto"/>
        <w:left w:val="none" w:sz="0" w:space="0" w:color="auto"/>
        <w:bottom w:val="none" w:sz="0" w:space="0" w:color="auto"/>
        <w:right w:val="none" w:sz="0" w:space="0" w:color="auto"/>
      </w:divBdr>
    </w:div>
    <w:div w:id="172771107">
      <w:bodyDiv w:val="1"/>
      <w:marLeft w:val="0"/>
      <w:marRight w:val="0"/>
      <w:marTop w:val="0"/>
      <w:marBottom w:val="0"/>
      <w:divBdr>
        <w:top w:val="none" w:sz="0" w:space="0" w:color="auto"/>
        <w:left w:val="none" w:sz="0" w:space="0" w:color="auto"/>
        <w:bottom w:val="none" w:sz="0" w:space="0" w:color="auto"/>
        <w:right w:val="none" w:sz="0" w:space="0" w:color="auto"/>
      </w:divBdr>
    </w:div>
    <w:div w:id="201214811">
      <w:bodyDiv w:val="1"/>
      <w:marLeft w:val="0"/>
      <w:marRight w:val="0"/>
      <w:marTop w:val="0"/>
      <w:marBottom w:val="0"/>
      <w:divBdr>
        <w:top w:val="none" w:sz="0" w:space="0" w:color="auto"/>
        <w:left w:val="none" w:sz="0" w:space="0" w:color="auto"/>
        <w:bottom w:val="none" w:sz="0" w:space="0" w:color="auto"/>
        <w:right w:val="none" w:sz="0" w:space="0" w:color="auto"/>
      </w:divBdr>
    </w:div>
    <w:div w:id="214898418">
      <w:bodyDiv w:val="1"/>
      <w:marLeft w:val="0"/>
      <w:marRight w:val="0"/>
      <w:marTop w:val="0"/>
      <w:marBottom w:val="0"/>
      <w:divBdr>
        <w:top w:val="none" w:sz="0" w:space="0" w:color="auto"/>
        <w:left w:val="none" w:sz="0" w:space="0" w:color="auto"/>
        <w:bottom w:val="none" w:sz="0" w:space="0" w:color="auto"/>
        <w:right w:val="none" w:sz="0" w:space="0" w:color="auto"/>
      </w:divBdr>
    </w:div>
    <w:div w:id="237600081">
      <w:bodyDiv w:val="1"/>
      <w:marLeft w:val="0"/>
      <w:marRight w:val="0"/>
      <w:marTop w:val="0"/>
      <w:marBottom w:val="0"/>
      <w:divBdr>
        <w:top w:val="none" w:sz="0" w:space="0" w:color="auto"/>
        <w:left w:val="none" w:sz="0" w:space="0" w:color="auto"/>
        <w:bottom w:val="none" w:sz="0" w:space="0" w:color="auto"/>
        <w:right w:val="none" w:sz="0" w:space="0" w:color="auto"/>
      </w:divBdr>
    </w:div>
    <w:div w:id="272175810">
      <w:bodyDiv w:val="1"/>
      <w:marLeft w:val="0"/>
      <w:marRight w:val="0"/>
      <w:marTop w:val="0"/>
      <w:marBottom w:val="0"/>
      <w:divBdr>
        <w:top w:val="none" w:sz="0" w:space="0" w:color="auto"/>
        <w:left w:val="none" w:sz="0" w:space="0" w:color="auto"/>
        <w:bottom w:val="none" w:sz="0" w:space="0" w:color="auto"/>
        <w:right w:val="none" w:sz="0" w:space="0" w:color="auto"/>
      </w:divBdr>
    </w:div>
    <w:div w:id="313994101">
      <w:bodyDiv w:val="1"/>
      <w:marLeft w:val="0"/>
      <w:marRight w:val="0"/>
      <w:marTop w:val="0"/>
      <w:marBottom w:val="0"/>
      <w:divBdr>
        <w:top w:val="none" w:sz="0" w:space="0" w:color="auto"/>
        <w:left w:val="none" w:sz="0" w:space="0" w:color="auto"/>
        <w:bottom w:val="none" w:sz="0" w:space="0" w:color="auto"/>
        <w:right w:val="none" w:sz="0" w:space="0" w:color="auto"/>
      </w:divBdr>
    </w:div>
    <w:div w:id="317463516">
      <w:bodyDiv w:val="1"/>
      <w:marLeft w:val="0"/>
      <w:marRight w:val="0"/>
      <w:marTop w:val="0"/>
      <w:marBottom w:val="0"/>
      <w:divBdr>
        <w:top w:val="none" w:sz="0" w:space="0" w:color="auto"/>
        <w:left w:val="none" w:sz="0" w:space="0" w:color="auto"/>
        <w:bottom w:val="none" w:sz="0" w:space="0" w:color="auto"/>
        <w:right w:val="none" w:sz="0" w:space="0" w:color="auto"/>
      </w:divBdr>
    </w:div>
    <w:div w:id="362364382">
      <w:bodyDiv w:val="1"/>
      <w:marLeft w:val="0"/>
      <w:marRight w:val="0"/>
      <w:marTop w:val="0"/>
      <w:marBottom w:val="0"/>
      <w:divBdr>
        <w:top w:val="none" w:sz="0" w:space="0" w:color="auto"/>
        <w:left w:val="none" w:sz="0" w:space="0" w:color="auto"/>
        <w:bottom w:val="none" w:sz="0" w:space="0" w:color="auto"/>
        <w:right w:val="none" w:sz="0" w:space="0" w:color="auto"/>
      </w:divBdr>
    </w:div>
    <w:div w:id="373503299">
      <w:bodyDiv w:val="1"/>
      <w:marLeft w:val="0"/>
      <w:marRight w:val="0"/>
      <w:marTop w:val="0"/>
      <w:marBottom w:val="0"/>
      <w:divBdr>
        <w:top w:val="none" w:sz="0" w:space="0" w:color="auto"/>
        <w:left w:val="none" w:sz="0" w:space="0" w:color="auto"/>
        <w:bottom w:val="none" w:sz="0" w:space="0" w:color="auto"/>
        <w:right w:val="none" w:sz="0" w:space="0" w:color="auto"/>
      </w:divBdr>
    </w:div>
    <w:div w:id="375083312">
      <w:bodyDiv w:val="1"/>
      <w:marLeft w:val="0"/>
      <w:marRight w:val="0"/>
      <w:marTop w:val="0"/>
      <w:marBottom w:val="0"/>
      <w:divBdr>
        <w:top w:val="none" w:sz="0" w:space="0" w:color="auto"/>
        <w:left w:val="none" w:sz="0" w:space="0" w:color="auto"/>
        <w:bottom w:val="none" w:sz="0" w:space="0" w:color="auto"/>
        <w:right w:val="none" w:sz="0" w:space="0" w:color="auto"/>
      </w:divBdr>
    </w:div>
    <w:div w:id="389576249">
      <w:bodyDiv w:val="1"/>
      <w:marLeft w:val="0"/>
      <w:marRight w:val="0"/>
      <w:marTop w:val="0"/>
      <w:marBottom w:val="0"/>
      <w:divBdr>
        <w:top w:val="none" w:sz="0" w:space="0" w:color="auto"/>
        <w:left w:val="none" w:sz="0" w:space="0" w:color="auto"/>
        <w:bottom w:val="none" w:sz="0" w:space="0" w:color="auto"/>
        <w:right w:val="none" w:sz="0" w:space="0" w:color="auto"/>
      </w:divBdr>
    </w:div>
    <w:div w:id="397098198">
      <w:bodyDiv w:val="1"/>
      <w:marLeft w:val="0"/>
      <w:marRight w:val="0"/>
      <w:marTop w:val="0"/>
      <w:marBottom w:val="0"/>
      <w:divBdr>
        <w:top w:val="none" w:sz="0" w:space="0" w:color="auto"/>
        <w:left w:val="none" w:sz="0" w:space="0" w:color="auto"/>
        <w:bottom w:val="none" w:sz="0" w:space="0" w:color="auto"/>
        <w:right w:val="none" w:sz="0" w:space="0" w:color="auto"/>
      </w:divBdr>
    </w:div>
    <w:div w:id="398866710">
      <w:bodyDiv w:val="1"/>
      <w:marLeft w:val="0"/>
      <w:marRight w:val="0"/>
      <w:marTop w:val="0"/>
      <w:marBottom w:val="0"/>
      <w:divBdr>
        <w:top w:val="none" w:sz="0" w:space="0" w:color="auto"/>
        <w:left w:val="none" w:sz="0" w:space="0" w:color="auto"/>
        <w:bottom w:val="none" w:sz="0" w:space="0" w:color="auto"/>
        <w:right w:val="none" w:sz="0" w:space="0" w:color="auto"/>
      </w:divBdr>
    </w:div>
    <w:div w:id="433599197">
      <w:bodyDiv w:val="1"/>
      <w:marLeft w:val="0"/>
      <w:marRight w:val="0"/>
      <w:marTop w:val="0"/>
      <w:marBottom w:val="0"/>
      <w:divBdr>
        <w:top w:val="none" w:sz="0" w:space="0" w:color="auto"/>
        <w:left w:val="none" w:sz="0" w:space="0" w:color="auto"/>
        <w:bottom w:val="none" w:sz="0" w:space="0" w:color="auto"/>
        <w:right w:val="none" w:sz="0" w:space="0" w:color="auto"/>
      </w:divBdr>
    </w:div>
    <w:div w:id="456875503">
      <w:bodyDiv w:val="1"/>
      <w:marLeft w:val="0"/>
      <w:marRight w:val="0"/>
      <w:marTop w:val="0"/>
      <w:marBottom w:val="0"/>
      <w:divBdr>
        <w:top w:val="none" w:sz="0" w:space="0" w:color="auto"/>
        <w:left w:val="none" w:sz="0" w:space="0" w:color="auto"/>
        <w:bottom w:val="none" w:sz="0" w:space="0" w:color="auto"/>
        <w:right w:val="none" w:sz="0" w:space="0" w:color="auto"/>
      </w:divBdr>
    </w:div>
    <w:div w:id="470946959">
      <w:bodyDiv w:val="1"/>
      <w:marLeft w:val="0"/>
      <w:marRight w:val="0"/>
      <w:marTop w:val="0"/>
      <w:marBottom w:val="0"/>
      <w:divBdr>
        <w:top w:val="none" w:sz="0" w:space="0" w:color="auto"/>
        <w:left w:val="none" w:sz="0" w:space="0" w:color="auto"/>
        <w:bottom w:val="none" w:sz="0" w:space="0" w:color="auto"/>
        <w:right w:val="none" w:sz="0" w:space="0" w:color="auto"/>
      </w:divBdr>
    </w:div>
    <w:div w:id="505948499">
      <w:bodyDiv w:val="1"/>
      <w:marLeft w:val="0"/>
      <w:marRight w:val="0"/>
      <w:marTop w:val="0"/>
      <w:marBottom w:val="0"/>
      <w:divBdr>
        <w:top w:val="none" w:sz="0" w:space="0" w:color="auto"/>
        <w:left w:val="none" w:sz="0" w:space="0" w:color="auto"/>
        <w:bottom w:val="none" w:sz="0" w:space="0" w:color="auto"/>
        <w:right w:val="none" w:sz="0" w:space="0" w:color="auto"/>
      </w:divBdr>
    </w:div>
    <w:div w:id="522590746">
      <w:bodyDiv w:val="1"/>
      <w:marLeft w:val="0"/>
      <w:marRight w:val="0"/>
      <w:marTop w:val="0"/>
      <w:marBottom w:val="0"/>
      <w:divBdr>
        <w:top w:val="none" w:sz="0" w:space="0" w:color="auto"/>
        <w:left w:val="none" w:sz="0" w:space="0" w:color="auto"/>
        <w:bottom w:val="none" w:sz="0" w:space="0" w:color="auto"/>
        <w:right w:val="none" w:sz="0" w:space="0" w:color="auto"/>
      </w:divBdr>
    </w:div>
    <w:div w:id="572011953">
      <w:bodyDiv w:val="1"/>
      <w:marLeft w:val="0"/>
      <w:marRight w:val="0"/>
      <w:marTop w:val="0"/>
      <w:marBottom w:val="0"/>
      <w:divBdr>
        <w:top w:val="none" w:sz="0" w:space="0" w:color="auto"/>
        <w:left w:val="none" w:sz="0" w:space="0" w:color="auto"/>
        <w:bottom w:val="none" w:sz="0" w:space="0" w:color="auto"/>
        <w:right w:val="none" w:sz="0" w:space="0" w:color="auto"/>
      </w:divBdr>
    </w:div>
    <w:div w:id="589386333">
      <w:bodyDiv w:val="1"/>
      <w:marLeft w:val="0"/>
      <w:marRight w:val="0"/>
      <w:marTop w:val="0"/>
      <w:marBottom w:val="0"/>
      <w:divBdr>
        <w:top w:val="none" w:sz="0" w:space="0" w:color="auto"/>
        <w:left w:val="none" w:sz="0" w:space="0" w:color="auto"/>
        <w:bottom w:val="none" w:sz="0" w:space="0" w:color="auto"/>
        <w:right w:val="none" w:sz="0" w:space="0" w:color="auto"/>
      </w:divBdr>
    </w:div>
    <w:div w:id="649210311">
      <w:bodyDiv w:val="1"/>
      <w:marLeft w:val="0"/>
      <w:marRight w:val="0"/>
      <w:marTop w:val="0"/>
      <w:marBottom w:val="0"/>
      <w:divBdr>
        <w:top w:val="none" w:sz="0" w:space="0" w:color="auto"/>
        <w:left w:val="none" w:sz="0" w:space="0" w:color="auto"/>
        <w:bottom w:val="none" w:sz="0" w:space="0" w:color="auto"/>
        <w:right w:val="none" w:sz="0" w:space="0" w:color="auto"/>
      </w:divBdr>
    </w:div>
    <w:div w:id="654605043">
      <w:bodyDiv w:val="1"/>
      <w:marLeft w:val="0"/>
      <w:marRight w:val="0"/>
      <w:marTop w:val="0"/>
      <w:marBottom w:val="0"/>
      <w:divBdr>
        <w:top w:val="none" w:sz="0" w:space="0" w:color="auto"/>
        <w:left w:val="none" w:sz="0" w:space="0" w:color="auto"/>
        <w:bottom w:val="none" w:sz="0" w:space="0" w:color="auto"/>
        <w:right w:val="none" w:sz="0" w:space="0" w:color="auto"/>
      </w:divBdr>
    </w:div>
    <w:div w:id="665549696">
      <w:bodyDiv w:val="1"/>
      <w:marLeft w:val="0"/>
      <w:marRight w:val="0"/>
      <w:marTop w:val="0"/>
      <w:marBottom w:val="0"/>
      <w:divBdr>
        <w:top w:val="none" w:sz="0" w:space="0" w:color="auto"/>
        <w:left w:val="none" w:sz="0" w:space="0" w:color="auto"/>
        <w:bottom w:val="none" w:sz="0" w:space="0" w:color="auto"/>
        <w:right w:val="none" w:sz="0" w:space="0" w:color="auto"/>
      </w:divBdr>
    </w:div>
    <w:div w:id="724566432">
      <w:bodyDiv w:val="1"/>
      <w:marLeft w:val="0"/>
      <w:marRight w:val="0"/>
      <w:marTop w:val="0"/>
      <w:marBottom w:val="0"/>
      <w:divBdr>
        <w:top w:val="none" w:sz="0" w:space="0" w:color="auto"/>
        <w:left w:val="none" w:sz="0" w:space="0" w:color="auto"/>
        <w:bottom w:val="none" w:sz="0" w:space="0" w:color="auto"/>
        <w:right w:val="none" w:sz="0" w:space="0" w:color="auto"/>
      </w:divBdr>
    </w:div>
    <w:div w:id="762335149">
      <w:bodyDiv w:val="1"/>
      <w:marLeft w:val="0"/>
      <w:marRight w:val="0"/>
      <w:marTop w:val="0"/>
      <w:marBottom w:val="0"/>
      <w:divBdr>
        <w:top w:val="none" w:sz="0" w:space="0" w:color="auto"/>
        <w:left w:val="none" w:sz="0" w:space="0" w:color="auto"/>
        <w:bottom w:val="none" w:sz="0" w:space="0" w:color="auto"/>
        <w:right w:val="none" w:sz="0" w:space="0" w:color="auto"/>
      </w:divBdr>
    </w:div>
    <w:div w:id="777523955">
      <w:bodyDiv w:val="1"/>
      <w:marLeft w:val="0"/>
      <w:marRight w:val="0"/>
      <w:marTop w:val="0"/>
      <w:marBottom w:val="0"/>
      <w:divBdr>
        <w:top w:val="none" w:sz="0" w:space="0" w:color="auto"/>
        <w:left w:val="none" w:sz="0" w:space="0" w:color="auto"/>
        <w:bottom w:val="none" w:sz="0" w:space="0" w:color="auto"/>
        <w:right w:val="none" w:sz="0" w:space="0" w:color="auto"/>
      </w:divBdr>
    </w:div>
    <w:div w:id="812992172">
      <w:bodyDiv w:val="1"/>
      <w:marLeft w:val="0"/>
      <w:marRight w:val="0"/>
      <w:marTop w:val="0"/>
      <w:marBottom w:val="0"/>
      <w:divBdr>
        <w:top w:val="none" w:sz="0" w:space="0" w:color="auto"/>
        <w:left w:val="none" w:sz="0" w:space="0" w:color="auto"/>
        <w:bottom w:val="none" w:sz="0" w:space="0" w:color="auto"/>
        <w:right w:val="none" w:sz="0" w:space="0" w:color="auto"/>
      </w:divBdr>
    </w:div>
    <w:div w:id="830488993">
      <w:bodyDiv w:val="1"/>
      <w:marLeft w:val="0"/>
      <w:marRight w:val="0"/>
      <w:marTop w:val="0"/>
      <w:marBottom w:val="0"/>
      <w:divBdr>
        <w:top w:val="none" w:sz="0" w:space="0" w:color="auto"/>
        <w:left w:val="none" w:sz="0" w:space="0" w:color="auto"/>
        <w:bottom w:val="none" w:sz="0" w:space="0" w:color="auto"/>
        <w:right w:val="none" w:sz="0" w:space="0" w:color="auto"/>
      </w:divBdr>
    </w:div>
    <w:div w:id="844785507">
      <w:bodyDiv w:val="1"/>
      <w:marLeft w:val="0"/>
      <w:marRight w:val="0"/>
      <w:marTop w:val="0"/>
      <w:marBottom w:val="0"/>
      <w:divBdr>
        <w:top w:val="none" w:sz="0" w:space="0" w:color="auto"/>
        <w:left w:val="none" w:sz="0" w:space="0" w:color="auto"/>
        <w:bottom w:val="none" w:sz="0" w:space="0" w:color="auto"/>
        <w:right w:val="none" w:sz="0" w:space="0" w:color="auto"/>
      </w:divBdr>
    </w:div>
    <w:div w:id="905459558">
      <w:bodyDiv w:val="1"/>
      <w:marLeft w:val="0"/>
      <w:marRight w:val="0"/>
      <w:marTop w:val="0"/>
      <w:marBottom w:val="0"/>
      <w:divBdr>
        <w:top w:val="none" w:sz="0" w:space="0" w:color="auto"/>
        <w:left w:val="none" w:sz="0" w:space="0" w:color="auto"/>
        <w:bottom w:val="none" w:sz="0" w:space="0" w:color="auto"/>
        <w:right w:val="none" w:sz="0" w:space="0" w:color="auto"/>
      </w:divBdr>
    </w:div>
    <w:div w:id="921639994">
      <w:bodyDiv w:val="1"/>
      <w:marLeft w:val="0"/>
      <w:marRight w:val="0"/>
      <w:marTop w:val="0"/>
      <w:marBottom w:val="0"/>
      <w:divBdr>
        <w:top w:val="none" w:sz="0" w:space="0" w:color="auto"/>
        <w:left w:val="none" w:sz="0" w:space="0" w:color="auto"/>
        <w:bottom w:val="none" w:sz="0" w:space="0" w:color="auto"/>
        <w:right w:val="none" w:sz="0" w:space="0" w:color="auto"/>
      </w:divBdr>
    </w:div>
    <w:div w:id="974455551">
      <w:bodyDiv w:val="1"/>
      <w:marLeft w:val="0"/>
      <w:marRight w:val="0"/>
      <w:marTop w:val="0"/>
      <w:marBottom w:val="0"/>
      <w:divBdr>
        <w:top w:val="none" w:sz="0" w:space="0" w:color="auto"/>
        <w:left w:val="none" w:sz="0" w:space="0" w:color="auto"/>
        <w:bottom w:val="none" w:sz="0" w:space="0" w:color="auto"/>
        <w:right w:val="none" w:sz="0" w:space="0" w:color="auto"/>
      </w:divBdr>
    </w:div>
    <w:div w:id="1013263387">
      <w:bodyDiv w:val="1"/>
      <w:marLeft w:val="0"/>
      <w:marRight w:val="0"/>
      <w:marTop w:val="0"/>
      <w:marBottom w:val="0"/>
      <w:divBdr>
        <w:top w:val="none" w:sz="0" w:space="0" w:color="auto"/>
        <w:left w:val="none" w:sz="0" w:space="0" w:color="auto"/>
        <w:bottom w:val="none" w:sz="0" w:space="0" w:color="auto"/>
        <w:right w:val="none" w:sz="0" w:space="0" w:color="auto"/>
      </w:divBdr>
    </w:div>
    <w:div w:id="1078940854">
      <w:bodyDiv w:val="1"/>
      <w:marLeft w:val="0"/>
      <w:marRight w:val="0"/>
      <w:marTop w:val="0"/>
      <w:marBottom w:val="0"/>
      <w:divBdr>
        <w:top w:val="none" w:sz="0" w:space="0" w:color="auto"/>
        <w:left w:val="none" w:sz="0" w:space="0" w:color="auto"/>
        <w:bottom w:val="none" w:sz="0" w:space="0" w:color="auto"/>
        <w:right w:val="none" w:sz="0" w:space="0" w:color="auto"/>
      </w:divBdr>
    </w:div>
    <w:div w:id="1159081698">
      <w:bodyDiv w:val="1"/>
      <w:marLeft w:val="0"/>
      <w:marRight w:val="0"/>
      <w:marTop w:val="0"/>
      <w:marBottom w:val="0"/>
      <w:divBdr>
        <w:top w:val="none" w:sz="0" w:space="0" w:color="auto"/>
        <w:left w:val="none" w:sz="0" w:space="0" w:color="auto"/>
        <w:bottom w:val="none" w:sz="0" w:space="0" w:color="auto"/>
        <w:right w:val="none" w:sz="0" w:space="0" w:color="auto"/>
      </w:divBdr>
    </w:div>
    <w:div w:id="1171918028">
      <w:bodyDiv w:val="1"/>
      <w:marLeft w:val="0"/>
      <w:marRight w:val="0"/>
      <w:marTop w:val="0"/>
      <w:marBottom w:val="0"/>
      <w:divBdr>
        <w:top w:val="none" w:sz="0" w:space="0" w:color="auto"/>
        <w:left w:val="none" w:sz="0" w:space="0" w:color="auto"/>
        <w:bottom w:val="none" w:sz="0" w:space="0" w:color="auto"/>
        <w:right w:val="none" w:sz="0" w:space="0" w:color="auto"/>
      </w:divBdr>
    </w:div>
    <w:div w:id="1209957729">
      <w:bodyDiv w:val="1"/>
      <w:marLeft w:val="0"/>
      <w:marRight w:val="0"/>
      <w:marTop w:val="0"/>
      <w:marBottom w:val="0"/>
      <w:divBdr>
        <w:top w:val="none" w:sz="0" w:space="0" w:color="auto"/>
        <w:left w:val="none" w:sz="0" w:space="0" w:color="auto"/>
        <w:bottom w:val="none" w:sz="0" w:space="0" w:color="auto"/>
        <w:right w:val="none" w:sz="0" w:space="0" w:color="auto"/>
      </w:divBdr>
    </w:div>
    <w:div w:id="1302997195">
      <w:bodyDiv w:val="1"/>
      <w:marLeft w:val="0"/>
      <w:marRight w:val="0"/>
      <w:marTop w:val="0"/>
      <w:marBottom w:val="0"/>
      <w:divBdr>
        <w:top w:val="none" w:sz="0" w:space="0" w:color="auto"/>
        <w:left w:val="none" w:sz="0" w:space="0" w:color="auto"/>
        <w:bottom w:val="none" w:sz="0" w:space="0" w:color="auto"/>
        <w:right w:val="none" w:sz="0" w:space="0" w:color="auto"/>
      </w:divBdr>
    </w:div>
    <w:div w:id="1391609403">
      <w:bodyDiv w:val="1"/>
      <w:marLeft w:val="0"/>
      <w:marRight w:val="0"/>
      <w:marTop w:val="0"/>
      <w:marBottom w:val="0"/>
      <w:divBdr>
        <w:top w:val="none" w:sz="0" w:space="0" w:color="auto"/>
        <w:left w:val="none" w:sz="0" w:space="0" w:color="auto"/>
        <w:bottom w:val="none" w:sz="0" w:space="0" w:color="auto"/>
        <w:right w:val="none" w:sz="0" w:space="0" w:color="auto"/>
      </w:divBdr>
    </w:div>
    <w:div w:id="1424573483">
      <w:bodyDiv w:val="1"/>
      <w:marLeft w:val="0"/>
      <w:marRight w:val="0"/>
      <w:marTop w:val="0"/>
      <w:marBottom w:val="0"/>
      <w:divBdr>
        <w:top w:val="none" w:sz="0" w:space="0" w:color="auto"/>
        <w:left w:val="none" w:sz="0" w:space="0" w:color="auto"/>
        <w:bottom w:val="none" w:sz="0" w:space="0" w:color="auto"/>
        <w:right w:val="none" w:sz="0" w:space="0" w:color="auto"/>
      </w:divBdr>
    </w:div>
    <w:div w:id="1436484744">
      <w:bodyDiv w:val="1"/>
      <w:marLeft w:val="0"/>
      <w:marRight w:val="0"/>
      <w:marTop w:val="0"/>
      <w:marBottom w:val="0"/>
      <w:divBdr>
        <w:top w:val="none" w:sz="0" w:space="0" w:color="auto"/>
        <w:left w:val="none" w:sz="0" w:space="0" w:color="auto"/>
        <w:bottom w:val="none" w:sz="0" w:space="0" w:color="auto"/>
        <w:right w:val="none" w:sz="0" w:space="0" w:color="auto"/>
      </w:divBdr>
    </w:div>
    <w:div w:id="1449397008">
      <w:bodyDiv w:val="1"/>
      <w:marLeft w:val="0"/>
      <w:marRight w:val="0"/>
      <w:marTop w:val="0"/>
      <w:marBottom w:val="0"/>
      <w:divBdr>
        <w:top w:val="none" w:sz="0" w:space="0" w:color="auto"/>
        <w:left w:val="none" w:sz="0" w:space="0" w:color="auto"/>
        <w:bottom w:val="none" w:sz="0" w:space="0" w:color="auto"/>
        <w:right w:val="none" w:sz="0" w:space="0" w:color="auto"/>
      </w:divBdr>
    </w:div>
    <w:div w:id="1480613127">
      <w:bodyDiv w:val="1"/>
      <w:marLeft w:val="0"/>
      <w:marRight w:val="0"/>
      <w:marTop w:val="0"/>
      <w:marBottom w:val="0"/>
      <w:divBdr>
        <w:top w:val="none" w:sz="0" w:space="0" w:color="auto"/>
        <w:left w:val="none" w:sz="0" w:space="0" w:color="auto"/>
        <w:bottom w:val="none" w:sz="0" w:space="0" w:color="auto"/>
        <w:right w:val="none" w:sz="0" w:space="0" w:color="auto"/>
      </w:divBdr>
    </w:div>
    <w:div w:id="1502890338">
      <w:bodyDiv w:val="1"/>
      <w:marLeft w:val="0"/>
      <w:marRight w:val="0"/>
      <w:marTop w:val="0"/>
      <w:marBottom w:val="0"/>
      <w:divBdr>
        <w:top w:val="none" w:sz="0" w:space="0" w:color="auto"/>
        <w:left w:val="none" w:sz="0" w:space="0" w:color="auto"/>
        <w:bottom w:val="none" w:sz="0" w:space="0" w:color="auto"/>
        <w:right w:val="none" w:sz="0" w:space="0" w:color="auto"/>
      </w:divBdr>
    </w:div>
    <w:div w:id="1566255304">
      <w:bodyDiv w:val="1"/>
      <w:marLeft w:val="0"/>
      <w:marRight w:val="0"/>
      <w:marTop w:val="0"/>
      <w:marBottom w:val="0"/>
      <w:divBdr>
        <w:top w:val="none" w:sz="0" w:space="0" w:color="auto"/>
        <w:left w:val="none" w:sz="0" w:space="0" w:color="auto"/>
        <w:bottom w:val="none" w:sz="0" w:space="0" w:color="auto"/>
        <w:right w:val="none" w:sz="0" w:space="0" w:color="auto"/>
      </w:divBdr>
    </w:div>
    <w:div w:id="1663579426">
      <w:bodyDiv w:val="1"/>
      <w:marLeft w:val="0"/>
      <w:marRight w:val="0"/>
      <w:marTop w:val="0"/>
      <w:marBottom w:val="0"/>
      <w:divBdr>
        <w:top w:val="none" w:sz="0" w:space="0" w:color="auto"/>
        <w:left w:val="none" w:sz="0" w:space="0" w:color="auto"/>
        <w:bottom w:val="none" w:sz="0" w:space="0" w:color="auto"/>
        <w:right w:val="none" w:sz="0" w:space="0" w:color="auto"/>
      </w:divBdr>
    </w:div>
    <w:div w:id="1687831085">
      <w:bodyDiv w:val="1"/>
      <w:marLeft w:val="0"/>
      <w:marRight w:val="0"/>
      <w:marTop w:val="0"/>
      <w:marBottom w:val="0"/>
      <w:divBdr>
        <w:top w:val="none" w:sz="0" w:space="0" w:color="auto"/>
        <w:left w:val="none" w:sz="0" w:space="0" w:color="auto"/>
        <w:bottom w:val="none" w:sz="0" w:space="0" w:color="auto"/>
        <w:right w:val="none" w:sz="0" w:space="0" w:color="auto"/>
      </w:divBdr>
    </w:div>
    <w:div w:id="1688941197">
      <w:bodyDiv w:val="1"/>
      <w:marLeft w:val="0"/>
      <w:marRight w:val="0"/>
      <w:marTop w:val="0"/>
      <w:marBottom w:val="0"/>
      <w:divBdr>
        <w:top w:val="none" w:sz="0" w:space="0" w:color="auto"/>
        <w:left w:val="none" w:sz="0" w:space="0" w:color="auto"/>
        <w:bottom w:val="none" w:sz="0" w:space="0" w:color="auto"/>
        <w:right w:val="none" w:sz="0" w:space="0" w:color="auto"/>
      </w:divBdr>
    </w:div>
    <w:div w:id="1738432858">
      <w:bodyDiv w:val="1"/>
      <w:marLeft w:val="0"/>
      <w:marRight w:val="0"/>
      <w:marTop w:val="0"/>
      <w:marBottom w:val="0"/>
      <w:divBdr>
        <w:top w:val="none" w:sz="0" w:space="0" w:color="auto"/>
        <w:left w:val="none" w:sz="0" w:space="0" w:color="auto"/>
        <w:bottom w:val="none" w:sz="0" w:space="0" w:color="auto"/>
        <w:right w:val="none" w:sz="0" w:space="0" w:color="auto"/>
      </w:divBdr>
    </w:div>
    <w:div w:id="1764373453">
      <w:bodyDiv w:val="1"/>
      <w:marLeft w:val="0"/>
      <w:marRight w:val="0"/>
      <w:marTop w:val="0"/>
      <w:marBottom w:val="0"/>
      <w:divBdr>
        <w:top w:val="none" w:sz="0" w:space="0" w:color="auto"/>
        <w:left w:val="none" w:sz="0" w:space="0" w:color="auto"/>
        <w:bottom w:val="none" w:sz="0" w:space="0" w:color="auto"/>
        <w:right w:val="none" w:sz="0" w:space="0" w:color="auto"/>
      </w:divBdr>
    </w:div>
    <w:div w:id="1784105955">
      <w:bodyDiv w:val="1"/>
      <w:marLeft w:val="0"/>
      <w:marRight w:val="0"/>
      <w:marTop w:val="0"/>
      <w:marBottom w:val="0"/>
      <w:divBdr>
        <w:top w:val="none" w:sz="0" w:space="0" w:color="auto"/>
        <w:left w:val="none" w:sz="0" w:space="0" w:color="auto"/>
        <w:bottom w:val="none" w:sz="0" w:space="0" w:color="auto"/>
        <w:right w:val="none" w:sz="0" w:space="0" w:color="auto"/>
      </w:divBdr>
    </w:div>
    <w:div w:id="1798140382">
      <w:bodyDiv w:val="1"/>
      <w:marLeft w:val="0"/>
      <w:marRight w:val="0"/>
      <w:marTop w:val="0"/>
      <w:marBottom w:val="0"/>
      <w:divBdr>
        <w:top w:val="none" w:sz="0" w:space="0" w:color="auto"/>
        <w:left w:val="none" w:sz="0" w:space="0" w:color="auto"/>
        <w:bottom w:val="none" w:sz="0" w:space="0" w:color="auto"/>
        <w:right w:val="none" w:sz="0" w:space="0" w:color="auto"/>
      </w:divBdr>
    </w:div>
    <w:div w:id="1863279948">
      <w:bodyDiv w:val="1"/>
      <w:marLeft w:val="0"/>
      <w:marRight w:val="0"/>
      <w:marTop w:val="0"/>
      <w:marBottom w:val="0"/>
      <w:divBdr>
        <w:top w:val="none" w:sz="0" w:space="0" w:color="auto"/>
        <w:left w:val="none" w:sz="0" w:space="0" w:color="auto"/>
        <w:bottom w:val="none" w:sz="0" w:space="0" w:color="auto"/>
        <w:right w:val="none" w:sz="0" w:space="0" w:color="auto"/>
      </w:divBdr>
    </w:div>
    <w:div w:id="1866627885">
      <w:bodyDiv w:val="1"/>
      <w:marLeft w:val="0"/>
      <w:marRight w:val="0"/>
      <w:marTop w:val="0"/>
      <w:marBottom w:val="0"/>
      <w:divBdr>
        <w:top w:val="none" w:sz="0" w:space="0" w:color="auto"/>
        <w:left w:val="none" w:sz="0" w:space="0" w:color="auto"/>
        <w:bottom w:val="none" w:sz="0" w:space="0" w:color="auto"/>
        <w:right w:val="none" w:sz="0" w:space="0" w:color="auto"/>
      </w:divBdr>
    </w:div>
    <w:div w:id="1884708463">
      <w:bodyDiv w:val="1"/>
      <w:marLeft w:val="0"/>
      <w:marRight w:val="0"/>
      <w:marTop w:val="0"/>
      <w:marBottom w:val="0"/>
      <w:divBdr>
        <w:top w:val="none" w:sz="0" w:space="0" w:color="auto"/>
        <w:left w:val="none" w:sz="0" w:space="0" w:color="auto"/>
        <w:bottom w:val="none" w:sz="0" w:space="0" w:color="auto"/>
        <w:right w:val="none" w:sz="0" w:space="0" w:color="auto"/>
      </w:divBdr>
    </w:div>
    <w:div w:id="1915165502">
      <w:bodyDiv w:val="1"/>
      <w:marLeft w:val="0"/>
      <w:marRight w:val="0"/>
      <w:marTop w:val="0"/>
      <w:marBottom w:val="0"/>
      <w:divBdr>
        <w:top w:val="none" w:sz="0" w:space="0" w:color="auto"/>
        <w:left w:val="none" w:sz="0" w:space="0" w:color="auto"/>
        <w:bottom w:val="none" w:sz="0" w:space="0" w:color="auto"/>
        <w:right w:val="none" w:sz="0" w:space="0" w:color="auto"/>
      </w:divBdr>
    </w:div>
    <w:div w:id="2000770856">
      <w:bodyDiv w:val="1"/>
      <w:marLeft w:val="0"/>
      <w:marRight w:val="0"/>
      <w:marTop w:val="0"/>
      <w:marBottom w:val="0"/>
      <w:divBdr>
        <w:top w:val="none" w:sz="0" w:space="0" w:color="auto"/>
        <w:left w:val="none" w:sz="0" w:space="0" w:color="auto"/>
        <w:bottom w:val="none" w:sz="0" w:space="0" w:color="auto"/>
        <w:right w:val="none" w:sz="0" w:space="0" w:color="auto"/>
      </w:divBdr>
    </w:div>
    <w:div w:id="2026008136">
      <w:bodyDiv w:val="1"/>
      <w:marLeft w:val="0"/>
      <w:marRight w:val="0"/>
      <w:marTop w:val="0"/>
      <w:marBottom w:val="0"/>
      <w:divBdr>
        <w:top w:val="none" w:sz="0" w:space="0" w:color="auto"/>
        <w:left w:val="none" w:sz="0" w:space="0" w:color="auto"/>
        <w:bottom w:val="none" w:sz="0" w:space="0" w:color="auto"/>
        <w:right w:val="none" w:sz="0" w:space="0" w:color="auto"/>
      </w:divBdr>
    </w:div>
    <w:div w:id="2029600791">
      <w:bodyDiv w:val="1"/>
      <w:marLeft w:val="0"/>
      <w:marRight w:val="0"/>
      <w:marTop w:val="0"/>
      <w:marBottom w:val="0"/>
      <w:divBdr>
        <w:top w:val="none" w:sz="0" w:space="0" w:color="auto"/>
        <w:left w:val="none" w:sz="0" w:space="0" w:color="auto"/>
        <w:bottom w:val="none" w:sz="0" w:space="0" w:color="auto"/>
        <w:right w:val="none" w:sz="0" w:space="0" w:color="auto"/>
      </w:divBdr>
    </w:div>
    <w:div w:id="2034185182">
      <w:bodyDiv w:val="1"/>
      <w:marLeft w:val="0"/>
      <w:marRight w:val="0"/>
      <w:marTop w:val="0"/>
      <w:marBottom w:val="0"/>
      <w:divBdr>
        <w:top w:val="none" w:sz="0" w:space="0" w:color="auto"/>
        <w:left w:val="none" w:sz="0" w:space="0" w:color="auto"/>
        <w:bottom w:val="none" w:sz="0" w:space="0" w:color="auto"/>
        <w:right w:val="none" w:sz="0" w:space="0" w:color="auto"/>
      </w:divBdr>
    </w:div>
    <w:div w:id="2064479022">
      <w:bodyDiv w:val="1"/>
      <w:marLeft w:val="0"/>
      <w:marRight w:val="0"/>
      <w:marTop w:val="0"/>
      <w:marBottom w:val="0"/>
      <w:divBdr>
        <w:top w:val="none" w:sz="0" w:space="0" w:color="auto"/>
        <w:left w:val="none" w:sz="0" w:space="0" w:color="auto"/>
        <w:bottom w:val="none" w:sz="0" w:space="0" w:color="auto"/>
        <w:right w:val="none" w:sz="0" w:space="0" w:color="auto"/>
      </w:divBdr>
    </w:div>
    <w:div w:id="2080128498">
      <w:bodyDiv w:val="1"/>
      <w:marLeft w:val="0"/>
      <w:marRight w:val="0"/>
      <w:marTop w:val="0"/>
      <w:marBottom w:val="0"/>
      <w:divBdr>
        <w:top w:val="none" w:sz="0" w:space="0" w:color="auto"/>
        <w:left w:val="none" w:sz="0" w:space="0" w:color="auto"/>
        <w:bottom w:val="none" w:sz="0" w:space="0" w:color="auto"/>
        <w:right w:val="none" w:sz="0" w:space="0" w:color="auto"/>
      </w:divBdr>
    </w:div>
    <w:div w:id="2090958645">
      <w:bodyDiv w:val="1"/>
      <w:marLeft w:val="0"/>
      <w:marRight w:val="0"/>
      <w:marTop w:val="0"/>
      <w:marBottom w:val="0"/>
      <w:divBdr>
        <w:top w:val="none" w:sz="0" w:space="0" w:color="auto"/>
        <w:left w:val="none" w:sz="0" w:space="0" w:color="auto"/>
        <w:bottom w:val="none" w:sz="0" w:space="0" w:color="auto"/>
        <w:right w:val="none" w:sz="0" w:space="0" w:color="auto"/>
      </w:divBdr>
    </w:div>
    <w:div w:id="2092895787">
      <w:bodyDiv w:val="1"/>
      <w:marLeft w:val="0"/>
      <w:marRight w:val="0"/>
      <w:marTop w:val="0"/>
      <w:marBottom w:val="0"/>
      <w:divBdr>
        <w:top w:val="none" w:sz="0" w:space="0" w:color="auto"/>
        <w:left w:val="none" w:sz="0" w:space="0" w:color="auto"/>
        <w:bottom w:val="none" w:sz="0" w:space="0" w:color="auto"/>
        <w:right w:val="none" w:sz="0" w:space="0" w:color="auto"/>
      </w:divBdr>
    </w:div>
    <w:div w:id="2097509569">
      <w:bodyDiv w:val="1"/>
      <w:marLeft w:val="0"/>
      <w:marRight w:val="0"/>
      <w:marTop w:val="0"/>
      <w:marBottom w:val="0"/>
      <w:divBdr>
        <w:top w:val="none" w:sz="0" w:space="0" w:color="auto"/>
        <w:left w:val="none" w:sz="0" w:space="0" w:color="auto"/>
        <w:bottom w:val="none" w:sz="0" w:space="0" w:color="auto"/>
        <w:right w:val="none" w:sz="0" w:space="0" w:color="auto"/>
      </w:divBdr>
    </w:div>
    <w:div w:id="213138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903</TotalTime>
  <Pages>18</Pages>
  <Words>6814</Words>
  <Characters>38840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rowe</dc:creator>
  <cp:keywords/>
  <dc:description/>
  <cp:lastModifiedBy>duncan rowe</cp:lastModifiedBy>
  <cp:revision>150</cp:revision>
  <dcterms:created xsi:type="dcterms:W3CDTF">2023-01-24T09:38:00Z</dcterms:created>
  <dcterms:modified xsi:type="dcterms:W3CDTF">2023-02-25T14:29:00Z</dcterms:modified>
</cp:coreProperties>
</file>