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5840B" w14:textId="650897DC" w:rsidR="001E0ED7" w:rsidRPr="001E0ED7" w:rsidRDefault="001E0ED7" w:rsidP="001E0ED7">
      <w:pPr>
        <w:rPr>
          <w:b/>
          <w:bCs/>
        </w:rPr>
      </w:pPr>
      <w:r w:rsidRPr="001E0ED7">
        <w:rPr>
          <w:b/>
          <w:bCs/>
        </w:rPr>
        <w:drawing>
          <wp:inline distT="0" distB="0" distL="0" distR="0" wp14:anchorId="76754283" wp14:editId="71E7CF4C">
            <wp:extent cx="1906270" cy="633095"/>
            <wp:effectExtent l="19050" t="19050" r="17780" b="146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1C275591" w14:textId="77777777" w:rsidR="001E0ED7" w:rsidRPr="001E0ED7" w:rsidRDefault="001E0ED7" w:rsidP="001E0ED7">
      <w:pPr>
        <w:rPr>
          <w:b/>
          <w:bCs/>
        </w:rPr>
      </w:pPr>
    </w:p>
    <w:p w14:paraId="2C0A5EAA" w14:textId="77777777" w:rsidR="001E0ED7" w:rsidRPr="001E0ED7" w:rsidRDefault="001E0ED7" w:rsidP="001E0ED7">
      <w:pPr>
        <w:rPr>
          <w:b/>
          <w:bCs/>
        </w:rPr>
      </w:pPr>
    </w:p>
    <w:p w14:paraId="24DE6212" w14:textId="77777777" w:rsidR="001E0ED7" w:rsidRPr="001E0ED7" w:rsidRDefault="001E0ED7" w:rsidP="001E0ED7">
      <w:pPr>
        <w:rPr>
          <w:b/>
          <w:bCs/>
          <w:lang w:val="cy-GB"/>
        </w:rPr>
      </w:pPr>
      <w:r w:rsidRPr="001E0ED7">
        <w:rPr>
          <w:b/>
          <w:bCs/>
          <w:lang w:val="cy-GB"/>
        </w:rPr>
        <w:t xml:space="preserve">Postgraduate/Distance Learning </w:t>
      </w:r>
    </w:p>
    <w:p w14:paraId="02651CDE" w14:textId="77777777" w:rsidR="001E0ED7" w:rsidRPr="001E0ED7" w:rsidRDefault="001E0ED7" w:rsidP="001E0ED7">
      <w:pPr>
        <w:rPr>
          <w:b/>
          <w:bCs/>
        </w:rPr>
      </w:pPr>
      <w:r w:rsidRPr="001E0ED7">
        <w:rPr>
          <w:b/>
          <w:bCs/>
          <w:lang w:val="cy-GB"/>
        </w:rPr>
        <w:t>Assignment coversheet &amp; feedback form</w:t>
      </w:r>
    </w:p>
    <w:p w14:paraId="7C111955" w14:textId="77777777" w:rsidR="001E0ED7" w:rsidRPr="001E0ED7" w:rsidRDefault="001E0ED7" w:rsidP="001E0ED7">
      <w:pPr>
        <w:rPr>
          <w:b/>
          <w:bCs/>
          <w:lang w:val="cy-GB"/>
        </w:rPr>
      </w:pPr>
    </w:p>
    <w:p w14:paraId="3705C3EC" w14:textId="77777777" w:rsidR="001E0ED7" w:rsidRPr="001E0ED7" w:rsidRDefault="001E0ED7" w:rsidP="001E0ED7">
      <w:pPr>
        <w:rPr>
          <w:b/>
          <w:bCs/>
          <w:lang w:val="cy-GB"/>
        </w:rPr>
      </w:pPr>
      <w:r w:rsidRPr="001E0ED7">
        <w:rPr>
          <w:b/>
          <w:bCs/>
          <w:lang w:val="cy-GB"/>
        </w:rPr>
        <w:t>THIS SHEET MUST BE THE FIRST PAGE OF THE ASSIGNMENT YOU ARE SUBMITTING  (DO NOT SEND AS A SEPARATE FILE)</w:t>
      </w:r>
    </w:p>
    <w:p w14:paraId="733A10D2" w14:textId="77777777" w:rsidR="001E0ED7" w:rsidRPr="001E0ED7" w:rsidRDefault="001E0ED7" w:rsidP="001E0ED7">
      <w:pP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E0ED7" w:rsidRPr="001E0ED7" w14:paraId="5619EE03" w14:textId="77777777" w:rsidTr="004E2DAA">
        <w:trPr>
          <w:trHeight w:val="614"/>
        </w:trPr>
        <w:tc>
          <w:tcPr>
            <w:tcW w:w="8856" w:type="dxa"/>
            <w:gridSpan w:val="5"/>
          </w:tcPr>
          <w:p w14:paraId="15A42B33" w14:textId="77777777" w:rsidR="001E0ED7" w:rsidRPr="001E0ED7" w:rsidRDefault="001E0ED7" w:rsidP="001E0ED7">
            <w:pPr>
              <w:rPr>
                <w:b/>
                <w:bCs/>
              </w:rPr>
            </w:pPr>
            <w:r w:rsidRPr="001E0ED7">
              <w:rPr>
                <w:b/>
                <w:bCs/>
              </w:rPr>
              <w:t>For completion by the student:</w:t>
            </w:r>
          </w:p>
        </w:tc>
      </w:tr>
      <w:tr w:rsidR="001E0ED7" w:rsidRPr="001E0ED7" w14:paraId="3B23693C" w14:textId="77777777" w:rsidTr="004E2DAA">
        <w:trPr>
          <w:trHeight w:val="718"/>
        </w:trPr>
        <w:tc>
          <w:tcPr>
            <w:tcW w:w="8856" w:type="dxa"/>
            <w:gridSpan w:val="5"/>
          </w:tcPr>
          <w:p w14:paraId="3BCCC28E" w14:textId="77777777" w:rsidR="001E0ED7" w:rsidRPr="001E0ED7" w:rsidRDefault="001E0ED7" w:rsidP="001E0ED7">
            <w:pPr>
              <w:rPr>
                <w:b/>
                <w:bCs/>
              </w:rPr>
            </w:pPr>
            <w:r w:rsidRPr="001E0ED7">
              <w:rPr>
                <w:b/>
                <w:bCs/>
              </w:rPr>
              <w:t>Student Name:</w:t>
            </w:r>
          </w:p>
          <w:p w14:paraId="395096C8" w14:textId="77777777" w:rsidR="001E0ED7" w:rsidRPr="001E0ED7" w:rsidRDefault="001E0ED7" w:rsidP="001E0ED7">
            <w:pPr>
              <w:rPr>
                <w:b/>
                <w:bCs/>
              </w:rPr>
            </w:pPr>
          </w:p>
          <w:p w14:paraId="63B53E49" w14:textId="77777777" w:rsidR="001E0ED7" w:rsidRPr="001E0ED7" w:rsidRDefault="001E0ED7" w:rsidP="001E0ED7">
            <w:pPr>
              <w:rPr>
                <w:b/>
                <w:bCs/>
              </w:rPr>
            </w:pPr>
            <w:r w:rsidRPr="001E0ED7">
              <w:rPr>
                <w:b/>
                <w:bCs/>
              </w:rPr>
              <w:t xml:space="preserve">Student </w:t>
            </w:r>
            <w:r w:rsidRPr="001E0ED7">
              <w:rPr>
                <w:b/>
                <w:bCs/>
                <w:u w:val="single"/>
              </w:rPr>
              <w:t xml:space="preserve">University </w:t>
            </w:r>
            <w:r w:rsidRPr="001E0ED7">
              <w:rPr>
                <w:b/>
                <w:bCs/>
              </w:rPr>
              <w:t xml:space="preserve">Email: </w:t>
            </w:r>
          </w:p>
        </w:tc>
      </w:tr>
      <w:tr w:rsidR="001E0ED7" w:rsidRPr="001E0ED7" w14:paraId="2A5AC954" w14:textId="77777777" w:rsidTr="004E2DAA">
        <w:trPr>
          <w:trHeight w:val="849"/>
        </w:trPr>
        <w:tc>
          <w:tcPr>
            <w:tcW w:w="4788" w:type="dxa"/>
          </w:tcPr>
          <w:p w14:paraId="58890028" w14:textId="77777777" w:rsidR="001E0ED7" w:rsidRPr="001E0ED7" w:rsidRDefault="001E0ED7" w:rsidP="001E0ED7">
            <w:pPr>
              <w:rPr>
                <w:b/>
                <w:bCs/>
              </w:rPr>
            </w:pPr>
            <w:r w:rsidRPr="001E0ED7">
              <w:rPr>
                <w:b/>
                <w:bCs/>
              </w:rPr>
              <w:t>Module code:</w:t>
            </w:r>
          </w:p>
          <w:p w14:paraId="1AD7E4D0" w14:textId="77777777" w:rsidR="001E0ED7" w:rsidRPr="001E0ED7" w:rsidRDefault="001E0ED7" w:rsidP="001E0ED7">
            <w:pPr>
              <w:rPr>
                <w:b/>
                <w:bCs/>
              </w:rPr>
            </w:pPr>
          </w:p>
          <w:p w14:paraId="6771B0B7" w14:textId="77777777" w:rsidR="001E0ED7" w:rsidRPr="001E0ED7" w:rsidRDefault="001E0ED7" w:rsidP="001E0ED7">
            <w:pPr>
              <w:rPr>
                <w:b/>
                <w:bCs/>
              </w:rPr>
            </w:pPr>
            <w:r w:rsidRPr="001E0ED7">
              <w:rPr>
                <w:b/>
                <w:bCs/>
              </w:rPr>
              <w:t>Module title:</w:t>
            </w:r>
          </w:p>
          <w:p w14:paraId="0F953C51" w14:textId="77777777" w:rsidR="001E0ED7" w:rsidRPr="001E0ED7" w:rsidRDefault="001E0ED7" w:rsidP="001E0ED7">
            <w:pPr>
              <w:rPr>
                <w:b/>
                <w:bCs/>
              </w:rPr>
            </w:pPr>
          </w:p>
          <w:p w14:paraId="6B37AF1D" w14:textId="77777777" w:rsidR="001E0ED7" w:rsidRPr="001E0ED7" w:rsidRDefault="001E0ED7" w:rsidP="001E0ED7">
            <w:pPr>
              <w:rPr>
                <w:b/>
                <w:bCs/>
              </w:rPr>
            </w:pPr>
          </w:p>
        </w:tc>
        <w:tc>
          <w:tcPr>
            <w:tcW w:w="2266" w:type="dxa"/>
            <w:gridSpan w:val="3"/>
          </w:tcPr>
          <w:p w14:paraId="5245D482" w14:textId="77777777" w:rsidR="001E0ED7" w:rsidRPr="001E0ED7" w:rsidRDefault="001E0ED7" w:rsidP="001E0ED7">
            <w:pPr>
              <w:rPr>
                <w:b/>
                <w:bCs/>
              </w:rPr>
            </w:pPr>
            <w:r w:rsidRPr="001E0ED7">
              <w:rPr>
                <w:b/>
                <w:bCs/>
              </w:rPr>
              <w:t>Student ID number:</w:t>
            </w:r>
          </w:p>
        </w:tc>
        <w:tc>
          <w:tcPr>
            <w:tcW w:w="1802" w:type="dxa"/>
          </w:tcPr>
          <w:p w14:paraId="5BF66B7F" w14:textId="77777777" w:rsidR="001E0ED7" w:rsidRPr="001E0ED7" w:rsidRDefault="001E0ED7" w:rsidP="001E0ED7">
            <w:pPr>
              <w:rPr>
                <w:b/>
                <w:bCs/>
              </w:rPr>
            </w:pPr>
            <w:r w:rsidRPr="001E0ED7">
              <w:rPr>
                <w:b/>
                <w:bCs/>
              </w:rPr>
              <w:t>Educational support needs:</w:t>
            </w:r>
          </w:p>
          <w:p w14:paraId="1786D309" w14:textId="77777777" w:rsidR="001E0ED7" w:rsidRPr="001E0ED7" w:rsidRDefault="001E0ED7" w:rsidP="001E0ED7">
            <w:pPr>
              <w:rPr>
                <w:b/>
                <w:bCs/>
              </w:rPr>
            </w:pPr>
            <w:r w:rsidRPr="001E0ED7">
              <w:rPr>
                <w:b/>
                <w:bCs/>
              </w:rPr>
              <w:t>Yes/No</w:t>
            </w:r>
          </w:p>
        </w:tc>
      </w:tr>
      <w:tr w:rsidR="001E0ED7" w:rsidRPr="001E0ED7" w14:paraId="3B7B2FA5" w14:textId="77777777" w:rsidTr="004E2DAA">
        <w:trPr>
          <w:trHeight w:val="1139"/>
        </w:trPr>
        <w:tc>
          <w:tcPr>
            <w:tcW w:w="8856" w:type="dxa"/>
            <w:gridSpan w:val="5"/>
          </w:tcPr>
          <w:p w14:paraId="77EA52CF" w14:textId="77777777" w:rsidR="001E0ED7" w:rsidRPr="001E0ED7" w:rsidRDefault="001E0ED7" w:rsidP="001E0ED7">
            <w:pPr>
              <w:rPr>
                <w:b/>
                <w:bCs/>
              </w:rPr>
            </w:pPr>
            <w:r w:rsidRPr="001E0ED7">
              <w:rPr>
                <w:b/>
                <w:bCs/>
              </w:rPr>
              <w:t>Assignment title:</w:t>
            </w:r>
          </w:p>
          <w:p w14:paraId="7377D159" w14:textId="77777777" w:rsidR="001E0ED7" w:rsidRPr="001E0ED7" w:rsidRDefault="001E0ED7" w:rsidP="001E0ED7">
            <w:pPr>
              <w:rPr>
                <w:b/>
                <w:bCs/>
              </w:rPr>
            </w:pPr>
          </w:p>
          <w:p w14:paraId="56A730CD" w14:textId="77777777" w:rsidR="001E0ED7" w:rsidRPr="001E0ED7" w:rsidRDefault="001E0ED7" w:rsidP="001E0ED7">
            <w:pPr>
              <w:rPr>
                <w:b/>
                <w:bCs/>
              </w:rPr>
            </w:pPr>
          </w:p>
          <w:p w14:paraId="670810D9" w14:textId="77777777" w:rsidR="001E0ED7" w:rsidRPr="001E0ED7" w:rsidRDefault="001E0ED7" w:rsidP="001E0ED7">
            <w:pPr>
              <w:rPr>
                <w:b/>
                <w:bCs/>
              </w:rPr>
            </w:pPr>
            <w:r w:rsidRPr="001E0ED7">
              <w:rPr>
                <w:b/>
                <w:bCs/>
              </w:rPr>
              <w:t>Assignment due date:</w:t>
            </w:r>
          </w:p>
        </w:tc>
      </w:tr>
      <w:tr w:rsidR="001E0ED7" w:rsidRPr="001E0ED7" w14:paraId="42E88E80" w14:textId="77777777" w:rsidTr="004E2DAA">
        <w:trPr>
          <w:trHeight w:val="978"/>
        </w:trPr>
        <w:tc>
          <w:tcPr>
            <w:tcW w:w="8856" w:type="dxa"/>
            <w:gridSpan w:val="5"/>
            <w:tcBorders>
              <w:bottom w:val="single" w:sz="4" w:space="0" w:color="000000"/>
            </w:tcBorders>
          </w:tcPr>
          <w:p w14:paraId="7FDFAC79" w14:textId="77777777" w:rsidR="001E0ED7" w:rsidRPr="001E0ED7" w:rsidRDefault="001E0ED7" w:rsidP="001E0ED7">
            <w:pPr>
              <w:rPr>
                <w:b/>
                <w:bCs/>
              </w:rPr>
            </w:pPr>
            <w:r w:rsidRPr="001E0ED7">
              <w:rPr>
                <w:b/>
                <w:bCs/>
              </w:rPr>
              <w:t>This assignment is for the       1</w:t>
            </w:r>
            <w:r w:rsidRPr="001E0ED7">
              <w:rPr>
                <w:b/>
                <w:bCs/>
                <w:vertAlign w:val="superscript"/>
              </w:rPr>
              <w:t xml:space="preserve">st </w:t>
            </w:r>
            <w:r w:rsidRPr="001E0ED7">
              <w:rPr>
                <w:b/>
                <w:bCs/>
              </w:rPr>
              <w:fldChar w:fldCharType="begin">
                <w:ffData>
                  <w:name w:val="Check13"/>
                  <w:enabled/>
                  <w:calcOnExit w:val="0"/>
                  <w:checkBox>
                    <w:sizeAuto/>
                    <w:default w:val="0"/>
                  </w:checkBox>
                </w:ffData>
              </w:fldChar>
            </w:r>
            <w:bookmarkStart w:id="0" w:name="Check13"/>
            <w:r w:rsidRPr="001E0ED7">
              <w:rPr>
                <w:b/>
                <w:bCs/>
              </w:rPr>
              <w:instrText xml:space="preserve"> FORMCHECKBOX </w:instrText>
            </w:r>
            <w:r w:rsidRPr="001E0ED7">
              <w:rPr>
                <w:b/>
                <w:bCs/>
              </w:rPr>
            </w:r>
            <w:r w:rsidRPr="001E0ED7">
              <w:rPr>
                <w:b/>
                <w:bCs/>
              </w:rPr>
              <w:fldChar w:fldCharType="end"/>
            </w:r>
            <w:bookmarkEnd w:id="0"/>
            <w:r w:rsidRPr="001E0ED7">
              <w:rPr>
                <w:b/>
                <w:bCs/>
              </w:rPr>
              <w:t xml:space="preserve">    2</w:t>
            </w:r>
            <w:r w:rsidRPr="001E0ED7">
              <w:rPr>
                <w:b/>
                <w:bCs/>
                <w:vertAlign w:val="superscript"/>
              </w:rPr>
              <w:t>nd</w:t>
            </w:r>
            <w:r w:rsidRPr="001E0ED7">
              <w:rPr>
                <w:b/>
                <w:bCs/>
              </w:rPr>
              <w:t xml:space="preserve">  </w:t>
            </w:r>
            <w:r w:rsidRPr="001E0ED7">
              <w:rPr>
                <w:b/>
                <w:bCs/>
              </w:rPr>
              <w:fldChar w:fldCharType="begin">
                <w:ffData>
                  <w:name w:val="Check14"/>
                  <w:enabled/>
                  <w:calcOnExit w:val="0"/>
                  <w:checkBox>
                    <w:sizeAuto/>
                    <w:default w:val="0"/>
                  </w:checkBox>
                </w:ffData>
              </w:fldChar>
            </w:r>
            <w:bookmarkStart w:id="1" w:name="Check14"/>
            <w:r w:rsidRPr="001E0ED7">
              <w:rPr>
                <w:b/>
                <w:bCs/>
              </w:rPr>
              <w:instrText xml:space="preserve"> FORMCHECKBOX </w:instrText>
            </w:r>
            <w:r w:rsidRPr="001E0ED7">
              <w:rPr>
                <w:b/>
                <w:bCs/>
              </w:rPr>
            </w:r>
            <w:r w:rsidRPr="001E0ED7">
              <w:rPr>
                <w:b/>
                <w:bCs/>
              </w:rPr>
              <w:fldChar w:fldCharType="end"/>
            </w:r>
            <w:bookmarkEnd w:id="1"/>
            <w:r w:rsidRPr="001E0ED7">
              <w:rPr>
                <w:b/>
                <w:bCs/>
              </w:rPr>
              <w:t xml:space="preserve">     3</w:t>
            </w:r>
            <w:r w:rsidRPr="001E0ED7">
              <w:rPr>
                <w:b/>
                <w:bCs/>
                <w:vertAlign w:val="superscript"/>
              </w:rPr>
              <w:t>rd</w:t>
            </w:r>
            <w:r w:rsidRPr="001E0ED7">
              <w:rPr>
                <w:b/>
                <w:bCs/>
              </w:rPr>
              <w:t xml:space="preserve">  </w:t>
            </w:r>
            <w:r w:rsidRPr="001E0ED7">
              <w:rPr>
                <w:b/>
                <w:bCs/>
              </w:rPr>
              <w:fldChar w:fldCharType="begin">
                <w:ffData>
                  <w:name w:val="Check15"/>
                  <w:enabled/>
                  <w:calcOnExit w:val="0"/>
                  <w:checkBox>
                    <w:sizeAuto/>
                    <w:default w:val="0"/>
                  </w:checkBox>
                </w:ffData>
              </w:fldChar>
            </w:r>
            <w:bookmarkStart w:id="2" w:name="Check15"/>
            <w:r w:rsidRPr="001E0ED7">
              <w:rPr>
                <w:b/>
                <w:bCs/>
              </w:rPr>
              <w:instrText xml:space="preserve"> FORMCHECKBOX </w:instrText>
            </w:r>
            <w:r w:rsidRPr="001E0ED7">
              <w:rPr>
                <w:b/>
                <w:bCs/>
              </w:rPr>
            </w:r>
            <w:r w:rsidRPr="001E0ED7">
              <w:rPr>
                <w:b/>
                <w:bCs/>
              </w:rPr>
              <w:fldChar w:fldCharType="end"/>
            </w:r>
            <w:bookmarkEnd w:id="2"/>
            <w:r w:rsidRPr="001E0ED7">
              <w:rPr>
                <w:b/>
                <w:bCs/>
              </w:rPr>
              <w:t xml:space="preserve">      4</w:t>
            </w:r>
            <w:r w:rsidRPr="001E0ED7">
              <w:rPr>
                <w:b/>
                <w:bCs/>
                <w:vertAlign w:val="superscript"/>
              </w:rPr>
              <w:t>th</w:t>
            </w:r>
            <w:r w:rsidRPr="001E0ED7">
              <w:rPr>
                <w:b/>
                <w:bCs/>
              </w:rPr>
              <w:t xml:space="preserve"> </w:t>
            </w:r>
            <w:r w:rsidRPr="001E0ED7">
              <w:rPr>
                <w:b/>
                <w:bCs/>
              </w:rPr>
              <w:fldChar w:fldCharType="begin">
                <w:ffData>
                  <w:name w:val="Check16"/>
                  <w:enabled/>
                  <w:calcOnExit w:val="0"/>
                  <w:checkBox>
                    <w:sizeAuto/>
                    <w:default w:val="0"/>
                  </w:checkBox>
                </w:ffData>
              </w:fldChar>
            </w:r>
            <w:bookmarkStart w:id="3" w:name="Check16"/>
            <w:r w:rsidRPr="001E0ED7">
              <w:rPr>
                <w:b/>
                <w:bCs/>
              </w:rPr>
              <w:instrText xml:space="preserve"> FORMCHECKBOX </w:instrText>
            </w:r>
            <w:r w:rsidRPr="001E0ED7">
              <w:rPr>
                <w:b/>
                <w:bCs/>
              </w:rPr>
            </w:r>
            <w:r w:rsidRPr="001E0ED7">
              <w:rPr>
                <w:b/>
                <w:bCs/>
              </w:rPr>
              <w:fldChar w:fldCharType="end"/>
            </w:r>
            <w:bookmarkEnd w:id="3"/>
            <w:r w:rsidRPr="001E0ED7">
              <w:rPr>
                <w:b/>
                <w:bCs/>
              </w:rPr>
              <w:t xml:space="preserve">      5</w:t>
            </w:r>
            <w:r w:rsidRPr="001E0ED7">
              <w:rPr>
                <w:b/>
                <w:bCs/>
                <w:vertAlign w:val="superscript"/>
              </w:rPr>
              <w:t>th</w:t>
            </w:r>
            <w:r w:rsidRPr="001E0ED7">
              <w:rPr>
                <w:b/>
                <w:bCs/>
              </w:rPr>
              <w:t xml:space="preserve"> </w:t>
            </w:r>
            <w:r w:rsidRPr="001E0ED7">
              <w:rPr>
                <w:b/>
                <w:bCs/>
              </w:rPr>
              <w:fldChar w:fldCharType="begin">
                <w:ffData>
                  <w:name w:val="Check17"/>
                  <w:enabled/>
                  <w:calcOnExit w:val="0"/>
                  <w:checkBox>
                    <w:sizeAuto/>
                    <w:default w:val="0"/>
                  </w:checkBox>
                </w:ffData>
              </w:fldChar>
            </w:r>
            <w:bookmarkStart w:id="4" w:name="Check17"/>
            <w:r w:rsidRPr="001E0ED7">
              <w:rPr>
                <w:b/>
                <w:bCs/>
              </w:rPr>
              <w:instrText xml:space="preserve"> FORMCHECKBOX </w:instrText>
            </w:r>
            <w:r w:rsidRPr="001E0ED7">
              <w:rPr>
                <w:b/>
                <w:bCs/>
              </w:rPr>
            </w:r>
            <w:r w:rsidRPr="001E0ED7">
              <w:rPr>
                <w:b/>
                <w:bCs/>
              </w:rPr>
              <w:fldChar w:fldCharType="end"/>
            </w:r>
            <w:bookmarkEnd w:id="4"/>
            <w:r w:rsidRPr="001E0ED7">
              <w:rPr>
                <w:b/>
                <w:bCs/>
              </w:rPr>
              <w:t xml:space="preserve">      6</w:t>
            </w:r>
            <w:r w:rsidRPr="001E0ED7">
              <w:rPr>
                <w:b/>
                <w:bCs/>
                <w:vertAlign w:val="superscript"/>
              </w:rPr>
              <w:t>th</w:t>
            </w:r>
            <w:r w:rsidRPr="001E0ED7">
              <w:rPr>
                <w:b/>
                <w:bCs/>
              </w:rPr>
              <w:t xml:space="preserve"> </w:t>
            </w:r>
            <w:r w:rsidRPr="001E0ED7">
              <w:rPr>
                <w:b/>
                <w:bCs/>
              </w:rPr>
              <w:fldChar w:fldCharType="begin">
                <w:ffData>
                  <w:name w:val="Check18"/>
                  <w:enabled/>
                  <w:calcOnExit w:val="0"/>
                  <w:checkBox>
                    <w:sizeAuto/>
                    <w:default w:val="0"/>
                  </w:checkBox>
                </w:ffData>
              </w:fldChar>
            </w:r>
            <w:bookmarkStart w:id="5" w:name="Check18"/>
            <w:r w:rsidRPr="001E0ED7">
              <w:rPr>
                <w:b/>
                <w:bCs/>
              </w:rPr>
              <w:instrText xml:space="preserve"> FORMCHECKBOX </w:instrText>
            </w:r>
            <w:r w:rsidRPr="001E0ED7">
              <w:rPr>
                <w:b/>
                <w:bCs/>
              </w:rPr>
            </w:r>
            <w:r w:rsidRPr="001E0ED7">
              <w:rPr>
                <w:b/>
                <w:bCs/>
              </w:rPr>
              <w:fldChar w:fldCharType="end"/>
            </w:r>
            <w:bookmarkEnd w:id="5"/>
            <w:r w:rsidRPr="001E0ED7">
              <w:rPr>
                <w:b/>
                <w:bCs/>
              </w:rPr>
              <w:t xml:space="preserve">   module of the degree</w:t>
            </w:r>
          </w:p>
        </w:tc>
      </w:tr>
      <w:tr w:rsidR="001E0ED7" w:rsidRPr="001E0ED7" w14:paraId="5A0C6009" w14:textId="77777777" w:rsidTr="004E2DAA">
        <w:trPr>
          <w:trHeight w:val="978"/>
        </w:trPr>
        <w:tc>
          <w:tcPr>
            <w:tcW w:w="8856" w:type="dxa"/>
            <w:gridSpan w:val="5"/>
            <w:shd w:val="clear" w:color="auto" w:fill="D9D9D9"/>
          </w:tcPr>
          <w:p w14:paraId="6EAF97BE" w14:textId="77777777" w:rsidR="001E0ED7" w:rsidRPr="001E0ED7" w:rsidRDefault="001E0ED7" w:rsidP="001E0ED7">
            <w:pPr>
              <w:rPr>
                <w:b/>
                <w:bCs/>
              </w:rPr>
            </w:pPr>
            <w:r w:rsidRPr="001E0ED7">
              <w:rPr>
                <w:b/>
                <w:bCs/>
              </w:rPr>
              <w:t>I confirm that this is my original work and that I have adhered to the University policy on plagiarism.</w:t>
            </w:r>
          </w:p>
          <w:p w14:paraId="615D4CA8" w14:textId="77777777" w:rsidR="001E0ED7" w:rsidRPr="001E0ED7" w:rsidRDefault="001E0ED7" w:rsidP="001E0ED7">
            <w:pPr>
              <w:rPr>
                <w:b/>
                <w:bCs/>
              </w:rPr>
            </w:pPr>
            <w:r w:rsidRPr="001E0ED7">
              <w:rPr>
                <w:b/>
                <w:bCs/>
              </w:rPr>
              <w:t>Signed ……………………………………………………………</w:t>
            </w:r>
          </w:p>
          <w:p w14:paraId="5352B3F4" w14:textId="77777777" w:rsidR="001E0ED7" w:rsidRPr="001E0ED7" w:rsidRDefault="001E0ED7" w:rsidP="001E0ED7">
            <w:pPr>
              <w:rPr>
                <w:b/>
                <w:bCs/>
              </w:rPr>
            </w:pPr>
            <w:r w:rsidRPr="001E0ED7">
              <w:rPr>
                <w:b/>
                <w:bCs/>
              </w:rPr>
              <w:t xml:space="preserve">Email </w:t>
            </w:r>
            <w:proofErr w:type="gramStart"/>
            <w:r w:rsidRPr="001E0ED7">
              <w:rPr>
                <w:b/>
                <w:bCs/>
              </w:rPr>
              <w:t>submission:if</w:t>
            </w:r>
            <w:proofErr w:type="gramEnd"/>
            <w:r w:rsidRPr="001E0ED7">
              <w:rPr>
                <w:b/>
                <w:bCs/>
              </w:rPr>
              <w:t xml:space="preserve"> you are submitting this form via email, please tick this box □</w:t>
            </w:r>
          </w:p>
          <w:p w14:paraId="26CE7933" w14:textId="77777777" w:rsidR="001E0ED7" w:rsidRPr="001E0ED7" w:rsidRDefault="001E0ED7" w:rsidP="001E0ED7">
            <w:pPr>
              <w:rPr>
                <w:b/>
                <w:bCs/>
              </w:rPr>
            </w:pPr>
            <w:r w:rsidRPr="001E0ED7">
              <w:rPr>
                <w:b/>
                <w:bCs/>
              </w:rPr>
              <w:t>(as a substitute for your signature) to confirm that you agree to the above declaration.</w:t>
            </w:r>
          </w:p>
        </w:tc>
      </w:tr>
      <w:tr w:rsidR="001E0ED7" w:rsidRPr="001E0ED7" w14:paraId="7076057C" w14:textId="77777777" w:rsidTr="004E2DAA">
        <w:trPr>
          <w:trHeight w:val="3972"/>
        </w:trPr>
        <w:tc>
          <w:tcPr>
            <w:tcW w:w="8856" w:type="dxa"/>
            <w:gridSpan w:val="5"/>
          </w:tcPr>
          <w:p w14:paraId="27CD1030" w14:textId="77777777" w:rsidR="001E0ED7" w:rsidRPr="001E0ED7" w:rsidRDefault="001E0ED7" w:rsidP="001E0ED7">
            <w:pPr>
              <w:rPr>
                <w:b/>
                <w:bCs/>
              </w:rPr>
            </w:pPr>
          </w:p>
          <w:p w14:paraId="00F2CFE4" w14:textId="77777777" w:rsidR="001E0ED7" w:rsidRPr="001E0ED7" w:rsidRDefault="001E0ED7" w:rsidP="001E0ED7">
            <w:pPr>
              <w:rPr>
                <w:b/>
                <w:bCs/>
              </w:rPr>
            </w:pPr>
            <w:r w:rsidRPr="001E0ED7">
              <w:rPr>
                <w:b/>
                <w:bC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E0ED7" w:rsidRPr="001E0ED7" w14:paraId="63709087" w14:textId="77777777" w:rsidTr="004E2DAA">
              <w:tc>
                <w:tcPr>
                  <w:tcW w:w="6970" w:type="dxa"/>
                </w:tcPr>
                <w:p w14:paraId="7E1E181E" w14:textId="77777777" w:rsidR="001E0ED7" w:rsidRPr="001E0ED7" w:rsidRDefault="001E0ED7" w:rsidP="001E0ED7">
                  <w:pPr>
                    <w:rPr>
                      <w:b/>
                      <w:bCs/>
                    </w:rPr>
                  </w:pPr>
                </w:p>
                <w:p w14:paraId="6390433D" w14:textId="77777777" w:rsidR="001E0ED7" w:rsidRPr="001E0ED7" w:rsidRDefault="001E0ED7" w:rsidP="001E0ED7">
                  <w:pPr>
                    <w:rPr>
                      <w:b/>
                      <w:bCs/>
                    </w:rPr>
                  </w:pPr>
                  <w:r w:rsidRPr="001E0ED7">
                    <w:rPr>
                      <w:b/>
                      <w:bCs/>
                    </w:rPr>
                    <w:t>1</w:t>
                  </w:r>
                  <w:r w:rsidRPr="001E0ED7">
                    <w:rPr>
                      <w:b/>
                      <w:bCs/>
                      <w:vertAlign w:val="superscript"/>
                    </w:rPr>
                    <w:t>st</w:t>
                  </w:r>
                  <w:r w:rsidRPr="001E0ED7">
                    <w:rPr>
                      <w:b/>
                      <w:bCs/>
                    </w:rPr>
                    <w:t xml:space="preserve"> Marker’s Provisional mark</w:t>
                  </w:r>
                </w:p>
              </w:tc>
              <w:tc>
                <w:tcPr>
                  <w:tcW w:w="1660" w:type="dxa"/>
                </w:tcPr>
                <w:p w14:paraId="307068C8" w14:textId="77777777" w:rsidR="001E0ED7" w:rsidRPr="001E0ED7" w:rsidRDefault="001E0ED7" w:rsidP="001E0ED7">
                  <w:pPr>
                    <w:rPr>
                      <w:b/>
                      <w:bCs/>
                    </w:rPr>
                  </w:pPr>
                </w:p>
              </w:tc>
            </w:tr>
            <w:tr w:rsidR="001E0ED7" w:rsidRPr="001E0ED7" w14:paraId="233BA54F" w14:textId="77777777" w:rsidTr="004E2DAA">
              <w:tc>
                <w:tcPr>
                  <w:tcW w:w="6970" w:type="dxa"/>
                </w:tcPr>
                <w:p w14:paraId="70657D02" w14:textId="77777777" w:rsidR="001E0ED7" w:rsidRPr="001E0ED7" w:rsidRDefault="001E0ED7" w:rsidP="001E0ED7">
                  <w:pPr>
                    <w:rPr>
                      <w:b/>
                      <w:bCs/>
                    </w:rPr>
                  </w:pPr>
                </w:p>
                <w:p w14:paraId="00799A22" w14:textId="77777777" w:rsidR="001E0ED7" w:rsidRPr="001E0ED7" w:rsidRDefault="001E0ED7" w:rsidP="001E0ED7">
                  <w:pPr>
                    <w:rPr>
                      <w:b/>
                      <w:bCs/>
                    </w:rPr>
                  </w:pPr>
                  <w:r w:rsidRPr="001E0ED7">
                    <w:rPr>
                      <w:b/>
                      <w:bCs/>
                    </w:rPr>
                    <w:t>2</w:t>
                  </w:r>
                  <w:r w:rsidRPr="001E0ED7">
                    <w:rPr>
                      <w:b/>
                      <w:bCs/>
                      <w:vertAlign w:val="superscript"/>
                    </w:rPr>
                    <w:t>nd</w:t>
                  </w:r>
                  <w:r w:rsidRPr="001E0ED7">
                    <w:rPr>
                      <w:b/>
                      <w:bCs/>
                    </w:rPr>
                    <w:t xml:space="preserve"> Marker’s/Moderator’s provisional mark</w:t>
                  </w:r>
                </w:p>
              </w:tc>
              <w:tc>
                <w:tcPr>
                  <w:tcW w:w="1660" w:type="dxa"/>
                </w:tcPr>
                <w:p w14:paraId="541ACD1D" w14:textId="77777777" w:rsidR="001E0ED7" w:rsidRPr="001E0ED7" w:rsidRDefault="001E0ED7" w:rsidP="001E0ED7">
                  <w:pPr>
                    <w:rPr>
                      <w:b/>
                      <w:bCs/>
                    </w:rPr>
                  </w:pPr>
                </w:p>
              </w:tc>
            </w:tr>
            <w:tr w:rsidR="001E0ED7" w:rsidRPr="001E0ED7" w14:paraId="61B6A235" w14:textId="77777777" w:rsidTr="004E2DAA">
              <w:tc>
                <w:tcPr>
                  <w:tcW w:w="6970" w:type="dxa"/>
                </w:tcPr>
                <w:p w14:paraId="4241897D" w14:textId="77777777" w:rsidR="001E0ED7" w:rsidRPr="001E0ED7" w:rsidRDefault="001E0ED7" w:rsidP="001E0ED7">
                  <w:pPr>
                    <w:rPr>
                      <w:b/>
                      <w:bCs/>
                    </w:rPr>
                  </w:pPr>
                </w:p>
                <w:p w14:paraId="67444651" w14:textId="77777777" w:rsidR="001E0ED7" w:rsidRPr="001E0ED7" w:rsidRDefault="001E0ED7" w:rsidP="001E0ED7">
                  <w:pPr>
                    <w:rPr>
                      <w:b/>
                      <w:bCs/>
                    </w:rPr>
                  </w:pPr>
                  <w:r w:rsidRPr="001E0ED7">
                    <w:rPr>
                      <w:b/>
                      <w:bCs/>
                    </w:rPr>
                    <w:t>External Examiner’s mark (if relevant)</w:t>
                  </w:r>
                </w:p>
              </w:tc>
              <w:tc>
                <w:tcPr>
                  <w:tcW w:w="1660" w:type="dxa"/>
                </w:tcPr>
                <w:p w14:paraId="414A7D53" w14:textId="77777777" w:rsidR="001E0ED7" w:rsidRPr="001E0ED7" w:rsidRDefault="001E0ED7" w:rsidP="001E0ED7">
                  <w:pPr>
                    <w:rPr>
                      <w:b/>
                      <w:bCs/>
                    </w:rPr>
                  </w:pPr>
                </w:p>
              </w:tc>
            </w:tr>
            <w:tr w:rsidR="001E0ED7" w:rsidRPr="001E0ED7" w14:paraId="4C1BA71C" w14:textId="77777777" w:rsidTr="004E2DAA">
              <w:tc>
                <w:tcPr>
                  <w:tcW w:w="6970" w:type="dxa"/>
                </w:tcPr>
                <w:p w14:paraId="3679A8EA" w14:textId="77777777" w:rsidR="001E0ED7" w:rsidRPr="001E0ED7" w:rsidRDefault="001E0ED7" w:rsidP="001E0ED7">
                  <w:pPr>
                    <w:rPr>
                      <w:b/>
                      <w:bCs/>
                    </w:rPr>
                  </w:pPr>
                </w:p>
                <w:p w14:paraId="7451F4CB" w14:textId="77777777" w:rsidR="001E0ED7" w:rsidRPr="001E0ED7" w:rsidRDefault="001E0ED7" w:rsidP="001E0ED7">
                  <w:pPr>
                    <w:rPr>
                      <w:b/>
                      <w:bCs/>
                    </w:rPr>
                  </w:pPr>
                  <w:r w:rsidRPr="001E0ED7">
                    <w:rPr>
                      <w:b/>
                      <w:bCs/>
                    </w:rPr>
                    <w:t>Final Mark</w:t>
                  </w:r>
                </w:p>
                <w:p w14:paraId="0728FD25" w14:textId="77777777" w:rsidR="001E0ED7" w:rsidRPr="001E0ED7" w:rsidRDefault="001E0ED7" w:rsidP="001E0ED7">
                  <w:pPr>
                    <w:rPr>
                      <w:b/>
                      <w:bCs/>
                    </w:rPr>
                  </w:pPr>
                </w:p>
              </w:tc>
              <w:tc>
                <w:tcPr>
                  <w:tcW w:w="1660" w:type="dxa"/>
                </w:tcPr>
                <w:p w14:paraId="4A842F69" w14:textId="77777777" w:rsidR="001E0ED7" w:rsidRPr="001E0ED7" w:rsidRDefault="001E0ED7" w:rsidP="001E0ED7">
                  <w:pPr>
                    <w:rPr>
                      <w:b/>
                      <w:bCs/>
                    </w:rPr>
                  </w:pPr>
                </w:p>
              </w:tc>
            </w:tr>
          </w:tbl>
          <w:p w14:paraId="5BE6C073" w14:textId="77777777" w:rsidR="001E0ED7" w:rsidRPr="001E0ED7" w:rsidRDefault="001E0ED7" w:rsidP="001E0ED7">
            <w:pPr>
              <w:rPr>
                <w:b/>
                <w:bCs/>
              </w:rPr>
            </w:pPr>
          </w:p>
          <w:p w14:paraId="3E71EF78" w14:textId="77777777" w:rsidR="001E0ED7" w:rsidRPr="001E0ED7" w:rsidRDefault="001E0ED7" w:rsidP="001E0ED7">
            <w:pPr>
              <w:rPr>
                <w:b/>
                <w:bCs/>
              </w:rPr>
            </w:pPr>
            <w:r w:rsidRPr="001E0ED7">
              <w:rPr>
                <w:b/>
                <w:bCs/>
              </w:rPr>
              <w:t>NB.  All marks are provisional until confirmed by the Final Examination Board.</w:t>
            </w:r>
          </w:p>
          <w:p w14:paraId="33FC9374" w14:textId="77777777" w:rsidR="001E0ED7" w:rsidRPr="001E0ED7" w:rsidRDefault="001E0ED7" w:rsidP="001E0ED7">
            <w:pPr>
              <w:rPr>
                <w:b/>
                <w:bCs/>
              </w:rPr>
            </w:pPr>
          </w:p>
          <w:p w14:paraId="7BB1A034" w14:textId="77777777" w:rsidR="001E0ED7" w:rsidRPr="001E0ED7" w:rsidRDefault="001E0ED7" w:rsidP="001E0ED7">
            <w:pPr>
              <w:rPr>
                <w:b/>
                <w:bCs/>
              </w:rPr>
            </w:pPr>
          </w:p>
          <w:p w14:paraId="685BEDA3" w14:textId="77777777" w:rsidR="001E0ED7" w:rsidRPr="001E0ED7" w:rsidRDefault="001E0ED7" w:rsidP="001E0ED7">
            <w:pPr>
              <w:rPr>
                <w:b/>
                <w:bCs/>
              </w:rPr>
            </w:pPr>
          </w:p>
          <w:p w14:paraId="29B88512" w14:textId="77777777" w:rsidR="001E0ED7" w:rsidRPr="001E0ED7" w:rsidRDefault="001E0ED7" w:rsidP="001E0ED7">
            <w:pPr>
              <w:rPr>
                <w:b/>
                <w:bCs/>
              </w:rPr>
            </w:pPr>
          </w:p>
          <w:p w14:paraId="26D5CADF" w14:textId="77777777" w:rsidR="001E0ED7" w:rsidRPr="001E0ED7" w:rsidRDefault="001E0ED7" w:rsidP="001E0ED7">
            <w:pPr>
              <w:rPr>
                <w:b/>
                <w:bCs/>
              </w:rPr>
            </w:pPr>
          </w:p>
          <w:p w14:paraId="72D4A3DA" w14:textId="77777777" w:rsidR="001E0ED7" w:rsidRPr="001E0ED7" w:rsidRDefault="001E0ED7" w:rsidP="001E0ED7">
            <w:pPr>
              <w:rPr>
                <w:b/>
                <w:bCs/>
              </w:rPr>
            </w:pPr>
            <w:r w:rsidRPr="001E0ED7">
              <w:rPr>
                <w:b/>
                <w:bCs/>
              </w:rPr>
              <w:t xml:space="preserve">For completion by Marker </w:t>
            </w:r>
            <w:proofErr w:type="gramStart"/>
            <w:r w:rsidRPr="001E0ED7">
              <w:rPr>
                <w:b/>
                <w:bCs/>
              </w:rPr>
              <w:t>1 :</w:t>
            </w:r>
            <w:proofErr w:type="gramEnd"/>
          </w:p>
          <w:p w14:paraId="629ED00A" w14:textId="77777777" w:rsidR="001E0ED7" w:rsidRPr="001E0ED7" w:rsidRDefault="001E0ED7" w:rsidP="001E0ED7">
            <w:pPr>
              <w:rPr>
                <w:b/>
                <w:bCs/>
              </w:rPr>
            </w:pPr>
            <w:r w:rsidRPr="001E0ED7">
              <w:rPr>
                <w:b/>
                <w:bCs/>
              </w:rPr>
              <w:t>Comments:</w:t>
            </w:r>
          </w:p>
          <w:p w14:paraId="019FF491" w14:textId="77777777" w:rsidR="001E0ED7" w:rsidRPr="001E0ED7" w:rsidRDefault="001E0ED7" w:rsidP="001E0ED7">
            <w:pPr>
              <w:rPr>
                <w:b/>
                <w:bCs/>
              </w:rPr>
            </w:pPr>
          </w:p>
        </w:tc>
      </w:tr>
      <w:tr w:rsidR="001E0ED7" w:rsidRPr="001E0ED7" w14:paraId="652BA81F" w14:textId="77777777" w:rsidTr="004E2DAA">
        <w:trPr>
          <w:trHeight w:val="492"/>
        </w:trPr>
        <w:tc>
          <w:tcPr>
            <w:tcW w:w="6768" w:type="dxa"/>
            <w:gridSpan w:val="3"/>
          </w:tcPr>
          <w:p w14:paraId="7ABD69B2" w14:textId="77777777" w:rsidR="001E0ED7" w:rsidRPr="001E0ED7" w:rsidRDefault="001E0ED7" w:rsidP="001E0ED7">
            <w:pPr>
              <w:rPr>
                <w:b/>
                <w:bCs/>
              </w:rPr>
            </w:pPr>
            <w:r w:rsidRPr="001E0ED7">
              <w:rPr>
                <w:b/>
                <w:bCs/>
              </w:rPr>
              <w:t>Marker’s signature:</w:t>
            </w:r>
          </w:p>
        </w:tc>
        <w:tc>
          <w:tcPr>
            <w:tcW w:w="2088" w:type="dxa"/>
            <w:gridSpan w:val="2"/>
          </w:tcPr>
          <w:p w14:paraId="4F8CBC96" w14:textId="77777777" w:rsidR="001E0ED7" w:rsidRPr="001E0ED7" w:rsidRDefault="001E0ED7" w:rsidP="001E0ED7">
            <w:pPr>
              <w:rPr>
                <w:b/>
                <w:bCs/>
              </w:rPr>
            </w:pPr>
            <w:r w:rsidRPr="001E0ED7">
              <w:rPr>
                <w:b/>
                <w:bCs/>
              </w:rPr>
              <w:t>Date:</w:t>
            </w:r>
          </w:p>
        </w:tc>
      </w:tr>
      <w:tr w:rsidR="001E0ED7" w:rsidRPr="001E0ED7" w14:paraId="543E4CF7" w14:textId="77777777" w:rsidTr="004E2DAA">
        <w:tc>
          <w:tcPr>
            <w:tcW w:w="8856" w:type="dxa"/>
            <w:gridSpan w:val="5"/>
          </w:tcPr>
          <w:p w14:paraId="56DDA11A" w14:textId="77777777" w:rsidR="001E0ED7" w:rsidRPr="001E0ED7" w:rsidRDefault="001E0ED7" w:rsidP="001E0ED7">
            <w:pPr>
              <w:rPr>
                <w:b/>
                <w:bCs/>
                <w:i/>
              </w:rPr>
            </w:pPr>
          </w:p>
          <w:p w14:paraId="0F7A353F" w14:textId="77777777" w:rsidR="001E0ED7" w:rsidRPr="001E0ED7" w:rsidRDefault="001E0ED7" w:rsidP="001E0ED7">
            <w:pPr>
              <w:rPr>
                <w:b/>
                <w:bCs/>
              </w:rPr>
            </w:pPr>
            <w:r w:rsidRPr="001E0ED7">
              <w:rPr>
                <w:b/>
                <w:bCs/>
              </w:rPr>
              <w:t>For completion by Marker 2/Moderator:</w:t>
            </w:r>
          </w:p>
          <w:p w14:paraId="5E595A59" w14:textId="77777777" w:rsidR="001E0ED7" w:rsidRPr="001E0ED7" w:rsidRDefault="001E0ED7" w:rsidP="001E0ED7">
            <w:pPr>
              <w:rPr>
                <w:b/>
                <w:bCs/>
              </w:rPr>
            </w:pPr>
          </w:p>
          <w:p w14:paraId="24EBE578" w14:textId="77777777" w:rsidR="001E0ED7" w:rsidRPr="001E0ED7" w:rsidRDefault="001E0ED7" w:rsidP="001E0ED7">
            <w:pPr>
              <w:rPr>
                <w:b/>
                <w:bCs/>
              </w:rPr>
            </w:pPr>
            <w:r w:rsidRPr="001E0ED7">
              <w:rPr>
                <w:b/>
                <w:bCs/>
              </w:rPr>
              <w:t>Comments:</w:t>
            </w:r>
          </w:p>
          <w:p w14:paraId="08CEFDF8" w14:textId="77777777" w:rsidR="001E0ED7" w:rsidRPr="001E0ED7" w:rsidRDefault="001E0ED7" w:rsidP="001E0ED7">
            <w:pPr>
              <w:rPr>
                <w:b/>
                <w:bCs/>
              </w:rPr>
            </w:pPr>
          </w:p>
          <w:p w14:paraId="07F1D09D" w14:textId="77777777" w:rsidR="001E0ED7" w:rsidRPr="001E0ED7" w:rsidRDefault="001E0ED7" w:rsidP="001E0ED7">
            <w:pPr>
              <w:rPr>
                <w:b/>
                <w:bCs/>
              </w:rPr>
            </w:pPr>
          </w:p>
          <w:p w14:paraId="62DCCF61" w14:textId="77777777" w:rsidR="001E0ED7" w:rsidRPr="001E0ED7" w:rsidRDefault="001E0ED7" w:rsidP="001E0ED7">
            <w:pPr>
              <w:rPr>
                <w:b/>
                <w:bCs/>
              </w:rPr>
            </w:pPr>
          </w:p>
          <w:p w14:paraId="4C0CACDB" w14:textId="77777777" w:rsidR="001E0ED7" w:rsidRPr="001E0ED7" w:rsidRDefault="001E0ED7" w:rsidP="001E0ED7">
            <w:pPr>
              <w:rPr>
                <w:b/>
                <w:bCs/>
              </w:rPr>
            </w:pPr>
          </w:p>
          <w:p w14:paraId="1D5027A0" w14:textId="77777777" w:rsidR="001E0ED7" w:rsidRPr="001E0ED7" w:rsidRDefault="001E0ED7" w:rsidP="001E0ED7">
            <w:pPr>
              <w:rPr>
                <w:b/>
                <w:bCs/>
              </w:rPr>
            </w:pPr>
          </w:p>
          <w:p w14:paraId="270CE557" w14:textId="77777777" w:rsidR="001E0ED7" w:rsidRPr="001E0ED7" w:rsidRDefault="001E0ED7" w:rsidP="001E0ED7">
            <w:pPr>
              <w:rPr>
                <w:b/>
                <w:bCs/>
              </w:rPr>
            </w:pPr>
          </w:p>
          <w:p w14:paraId="34C707A2" w14:textId="77777777" w:rsidR="001E0ED7" w:rsidRPr="001E0ED7" w:rsidRDefault="001E0ED7" w:rsidP="001E0ED7">
            <w:pPr>
              <w:rPr>
                <w:b/>
                <w:bCs/>
              </w:rPr>
            </w:pPr>
          </w:p>
          <w:p w14:paraId="527CA133" w14:textId="77777777" w:rsidR="001E0ED7" w:rsidRPr="001E0ED7" w:rsidRDefault="001E0ED7" w:rsidP="001E0ED7">
            <w:pPr>
              <w:rPr>
                <w:b/>
                <w:bCs/>
              </w:rPr>
            </w:pPr>
          </w:p>
          <w:p w14:paraId="12410915" w14:textId="77777777" w:rsidR="001E0ED7" w:rsidRPr="001E0ED7" w:rsidRDefault="001E0ED7" w:rsidP="001E0ED7">
            <w:pPr>
              <w:rPr>
                <w:b/>
                <w:bCs/>
              </w:rPr>
            </w:pPr>
          </w:p>
          <w:p w14:paraId="64061F27" w14:textId="77777777" w:rsidR="001E0ED7" w:rsidRPr="001E0ED7" w:rsidRDefault="001E0ED7" w:rsidP="001E0ED7">
            <w:pPr>
              <w:rPr>
                <w:b/>
                <w:bCs/>
              </w:rPr>
            </w:pPr>
          </w:p>
          <w:p w14:paraId="59E601AB" w14:textId="77777777" w:rsidR="001E0ED7" w:rsidRPr="001E0ED7" w:rsidRDefault="001E0ED7" w:rsidP="001E0ED7">
            <w:pPr>
              <w:rPr>
                <w:b/>
                <w:bCs/>
              </w:rPr>
            </w:pPr>
          </w:p>
          <w:p w14:paraId="67DAE98A" w14:textId="77777777" w:rsidR="001E0ED7" w:rsidRPr="001E0ED7" w:rsidRDefault="001E0ED7" w:rsidP="001E0ED7">
            <w:pPr>
              <w:rPr>
                <w:b/>
                <w:bCs/>
              </w:rPr>
            </w:pPr>
          </w:p>
        </w:tc>
      </w:tr>
      <w:tr w:rsidR="001E0ED7" w:rsidRPr="001E0ED7" w14:paraId="4C0B6B0B" w14:textId="77777777" w:rsidTr="004E2DAA">
        <w:trPr>
          <w:trHeight w:val="720"/>
        </w:trPr>
        <w:tc>
          <w:tcPr>
            <w:tcW w:w="5211" w:type="dxa"/>
            <w:gridSpan w:val="2"/>
          </w:tcPr>
          <w:p w14:paraId="751B86E7" w14:textId="77777777" w:rsidR="001E0ED7" w:rsidRPr="001E0ED7" w:rsidRDefault="001E0ED7" w:rsidP="001E0ED7">
            <w:pPr>
              <w:rPr>
                <w:b/>
                <w:bCs/>
              </w:rPr>
            </w:pPr>
            <w:r w:rsidRPr="001E0ED7">
              <w:rPr>
                <w:b/>
                <w:bCs/>
              </w:rPr>
              <w:lastRenderedPageBreak/>
              <w:t>Marker’s Signature:</w:t>
            </w:r>
          </w:p>
        </w:tc>
        <w:tc>
          <w:tcPr>
            <w:tcW w:w="3645" w:type="dxa"/>
            <w:gridSpan w:val="3"/>
          </w:tcPr>
          <w:p w14:paraId="3C1350B1" w14:textId="77777777" w:rsidR="001E0ED7" w:rsidRPr="001E0ED7" w:rsidRDefault="001E0ED7" w:rsidP="001E0ED7">
            <w:pPr>
              <w:rPr>
                <w:b/>
                <w:bCs/>
              </w:rPr>
            </w:pPr>
            <w:r w:rsidRPr="001E0ED7">
              <w:rPr>
                <w:b/>
                <w:bCs/>
              </w:rPr>
              <w:t>Date:</w:t>
            </w:r>
          </w:p>
        </w:tc>
      </w:tr>
      <w:tr w:rsidR="001E0ED7" w:rsidRPr="001E0ED7" w14:paraId="50E85928" w14:textId="77777777" w:rsidTr="004E2DAA">
        <w:trPr>
          <w:trHeight w:val="720"/>
        </w:trPr>
        <w:tc>
          <w:tcPr>
            <w:tcW w:w="8856" w:type="dxa"/>
            <w:gridSpan w:val="5"/>
          </w:tcPr>
          <w:p w14:paraId="6D166F8B" w14:textId="77777777" w:rsidR="001E0ED7" w:rsidRPr="001E0ED7" w:rsidRDefault="001E0ED7" w:rsidP="001E0ED7">
            <w:pPr>
              <w:rPr>
                <w:b/>
                <w:bCs/>
              </w:rPr>
            </w:pPr>
            <w:r w:rsidRPr="001E0ED7">
              <w:rPr>
                <w:b/>
                <w:bCs/>
              </w:rPr>
              <w:t>External Examiner’s comments (if relevant)</w:t>
            </w:r>
          </w:p>
          <w:p w14:paraId="10C20C94" w14:textId="77777777" w:rsidR="001E0ED7" w:rsidRPr="001E0ED7" w:rsidRDefault="001E0ED7" w:rsidP="001E0ED7">
            <w:pPr>
              <w:rPr>
                <w:b/>
                <w:bCs/>
              </w:rPr>
            </w:pPr>
          </w:p>
          <w:p w14:paraId="7F693E96" w14:textId="77777777" w:rsidR="001E0ED7" w:rsidRPr="001E0ED7" w:rsidRDefault="001E0ED7" w:rsidP="001E0ED7">
            <w:pPr>
              <w:rPr>
                <w:b/>
                <w:bCs/>
              </w:rPr>
            </w:pPr>
          </w:p>
          <w:p w14:paraId="039302DF" w14:textId="77777777" w:rsidR="001E0ED7" w:rsidRPr="001E0ED7" w:rsidRDefault="001E0ED7" w:rsidP="001E0ED7">
            <w:pPr>
              <w:rPr>
                <w:b/>
                <w:bCs/>
              </w:rPr>
            </w:pPr>
          </w:p>
          <w:p w14:paraId="39E1DA96" w14:textId="77777777" w:rsidR="001E0ED7" w:rsidRPr="001E0ED7" w:rsidRDefault="001E0ED7" w:rsidP="001E0ED7">
            <w:pPr>
              <w:rPr>
                <w:b/>
                <w:bCs/>
              </w:rPr>
            </w:pPr>
          </w:p>
          <w:p w14:paraId="288B8176" w14:textId="77777777" w:rsidR="001E0ED7" w:rsidRPr="001E0ED7" w:rsidRDefault="001E0ED7" w:rsidP="001E0ED7">
            <w:pPr>
              <w:rPr>
                <w:b/>
                <w:bCs/>
              </w:rPr>
            </w:pPr>
          </w:p>
          <w:p w14:paraId="0AF264F6" w14:textId="77777777" w:rsidR="001E0ED7" w:rsidRPr="001E0ED7" w:rsidRDefault="001E0ED7" w:rsidP="001E0ED7">
            <w:pPr>
              <w:rPr>
                <w:b/>
                <w:bCs/>
              </w:rPr>
            </w:pPr>
          </w:p>
          <w:p w14:paraId="1017E3B9" w14:textId="77777777" w:rsidR="001E0ED7" w:rsidRPr="001E0ED7" w:rsidRDefault="001E0ED7" w:rsidP="001E0ED7">
            <w:pPr>
              <w:rPr>
                <w:b/>
                <w:bCs/>
              </w:rPr>
            </w:pPr>
          </w:p>
          <w:p w14:paraId="7F87E614" w14:textId="77777777" w:rsidR="001E0ED7" w:rsidRPr="001E0ED7" w:rsidRDefault="001E0ED7" w:rsidP="001E0ED7">
            <w:pPr>
              <w:rPr>
                <w:b/>
                <w:bCs/>
              </w:rPr>
            </w:pPr>
          </w:p>
          <w:p w14:paraId="1B927E1C" w14:textId="77777777" w:rsidR="001E0ED7" w:rsidRPr="001E0ED7" w:rsidRDefault="001E0ED7" w:rsidP="001E0ED7">
            <w:pPr>
              <w:rPr>
                <w:b/>
                <w:bCs/>
              </w:rPr>
            </w:pPr>
          </w:p>
          <w:p w14:paraId="5DFCC0ED" w14:textId="77777777" w:rsidR="001E0ED7" w:rsidRPr="001E0ED7" w:rsidRDefault="001E0ED7" w:rsidP="001E0ED7">
            <w:pPr>
              <w:rPr>
                <w:b/>
                <w:bCs/>
              </w:rPr>
            </w:pPr>
          </w:p>
          <w:p w14:paraId="44822C3F" w14:textId="77777777" w:rsidR="001E0ED7" w:rsidRPr="001E0ED7" w:rsidRDefault="001E0ED7" w:rsidP="001E0ED7">
            <w:pPr>
              <w:rPr>
                <w:b/>
                <w:bCs/>
              </w:rPr>
            </w:pPr>
          </w:p>
        </w:tc>
      </w:tr>
      <w:tr w:rsidR="001E0ED7" w:rsidRPr="001E0ED7" w14:paraId="109AFF31" w14:textId="77777777" w:rsidTr="004E2DAA">
        <w:trPr>
          <w:trHeight w:val="720"/>
        </w:trPr>
        <w:tc>
          <w:tcPr>
            <w:tcW w:w="5211" w:type="dxa"/>
            <w:gridSpan w:val="2"/>
          </w:tcPr>
          <w:p w14:paraId="7CB13F6D" w14:textId="77777777" w:rsidR="001E0ED7" w:rsidRPr="001E0ED7" w:rsidRDefault="001E0ED7" w:rsidP="001E0ED7">
            <w:pPr>
              <w:rPr>
                <w:b/>
                <w:bCs/>
              </w:rPr>
            </w:pPr>
            <w:r w:rsidRPr="001E0ED7">
              <w:rPr>
                <w:b/>
                <w:bCs/>
              </w:rPr>
              <w:t>External Examiner’s Signature:</w:t>
            </w:r>
          </w:p>
        </w:tc>
        <w:tc>
          <w:tcPr>
            <w:tcW w:w="3645" w:type="dxa"/>
            <w:gridSpan w:val="3"/>
          </w:tcPr>
          <w:p w14:paraId="36DB2804" w14:textId="77777777" w:rsidR="001E0ED7" w:rsidRPr="001E0ED7" w:rsidRDefault="001E0ED7" w:rsidP="001E0ED7">
            <w:pPr>
              <w:rPr>
                <w:b/>
                <w:bCs/>
              </w:rPr>
            </w:pPr>
            <w:r w:rsidRPr="001E0ED7">
              <w:rPr>
                <w:b/>
                <w:bCs/>
              </w:rPr>
              <w:t>Date:</w:t>
            </w:r>
          </w:p>
        </w:tc>
      </w:tr>
    </w:tbl>
    <w:p w14:paraId="253CB732" w14:textId="77777777" w:rsidR="001E0ED7" w:rsidRPr="001E0ED7" w:rsidRDefault="001E0ED7" w:rsidP="001E0ED7">
      <w:pPr>
        <w:rPr>
          <w:b/>
          <w:bCs/>
        </w:rPr>
      </w:pPr>
    </w:p>
    <w:p w14:paraId="720232A3" w14:textId="77777777" w:rsidR="00FB18A1" w:rsidRDefault="00FB18A1" w:rsidP="00A44302">
      <w:pPr>
        <w:rPr>
          <w:b/>
          <w:bCs/>
        </w:rPr>
      </w:pPr>
    </w:p>
    <w:p w14:paraId="7544C419" w14:textId="77777777" w:rsidR="00FB18A1" w:rsidRDefault="00FB18A1" w:rsidP="00D61304">
      <w:pPr>
        <w:jc w:val="center"/>
        <w:rPr>
          <w:b/>
          <w:bCs/>
        </w:rPr>
      </w:pPr>
    </w:p>
    <w:p w14:paraId="01611C06" w14:textId="77777777" w:rsidR="00FB18A1" w:rsidRDefault="00FB18A1" w:rsidP="00D61304">
      <w:pPr>
        <w:jc w:val="center"/>
        <w:rPr>
          <w:b/>
          <w:bCs/>
        </w:rPr>
      </w:pPr>
    </w:p>
    <w:p w14:paraId="205E1CB2" w14:textId="40B13A8B" w:rsidR="00FB18A1" w:rsidRDefault="00FB18A1" w:rsidP="00D61304">
      <w:pPr>
        <w:jc w:val="center"/>
        <w:rPr>
          <w:b/>
          <w:bCs/>
        </w:rPr>
      </w:pPr>
    </w:p>
    <w:p w14:paraId="6A1FB0F9" w14:textId="5CD52F6D" w:rsidR="001E0ED7" w:rsidRDefault="001E0ED7" w:rsidP="00D61304">
      <w:pPr>
        <w:jc w:val="center"/>
        <w:rPr>
          <w:b/>
          <w:bCs/>
        </w:rPr>
      </w:pPr>
    </w:p>
    <w:p w14:paraId="798942CF" w14:textId="77777777" w:rsidR="001E0ED7" w:rsidRDefault="001E0ED7" w:rsidP="00D61304">
      <w:pPr>
        <w:jc w:val="center"/>
        <w:rPr>
          <w:b/>
          <w:bCs/>
        </w:rPr>
      </w:pPr>
    </w:p>
    <w:p w14:paraId="1C0B73D5" w14:textId="77777777" w:rsidR="00FB18A1" w:rsidRDefault="00FB18A1" w:rsidP="00D61304">
      <w:pPr>
        <w:jc w:val="center"/>
        <w:rPr>
          <w:b/>
          <w:bCs/>
        </w:rPr>
      </w:pPr>
    </w:p>
    <w:p w14:paraId="65C30CBA" w14:textId="192320D3" w:rsidR="00FD0ACF" w:rsidRDefault="00D61304" w:rsidP="00D61304">
      <w:pPr>
        <w:jc w:val="center"/>
        <w:rPr>
          <w:b/>
          <w:bCs/>
        </w:rPr>
      </w:pPr>
      <w:r w:rsidRPr="00D61304">
        <w:rPr>
          <w:b/>
          <w:bCs/>
        </w:rPr>
        <w:lastRenderedPageBreak/>
        <w:t>A Critical Comparison of two Secondary Sources</w:t>
      </w:r>
    </w:p>
    <w:p w14:paraId="4B45974D" w14:textId="22BA6B80" w:rsidR="00D61304" w:rsidRPr="000E4386" w:rsidRDefault="00D61304" w:rsidP="00D61304">
      <w:pPr>
        <w:rPr>
          <w:b/>
          <w:bCs/>
        </w:rPr>
      </w:pPr>
    </w:p>
    <w:p w14:paraId="38F36B1D" w14:textId="1C2A5963" w:rsidR="00F24470" w:rsidRDefault="00D61304" w:rsidP="000E4386">
      <w:pPr>
        <w:jc w:val="both"/>
      </w:pPr>
      <w:r>
        <w:t>This essay critically compares two secondary sources,</w:t>
      </w:r>
      <w:r w:rsidR="000A591D">
        <w:t xml:space="preserve"> Gillian Bennet,</w:t>
      </w:r>
      <w:r w:rsidR="00E3347F">
        <w:t xml:space="preserve"> </w:t>
      </w:r>
      <w:r>
        <w:t xml:space="preserve">‘If I Knew You were </w:t>
      </w:r>
      <w:proofErr w:type="gramStart"/>
      <w:r>
        <w:t>Coming</w:t>
      </w:r>
      <w:proofErr w:type="gramEnd"/>
      <w:r>
        <w:t xml:space="preserve"> I'd Have Baked a Cake’,</w:t>
      </w:r>
      <w:r>
        <w:rPr>
          <w:rStyle w:val="FootnoteReference"/>
        </w:rPr>
        <w:footnoteReference w:id="1"/>
      </w:r>
      <w:r>
        <w:t xml:space="preserve"> </w:t>
      </w:r>
      <w:r w:rsidRPr="00D61304">
        <w:t>and</w:t>
      </w:r>
      <w:r w:rsidR="000A591D">
        <w:t xml:space="preserve"> Jenny Blain,</w:t>
      </w:r>
      <w:r w:rsidR="00E3347F">
        <w:t xml:space="preserve"> </w:t>
      </w:r>
      <w:r w:rsidRPr="00D61304">
        <w:t>‘Speaking Shamanistically: Seidr, Academia and Rationality.’</w:t>
      </w:r>
      <w:r>
        <w:rPr>
          <w:rStyle w:val="FootnoteReference"/>
        </w:rPr>
        <w:footnoteReference w:id="2"/>
      </w:r>
      <w:r>
        <w:t xml:space="preserve"> </w:t>
      </w:r>
      <w:r w:rsidR="003732BE">
        <w:t xml:space="preserve"> </w:t>
      </w:r>
      <w:r w:rsidRPr="00D61304">
        <w:t>To enable the reader to critically engage with this essay it is helpful</w:t>
      </w:r>
      <w:r w:rsidR="001072D0">
        <w:t xml:space="preserve"> to note</w:t>
      </w:r>
      <w:r w:rsidR="0016660A">
        <w:t xml:space="preserve"> </w:t>
      </w:r>
      <w:r w:rsidR="001072D0">
        <w:t>that both authors</w:t>
      </w:r>
      <w:r w:rsidR="0016660A">
        <w:t xml:space="preserve"> have</w:t>
      </w:r>
      <w:r w:rsidR="00D81871">
        <w:t xml:space="preserve"> </w:t>
      </w:r>
      <w:r w:rsidR="003B3E7F">
        <w:t>done</w:t>
      </w:r>
      <w:r w:rsidR="00F41E34">
        <w:t xml:space="preserve"> previous</w:t>
      </w:r>
      <w:r w:rsidR="003B3E7F">
        <w:t xml:space="preserve"> stud</w:t>
      </w:r>
      <w:r w:rsidR="00F41E34">
        <w:t>y</w:t>
      </w:r>
      <w:r w:rsidR="003B74EE">
        <w:t xml:space="preserve"> in </w:t>
      </w:r>
      <w:r w:rsidR="003B3E7F">
        <w:t>this</w:t>
      </w:r>
      <w:r w:rsidR="003B74EE">
        <w:t xml:space="preserve"> field</w:t>
      </w:r>
      <w:r w:rsidR="00A11E9B">
        <w:t xml:space="preserve">. </w:t>
      </w:r>
      <w:r>
        <w:rPr>
          <w:rStyle w:val="FootnoteReference"/>
        </w:rPr>
        <w:footnoteReference w:id="3"/>
      </w:r>
      <w:r w:rsidR="005A1EB8">
        <w:t xml:space="preserve"> </w:t>
      </w:r>
      <w:r>
        <w:rPr>
          <w:rStyle w:val="FootnoteReference"/>
        </w:rPr>
        <w:footnoteReference w:id="4"/>
      </w:r>
      <w:r>
        <w:t xml:space="preserve"> </w:t>
      </w:r>
      <w:r>
        <w:rPr>
          <w:rStyle w:val="FootnoteReference"/>
        </w:rPr>
        <w:footnoteReference w:id="5"/>
      </w:r>
      <w:r w:rsidR="005909A6">
        <w:t xml:space="preserve"> </w:t>
      </w:r>
      <w:r w:rsidR="009126D1">
        <w:rPr>
          <w:rStyle w:val="FootnoteReference"/>
        </w:rPr>
        <w:footnoteReference w:id="6"/>
      </w:r>
      <w:r w:rsidR="00AF18F4">
        <w:t xml:space="preserve"> </w:t>
      </w:r>
      <w:r>
        <w:t>There is an ethical issue at the heart of Bennet’s paper</w:t>
      </w:r>
      <w:r w:rsidR="00697E3A">
        <w:t xml:space="preserve"> concerning </w:t>
      </w:r>
      <w:r w:rsidR="00B551D2">
        <w:t>anonymity</w:t>
      </w:r>
      <w:r w:rsidR="00831491">
        <w:t>.</w:t>
      </w:r>
      <w:r w:rsidR="00696398">
        <w:rPr>
          <w:rStyle w:val="FootnoteReference"/>
        </w:rPr>
        <w:footnoteReference w:id="7"/>
      </w:r>
      <w:r w:rsidR="00831491">
        <w:t xml:space="preserve"> However, these is also </w:t>
      </w:r>
      <w:r>
        <w:t>a thread run</w:t>
      </w:r>
      <w:r w:rsidR="00265C5A">
        <w:t>ning</w:t>
      </w:r>
      <w:r>
        <w:t xml:space="preserve"> through the entire piece, which gathers up all the information</w:t>
      </w:r>
      <w:r w:rsidR="00E535B0">
        <w:t xml:space="preserve"> </w:t>
      </w:r>
      <w:r>
        <w:t>and puts it into a good structural context, in that</w:t>
      </w:r>
      <w:r w:rsidR="00D336FC">
        <w:t xml:space="preserve">, </w:t>
      </w:r>
      <w:r>
        <w:t>is</w:t>
      </w:r>
      <w:r w:rsidR="00BF3F4E">
        <w:t xml:space="preserve"> it</w:t>
      </w:r>
      <w:r>
        <w:t xml:space="preserve"> deliberate and transitions well.</w:t>
      </w:r>
      <w:r>
        <w:t xml:space="preserve"> </w:t>
      </w:r>
      <w:r w:rsidR="00D34FDE">
        <w:t>Yet</w:t>
      </w:r>
      <w:r w:rsidRPr="00D61304">
        <w:t>, learning about her background was useful in terms</w:t>
      </w:r>
      <w:r w:rsidR="00B87B5B">
        <w:t xml:space="preserve"> of guiding </w:t>
      </w:r>
      <w:r w:rsidRPr="00D61304">
        <w:t xml:space="preserve">her research and the subject areas that it was pulled toward. </w:t>
      </w:r>
      <w:r w:rsidR="00216980">
        <w:t>Though</w:t>
      </w:r>
      <w:r w:rsidRPr="00D61304">
        <w:t>, what is interesting throughout this paper, is that she has an ‘internal’, ‘external’ perspective and uses this to tie</w:t>
      </w:r>
      <w:r w:rsidR="00A81FBB">
        <w:t xml:space="preserve"> it</w:t>
      </w:r>
      <w:r w:rsidRPr="00D61304">
        <w:t xml:space="preserve"> together. Blain also</w:t>
      </w:r>
      <w:r w:rsidR="00814640">
        <w:t xml:space="preserve"> has</w:t>
      </w:r>
      <w:r w:rsidR="000C1070">
        <w:t xml:space="preserve"> an </w:t>
      </w:r>
      <w:r w:rsidR="00B15F4F">
        <w:t>‘</w:t>
      </w:r>
      <w:r w:rsidRPr="00D61304">
        <w:t>insider</w:t>
      </w:r>
      <w:r w:rsidR="00B15F4F">
        <w:t>’</w:t>
      </w:r>
      <w:r w:rsidRPr="00D61304">
        <w:t xml:space="preserve">, </w:t>
      </w:r>
      <w:r w:rsidR="00B15F4F">
        <w:t>‘</w:t>
      </w:r>
      <w:r w:rsidRPr="00D61304">
        <w:t>outsider</w:t>
      </w:r>
      <w:r w:rsidR="00B15F4F">
        <w:t>’</w:t>
      </w:r>
      <w:r w:rsidRPr="00D61304">
        <w:t xml:space="preserve"> perspective. However, when she refers to other people, it is more of an insider perspective.</w:t>
      </w:r>
      <w:r>
        <w:rPr>
          <w:rStyle w:val="FootnoteReference"/>
        </w:rPr>
        <w:footnoteReference w:id="8"/>
      </w:r>
      <w:r w:rsidR="00DF023D">
        <w:t xml:space="preserve"> </w:t>
      </w:r>
    </w:p>
    <w:p w14:paraId="694AEE48" w14:textId="13407D05" w:rsidR="00AF65DB" w:rsidRDefault="008D5BDC" w:rsidP="000E4386">
      <w:pPr>
        <w:jc w:val="both"/>
      </w:pPr>
      <w:r>
        <w:t>Another issue</w:t>
      </w:r>
      <w:r w:rsidR="00364CDA">
        <w:t xml:space="preserve"> </w:t>
      </w:r>
      <w:r w:rsidR="001F52C4">
        <w:t>is</w:t>
      </w:r>
      <w:r w:rsidR="00050FE1">
        <w:t xml:space="preserve"> </w:t>
      </w:r>
      <w:r w:rsidR="00050FE1" w:rsidRPr="00D61304">
        <w:t>location</w:t>
      </w:r>
      <w:r w:rsidR="00D61304" w:rsidRPr="00D61304">
        <w:t xml:space="preserve"> of interviews</w:t>
      </w:r>
      <w:r>
        <w:t xml:space="preserve">, </w:t>
      </w:r>
      <w:r w:rsidR="00364CDA">
        <w:t xml:space="preserve">that are </w:t>
      </w:r>
      <w:r>
        <w:t>at</w:t>
      </w:r>
      <w:r w:rsidR="00D61304" w:rsidRPr="00D61304">
        <w:t xml:space="preserve"> her father’s podiatry clinic, in the sessions, with him present - as she says quit openly. He father is also a member of the same church as the participants. </w:t>
      </w:r>
      <w:r w:rsidR="001F52C4">
        <w:t>T</w:t>
      </w:r>
      <w:r w:rsidR="00D61304" w:rsidRPr="00D61304">
        <w:t>his may have had a prohibited effect on the interviewee, or maybe, had a prohibited effect on her as the researcher – given that her father was present, in what types of questions she might have asked the</w:t>
      </w:r>
      <w:r w:rsidR="00F84DDC">
        <w:t xml:space="preserve"> women</w:t>
      </w:r>
      <w:r w:rsidR="00D61304" w:rsidRPr="00D61304">
        <w:t>. At the beginning she is very good at maintaining locational and conversational anonymity - not specifying where these conversations were taking place, as she describes them as being ‘delicate’ thus needing a private place to conduct them.</w:t>
      </w:r>
      <w:r w:rsidR="00D61304">
        <w:rPr>
          <w:rStyle w:val="FootnoteReference"/>
        </w:rPr>
        <w:footnoteReference w:id="9"/>
      </w:r>
      <w:r w:rsidR="00BB23F5">
        <w:t xml:space="preserve"> </w:t>
      </w:r>
      <w:r w:rsidR="00BB23F5" w:rsidRPr="00BB23F5">
        <w:t>However, because she used the intermediatory of her father, the location and conversations could potentially be traced back</w:t>
      </w:r>
      <w:r w:rsidR="00E352E7">
        <w:t xml:space="preserve"> to </w:t>
      </w:r>
      <w:r w:rsidR="00BB23F5" w:rsidRPr="00BB23F5">
        <w:t xml:space="preserve">where most of the information came from.  </w:t>
      </w:r>
    </w:p>
    <w:p w14:paraId="091E5C08" w14:textId="4ACB335E" w:rsidR="00A42B05" w:rsidRDefault="00BB23F5" w:rsidP="000E4386">
      <w:pPr>
        <w:jc w:val="both"/>
      </w:pPr>
      <w:r w:rsidRPr="00BB23F5">
        <w:t>For example, on page 127, Bennet writes, ‘My father was able to give me at least a minimum of demographic information</w:t>
      </w:r>
      <w:r w:rsidR="006B5313">
        <w:t>.</w:t>
      </w:r>
      <w:r w:rsidR="00E352E7">
        <w:t>’</w:t>
      </w:r>
      <w:r>
        <w:rPr>
          <w:rStyle w:val="FootnoteReference"/>
        </w:rPr>
        <w:footnoteReference w:id="10"/>
      </w:r>
      <w:r w:rsidR="00C72B4D">
        <w:t xml:space="preserve"> </w:t>
      </w:r>
      <w:r w:rsidRPr="00BB23F5">
        <w:t xml:space="preserve">Furthermore, when she starts laying out the stirs that are told among the </w:t>
      </w:r>
      <w:r w:rsidR="00F84DDC" w:rsidRPr="00BB23F5">
        <w:t>w</w:t>
      </w:r>
      <w:r w:rsidR="00F84DDC">
        <w:t>o</w:t>
      </w:r>
      <w:r w:rsidR="00F84DDC" w:rsidRPr="00BB23F5">
        <w:t>men</w:t>
      </w:r>
      <w:r w:rsidRPr="00BB23F5">
        <w:t>, she does not name the participants</w:t>
      </w:r>
      <w:r w:rsidR="00F84DDC">
        <w:t>. H</w:t>
      </w:r>
      <w:r w:rsidRPr="00BB23F5">
        <w:t>owever, naming two at the end</w:t>
      </w:r>
      <w:r w:rsidR="0060628F">
        <w:t xml:space="preserve"> </w:t>
      </w:r>
      <w:r w:rsidR="008A3CE7">
        <w:t>–</w:t>
      </w:r>
      <w:r w:rsidR="00681C20">
        <w:t xml:space="preserve"> </w:t>
      </w:r>
      <w:r w:rsidR="008A3CE7">
        <w:t xml:space="preserve">where she </w:t>
      </w:r>
      <w:r w:rsidR="00681C20">
        <w:t xml:space="preserve">also </w:t>
      </w:r>
      <w:r w:rsidRPr="00BB23F5">
        <w:t>brings in new participates – males along with young females.</w:t>
      </w:r>
      <w:r w:rsidR="00566F40">
        <w:t xml:space="preserve"> </w:t>
      </w:r>
      <w:r w:rsidRPr="00BB23F5">
        <w:t xml:space="preserve">The closest Bennet comes to identifying the issue is a section before she goes into the survey data. </w:t>
      </w:r>
      <w:r w:rsidR="008A3CE7">
        <w:t xml:space="preserve"> </w:t>
      </w:r>
      <w:r w:rsidRPr="00BB23F5">
        <w:t>Bennet</w:t>
      </w:r>
      <w:r w:rsidR="009E0867">
        <w:t xml:space="preserve"> also relies</w:t>
      </w:r>
      <w:r w:rsidRPr="00BB23F5">
        <w:t xml:space="preserve"> on storytelling. For example,</w:t>
      </w:r>
      <w:r w:rsidR="009E0867">
        <w:t xml:space="preserve"> </w:t>
      </w:r>
      <w:r w:rsidRPr="00BB23F5">
        <w:t xml:space="preserve">instead of </w:t>
      </w:r>
      <w:r w:rsidR="00443A61" w:rsidRPr="00BB23F5">
        <w:t>using</w:t>
      </w:r>
      <w:r w:rsidR="00296968">
        <w:t xml:space="preserve"> </w:t>
      </w:r>
      <w:r w:rsidR="00C12995">
        <w:t>quantities</w:t>
      </w:r>
      <w:r w:rsidR="00CD7262">
        <w:t xml:space="preserve"> </w:t>
      </w:r>
      <w:r w:rsidR="00C12995">
        <w:t xml:space="preserve">of </w:t>
      </w:r>
      <w:r w:rsidRPr="00BB23F5">
        <w:t xml:space="preserve">data or academic references, </w:t>
      </w:r>
      <w:r w:rsidR="00CD7262">
        <w:t xml:space="preserve">she </w:t>
      </w:r>
      <w:r w:rsidRPr="00BB23F5">
        <w:t>uses the stories themselves to legitimise her argument, or legitimise the women’s experiences themselves</w:t>
      </w:r>
      <w:r w:rsidR="00650280">
        <w:t xml:space="preserve"> and </w:t>
      </w:r>
      <w:r w:rsidR="00D954E5">
        <w:t xml:space="preserve">does </w:t>
      </w:r>
      <w:r w:rsidR="00650280">
        <w:t>not provi</w:t>
      </w:r>
      <w:r w:rsidR="00D954E5">
        <w:t>de</w:t>
      </w:r>
      <w:r w:rsidR="00650280">
        <w:t xml:space="preserve"> evidence for what they say.</w:t>
      </w:r>
      <w:r w:rsidR="00443A61">
        <w:t xml:space="preserve"> </w:t>
      </w:r>
      <w:r w:rsidR="00D74C59">
        <w:t>S</w:t>
      </w:r>
      <w:r w:rsidRPr="00BB23F5">
        <w:t>he throws percentages</w:t>
      </w:r>
      <w:r w:rsidR="00FE717A">
        <w:t>, facts</w:t>
      </w:r>
      <w:r w:rsidRPr="00BB23F5">
        <w:t xml:space="preserve"> and figures</w:t>
      </w:r>
      <w:r w:rsidR="00FE717A">
        <w:t xml:space="preserve"> in,</w:t>
      </w:r>
      <w:r w:rsidRPr="00BB23F5">
        <w:t xml:space="preserve"> that makes it seem legitimate on the surface</w:t>
      </w:r>
      <w:r w:rsidR="00D74C59">
        <w:t xml:space="preserve">. </w:t>
      </w:r>
      <w:r w:rsidRPr="00BB23F5">
        <w:t xml:space="preserve">However, looking closely, there is no reference – so the reader has no idea where the information came from. The only study she recommends in an appropriate way is a Finnish study. </w:t>
      </w:r>
      <w:r w:rsidRPr="00BB23F5">
        <w:lastRenderedPageBreak/>
        <w:t>However, that only reports on figures, there is no context to the study, and she does not refer to any academic papers in anyway.</w:t>
      </w:r>
      <w:r>
        <w:rPr>
          <w:rStyle w:val="FootnoteReference"/>
        </w:rPr>
        <w:footnoteReference w:id="11"/>
      </w:r>
      <w:r w:rsidR="00D77BB7">
        <w:t xml:space="preserve"> </w:t>
      </w:r>
    </w:p>
    <w:p w14:paraId="02307D51" w14:textId="010E273A" w:rsidR="00530F45" w:rsidRPr="00A42B05" w:rsidRDefault="006E0DAF" w:rsidP="000E4386">
      <w:pPr>
        <w:jc w:val="both"/>
      </w:pPr>
      <w:r w:rsidRPr="00454197">
        <w:t>Comparably,</w:t>
      </w:r>
      <w:r w:rsidR="00BB23F5" w:rsidRPr="00454197">
        <w:t xml:space="preserve"> </w:t>
      </w:r>
      <w:r w:rsidR="003266DF">
        <w:t xml:space="preserve">a through runs through </w:t>
      </w:r>
      <w:r w:rsidR="00BB23F5" w:rsidRPr="00454197">
        <w:t>Blain’s paper - it comes a literary aspect of this. However, then of course there is the idea of liminality, both on this literary level - but also an academic level. She uses this device as a walker between the worlds and in many ways, this is ‘embedded’ in the actual way the paper in constructed.</w:t>
      </w:r>
      <w:r w:rsidR="00BB23F5" w:rsidRPr="00454197">
        <w:rPr>
          <w:rStyle w:val="FootnoteReference"/>
        </w:rPr>
        <w:footnoteReference w:id="12"/>
      </w:r>
      <w:r w:rsidR="00BB23F5" w:rsidRPr="00454197">
        <w:t xml:space="preserve"> </w:t>
      </w:r>
      <w:r w:rsidR="00BB23F5" w:rsidRPr="00454197">
        <w:t>We are taken over the threshold, in a way that maybe this can address the fact that is reads like a novel in the begging. In a way she is trying to do two things - here is another essence of ‘liminality’.</w:t>
      </w:r>
      <w:r w:rsidR="00BB23F5" w:rsidRPr="00454197">
        <w:rPr>
          <w:rStyle w:val="FootnoteReference"/>
        </w:rPr>
        <w:footnoteReference w:id="13"/>
      </w:r>
      <w:r w:rsidR="005C4274" w:rsidRPr="00454197">
        <w:t xml:space="preserve"> </w:t>
      </w:r>
      <w:r w:rsidR="009F3BB6" w:rsidRPr="00454197">
        <w:t>She is revealing some of her research and saying towards the end, it is professional suicide to begin to talk about these things. She has only ever told two people about all this, so she is revealing some of her research herself - and of course two of participants are able to speak</w:t>
      </w:r>
      <w:r w:rsidR="009F3BB6" w:rsidRPr="001351DB">
        <w:t>.</w:t>
      </w:r>
      <w:r w:rsidR="00123C8A" w:rsidRPr="001351DB">
        <w:t xml:space="preserve"> </w:t>
      </w:r>
      <w:r w:rsidR="009F3BB6" w:rsidRPr="001351DB">
        <w:t xml:space="preserve">However, she is also examining the research process herself and the idea with ‘phenomenology’, that it is problematic on a level that it suggests that one can be neutral </w:t>
      </w:r>
      <w:r w:rsidR="00D047A7">
        <w:t>–</w:t>
      </w:r>
      <w:r w:rsidR="009F3BB6" w:rsidRPr="001351DB">
        <w:t xml:space="preserve"> simply</w:t>
      </w:r>
      <w:r w:rsidR="00D047A7">
        <w:t xml:space="preserve"> by</w:t>
      </w:r>
      <w:r w:rsidR="009F3BB6" w:rsidRPr="001351DB">
        <w:t xml:space="preserve"> be</w:t>
      </w:r>
      <w:r w:rsidR="00D047A7">
        <w:t>ing</w:t>
      </w:r>
      <w:r w:rsidR="009F3BB6" w:rsidRPr="001351DB">
        <w:t xml:space="preserve"> the observer bracketing off.</w:t>
      </w:r>
      <w:r w:rsidR="009F3BB6" w:rsidRPr="001351DB">
        <w:rPr>
          <w:rStyle w:val="FootnoteReference"/>
        </w:rPr>
        <w:footnoteReference w:id="14"/>
      </w:r>
      <w:r w:rsidR="00920945" w:rsidRPr="001351DB">
        <w:t xml:space="preserve"> </w:t>
      </w:r>
      <w:r w:rsidR="00920945" w:rsidRPr="001351DB">
        <w:rPr>
          <w:rStyle w:val="FootnoteReference"/>
        </w:rPr>
        <w:footnoteReference w:id="15"/>
      </w:r>
      <w:r w:rsidR="00AB5676">
        <w:t xml:space="preserve"> </w:t>
      </w:r>
      <w:r w:rsidR="00BC1A81">
        <w:t>However, she does not use</w:t>
      </w:r>
      <w:r w:rsidR="00227CC9" w:rsidRPr="001351DB">
        <w:t xml:space="preserve"> phenomenology</w:t>
      </w:r>
      <w:r w:rsidR="001053A1">
        <w:t xml:space="preserve"> or </w:t>
      </w:r>
      <w:r w:rsidR="00227CC9" w:rsidRPr="001351DB">
        <w:t>structure; she uses the structure of ‘post-modernism.’</w:t>
      </w:r>
      <w:r w:rsidR="00227CC9" w:rsidRPr="001351DB">
        <w:rPr>
          <w:rStyle w:val="FootnoteReference"/>
        </w:rPr>
        <w:footnoteReference w:id="16"/>
      </w:r>
      <w:r w:rsidR="00FD5FFD" w:rsidRPr="001351DB">
        <w:t xml:space="preserve"> </w:t>
      </w:r>
      <w:r w:rsidR="00C70C9A">
        <w:t>Though</w:t>
      </w:r>
      <w:r w:rsidR="0050321C" w:rsidRPr="001351DB">
        <w:t xml:space="preserve">, she could be challenging this idea and she does this quit well. This is not a traditional paper – it is pushing the </w:t>
      </w:r>
      <w:r w:rsidR="0050321C" w:rsidRPr="00A42B05">
        <w:t>boundaries</w:t>
      </w:r>
      <w:r w:rsidR="0067046C" w:rsidRPr="00A42B05">
        <w:t xml:space="preserve"> – as does</w:t>
      </w:r>
      <w:r w:rsidR="00A42B05" w:rsidRPr="00A42B05">
        <w:t xml:space="preserve"> Bennet</w:t>
      </w:r>
      <w:r w:rsidR="00467030" w:rsidRPr="00A42B05">
        <w:t>.</w:t>
      </w:r>
      <w:r w:rsidR="0050321C" w:rsidRPr="00A42B05">
        <w:t xml:space="preserve"> She is including herself in this account but stepping outside towards the end, mirroring the journey that she is talking about.</w:t>
      </w:r>
    </w:p>
    <w:p w14:paraId="38256569" w14:textId="3E2938FE" w:rsidR="000320BE" w:rsidRDefault="003D131B" w:rsidP="000E4386">
      <w:pPr>
        <w:jc w:val="both"/>
      </w:pPr>
      <w:r>
        <w:t>Most of Blain’s research is</w:t>
      </w:r>
      <w:r w:rsidR="0050321C" w:rsidRPr="005D728C">
        <w:t xml:space="preserve"> ‘emotional</w:t>
      </w:r>
      <w:r w:rsidR="00DA05FB" w:rsidRPr="005D728C">
        <w:t>ly</w:t>
      </w:r>
      <w:r w:rsidR="0050321C" w:rsidRPr="005D728C">
        <w:t xml:space="preserve"> reflexive’, many of her quotations are of her own work and not </w:t>
      </w:r>
      <w:r w:rsidR="00105806" w:rsidRPr="005D728C">
        <w:t xml:space="preserve">of </w:t>
      </w:r>
      <w:r w:rsidR="0050321C" w:rsidRPr="005D728C">
        <w:t xml:space="preserve">academic comparison. </w:t>
      </w:r>
      <w:r w:rsidR="005E07CD" w:rsidRPr="005D728C">
        <w:t xml:space="preserve">She explains the place and she observes’ herself and typically refers to </w:t>
      </w:r>
      <w:r w:rsidR="005E07CD" w:rsidRPr="00BB5824">
        <w:t>other people, but</w:t>
      </w:r>
      <w:r w:rsidR="00F37BAC" w:rsidRPr="00BB5824">
        <w:t xml:space="preserve"> </w:t>
      </w:r>
      <w:r w:rsidR="005E07CD" w:rsidRPr="00BB5824">
        <w:t>this very few.</w:t>
      </w:r>
      <w:r w:rsidR="000377DB" w:rsidRPr="00BB5824">
        <w:rPr>
          <w:rStyle w:val="FootnoteReference"/>
        </w:rPr>
        <w:footnoteReference w:id="17"/>
      </w:r>
      <w:r w:rsidR="00941509" w:rsidRPr="00BB5824">
        <w:t xml:space="preserve"> </w:t>
      </w:r>
      <w:r w:rsidR="006C2524" w:rsidRPr="005D728C">
        <w:t>She also claims to have practice</w:t>
      </w:r>
      <w:r w:rsidR="00FD4FBF" w:rsidRPr="005D728C">
        <w:t xml:space="preserve">d </w:t>
      </w:r>
      <w:r w:rsidR="00296CC1" w:rsidRPr="005D728C">
        <w:t>for many years but does not</w:t>
      </w:r>
      <w:r w:rsidR="00BB5824">
        <w:t xml:space="preserve"> elaborate further.</w:t>
      </w:r>
      <w:r w:rsidR="00296CC1" w:rsidRPr="005D728C">
        <w:rPr>
          <w:rStyle w:val="FootnoteReference"/>
        </w:rPr>
        <w:footnoteReference w:id="18"/>
      </w:r>
      <w:r w:rsidR="00530F45" w:rsidRPr="005D728C">
        <w:t xml:space="preserve"> </w:t>
      </w:r>
      <w:r w:rsidR="00634283" w:rsidRPr="005D728C">
        <w:t xml:space="preserve">There is also an argument </w:t>
      </w:r>
      <w:r w:rsidR="007561F5" w:rsidRPr="005D728C">
        <w:t>of bias</w:t>
      </w:r>
      <w:r w:rsidR="00634283" w:rsidRPr="005D728C">
        <w:t xml:space="preserve"> views, of beliefs and spirits; that was well written in this paper. Blain goes on to say that she has been in discussion with Wingers. However, we do not know what they spoke</w:t>
      </w:r>
      <w:r w:rsidR="00D95288" w:rsidRPr="005D728C">
        <w:t xml:space="preserve"> about in context of research</w:t>
      </w:r>
      <w:r w:rsidR="00634283" w:rsidRPr="005D728C">
        <w:t>.  Furthermore, there does not seem to be any ‘quantitative’ methods applied, although there is ‘qualitive’ methods – again not backed u</w:t>
      </w:r>
      <w:r w:rsidR="007561F5" w:rsidRPr="005D728C">
        <w:t>p by evidence.</w:t>
      </w:r>
      <w:r w:rsidR="002860A8" w:rsidRPr="005D728C">
        <w:rPr>
          <w:rStyle w:val="FootnoteReference"/>
        </w:rPr>
        <w:footnoteReference w:id="19"/>
      </w:r>
      <w:r w:rsidR="00FC095B" w:rsidRPr="005D728C">
        <w:t xml:space="preserve"> </w:t>
      </w:r>
      <w:r w:rsidR="007B039F">
        <w:t xml:space="preserve">Like Bennet’s research. </w:t>
      </w:r>
      <w:r w:rsidR="003E394B" w:rsidRPr="005D728C">
        <w:t>In this paper</w:t>
      </w:r>
      <w:r w:rsidR="004720A9" w:rsidRPr="005D728C">
        <w:t>, the reader cannot be sure if they are being asked questions. The ‘ethnographer’, however, standing from</w:t>
      </w:r>
      <w:r w:rsidR="003E394B" w:rsidRPr="005D728C">
        <w:t xml:space="preserve"> an</w:t>
      </w:r>
      <w:r w:rsidR="004720A9" w:rsidRPr="005D728C">
        <w:t xml:space="preserve"> outside perceptive – as he explains – if you just stand outside you cannot justify the things, therefore you must also be an insider too.</w:t>
      </w:r>
      <w:r w:rsidR="004720A9" w:rsidRPr="005D728C">
        <w:rPr>
          <w:rStyle w:val="FootnoteReference"/>
        </w:rPr>
        <w:footnoteReference w:id="20"/>
      </w:r>
      <w:r w:rsidR="003C65F7" w:rsidRPr="005D728C">
        <w:t xml:space="preserve"> </w:t>
      </w:r>
      <w:r w:rsidR="00205850" w:rsidRPr="005D728C">
        <w:t>For example, the outsider can see how</w:t>
      </w:r>
      <w:r w:rsidR="00A57E10">
        <w:t xml:space="preserve"> </w:t>
      </w:r>
      <w:r w:rsidR="00205850" w:rsidRPr="005D728C">
        <w:t>belief functions within the community; Blain describes this well when being an outsider.</w:t>
      </w:r>
      <w:r w:rsidR="00530F45" w:rsidRPr="005D728C">
        <w:t xml:space="preserve"> </w:t>
      </w:r>
      <w:r w:rsidR="00205850" w:rsidRPr="005D728C">
        <w:t>Blain then goes on to describe</w:t>
      </w:r>
      <w:r w:rsidR="0073716A" w:rsidRPr="005D728C">
        <w:t xml:space="preserve"> the </w:t>
      </w:r>
      <w:r w:rsidR="00205850" w:rsidRPr="005D728C">
        <w:t>ethnographer</w:t>
      </w:r>
      <w:r w:rsidR="00DE745E" w:rsidRPr="005D728C">
        <w:t>’s be</w:t>
      </w:r>
      <w:r w:rsidR="008770A6" w:rsidRPr="005D728C">
        <w:t>liefs</w:t>
      </w:r>
      <w:r w:rsidR="0073716A" w:rsidRPr="005D728C">
        <w:t xml:space="preserve"> as</w:t>
      </w:r>
      <w:r w:rsidR="00205850" w:rsidRPr="005D728C">
        <w:t xml:space="preserve"> not as important as the dialog of the researcher. </w:t>
      </w:r>
    </w:p>
    <w:p w14:paraId="340ADDAE" w14:textId="20031B2C" w:rsidR="00851CB7" w:rsidRDefault="00205850" w:rsidP="000E4386">
      <w:pPr>
        <w:jc w:val="both"/>
      </w:pPr>
      <w:r w:rsidRPr="005D728C">
        <w:t xml:space="preserve">However, we do not see much of this dialog, </w:t>
      </w:r>
      <w:r w:rsidR="00DA0FCF" w:rsidRPr="005D728C">
        <w:t xml:space="preserve">but </w:t>
      </w:r>
      <w:r w:rsidR="00790711" w:rsidRPr="005D728C">
        <w:t>a great amount of her own</w:t>
      </w:r>
      <w:r w:rsidR="000E6146">
        <w:t xml:space="preserve"> </w:t>
      </w:r>
      <w:r w:rsidRPr="005D728C">
        <w:t>reflexive experiences. For example, she explains the reasons for both insider and outsider (like a shaman) and moves between the two</w:t>
      </w:r>
      <w:r w:rsidR="00427467">
        <w:t>,</w:t>
      </w:r>
      <w:r w:rsidRPr="005D728C">
        <w:t xml:space="preserve"> to connect the views. She also goes on to compare the methodology of ‘critical awareness’, </w:t>
      </w:r>
      <w:r w:rsidRPr="005D728C">
        <w:lastRenderedPageBreak/>
        <w:t>‘reflexivity’ and ‘rationalization’.</w:t>
      </w:r>
      <w:r w:rsidRPr="005D728C">
        <w:rPr>
          <w:rStyle w:val="FootnoteReference"/>
        </w:rPr>
        <w:footnoteReference w:id="21"/>
      </w:r>
      <w:r w:rsidR="00692435" w:rsidRPr="005D728C">
        <w:t xml:space="preserve"> </w:t>
      </w:r>
      <w:r w:rsidR="007C48B0" w:rsidRPr="007C48B0">
        <w:t>Reflexivity is a strong ethical part of Blain’s research</w:t>
      </w:r>
      <w:r w:rsidR="00812638">
        <w:t xml:space="preserve">. She </w:t>
      </w:r>
      <w:r w:rsidR="007C48B0" w:rsidRPr="007C48B0">
        <w:t>appears to do this throughout the paper and manages her position as insider</w:t>
      </w:r>
      <w:r w:rsidR="00854049">
        <w:t>,</w:t>
      </w:r>
      <w:r w:rsidR="007C48B0" w:rsidRPr="007C48B0">
        <w:t xml:space="preserve"> outsider throughout the discussion very well.</w:t>
      </w:r>
      <w:r w:rsidR="00205783">
        <w:t xml:space="preserve"> </w:t>
      </w:r>
      <w:r w:rsidR="0004127C">
        <w:t xml:space="preserve">The notion regarding one of the ways she does this, is by managing her concerns. </w:t>
      </w:r>
      <w:r w:rsidR="00CE46A0">
        <w:t>It could be determined</w:t>
      </w:r>
      <w:r w:rsidR="004E0F03">
        <w:t xml:space="preserve"> through </w:t>
      </w:r>
      <w:r w:rsidR="002F5311">
        <w:t>this that</w:t>
      </w:r>
      <w:r w:rsidR="0004127C">
        <w:t xml:space="preserve"> ethically, this provides a framework of respect and justice - to include of course, the direct words from the community that she is studying.  It does also reflect - as well - throughout his paper, how she manages the concern of linking the seidr world to the world of academia for her, from an anthropologist perspective.</w:t>
      </w:r>
      <w:r w:rsidR="00851CB7">
        <w:t xml:space="preserve"> </w:t>
      </w:r>
      <w:r w:rsidR="00F451BA">
        <w:t xml:space="preserve">Something else </w:t>
      </w:r>
      <w:r w:rsidR="0004127C">
        <w:t xml:space="preserve">that demonstrates respect and justice for the individuals who are participating in the seidr work, is situating the practice of seidr, she discusses very clearly that it is a </w:t>
      </w:r>
      <w:r w:rsidR="00B15138">
        <w:t>‘</w:t>
      </w:r>
      <w:r w:rsidR="0004127C">
        <w:t>re-embedded</w:t>
      </w:r>
      <w:r w:rsidR="00B15138">
        <w:t>’</w:t>
      </w:r>
      <w:r w:rsidR="0004127C">
        <w:t xml:space="preserve"> practice, and the communities are deliberately constructed today, and they are potentially informed by the gender and political discourse, from not just one thousand years ago, but also contemporary discourse</w:t>
      </w:r>
      <w:r w:rsidR="002243C2">
        <w:t xml:space="preserve"> </w:t>
      </w:r>
      <w:r w:rsidR="0004127C">
        <w:t>(Blain and Wallis, 1999).</w:t>
      </w:r>
      <w:r w:rsidR="0004127C">
        <w:rPr>
          <w:rStyle w:val="FootnoteReference"/>
        </w:rPr>
        <w:footnoteReference w:id="22"/>
      </w:r>
      <w:r w:rsidR="001F2782">
        <w:t xml:space="preserve"> </w:t>
      </w:r>
    </w:p>
    <w:p w14:paraId="31DE0632" w14:textId="45224FBF" w:rsidR="00CA3E73" w:rsidRDefault="001F2782" w:rsidP="00902690">
      <w:pPr>
        <w:jc w:val="both"/>
      </w:pPr>
      <w:r>
        <w:t>Thus, one can believe this does in fact emphasise that justice as well as respect for this viewpoint of the seidr community does exist.</w:t>
      </w:r>
      <w:r w:rsidR="00010A55">
        <w:t xml:space="preserve"> </w:t>
      </w:r>
      <w:r>
        <w:t>Blain’s own beliefs</w:t>
      </w:r>
      <w:r w:rsidR="00010A55">
        <w:t xml:space="preserve"> are questioned</w:t>
      </w:r>
      <w:r>
        <w:t xml:space="preserve">. It seems like she is reflexive, again, in a way she is managing how she wants to discuss belief in an academic setting. However, it cannot be determined that she really considered what the community wants her to believe. Therefore, if she is as much of an insider as outsider - she does not explicitly say this is her </w:t>
      </w:r>
      <w:r w:rsidRPr="00EC6B17">
        <w:t>view.</w:t>
      </w:r>
      <w:r w:rsidR="00EC6B17" w:rsidRPr="00EC6B17">
        <w:t xml:space="preserve"> </w:t>
      </w:r>
      <w:r w:rsidR="001B55C4" w:rsidRPr="00EC6B17">
        <w:t>Therefore, t</w:t>
      </w:r>
      <w:r w:rsidRPr="00EC6B17">
        <w:t xml:space="preserve">he reader is curious, if her prompting of this questioning of belief came from within the community itself - do they have an incentive or position of what they want her to believe. If she is dancing at a wedding or participating in a séance as what is </w:t>
      </w:r>
      <w:r w:rsidRPr="00E30CC2">
        <w:t>described.  One can believe that the majority of this is focused on her as an anthropologist versus what benefits the community, in terms of belief</w:t>
      </w:r>
      <w:r w:rsidR="0010411E">
        <w:t xml:space="preserve"> – </w:t>
      </w:r>
      <w:r w:rsidR="0010411E" w:rsidRPr="0010411E">
        <w:t xml:space="preserve">thus </w:t>
      </w:r>
      <w:r w:rsidRPr="0010411E">
        <w:t xml:space="preserve">who gains from this paper. </w:t>
      </w:r>
      <w:r w:rsidRPr="00246E2E">
        <w:t>The paper reflects - as she mentions, not only what insiders do, but also what is expected in academia in terms of discussing belief. Thus, is it the world of academia, or is it the seidr community at large that benefits, or is it the</w:t>
      </w:r>
      <w:r w:rsidR="00164A6F">
        <w:t xml:space="preserve"> </w:t>
      </w:r>
      <w:r w:rsidRPr="00246E2E">
        <w:t>anthropolo</w:t>
      </w:r>
      <w:r w:rsidR="00164A6F">
        <w:t>gical world</w:t>
      </w:r>
      <w:r w:rsidRPr="00246E2E">
        <w:t xml:space="preserve"> that benefits.</w:t>
      </w:r>
      <w:r w:rsidRPr="00246E2E">
        <w:rPr>
          <w:rStyle w:val="FootnoteReference"/>
        </w:rPr>
        <w:footnoteReference w:id="23"/>
      </w:r>
      <w:r w:rsidR="00091982" w:rsidRPr="00246E2E">
        <w:t xml:space="preserve"> </w:t>
      </w:r>
      <w:r w:rsidR="00560D65">
        <w:t xml:space="preserve"> </w:t>
      </w:r>
      <w:r w:rsidR="00091982" w:rsidRPr="00560D65">
        <w:t>Furthermore,</w:t>
      </w:r>
      <w:r w:rsidR="003B1985" w:rsidRPr="00560D65">
        <w:t xml:space="preserve"> </w:t>
      </w:r>
      <w:r w:rsidR="00091982" w:rsidRPr="00560D65">
        <w:t>there is a part of the paper where she examines her own experience but does not lead the reader into a clear understanding that this is her own experience, in the part of the séance. She specifically says, when describing these experiences in papers or conferences, the experience is designed in a way to create and effect. Therefore, it could be determined that this creates an effect, and that she may be motivated to create th</w:t>
      </w:r>
      <w:r w:rsidR="00FD6FB2" w:rsidRPr="00560D65">
        <w:t>at</w:t>
      </w:r>
      <w:r w:rsidR="00091982" w:rsidRPr="00560D65">
        <w:t xml:space="preserve"> effect, and that </w:t>
      </w:r>
      <w:r w:rsidR="00091982" w:rsidRPr="00173227">
        <w:t>motivation may come from academia or the seidr community</w:t>
      </w:r>
      <w:r w:rsidR="00173227" w:rsidRPr="00173227">
        <w:t>. However, this</w:t>
      </w:r>
      <w:r w:rsidR="00091982" w:rsidRPr="00173227">
        <w:t xml:space="preserve"> could come with the territory of being both insider and outsider.</w:t>
      </w:r>
    </w:p>
    <w:p w14:paraId="46735F76" w14:textId="77777777" w:rsidR="00011B7D" w:rsidRDefault="001D155F" w:rsidP="00902690">
      <w:pPr>
        <w:jc w:val="both"/>
      </w:pPr>
      <w:r>
        <w:t xml:space="preserve">This raises some concerns for the </w:t>
      </w:r>
      <w:r w:rsidRPr="00460CD1">
        <w:t>reader</w:t>
      </w:r>
      <w:r w:rsidR="00540EEE" w:rsidRPr="00460CD1">
        <w:t xml:space="preserve"> </w:t>
      </w:r>
      <w:r w:rsidR="00091982" w:rsidRPr="00460CD1">
        <w:t xml:space="preserve">in examining the extent in which she </w:t>
      </w:r>
      <w:r w:rsidR="00F37BAC" w:rsidRPr="00460CD1">
        <w:t>may have</w:t>
      </w:r>
      <w:r w:rsidR="00091982" w:rsidRPr="00460CD1">
        <w:t xml:space="preserve"> curated these words, that she really created a specific effect with the experience, she wants to experience, what she wants to relay from the seidr </w:t>
      </w:r>
      <w:r w:rsidR="00091982" w:rsidRPr="00C27EC7">
        <w:t>community.</w:t>
      </w:r>
      <w:r w:rsidR="00F54BCA" w:rsidRPr="00C27EC7">
        <w:t xml:space="preserve"> </w:t>
      </w:r>
      <w:r w:rsidR="00091982" w:rsidRPr="00C27EC7">
        <w:t>Again, with the positioning of the paper, she was very clear about that, with being positioned within a gender and political discourse from 1000 years ago from today and mentioning shamanaphobia (Dowson 1996) from the academic world</w:t>
      </w:r>
      <w:r w:rsidR="007F1595">
        <w:t xml:space="preserve">. </w:t>
      </w:r>
      <w:r w:rsidR="00951B1E">
        <w:rPr>
          <w:rStyle w:val="FootnoteReference"/>
        </w:rPr>
        <w:footnoteReference w:id="24"/>
      </w:r>
      <w:r w:rsidR="00CC7DB9">
        <w:t xml:space="preserve"> </w:t>
      </w:r>
      <w:r w:rsidR="00467973" w:rsidRPr="00A425B8">
        <w:t>Furthermore</w:t>
      </w:r>
      <w:r w:rsidR="00742FC1" w:rsidRPr="00A425B8">
        <w:t xml:space="preserve">, the reader would like to know what the community thinks about this, one does not believe she should be imposing the academic viewpoint on the community, but one is curious since most of the paper seems to be focused on the role of the </w:t>
      </w:r>
      <w:r w:rsidR="00742FC1" w:rsidRPr="00FC19D0">
        <w:t>anthropologist.</w:t>
      </w:r>
      <w:r w:rsidR="00825891" w:rsidRPr="00FC19D0">
        <w:t xml:space="preserve"> </w:t>
      </w:r>
      <w:r w:rsidR="00742FC1" w:rsidRPr="00FC19D0">
        <w:t>If there is any room for her to invite the community in to discuss how they want her to relay information, there was not a lot of discussion there regarding</w:t>
      </w:r>
      <w:r w:rsidR="00CE2F01">
        <w:t xml:space="preserve"> </w:t>
      </w:r>
      <w:r w:rsidR="00742FC1" w:rsidRPr="00FC19D0">
        <w:t>shamaniphobia</w:t>
      </w:r>
      <w:r w:rsidR="0065719F">
        <w:t>.</w:t>
      </w:r>
      <w:r w:rsidR="00CC7DB9">
        <w:rPr>
          <w:rStyle w:val="FootnoteReference"/>
        </w:rPr>
        <w:footnoteReference w:id="25"/>
      </w:r>
      <w:r w:rsidR="00DE2DFC">
        <w:t xml:space="preserve"> </w:t>
      </w:r>
      <w:r w:rsidR="0065719F">
        <w:t>T</w:t>
      </w:r>
      <w:r w:rsidR="00742FC1" w:rsidRPr="00FC19D0">
        <w:t>his could possibly be a big inhibitor for the community and especially since the community is very new an</w:t>
      </w:r>
      <w:r w:rsidR="00742FC1" w:rsidRPr="000C5D6F">
        <w:t xml:space="preserve">d newly ‘in-embedded’ within the pagan landscape in Europe, as it has been </w:t>
      </w:r>
      <w:r w:rsidR="00742FC1" w:rsidRPr="000C5D6F">
        <w:lastRenderedPageBreak/>
        <w:t>‘re-embedded’ from a much older practice, where there is not a lot of information available.</w:t>
      </w:r>
      <w:r w:rsidR="00742FC1" w:rsidRPr="000C5D6F">
        <w:rPr>
          <w:rStyle w:val="FootnoteReference"/>
        </w:rPr>
        <w:footnoteReference w:id="26"/>
      </w:r>
      <w:r w:rsidR="000142B9" w:rsidRPr="000C5D6F">
        <w:t xml:space="preserve"> </w:t>
      </w:r>
      <w:r w:rsidR="000142B9" w:rsidRPr="000C5D6F">
        <w:rPr>
          <w:rStyle w:val="FootnoteReference"/>
        </w:rPr>
        <w:footnoteReference w:id="27"/>
      </w:r>
      <w:r w:rsidR="00F24D4D" w:rsidRPr="000C5D6F">
        <w:t xml:space="preserve"> </w:t>
      </w:r>
      <w:r w:rsidR="00F24D4D" w:rsidRPr="000C5D6F">
        <w:t>It leaves the reader standing on how the community would feel regarding these issues.</w:t>
      </w:r>
      <w:r w:rsidR="00C9747F" w:rsidRPr="000C5D6F">
        <w:t xml:space="preserve"> </w:t>
      </w:r>
      <w:r w:rsidR="00556129">
        <w:t xml:space="preserve"> </w:t>
      </w:r>
      <w:r w:rsidR="00F24D4D" w:rsidRPr="000C5D6F">
        <w:t>Similarly, Tanya Luhrman,</w:t>
      </w:r>
      <w:r w:rsidR="00785DBC">
        <w:t xml:space="preserve"> a </w:t>
      </w:r>
      <w:r w:rsidR="00F24D4D" w:rsidRPr="000C5D6F">
        <w:t>research</w:t>
      </w:r>
      <w:r w:rsidR="00785DBC">
        <w:t>er</w:t>
      </w:r>
      <w:r w:rsidR="0086165A">
        <w:t xml:space="preserve"> of</w:t>
      </w:r>
      <w:r w:rsidR="00F24D4D" w:rsidRPr="000C5D6F">
        <w:t xml:space="preserve"> witchcraft and Wicca, </w:t>
      </w:r>
      <w:r w:rsidR="0086165A">
        <w:t xml:space="preserve">also </w:t>
      </w:r>
      <w:r w:rsidR="00F24D4D" w:rsidRPr="000C5D6F">
        <w:t>became involved in the same community as Bla</w:t>
      </w:r>
      <w:r w:rsidR="001D403C">
        <w:t>in</w:t>
      </w:r>
      <w:r w:rsidR="00F24D4D" w:rsidRPr="000C5D6F">
        <w:t>, to which some of the members in that community felt betrayed by her presence there, because she had done her research work on the community, but then had no further contact with them.</w:t>
      </w:r>
      <w:r w:rsidR="00151823">
        <w:rPr>
          <w:rStyle w:val="FootnoteReference"/>
        </w:rPr>
        <w:footnoteReference w:id="28"/>
      </w:r>
      <w:r w:rsidR="00F24D4D" w:rsidRPr="000C5D6F">
        <w:t xml:space="preserve"> </w:t>
      </w:r>
    </w:p>
    <w:p w14:paraId="09D99EEA" w14:textId="405135D3" w:rsidR="00DE2DFC" w:rsidRDefault="00205CF7" w:rsidP="00902690">
      <w:pPr>
        <w:jc w:val="both"/>
      </w:pPr>
      <w:r>
        <w:t xml:space="preserve">Thus, Luhrman and Blair </w:t>
      </w:r>
      <w:r w:rsidR="00F24D4D" w:rsidRPr="000C5D6F">
        <w:t>where there to gain on their research. So, there is an interest in what she believed. To whatever extent with her, in things like weddings or séances’, if she does not insincerely hold the exact beliefs to the extent that they may do, because she is still partially an outsider.</w:t>
      </w:r>
      <w:r w:rsidR="000D3154" w:rsidRPr="000C5D6F">
        <w:t xml:space="preserve"> </w:t>
      </w:r>
      <w:r w:rsidR="00E475E7" w:rsidRPr="00E475E7">
        <w:t>Thus, who holds</w:t>
      </w:r>
      <w:r w:rsidR="00C37C21">
        <w:t xml:space="preserve"> </w:t>
      </w:r>
      <w:r w:rsidR="005509CB">
        <w:t xml:space="preserve">both </w:t>
      </w:r>
      <w:r w:rsidR="00E475E7" w:rsidRPr="00E475E7">
        <w:t xml:space="preserve">Blain accountable in this process, yes, she is dancing at a wedding, </w:t>
      </w:r>
      <w:r w:rsidR="00361A49" w:rsidRPr="00E475E7">
        <w:t>yes,</w:t>
      </w:r>
      <w:r w:rsidR="00E475E7" w:rsidRPr="00E475E7">
        <w:t xml:space="preserve"> she is heavily involved in the community – she is reflexive – but she is not reflexive enough to point out some of the practices that may have been involved in certain community members, that felt uncomfortable</w:t>
      </w:r>
      <w:r w:rsidR="00AF3DA0">
        <w:t>,</w:t>
      </w:r>
      <w:r w:rsidR="00E475E7" w:rsidRPr="00E475E7">
        <w:t xml:space="preserve"> or comfortable. </w:t>
      </w:r>
      <w:r w:rsidR="00461C34">
        <w:t xml:space="preserve">Furthermore, </w:t>
      </w:r>
      <w:r w:rsidR="00AF3DA0" w:rsidRPr="00E475E7">
        <w:t>it</w:t>
      </w:r>
      <w:r w:rsidR="00E475E7" w:rsidRPr="00E475E7">
        <w:t xml:space="preserve"> was not seen in th</w:t>
      </w:r>
      <w:r w:rsidR="00C30E45">
        <w:t>e research</w:t>
      </w:r>
      <w:r w:rsidR="00E475E7" w:rsidRPr="00E475E7">
        <w:t xml:space="preserve"> any mention of self-determination for the group, or confidentiality or informed consent, things that one looks for within the ethical sphere.</w:t>
      </w:r>
      <w:r w:rsidR="00156C9E">
        <w:rPr>
          <w:rStyle w:val="FootnoteReference"/>
        </w:rPr>
        <w:footnoteReference w:id="29"/>
      </w:r>
      <w:r w:rsidR="00DC0684">
        <w:t xml:space="preserve"> </w:t>
      </w:r>
      <w:r w:rsidR="00E475E7" w:rsidRPr="00E475E7">
        <w:t>One wonders if mentioning the sexuality of one of the community members was in relaying his story if that was deemed okay by the community members. However, there is no more information regarding this</w:t>
      </w:r>
      <w:r w:rsidR="00B56D89">
        <w:t xml:space="preserve"> - </w:t>
      </w:r>
      <w:r w:rsidR="002318BD">
        <w:t>thus is</w:t>
      </w:r>
      <w:r w:rsidR="00D72A9C">
        <w:t xml:space="preserve"> highly</w:t>
      </w:r>
      <w:r w:rsidR="002318BD">
        <w:t xml:space="preserve"> flawed</w:t>
      </w:r>
      <w:r w:rsidR="008E7E70">
        <w:t>, as is Bennet’s research</w:t>
      </w:r>
      <w:r w:rsidR="00D72A9C">
        <w:t xml:space="preserve"> </w:t>
      </w:r>
      <w:r w:rsidR="00E0472B" w:rsidRPr="00E0472B">
        <w:t>with assumptions all over the place and does not give reference to any other studies that would support her huge inductive leaps</w:t>
      </w:r>
      <w:r w:rsidR="004D33B2">
        <w:t xml:space="preserve"> </w:t>
      </w:r>
      <w:r w:rsidR="00BE270B">
        <w:t xml:space="preserve">- </w:t>
      </w:r>
      <w:r w:rsidR="00BE270B" w:rsidRPr="00E0472B">
        <w:t>interpreting</w:t>
      </w:r>
      <w:r w:rsidR="00E0472B" w:rsidRPr="00E0472B">
        <w:t xml:space="preserve"> what they say, just because she purply thinks that might be the way it is.</w:t>
      </w:r>
    </w:p>
    <w:p w14:paraId="3550997D" w14:textId="1DA03A9B" w:rsidR="00C31CF6" w:rsidRDefault="00C31CF6" w:rsidP="00902690">
      <w:pPr>
        <w:jc w:val="both"/>
      </w:pPr>
    </w:p>
    <w:p w14:paraId="291034C1" w14:textId="6DC48995" w:rsidR="00C31CF6" w:rsidRDefault="00C31CF6" w:rsidP="00902690">
      <w:pPr>
        <w:jc w:val="both"/>
      </w:pPr>
    </w:p>
    <w:p w14:paraId="27DEFF2F" w14:textId="30F070D6" w:rsidR="00C31CF6" w:rsidRDefault="00C31CF6" w:rsidP="00902690">
      <w:pPr>
        <w:jc w:val="both"/>
      </w:pPr>
    </w:p>
    <w:p w14:paraId="13259584" w14:textId="23E59F47" w:rsidR="00C31CF6" w:rsidRDefault="00C31CF6" w:rsidP="00902690">
      <w:pPr>
        <w:jc w:val="both"/>
      </w:pPr>
    </w:p>
    <w:p w14:paraId="3B1C34B8" w14:textId="441F4D16" w:rsidR="00C31CF6" w:rsidRDefault="00C31CF6" w:rsidP="00902690">
      <w:pPr>
        <w:jc w:val="both"/>
      </w:pPr>
    </w:p>
    <w:p w14:paraId="7FDD2173" w14:textId="61593E86" w:rsidR="00C31CF6" w:rsidRDefault="00C31CF6" w:rsidP="00902690">
      <w:pPr>
        <w:jc w:val="both"/>
      </w:pPr>
    </w:p>
    <w:p w14:paraId="7CB85CA3" w14:textId="068AC509" w:rsidR="001F06AB" w:rsidRDefault="001F06AB" w:rsidP="00902690">
      <w:pPr>
        <w:jc w:val="both"/>
      </w:pPr>
    </w:p>
    <w:p w14:paraId="14B59488" w14:textId="150FE9F8" w:rsidR="00BE270B" w:rsidRDefault="00BE270B" w:rsidP="00902690">
      <w:pPr>
        <w:jc w:val="both"/>
      </w:pPr>
    </w:p>
    <w:p w14:paraId="1E8F8A4A" w14:textId="03B8FF65" w:rsidR="00BE270B" w:rsidRDefault="00BE270B" w:rsidP="00902690">
      <w:pPr>
        <w:jc w:val="both"/>
      </w:pPr>
    </w:p>
    <w:p w14:paraId="6B2A763E" w14:textId="57071D56" w:rsidR="00BE270B" w:rsidRDefault="00BE270B" w:rsidP="00902690">
      <w:pPr>
        <w:jc w:val="both"/>
      </w:pPr>
    </w:p>
    <w:p w14:paraId="46FD4CF9" w14:textId="707E78EF" w:rsidR="00BE270B" w:rsidRDefault="00BE270B" w:rsidP="00902690">
      <w:pPr>
        <w:jc w:val="both"/>
      </w:pPr>
    </w:p>
    <w:p w14:paraId="19E25BD1" w14:textId="5EC7F194" w:rsidR="009E41CE" w:rsidRDefault="009E41CE" w:rsidP="00902690">
      <w:pPr>
        <w:jc w:val="both"/>
      </w:pPr>
    </w:p>
    <w:p w14:paraId="378B9E92" w14:textId="1360818F" w:rsidR="00033339" w:rsidRDefault="00033339" w:rsidP="00902690">
      <w:pPr>
        <w:jc w:val="both"/>
      </w:pPr>
    </w:p>
    <w:p w14:paraId="7856FEF2" w14:textId="77777777" w:rsidR="00620BB0" w:rsidRDefault="00620BB0" w:rsidP="00902690">
      <w:pPr>
        <w:jc w:val="both"/>
      </w:pPr>
    </w:p>
    <w:p w14:paraId="29B36B04" w14:textId="094914F5" w:rsidR="005D04EF" w:rsidRPr="00033339" w:rsidRDefault="005D04EF" w:rsidP="00902690">
      <w:pPr>
        <w:jc w:val="both"/>
        <w:rPr>
          <w:b/>
          <w:bCs/>
          <w:color w:val="000000" w:themeColor="text1"/>
        </w:rPr>
      </w:pPr>
      <w:r w:rsidRPr="00033339">
        <w:rPr>
          <w:b/>
          <w:bCs/>
          <w:color w:val="000000" w:themeColor="text1"/>
        </w:rPr>
        <w:lastRenderedPageBreak/>
        <w:t>Bibliography</w:t>
      </w:r>
    </w:p>
    <w:p w14:paraId="2B532193" w14:textId="77777777" w:rsidR="00033339" w:rsidRPr="00033339" w:rsidRDefault="00033339" w:rsidP="00902690">
      <w:pPr>
        <w:jc w:val="both"/>
        <w:rPr>
          <w:color w:val="000000" w:themeColor="text1"/>
        </w:rPr>
      </w:pPr>
      <w:r w:rsidRPr="00033339">
        <w:rPr>
          <w:color w:val="000000" w:themeColor="text1"/>
        </w:rPr>
        <w:t>Atkinson, Jane Monnig. “</w:t>
      </w:r>
      <w:r w:rsidRPr="00033339">
        <w:rPr>
          <w:i/>
          <w:iCs/>
          <w:color w:val="000000" w:themeColor="text1"/>
        </w:rPr>
        <w:t>Shamanisms Today</w:t>
      </w:r>
      <w:r w:rsidRPr="00033339">
        <w:rPr>
          <w:color w:val="000000" w:themeColor="text1"/>
        </w:rPr>
        <w:t xml:space="preserve">.” Annual Review of Anthropology, vol. 21, 1992, pp. 307–330. JSTOR, </w:t>
      </w:r>
      <w:hyperlink r:id="rId10" w:history="1">
        <w:r w:rsidRPr="00033339">
          <w:rPr>
            <w:rStyle w:val="Hyperlink"/>
            <w:color w:val="000000" w:themeColor="text1"/>
          </w:rPr>
          <w:t>www.jstor.org/stable/2155990. Accessed 29 Mar. 2021</w:t>
        </w:r>
      </w:hyperlink>
      <w:r w:rsidRPr="00033339">
        <w:rPr>
          <w:color w:val="000000" w:themeColor="text1"/>
        </w:rPr>
        <w:t>.</w:t>
      </w:r>
    </w:p>
    <w:p w14:paraId="2F3BC9CA" w14:textId="77777777" w:rsidR="00033339" w:rsidRPr="00033339" w:rsidRDefault="00033339" w:rsidP="00902690">
      <w:pPr>
        <w:jc w:val="both"/>
        <w:rPr>
          <w:color w:val="000000" w:themeColor="text1"/>
        </w:rPr>
      </w:pPr>
      <w:r w:rsidRPr="00033339">
        <w:rPr>
          <w:color w:val="000000" w:themeColor="text1"/>
        </w:rPr>
        <w:t>Bennett, Gillian. “</w:t>
      </w:r>
      <w:r w:rsidRPr="00033339">
        <w:rPr>
          <w:i/>
          <w:iCs/>
          <w:color w:val="000000" w:themeColor="text1"/>
        </w:rPr>
        <w:t>The Thomsian Heritage in the Folklore Society (London)</w:t>
      </w:r>
      <w:r w:rsidRPr="00033339">
        <w:rPr>
          <w:color w:val="000000" w:themeColor="text1"/>
        </w:rPr>
        <w:t>.” Journal of Folklore Research, vol. 33, no. 3, 1996, pp. 212–220.</w:t>
      </w:r>
    </w:p>
    <w:p w14:paraId="23B90581" w14:textId="77777777" w:rsidR="00033339" w:rsidRPr="00033339" w:rsidRDefault="00033339" w:rsidP="00902690">
      <w:pPr>
        <w:jc w:val="both"/>
        <w:rPr>
          <w:color w:val="000000" w:themeColor="text1"/>
        </w:rPr>
      </w:pPr>
      <w:r w:rsidRPr="00033339">
        <w:rPr>
          <w:color w:val="000000" w:themeColor="text1"/>
        </w:rPr>
        <w:t xml:space="preserve">Bennett, Gillian. </w:t>
      </w:r>
      <w:r w:rsidRPr="00033339">
        <w:rPr>
          <w:i/>
          <w:iCs/>
          <w:color w:val="000000" w:themeColor="text1"/>
        </w:rPr>
        <w:t>Alas Poor Ghost</w:t>
      </w:r>
      <w:r w:rsidRPr="00033339">
        <w:rPr>
          <w:color w:val="000000" w:themeColor="text1"/>
        </w:rPr>
        <w:t>. University Press of Colorado, 1999.</w:t>
      </w:r>
    </w:p>
    <w:p w14:paraId="0C14E568" w14:textId="77777777" w:rsidR="00033339" w:rsidRPr="00033339" w:rsidRDefault="00033339" w:rsidP="00902690">
      <w:pPr>
        <w:jc w:val="both"/>
        <w:rPr>
          <w:color w:val="000000" w:themeColor="text1"/>
        </w:rPr>
      </w:pPr>
      <w:r w:rsidRPr="00033339">
        <w:rPr>
          <w:color w:val="000000" w:themeColor="text1"/>
        </w:rPr>
        <w:t xml:space="preserve">Blain, Jenny, &amp; Wallis, Robert J. (2000). The </w:t>
      </w:r>
      <w:r w:rsidRPr="00033339">
        <w:rPr>
          <w:i/>
          <w:iCs/>
          <w:color w:val="000000" w:themeColor="text1"/>
        </w:rPr>
        <w:t>'Ergi' Seidman: Contestations of Gender, Shamanism and Sexuality in Northern Religion Past and Present</w:t>
      </w:r>
      <w:r w:rsidRPr="00033339">
        <w:rPr>
          <w:color w:val="000000" w:themeColor="text1"/>
        </w:rPr>
        <w:t xml:space="preserve">. Journal of Contemporary Religion, 15(3), </w:t>
      </w:r>
      <w:r w:rsidRPr="00033339">
        <w:rPr>
          <w:color w:val="000000" w:themeColor="text1"/>
        </w:rPr>
        <w:t xml:space="preserve">pp. </w:t>
      </w:r>
      <w:r w:rsidRPr="00033339">
        <w:rPr>
          <w:color w:val="000000" w:themeColor="text1"/>
        </w:rPr>
        <w:t>395–411.</w:t>
      </w:r>
    </w:p>
    <w:p w14:paraId="18B17B75" w14:textId="77777777" w:rsidR="00033339" w:rsidRPr="00033339" w:rsidRDefault="00033339" w:rsidP="00902690">
      <w:pPr>
        <w:jc w:val="both"/>
        <w:rPr>
          <w:color w:val="000000" w:themeColor="text1"/>
        </w:rPr>
      </w:pPr>
      <w:r w:rsidRPr="00033339">
        <w:rPr>
          <w:color w:val="000000" w:themeColor="text1"/>
        </w:rPr>
        <w:t>Blain</w:t>
      </w:r>
      <w:r w:rsidRPr="00033339">
        <w:rPr>
          <w:color w:val="000000" w:themeColor="text1"/>
        </w:rPr>
        <w:t>, Jenny</w:t>
      </w:r>
      <w:r w:rsidRPr="00033339">
        <w:rPr>
          <w:color w:val="000000" w:themeColor="text1"/>
        </w:rPr>
        <w:t xml:space="preserve">, and </w:t>
      </w:r>
      <w:r w:rsidRPr="00033339">
        <w:rPr>
          <w:color w:val="000000" w:themeColor="text1"/>
        </w:rPr>
        <w:t xml:space="preserve">Wallis, J, </w:t>
      </w:r>
      <w:r w:rsidRPr="00033339">
        <w:rPr>
          <w:color w:val="000000" w:themeColor="text1"/>
        </w:rPr>
        <w:t>Robert. “</w:t>
      </w:r>
      <w:r w:rsidRPr="00033339">
        <w:rPr>
          <w:i/>
          <w:iCs/>
          <w:color w:val="000000" w:themeColor="text1"/>
        </w:rPr>
        <w:t>RITUAL REFLECTIONS, PRACTITIONER MEANINGS: DISPUTING THE TERMINOLOGY OF NEO-SHAMANIC 'PERFORMANCE</w:t>
      </w:r>
      <w:r w:rsidRPr="00033339">
        <w:rPr>
          <w:color w:val="000000" w:themeColor="text1"/>
        </w:rPr>
        <w:t>'.” Journal of Ritual Studies, vol. 20, no. 1, 2006, pp. 21–36.</w:t>
      </w:r>
    </w:p>
    <w:p w14:paraId="6BDA0594" w14:textId="77777777" w:rsidR="00033339" w:rsidRPr="00033339" w:rsidRDefault="00033339" w:rsidP="00902690">
      <w:pPr>
        <w:jc w:val="both"/>
        <w:rPr>
          <w:color w:val="000000" w:themeColor="text1"/>
        </w:rPr>
      </w:pPr>
      <w:r w:rsidRPr="00033339">
        <w:rPr>
          <w:color w:val="000000" w:themeColor="text1"/>
        </w:rPr>
        <w:t>Blain</w:t>
      </w:r>
      <w:r w:rsidRPr="00033339">
        <w:rPr>
          <w:color w:val="000000" w:themeColor="text1"/>
        </w:rPr>
        <w:t>, Jenny</w:t>
      </w:r>
      <w:r w:rsidRPr="00033339">
        <w:rPr>
          <w:color w:val="000000" w:themeColor="text1"/>
        </w:rPr>
        <w:t>. 2000. ‘</w:t>
      </w:r>
      <w:r w:rsidRPr="00033339">
        <w:rPr>
          <w:i/>
          <w:iCs/>
          <w:color w:val="000000" w:themeColor="text1"/>
        </w:rPr>
        <w:t>Speaking Shamanistically: Seidr, Academia and Rationality</w:t>
      </w:r>
      <w:r w:rsidRPr="00033339">
        <w:rPr>
          <w:color w:val="000000" w:themeColor="text1"/>
        </w:rPr>
        <w:t>’. In DISKUS Volume 6 (2000).</w:t>
      </w:r>
    </w:p>
    <w:p w14:paraId="2614E2F2" w14:textId="77777777" w:rsidR="00033339" w:rsidRPr="00033339" w:rsidRDefault="00033339" w:rsidP="00902690">
      <w:pPr>
        <w:jc w:val="both"/>
        <w:rPr>
          <w:color w:val="000000" w:themeColor="text1"/>
        </w:rPr>
      </w:pPr>
      <w:r w:rsidRPr="00033339">
        <w:rPr>
          <w:color w:val="000000" w:themeColor="text1"/>
        </w:rPr>
        <w:t>Bryman, Alan. "</w:t>
      </w:r>
      <w:r w:rsidRPr="00033339">
        <w:rPr>
          <w:i/>
          <w:iCs/>
          <w:color w:val="000000" w:themeColor="text1"/>
        </w:rPr>
        <w:t xml:space="preserve">Integrating quantitative and qualitative research: how is it </w:t>
      </w:r>
      <w:proofErr w:type="gramStart"/>
      <w:r w:rsidRPr="00033339">
        <w:rPr>
          <w:i/>
          <w:iCs/>
          <w:color w:val="000000" w:themeColor="text1"/>
        </w:rPr>
        <w:t>done?</w:t>
      </w:r>
      <w:r w:rsidRPr="00033339">
        <w:rPr>
          <w:color w:val="000000" w:themeColor="text1"/>
        </w:rPr>
        <w:t>.</w:t>
      </w:r>
      <w:proofErr w:type="gramEnd"/>
      <w:r w:rsidRPr="00033339">
        <w:rPr>
          <w:color w:val="000000" w:themeColor="text1"/>
        </w:rPr>
        <w:t xml:space="preserve">" Qualitative research 6.1 (2006): </w:t>
      </w:r>
      <w:r w:rsidRPr="00033339">
        <w:rPr>
          <w:color w:val="000000" w:themeColor="text1"/>
        </w:rPr>
        <w:t xml:space="preserve">pp. </w:t>
      </w:r>
      <w:r w:rsidRPr="00033339">
        <w:rPr>
          <w:color w:val="000000" w:themeColor="text1"/>
        </w:rPr>
        <w:t>97-113.</w:t>
      </w:r>
    </w:p>
    <w:p w14:paraId="0A533236" w14:textId="77777777" w:rsidR="00033339" w:rsidRPr="00033339" w:rsidRDefault="00033339" w:rsidP="00902690">
      <w:pPr>
        <w:jc w:val="both"/>
        <w:rPr>
          <w:color w:val="000000" w:themeColor="text1"/>
        </w:rPr>
      </w:pPr>
      <w:r w:rsidRPr="00033339">
        <w:rPr>
          <w:color w:val="000000" w:themeColor="text1"/>
        </w:rPr>
        <w:t>Ellis, Larry. “</w:t>
      </w:r>
      <w:r w:rsidRPr="00033339">
        <w:rPr>
          <w:i/>
          <w:iCs/>
          <w:color w:val="000000" w:themeColor="text1"/>
        </w:rPr>
        <w:t>Trickster: Shaman of the Liminal</w:t>
      </w:r>
      <w:r w:rsidRPr="00033339">
        <w:rPr>
          <w:color w:val="000000" w:themeColor="text1"/>
        </w:rPr>
        <w:t>.” Studies in American Indian Literatures, vol. 5, no. 4, 1993, pp. 55–68. JSTOR, www.jstor.org/stable/20736767. Accessed 27 Mar. 2021</w:t>
      </w:r>
      <w:r w:rsidRPr="00033339">
        <w:rPr>
          <w:color w:val="000000" w:themeColor="text1"/>
        </w:rPr>
        <w:t>.</w:t>
      </w:r>
    </w:p>
    <w:p w14:paraId="34BA025B" w14:textId="77777777" w:rsidR="00033339" w:rsidRPr="00033339" w:rsidRDefault="00033339" w:rsidP="00902690">
      <w:pPr>
        <w:jc w:val="both"/>
        <w:rPr>
          <w:color w:val="000000" w:themeColor="text1"/>
        </w:rPr>
      </w:pPr>
      <w:r w:rsidRPr="00033339">
        <w:rPr>
          <w:color w:val="000000" w:themeColor="text1"/>
        </w:rPr>
        <w:t>Fischer, Rachel K., and Aimee Graham. “</w:t>
      </w:r>
      <w:r w:rsidRPr="00033339">
        <w:rPr>
          <w:i/>
          <w:iCs/>
          <w:color w:val="000000" w:themeColor="text1"/>
        </w:rPr>
        <w:t>Postmodernism.” Reference &amp; User Services Quarterly</w:t>
      </w:r>
      <w:r w:rsidRPr="00033339">
        <w:rPr>
          <w:color w:val="000000" w:themeColor="text1"/>
        </w:rPr>
        <w:t>, vol. 54, no. 1, 2014, pp. 29–33. JSTOR, www.jstor.org/stable/refuseserq.54.1.29. Accessed 29 Mar. 2021.</w:t>
      </w:r>
    </w:p>
    <w:p w14:paraId="5EF93480" w14:textId="77777777" w:rsidR="00033339" w:rsidRPr="00033339" w:rsidRDefault="00033339" w:rsidP="00902690">
      <w:pPr>
        <w:jc w:val="both"/>
        <w:rPr>
          <w:color w:val="000000" w:themeColor="text1"/>
        </w:rPr>
      </w:pPr>
      <w:r w:rsidRPr="00033339">
        <w:rPr>
          <w:color w:val="000000" w:themeColor="text1"/>
        </w:rPr>
        <w:t>GARDINER, MARK Q., and STEVEN ENGLER. “</w:t>
      </w:r>
      <w:r w:rsidRPr="00033339">
        <w:rPr>
          <w:i/>
          <w:iCs/>
          <w:color w:val="000000" w:themeColor="text1"/>
        </w:rPr>
        <w:t>Semantic Holism and the Insider—Outsider Problem</w:t>
      </w:r>
      <w:r w:rsidRPr="00033339">
        <w:rPr>
          <w:color w:val="000000" w:themeColor="text1"/>
        </w:rPr>
        <w:t>.” Religious Studies, vol. 48, no. 2, 2012, pp. 239–255., www.jstor.org/stable/23260019. Accessed 27 Mar. 2021.</w:t>
      </w:r>
    </w:p>
    <w:p w14:paraId="195FEB5E" w14:textId="77777777" w:rsidR="00033339" w:rsidRPr="00033339" w:rsidRDefault="00033339" w:rsidP="00902690">
      <w:pPr>
        <w:jc w:val="both"/>
        <w:rPr>
          <w:color w:val="000000" w:themeColor="text1"/>
        </w:rPr>
      </w:pPr>
      <w:r w:rsidRPr="00033339">
        <w:rPr>
          <w:color w:val="000000" w:themeColor="text1"/>
        </w:rPr>
        <w:t>Gillian, Bennett. 1995. “</w:t>
      </w:r>
      <w:r w:rsidRPr="00033339">
        <w:rPr>
          <w:i/>
          <w:iCs/>
          <w:color w:val="000000" w:themeColor="text1"/>
        </w:rPr>
        <w:t xml:space="preserve">If I Knew You were </w:t>
      </w:r>
      <w:proofErr w:type="gramStart"/>
      <w:r w:rsidRPr="00033339">
        <w:rPr>
          <w:i/>
          <w:iCs/>
          <w:color w:val="000000" w:themeColor="text1"/>
        </w:rPr>
        <w:t>Coming</w:t>
      </w:r>
      <w:proofErr w:type="gramEnd"/>
      <w:r w:rsidRPr="00033339">
        <w:rPr>
          <w:i/>
          <w:iCs/>
          <w:color w:val="000000" w:themeColor="text1"/>
        </w:rPr>
        <w:t xml:space="preserve"> I'd Have Baked a Cake</w:t>
      </w:r>
      <w:r w:rsidRPr="00033339">
        <w:rPr>
          <w:color w:val="000000" w:themeColor="text1"/>
        </w:rPr>
        <w:t xml:space="preserve">”: The Folklore of Foreknowledge in a Neighborhood Group. In Out of the Ordinary: Folklore and the Supernatural, edited by Barbara Walker, </w:t>
      </w:r>
      <w:r w:rsidRPr="00033339">
        <w:rPr>
          <w:color w:val="000000" w:themeColor="text1"/>
        </w:rPr>
        <w:t xml:space="preserve">pp. </w:t>
      </w:r>
      <w:r w:rsidRPr="00033339">
        <w:rPr>
          <w:color w:val="000000" w:themeColor="text1"/>
        </w:rPr>
        <w:t>122-142. Logan, Utah: Utah University Press.</w:t>
      </w:r>
    </w:p>
    <w:p w14:paraId="0FD538F6" w14:textId="77777777" w:rsidR="00033339" w:rsidRPr="00033339" w:rsidRDefault="00033339" w:rsidP="00902690">
      <w:pPr>
        <w:jc w:val="both"/>
        <w:rPr>
          <w:color w:val="000000" w:themeColor="text1"/>
        </w:rPr>
      </w:pPr>
      <w:r w:rsidRPr="00033339">
        <w:rPr>
          <w:color w:val="000000" w:themeColor="text1"/>
        </w:rPr>
        <w:t>Glass, James M. “</w:t>
      </w:r>
      <w:r w:rsidRPr="00033339">
        <w:rPr>
          <w:i/>
          <w:iCs/>
          <w:color w:val="000000" w:themeColor="text1"/>
        </w:rPr>
        <w:t>The Philosopher and the Shaman: The Political Vision as Incantation</w:t>
      </w:r>
      <w:r w:rsidRPr="00033339">
        <w:rPr>
          <w:color w:val="000000" w:themeColor="text1"/>
        </w:rPr>
        <w:t>.” Political Theory, vol.2, no. 2, 1974, pp. 181–196. JSTOR, www.jstor.org/stable/190672. Accessed 27 Mar. 2021.</w:t>
      </w:r>
    </w:p>
    <w:p w14:paraId="01F6F79C" w14:textId="77777777" w:rsidR="00033339" w:rsidRPr="00033339" w:rsidRDefault="00033339" w:rsidP="00902690">
      <w:pPr>
        <w:jc w:val="both"/>
        <w:rPr>
          <w:color w:val="000000" w:themeColor="text1"/>
        </w:rPr>
      </w:pPr>
      <w:r w:rsidRPr="00033339">
        <w:rPr>
          <w:color w:val="000000" w:themeColor="text1"/>
        </w:rPr>
        <w:t>Griffin, Robert J. “</w:t>
      </w:r>
      <w:r w:rsidRPr="00033339">
        <w:rPr>
          <w:i/>
          <w:iCs/>
          <w:color w:val="000000" w:themeColor="text1"/>
        </w:rPr>
        <w:t>Anonymity and Authorship</w:t>
      </w:r>
      <w:r w:rsidRPr="00033339">
        <w:rPr>
          <w:color w:val="000000" w:themeColor="text1"/>
        </w:rPr>
        <w:t>.” New Literary History, vol. 30, no. 4, 1999, pp. 877–895. JSTOR, www.jstor.org/stable/20057576. Accessed 29 Mar. 2021.</w:t>
      </w:r>
    </w:p>
    <w:p w14:paraId="7A85BEA9" w14:textId="77777777" w:rsidR="00033339" w:rsidRPr="00033339" w:rsidRDefault="00033339" w:rsidP="00902690">
      <w:pPr>
        <w:jc w:val="both"/>
        <w:rPr>
          <w:color w:val="000000" w:themeColor="text1"/>
        </w:rPr>
      </w:pPr>
      <w:r w:rsidRPr="00033339">
        <w:rPr>
          <w:color w:val="000000" w:themeColor="text1"/>
        </w:rPr>
        <w:t>Kondrat, Mary Ellen. “</w:t>
      </w:r>
      <w:r w:rsidRPr="00033339">
        <w:rPr>
          <w:i/>
          <w:iCs/>
          <w:color w:val="000000" w:themeColor="text1"/>
        </w:rPr>
        <w:t>Who Is the ‘Self’ in Self‐Aware: Professional Self‐Awareness from a Critical Theory Perspective</w:t>
      </w:r>
      <w:r w:rsidRPr="00033339">
        <w:rPr>
          <w:color w:val="000000" w:themeColor="text1"/>
        </w:rPr>
        <w:t>.” Social Service Review, vol. 73, no. 4, 1999, pp. 451–477. JSTOR, www.jstor.org/stable/10.1086/514441. Accessed 29 Mar. 2021.</w:t>
      </w:r>
    </w:p>
    <w:p w14:paraId="77F052ED" w14:textId="77777777" w:rsidR="00033339" w:rsidRPr="00033339" w:rsidRDefault="00033339" w:rsidP="00902690">
      <w:pPr>
        <w:jc w:val="both"/>
        <w:rPr>
          <w:color w:val="000000" w:themeColor="text1"/>
        </w:rPr>
      </w:pPr>
      <w:r w:rsidRPr="00033339">
        <w:rPr>
          <w:color w:val="000000" w:themeColor="text1"/>
        </w:rPr>
        <w:t>MacDonald</w:t>
      </w:r>
      <w:r w:rsidRPr="00033339">
        <w:rPr>
          <w:color w:val="000000" w:themeColor="text1"/>
        </w:rPr>
        <w:t xml:space="preserve"> N, Mary</w:t>
      </w:r>
      <w:r w:rsidRPr="00033339">
        <w:rPr>
          <w:color w:val="000000" w:themeColor="text1"/>
        </w:rPr>
        <w:t xml:space="preserve">. (2002). </w:t>
      </w:r>
      <w:r w:rsidRPr="00033339">
        <w:rPr>
          <w:i/>
          <w:iCs/>
          <w:color w:val="000000" w:themeColor="text1"/>
        </w:rPr>
        <w:t>THE STUDY OF SHAMANISM: LOCAL AND UNIVERSAL DIMENSIONS</w:t>
      </w:r>
      <w:r w:rsidRPr="00033339">
        <w:rPr>
          <w:color w:val="000000" w:themeColor="text1"/>
        </w:rPr>
        <w:t>. Journal of Ritual Studies, 16(2), pp. 88–107.</w:t>
      </w:r>
    </w:p>
    <w:p w14:paraId="59AA56D7" w14:textId="77777777" w:rsidR="00033339" w:rsidRPr="00033339" w:rsidRDefault="00033339" w:rsidP="00902690">
      <w:pPr>
        <w:jc w:val="both"/>
        <w:rPr>
          <w:color w:val="000000" w:themeColor="text1"/>
        </w:rPr>
      </w:pPr>
      <w:r w:rsidRPr="00033339">
        <w:rPr>
          <w:color w:val="000000" w:themeColor="text1"/>
        </w:rPr>
        <w:t>Malacrida, Claudia. "</w:t>
      </w:r>
      <w:r w:rsidRPr="00033339">
        <w:rPr>
          <w:i/>
          <w:iCs/>
          <w:color w:val="000000" w:themeColor="text1"/>
        </w:rPr>
        <w:t>Reflexive journaling on emotional research topics: Ethical issues for team researchers.</w:t>
      </w:r>
      <w:r w:rsidRPr="00033339">
        <w:rPr>
          <w:color w:val="000000" w:themeColor="text1"/>
        </w:rPr>
        <w:t>" Qualitative health research 17.10 (2007): pp. 1329-1339.</w:t>
      </w:r>
    </w:p>
    <w:p w14:paraId="76D262F9" w14:textId="77777777" w:rsidR="00033339" w:rsidRPr="00033339" w:rsidRDefault="00033339" w:rsidP="00902690">
      <w:pPr>
        <w:jc w:val="both"/>
        <w:rPr>
          <w:color w:val="000000" w:themeColor="text1"/>
        </w:rPr>
      </w:pPr>
      <w:r w:rsidRPr="00033339">
        <w:rPr>
          <w:color w:val="000000" w:themeColor="text1"/>
        </w:rPr>
        <w:lastRenderedPageBreak/>
        <w:t>Moretti, Cristina. “</w:t>
      </w:r>
      <w:r w:rsidRPr="00033339">
        <w:rPr>
          <w:i/>
          <w:iCs/>
          <w:color w:val="000000" w:themeColor="text1"/>
        </w:rPr>
        <w:t>The Wandering Ethnographer: Researching and Representing the City through Everyday Encounters.</w:t>
      </w:r>
      <w:r w:rsidRPr="00033339">
        <w:rPr>
          <w:color w:val="000000" w:themeColor="text1"/>
        </w:rPr>
        <w:t>” Anthropologica, vol. 53, no. 2, 2011, pp. 245–255. JSTOR,</w:t>
      </w:r>
      <w:r w:rsidRPr="00033339">
        <w:rPr>
          <w:color w:val="000000" w:themeColor="text1"/>
        </w:rPr>
        <w:t xml:space="preserve"> </w:t>
      </w:r>
      <w:r w:rsidRPr="00033339">
        <w:rPr>
          <w:color w:val="000000" w:themeColor="text1"/>
        </w:rPr>
        <w:t>www.jstor.org/stable/41473877. Accessed 29 Mar. 2021.</w:t>
      </w:r>
    </w:p>
    <w:p w14:paraId="002BE7BE" w14:textId="77777777" w:rsidR="00033339" w:rsidRPr="00033339" w:rsidRDefault="00033339" w:rsidP="00902690">
      <w:pPr>
        <w:jc w:val="both"/>
        <w:rPr>
          <w:color w:val="000000" w:themeColor="text1"/>
        </w:rPr>
      </w:pPr>
      <w:r w:rsidRPr="00033339">
        <w:rPr>
          <w:color w:val="000000" w:themeColor="text1"/>
        </w:rPr>
        <w:t>Pearson, Jo. “‘</w:t>
      </w:r>
      <w:r w:rsidRPr="00033339">
        <w:rPr>
          <w:i/>
          <w:iCs/>
          <w:color w:val="000000" w:themeColor="text1"/>
        </w:rPr>
        <w:t>Going Native in Reverse’: The Insider as Researcher in British Wicca</w:t>
      </w:r>
      <w:r w:rsidRPr="00033339">
        <w:rPr>
          <w:color w:val="000000" w:themeColor="text1"/>
        </w:rPr>
        <w:t>.” Nova Religio: The Journal of Alternative and Emergent Religions, vol. 5, no. 1, 2001, pp. 52–63.</w:t>
      </w:r>
    </w:p>
    <w:p w14:paraId="2F660C1D" w14:textId="77777777" w:rsidR="00033339" w:rsidRPr="00033339" w:rsidRDefault="00033339" w:rsidP="00902690">
      <w:pPr>
        <w:jc w:val="both"/>
        <w:rPr>
          <w:color w:val="000000" w:themeColor="text1"/>
        </w:rPr>
      </w:pPr>
      <w:r w:rsidRPr="00033339">
        <w:rPr>
          <w:color w:val="000000" w:themeColor="text1"/>
        </w:rPr>
        <w:t>Perruchon, Marie. I am Tsunki: Gender and shamanism among the Shuar of western Amazonia. Diss. Acta Universitatis Upsaliensis, 2003.</w:t>
      </w:r>
    </w:p>
    <w:p w14:paraId="78EB6ED4" w14:textId="77777777" w:rsidR="00033339" w:rsidRPr="00033339" w:rsidRDefault="00033339" w:rsidP="00902690">
      <w:pPr>
        <w:jc w:val="both"/>
        <w:rPr>
          <w:color w:val="000000" w:themeColor="text1"/>
        </w:rPr>
      </w:pPr>
      <w:r w:rsidRPr="00033339">
        <w:rPr>
          <w:color w:val="000000" w:themeColor="text1"/>
        </w:rPr>
        <w:t>SATO, JUN. “</w:t>
      </w:r>
      <w:r w:rsidRPr="00033339">
        <w:rPr>
          <w:i/>
          <w:iCs/>
          <w:color w:val="000000" w:themeColor="text1"/>
        </w:rPr>
        <w:t>EUROPEAN SHAMANISM IN CONTEXT: THE CASE OF THE ‘BENANDANTI</w:t>
      </w:r>
      <w:r w:rsidRPr="00033339">
        <w:rPr>
          <w:color w:val="000000" w:themeColor="text1"/>
        </w:rPr>
        <w:t>.’” Cambridge Anthropology, vol. 25, no. 3, 2005, pp. 17–37.</w:t>
      </w:r>
    </w:p>
    <w:p w14:paraId="7B07AF60" w14:textId="77777777" w:rsidR="00033339" w:rsidRPr="00033339" w:rsidRDefault="00033339" w:rsidP="00902690">
      <w:pPr>
        <w:jc w:val="both"/>
        <w:rPr>
          <w:color w:val="000000" w:themeColor="text1"/>
        </w:rPr>
      </w:pPr>
      <w:r w:rsidRPr="00033339">
        <w:rPr>
          <w:color w:val="000000" w:themeColor="text1"/>
        </w:rPr>
        <w:t>Smith, David Woodruff, "</w:t>
      </w:r>
      <w:r w:rsidRPr="00033339">
        <w:rPr>
          <w:i/>
          <w:iCs/>
          <w:color w:val="000000" w:themeColor="text1"/>
        </w:rPr>
        <w:t>Phenomenology", The Stanford Encyclopedia of Philosophy</w:t>
      </w:r>
      <w:r w:rsidRPr="00033339">
        <w:rPr>
          <w:color w:val="000000" w:themeColor="text1"/>
        </w:rPr>
        <w:t xml:space="preserve"> (Summer 2018 Edition), Edward N. Zalta (ed.)</w:t>
      </w:r>
      <w:r w:rsidRPr="00033339">
        <w:rPr>
          <w:color w:val="000000" w:themeColor="text1"/>
        </w:rPr>
        <w:t>.</w:t>
      </w:r>
    </w:p>
    <w:p w14:paraId="70DFF985" w14:textId="77777777" w:rsidR="00033339" w:rsidRPr="00033339" w:rsidRDefault="00033339" w:rsidP="00902690">
      <w:pPr>
        <w:jc w:val="both"/>
        <w:rPr>
          <w:color w:val="000000" w:themeColor="text1"/>
        </w:rPr>
      </w:pPr>
      <w:r w:rsidRPr="00033339">
        <w:rPr>
          <w:color w:val="000000" w:themeColor="text1"/>
        </w:rPr>
        <w:t xml:space="preserve">Smith, Linda Tuhiwai. </w:t>
      </w:r>
      <w:r w:rsidRPr="00033339">
        <w:rPr>
          <w:i/>
          <w:iCs/>
          <w:color w:val="000000" w:themeColor="text1"/>
        </w:rPr>
        <w:t>Decolonizing methodologies: Research and indigenous peoples</w:t>
      </w:r>
      <w:r w:rsidRPr="00033339">
        <w:rPr>
          <w:color w:val="000000" w:themeColor="text1"/>
        </w:rPr>
        <w:t>. Zed Books Ltd., 2013.</w:t>
      </w:r>
    </w:p>
    <w:p w14:paraId="5B746910" w14:textId="77777777" w:rsidR="00033339" w:rsidRPr="00033339" w:rsidRDefault="00033339" w:rsidP="00902690">
      <w:pPr>
        <w:jc w:val="both"/>
        <w:rPr>
          <w:color w:val="000000" w:themeColor="text1"/>
        </w:rPr>
      </w:pPr>
      <w:r w:rsidRPr="00033339">
        <w:rPr>
          <w:color w:val="000000" w:themeColor="text1"/>
        </w:rPr>
        <w:t>Spickard, James V. "</w:t>
      </w:r>
      <w:r w:rsidRPr="00033339">
        <w:rPr>
          <w:i/>
          <w:iCs/>
          <w:color w:val="000000" w:themeColor="text1"/>
        </w:rPr>
        <w:t>Empirical Phenomenology in the Study of Religion</w:t>
      </w:r>
      <w:r w:rsidRPr="00033339">
        <w:rPr>
          <w:color w:val="000000" w:themeColor="text1"/>
        </w:rPr>
        <w:t>." (2012).</w:t>
      </w:r>
    </w:p>
    <w:p w14:paraId="1BEF6D7F" w14:textId="77777777" w:rsidR="00033339" w:rsidRPr="00033339" w:rsidRDefault="00033339" w:rsidP="00902690">
      <w:pPr>
        <w:jc w:val="both"/>
        <w:rPr>
          <w:color w:val="000000" w:themeColor="text1"/>
        </w:rPr>
      </w:pPr>
      <w:r w:rsidRPr="00033339">
        <w:rPr>
          <w:color w:val="000000" w:themeColor="text1"/>
        </w:rPr>
        <w:t>Vanclay</w:t>
      </w:r>
      <w:r w:rsidRPr="00033339">
        <w:rPr>
          <w:color w:val="000000" w:themeColor="text1"/>
        </w:rPr>
        <w:t xml:space="preserve"> Frank</w:t>
      </w:r>
      <w:r w:rsidRPr="00033339">
        <w:rPr>
          <w:color w:val="000000" w:themeColor="text1"/>
        </w:rPr>
        <w:t>,</w:t>
      </w:r>
      <w:r w:rsidRPr="00033339">
        <w:rPr>
          <w:color w:val="000000" w:themeColor="text1"/>
        </w:rPr>
        <w:t xml:space="preserve"> </w:t>
      </w:r>
      <w:r w:rsidRPr="00033339">
        <w:rPr>
          <w:color w:val="000000" w:themeColor="text1"/>
        </w:rPr>
        <w:t>Baines</w:t>
      </w:r>
      <w:r w:rsidRPr="00033339">
        <w:rPr>
          <w:color w:val="000000" w:themeColor="text1"/>
        </w:rPr>
        <w:t xml:space="preserve"> T James</w:t>
      </w:r>
      <w:r w:rsidRPr="00033339">
        <w:rPr>
          <w:color w:val="000000" w:themeColor="text1"/>
        </w:rPr>
        <w:t xml:space="preserve"> &amp;</w:t>
      </w:r>
      <w:r w:rsidRPr="00033339">
        <w:rPr>
          <w:color w:val="000000" w:themeColor="text1"/>
        </w:rPr>
        <w:t xml:space="preserve"> </w:t>
      </w:r>
      <w:r w:rsidRPr="00033339">
        <w:rPr>
          <w:color w:val="000000" w:themeColor="text1"/>
        </w:rPr>
        <w:t>Taylor</w:t>
      </w:r>
      <w:r w:rsidRPr="00033339">
        <w:rPr>
          <w:color w:val="000000" w:themeColor="text1"/>
        </w:rPr>
        <w:t xml:space="preserve"> Nicholas. C.</w:t>
      </w:r>
      <w:r w:rsidRPr="00033339">
        <w:rPr>
          <w:color w:val="000000" w:themeColor="text1"/>
        </w:rPr>
        <w:t xml:space="preserve"> (2013) Principles for ethical research involving humans: ethical professional practice in impact assessment Part I, Impact Assessment and Project Appraisal, 31:4, </w:t>
      </w:r>
      <w:r w:rsidRPr="00033339">
        <w:rPr>
          <w:color w:val="000000" w:themeColor="text1"/>
        </w:rPr>
        <w:t xml:space="preserve">pp. </w:t>
      </w:r>
      <w:r w:rsidRPr="00033339">
        <w:rPr>
          <w:color w:val="000000" w:themeColor="text1"/>
        </w:rPr>
        <w:t>243-253</w:t>
      </w:r>
      <w:r w:rsidRPr="00033339">
        <w:rPr>
          <w:color w:val="000000" w:themeColor="text1"/>
        </w:rPr>
        <w:t>.</w:t>
      </w:r>
    </w:p>
    <w:p w14:paraId="4B485D14" w14:textId="77777777" w:rsidR="00033339" w:rsidRPr="00033339" w:rsidRDefault="00033339" w:rsidP="00902690">
      <w:pPr>
        <w:jc w:val="both"/>
        <w:rPr>
          <w:color w:val="000000" w:themeColor="text1"/>
        </w:rPr>
      </w:pPr>
      <w:r w:rsidRPr="00033339">
        <w:rPr>
          <w:color w:val="000000" w:themeColor="text1"/>
        </w:rPr>
        <w:t xml:space="preserve">Wallis, Robert J, &amp; Blain, Jenny. (2003). </w:t>
      </w:r>
      <w:r w:rsidRPr="00033339">
        <w:rPr>
          <w:i/>
          <w:iCs/>
          <w:color w:val="000000" w:themeColor="text1"/>
        </w:rPr>
        <w:t>Sites, sacredness, and stories: Interactions of archaeology and contemporary paganism. Folklore</w:t>
      </w:r>
      <w:r w:rsidRPr="00033339">
        <w:rPr>
          <w:color w:val="000000" w:themeColor="text1"/>
        </w:rPr>
        <w:t xml:space="preserve"> (London), 114(3), pp. 307–321.</w:t>
      </w:r>
    </w:p>
    <w:sectPr w:rsidR="00033339" w:rsidRPr="0003333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696103" w14:textId="77777777" w:rsidR="003407B7" w:rsidRDefault="003407B7" w:rsidP="00D61304">
      <w:pPr>
        <w:spacing w:after="0" w:line="240" w:lineRule="auto"/>
      </w:pPr>
      <w:r>
        <w:separator/>
      </w:r>
    </w:p>
  </w:endnote>
  <w:endnote w:type="continuationSeparator" w:id="0">
    <w:p w14:paraId="00707816" w14:textId="77777777" w:rsidR="003407B7" w:rsidRDefault="003407B7" w:rsidP="00D61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4F840" w14:textId="77777777" w:rsidR="003407B7" w:rsidRDefault="003407B7" w:rsidP="00D61304">
      <w:pPr>
        <w:spacing w:after="0" w:line="240" w:lineRule="auto"/>
      </w:pPr>
      <w:r>
        <w:separator/>
      </w:r>
    </w:p>
  </w:footnote>
  <w:footnote w:type="continuationSeparator" w:id="0">
    <w:p w14:paraId="4CF5DD76" w14:textId="77777777" w:rsidR="003407B7" w:rsidRDefault="003407B7" w:rsidP="00D61304">
      <w:pPr>
        <w:spacing w:after="0" w:line="240" w:lineRule="auto"/>
      </w:pPr>
      <w:r>
        <w:continuationSeparator/>
      </w:r>
    </w:p>
  </w:footnote>
  <w:footnote w:id="1">
    <w:p w14:paraId="51B29F09" w14:textId="2EB9A598" w:rsidR="00D61304" w:rsidRPr="009E41CE" w:rsidRDefault="00D61304">
      <w:pPr>
        <w:pStyle w:val="FootnoteText"/>
        <w:rPr>
          <w:sz w:val="18"/>
          <w:szCs w:val="18"/>
        </w:rPr>
      </w:pPr>
      <w:r w:rsidRPr="009E41CE">
        <w:rPr>
          <w:rStyle w:val="FootnoteReference"/>
          <w:sz w:val="18"/>
          <w:szCs w:val="18"/>
        </w:rPr>
        <w:footnoteRef/>
      </w:r>
      <w:r w:rsidRPr="009E41CE">
        <w:rPr>
          <w:sz w:val="18"/>
          <w:szCs w:val="18"/>
        </w:rPr>
        <w:t xml:space="preserve"> </w:t>
      </w:r>
      <w:r w:rsidRPr="009E41CE">
        <w:rPr>
          <w:sz w:val="18"/>
          <w:szCs w:val="18"/>
        </w:rPr>
        <w:t>Gillian, Bennett. 1995. “</w:t>
      </w:r>
      <w:r w:rsidRPr="009E41CE">
        <w:rPr>
          <w:i/>
          <w:iCs/>
          <w:sz w:val="18"/>
          <w:szCs w:val="18"/>
        </w:rPr>
        <w:t xml:space="preserve">If I Knew You were </w:t>
      </w:r>
      <w:proofErr w:type="gramStart"/>
      <w:r w:rsidRPr="009E41CE">
        <w:rPr>
          <w:i/>
          <w:iCs/>
          <w:sz w:val="18"/>
          <w:szCs w:val="18"/>
        </w:rPr>
        <w:t>Coming</w:t>
      </w:r>
      <w:proofErr w:type="gramEnd"/>
      <w:r w:rsidRPr="009E41CE">
        <w:rPr>
          <w:i/>
          <w:iCs/>
          <w:sz w:val="18"/>
          <w:szCs w:val="18"/>
        </w:rPr>
        <w:t xml:space="preserve"> I'd Have Baked a Cake</w:t>
      </w:r>
      <w:r w:rsidRPr="009E41CE">
        <w:rPr>
          <w:sz w:val="18"/>
          <w:szCs w:val="18"/>
        </w:rPr>
        <w:t xml:space="preserve">”: The Folklore of Foreknowledge in a Neighborhood Group. In Out of the Ordinary: Folklore and the Supernatural, edited by Barbara Walker, </w:t>
      </w:r>
      <w:r w:rsidR="00D01B0B" w:rsidRPr="009E41CE">
        <w:rPr>
          <w:sz w:val="18"/>
          <w:szCs w:val="18"/>
        </w:rPr>
        <w:t xml:space="preserve">pp. </w:t>
      </w:r>
      <w:r w:rsidRPr="009E41CE">
        <w:rPr>
          <w:sz w:val="18"/>
          <w:szCs w:val="18"/>
        </w:rPr>
        <w:t>122-142. Logan, Utah: Utah University Press.</w:t>
      </w:r>
    </w:p>
  </w:footnote>
  <w:footnote w:id="2">
    <w:p w14:paraId="0006F438" w14:textId="127FE2F8" w:rsidR="00D61304" w:rsidRPr="009E41CE" w:rsidRDefault="00D61304">
      <w:pPr>
        <w:pStyle w:val="FootnoteText"/>
        <w:rPr>
          <w:sz w:val="18"/>
          <w:szCs w:val="18"/>
        </w:rPr>
      </w:pPr>
      <w:r w:rsidRPr="009E41CE">
        <w:rPr>
          <w:rStyle w:val="FootnoteReference"/>
          <w:sz w:val="18"/>
          <w:szCs w:val="18"/>
        </w:rPr>
        <w:footnoteRef/>
      </w:r>
      <w:r w:rsidRPr="009E41CE">
        <w:rPr>
          <w:sz w:val="18"/>
          <w:szCs w:val="18"/>
        </w:rPr>
        <w:t xml:space="preserve"> </w:t>
      </w:r>
      <w:r w:rsidRPr="009E41CE">
        <w:rPr>
          <w:sz w:val="18"/>
          <w:szCs w:val="18"/>
        </w:rPr>
        <w:t>Jenny, Blain. 2000. ‘</w:t>
      </w:r>
      <w:r w:rsidRPr="009E41CE">
        <w:rPr>
          <w:i/>
          <w:iCs/>
          <w:sz w:val="18"/>
          <w:szCs w:val="18"/>
        </w:rPr>
        <w:t>Speaking Shamanistically: Seidr, Academia and Rationality</w:t>
      </w:r>
      <w:r w:rsidRPr="009E41CE">
        <w:rPr>
          <w:sz w:val="18"/>
          <w:szCs w:val="18"/>
        </w:rPr>
        <w:t>’. In DISKUS Volume 6 (2000).</w:t>
      </w:r>
    </w:p>
  </w:footnote>
  <w:footnote w:id="3">
    <w:p w14:paraId="58505FEF" w14:textId="5EDB3899" w:rsidR="00D61304" w:rsidRPr="009E41CE" w:rsidRDefault="00D61304">
      <w:pPr>
        <w:pStyle w:val="FootnoteText"/>
        <w:rPr>
          <w:sz w:val="18"/>
          <w:szCs w:val="18"/>
        </w:rPr>
      </w:pPr>
      <w:r w:rsidRPr="009E41CE">
        <w:rPr>
          <w:rStyle w:val="FootnoteReference"/>
          <w:sz w:val="18"/>
          <w:szCs w:val="18"/>
        </w:rPr>
        <w:footnoteRef/>
      </w:r>
      <w:r w:rsidRPr="009E41CE">
        <w:rPr>
          <w:sz w:val="18"/>
          <w:szCs w:val="18"/>
        </w:rPr>
        <w:t xml:space="preserve"> </w:t>
      </w:r>
      <w:r w:rsidRPr="009E41CE">
        <w:rPr>
          <w:sz w:val="18"/>
          <w:szCs w:val="18"/>
        </w:rPr>
        <w:t>Jenny, Blain, and Robert J. Wallis. “</w:t>
      </w:r>
      <w:r w:rsidRPr="009E41CE">
        <w:rPr>
          <w:i/>
          <w:iCs/>
          <w:sz w:val="18"/>
          <w:szCs w:val="18"/>
        </w:rPr>
        <w:t>RITUAL REFLECTIONS, PRACTITIONER MEANINGS: DISPUTING THE TERMINOLOGY OF NEO-SHAMANIC 'PERFORMANCE</w:t>
      </w:r>
      <w:r w:rsidRPr="009E41CE">
        <w:rPr>
          <w:sz w:val="18"/>
          <w:szCs w:val="18"/>
        </w:rPr>
        <w:t>'.” Journal of Ritual Studies, vol. 20, no. 1, 2006, pp. 21–36.</w:t>
      </w:r>
    </w:p>
  </w:footnote>
  <w:footnote w:id="4">
    <w:p w14:paraId="30F589B6" w14:textId="6BBE53CB" w:rsidR="00D61304" w:rsidRPr="009E41CE" w:rsidRDefault="00D61304">
      <w:pPr>
        <w:pStyle w:val="FootnoteText"/>
        <w:rPr>
          <w:sz w:val="18"/>
          <w:szCs w:val="18"/>
        </w:rPr>
      </w:pPr>
      <w:r w:rsidRPr="009E41CE">
        <w:rPr>
          <w:rStyle w:val="FootnoteReference"/>
          <w:sz w:val="18"/>
          <w:szCs w:val="18"/>
        </w:rPr>
        <w:footnoteRef/>
      </w:r>
      <w:r w:rsidRPr="009E41CE">
        <w:rPr>
          <w:sz w:val="18"/>
          <w:szCs w:val="18"/>
        </w:rPr>
        <w:t xml:space="preserve"> Gillian</w:t>
      </w:r>
      <w:r w:rsidR="00C54116" w:rsidRPr="009E41CE">
        <w:rPr>
          <w:sz w:val="18"/>
          <w:szCs w:val="18"/>
        </w:rPr>
        <w:t>, Bennet</w:t>
      </w:r>
      <w:r w:rsidRPr="009E41CE">
        <w:rPr>
          <w:sz w:val="18"/>
          <w:szCs w:val="18"/>
        </w:rPr>
        <w:t xml:space="preserve">. </w:t>
      </w:r>
      <w:r w:rsidRPr="009E41CE">
        <w:rPr>
          <w:i/>
          <w:iCs/>
          <w:sz w:val="18"/>
          <w:szCs w:val="18"/>
        </w:rPr>
        <w:t>Alas Poor Ghost</w:t>
      </w:r>
      <w:r w:rsidRPr="009E41CE">
        <w:rPr>
          <w:sz w:val="18"/>
          <w:szCs w:val="18"/>
        </w:rPr>
        <w:t>. University Press of Colorado, 1999.</w:t>
      </w:r>
    </w:p>
  </w:footnote>
  <w:footnote w:id="5">
    <w:p w14:paraId="355DB6D1" w14:textId="548118C1" w:rsidR="00D61304" w:rsidRPr="009E41CE" w:rsidRDefault="00D61304">
      <w:pPr>
        <w:pStyle w:val="FootnoteText"/>
        <w:rPr>
          <w:sz w:val="18"/>
          <w:szCs w:val="18"/>
        </w:rPr>
      </w:pPr>
      <w:r w:rsidRPr="009E41CE">
        <w:rPr>
          <w:rStyle w:val="FootnoteReference"/>
          <w:sz w:val="18"/>
          <w:szCs w:val="18"/>
        </w:rPr>
        <w:footnoteRef/>
      </w:r>
      <w:r w:rsidRPr="009E41CE">
        <w:rPr>
          <w:sz w:val="18"/>
          <w:szCs w:val="18"/>
        </w:rPr>
        <w:t xml:space="preserve"> </w:t>
      </w:r>
      <w:r w:rsidRPr="009E41CE">
        <w:rPr>
          <w:sz w:val="18"/>
          <w:szCs w:val="18"/>
        </w:rPr>
        <w:t>Gillian</w:t>
      </w:r>
      <w:r w:rsidR="00C54116" w:rsidRPr="009E41CE">
        <w:rPr>
          <w:sz w:val="18"/>
          <w:szCs w:val="18"/>
        </w:rPr>
        <w:t>, Bennet</w:t>
      </w:r>
      <w:r w:rsidRPr="009E41CE">
        <w:rPr>
          <w:sz w:val="18"/>
          <w:szCs w:val="18"/>
        </w:rPr>
        <w:t>. “</w:t>
      </w:r>
      <w:r w:rsidRPr="009E41CE">
        <w:rPr>
          <w:i/>
          <w:iCs/>
          <w:sz w:val="18"/>
          <w:szCs w:val="18"/>
        </w:rPr>
        <w:t>The Thomsian Heritage in the Folklore Society (London)</w:t>
      </w:r>
      <w:r w:rsidRPr="009E41CE">
        <w:rPr>
          <w:sz w:val="18"/>
          <w:szCs w:val="18"/>
        </w:rPr>
        <w:t>.” Journal of Folklore Research, vol. 33, no. 3, 1996, pp. 212–220.</w:t>
      </w:r>
    </w:p>
  </w:footnote>
  <w:footnote w:id="6">
    <w:p w14:paraId="2A03A3A4" w14:textId="378EE476" w:rsidR="009126D1" w:rsidRPr="009E41CE" w:rsidRDefault="009126D1" w:rsidP="004679C7">
      <w:pPr>
        <w:pStyle w:val="FootnoteText"/>
        <w:rPr>
          <w:sz w:val="18"/>
          <w:szCs w:val="18"/>
        </w:rPr>
      </w:pPr>
      <w:r w:rsidRPr="009E41CE">
        <w:rPr>
          <w:rStyle w:val="FootnoteReference"/>
          <w:sz w:val="18"/>
          <w:szCs w:val="18"/>
        </w:rPr>
        <w:footnoteRef/>
      </w:r>
      <w:r w:rsidRPr="009E41CE">
        <w:rPr>
          <w:sz w:val="18"/>
          <w:szCs w:val="18"/>
        </w:rPr>
        <w:t xml:space="preserve"> </w:t>
      </w:r>
      <w:r w:rsidR="004679C7" w:rsidRPr="009E41CE">
        <w:rPr>
          <w:sz w:val="18"/>
          <w:szCs w:val="18"/>
        </w:rPr>
        <w:t>Jenny,</w:t>
      </w:r>
      <w:r w:rsidR="004679C7" w:rsidRPr="009E41CE">
        <w:rPr>
          <w:sz w:val="18"/>
          <w:szCs w:val="18"/>
        </w:rPr>
        <w:t xml:space="preserve"> Blain</w:t>
      </w:r>
      <w:r w:rsidR="004679C7" w:rsidRPr="009E41CE">
        <w:rPr>
          <w:sz w:val="18"/>
          <w:szCs w:val="18"/>
        </w:rPr>
        <w:t xml:space="preserve"> &amp; Wallis, Robert J. (2000). The </w:t>
      </w:r>
      <w:r w:rsidR="004679C7" w:rsidRPr="009E41CE">
        <w:rPr>
          <w:i/>
          <w:iCs/>
          <w:sz w:val="18"/>
          <w:szCs w:val="18"/>
        </w:rPr>
        <w:t>'Ergi' Seidman: Contestations of Gender, Shamanism and Sexuality in Northern Religion Past and Present</w:t>
      </w:r>
      <w:r w:rsidR="004679C7" w:rsidRPr="009E41CE">
        <w:rPr>
          <w:sz w:val="18"/>
          <w:szCs w:val="18"/>
        </w:rPr>
        <w:t>. Journal of Contemporary Religion, 15(3),</w:t>
      </w:r>
      <w:r w:rsidR="00203CD6">
        <w:rPr>
          <w:sz w:val="18"/>
          <w:szCs w:val="18"/>
        </w:rPr>
        <w:t xml:space="preserve"> pp.</w:t>
      </w:r>
      <w:r w:rsidR="004679C7" w:rsidRPr="009E41CE">
        <w:rPr>
          <w:sz w:val="18"/>
          <w:szCs w:val="18"/>
        </w:rPr>
        <w:t xml:space="preserve"> 395–411</w:t>
      </w:r>
      <w:r w:rsidR="00203CD6">
        <w:rPr>
          <w:sz w:val="18"/>
          <w:szCs w:val="18"/>
        </w:rPr>
        <w:t>.</w:t>
      </w:r>
    </w:p>
  </w:footnote>
  <w:footnote w:id="7">
    <w:p w14:paraId="7D0772EA" w14:textId="683DC6FC" w:rsidR="00696398" w:rsidRPr="009E41CE" w:rsidRDefault="00696398">
      <w:pPr>
        <w:pStyle w:val="FootnoteText"/>
        <w:rPr>
          <w:sz w:val="18"/>
          <w:szCs w:val="18"/>
        </w:rPr>
      </w:pPr>
      <w:r w:rsidRPr="009E41CE">
        <w:rPr>
          <w:rStyle w:val="FootnoteReference"/>
          <w:sz w:val="18"/>
          <w:szCs w:val="18"/>
        </w:rPr>
        <w:footnoteRef/>
      </w:r>
      <w:r w:rsidRPr="009E41CE">
        <w:rPr>
          <w:sz w:val="18"/>
          <w:szCs w:val="18"/>
        </w:rPr>
        <w:t xml:space="preserve"> </w:t>
      </w:r>
      <w:r w:rsidRPr="009E41CE">
        <w:rPr>
          <w:sz w:val="18"/>
          <w:szCs w:val="18"/>
        </w:rPr>
        <w:t xml:space="preserve">Robert, J, Griffin. “Anonymity and Authorship.” </w:t>
      </w:r>
      <w:r w:rsidRPr="0062251D">
        <w:rPr>
          <w:i/>
          <w:iCs/>
          <w:sz w:val="18"/>
          <w:szCs w:val="18"/>
        </w:rPr>
        <w:t>New Literary History</w:t>
      </w:r>
      <w:r w:rsidRPr="009E41CE">
        <w:rPr>
          <w:sz w:val="18"/>
          <w:szCs w:val="18"/>
        </w:rPr>
        <w:t>, vol. 30, no. 4, 1999, pp. 877–895.</w:t>
      </w:r>
    </w:p>
  </w:footnote>
  <w:footnote w:id="8">
    <w:p w14:paraId="225D1A5A" w14:textId="29B6F27A" w:rsidR="00D61304" w:rsidRPr="009E41CE" w:rsidRDefault="00D61304">
      <w:pPr>
        <w:pStyle w:val="FootnoteText"/>
        <w:rPr>
          <w:sz w:val="18"/>
          <w:szCs w:val="18"/>
        </w:rPr>
      </w:pPr>
      <w:r w:rsidRPr="009E41CE">
        <w:rPr>
          <w:rStyle w:val="FootnoteReference"/>
          <w:sz w:val="18"/>
          <w:szCs w:val="18"/>
        </w:rPr>
        <w:footnoteRef/>
      </w:r>
      <w:r w:rsidRPr="009E41CE">
        <w:rPr>
          <w:sz w:val="18"/>
          <w:szCs w:val="18"/>
        </w:rPr>
        <w:t xml:space="preserve"> </w:t>
      </w:r>
      <w:r w:rsidRPr="009E41CE">
        <w:rPr>
          <w:sz w:val="18"/>
          <w:szCs w:val="18"/>
        </w:rPr>
        <w:t>GARDINER, MARK</w:t>
      </w:r>
      <w:r w:rsidR="007121EB">
        <w:rPr>
          <w:sz w:val="18"/>
          <w:szCs w:val="18"/>
        </w:rPr>
        <w:t xml:space="preserve"> Q</w:t>
      </w:r>
      <w:r w:rsidRPr="009E41CE">
        <w:rPr>
          <w:sz w:val="18"/>
          <w:szCs w:val="18"/>
        </w:rPr>
        <w:t>., and STEVEN ENGLER. “</w:t>
      </w:r>
      <w:r w:rsidRPr="009E41CE">
        <w:rPr>
          <w:i/>
          <w:iCs/>
          <w:sz w:val="18"/>
          <w:szCs w:val="18"/>
        </w:rPr>
        <w:t>Semantic Holism and the Insider—Outsider Problem</w:t>
      </w:r>
      <w:r w:rsidRPr="009E41CE">
        <w:rPr>
          <w:sz w:val="18"/>
          <w:szCs w:val="18"/>
        </w:rPr>
        <w:t>.” Religious Studies, vol. 48, no. 2, 2012, pp. 239–255.</w:t>
      </w:r>
    </w:p>
  </w:footnote>
  <w:footnote w:id="9">
    <w:p w14:paraId="673CAEC8" w14:textId="3FA01484" w:rsidR="00D61304" w:rsidRPr="009E41CE" w:rsidRDefault="00D61304">
      <w:pPr>
        <w:pStyle w:val="FootnoteText"/>
        <w:rPr>
          <w:sz w:val="18"/>
          <w:szCs w:val="18"/>
        </w:rPr>
      </w:pPr>
      <w:r w:rsidRPr="009E41CE">
        <w:rPr>
          <w:rStyle w:val="FootnoteReference"/>
          <w:sz w:val="18"/>
          <w:szCs w:val="18"/>
        </w:rPr>
        <w:footnoteRef/>
      </w:r>
      <w:r w:rsidRPr="009E41CE">
        <w:rPr>
          <w:sz w:val="18"/>
          <w:szCs w:val="18"/>
        </w:rPr>
        <w:t xml:space="preserve"> </w:t>
      </w:r>
      <w:r w:rsidRPr="009E41CE">
        <w:rPr>
          <w:sz w:val="18"/>
          <w:szCs w:val="18"/>
        </w:rPr>
        <w:t>Bennet G,</w:t>
      </w:r>
      <w:r w:rsidR="00D96080" w:rsidRPr="009E41CE">
        <w:rPr>
          <w:sz w:val="18"/>
          <w:szCs w:val="18"/>
        </w:rPr>
        <w:t xml:space="preserve"> </w:t>
      </w:r>
      <w:r w:rsidRPr="009E41CE">
        <w:rPr>
          <w:sz w:val="18"/>
          <w:szCs w:val="18"/>
        </w:rPr>
        <w:t>“</w:t>
      </w:r>
      <w:r w:rsidRPr="009E41CE">
        <w:rPr>
          <w:i/>
          <w:iCs/>
          <w:sz w:val="18"/>
          <w:szCs w:val="18"/>
        </w:rPr>
        <w:t xml:space="preserve">If I Knew You were </w:t>
      </w:r>
      <w:proofErr w:type="gramStart"/>
      <w:r w:rsidRPr="009E41CE">
        <w:rPr>
          <w:i/>
          <w:iCs/>
          <w:sz w:val="18"/>
          <w:szCs w:val="18"/>
        </w:rPr>
        <w:t>Coming</w:t>
      </w:r>
      <w:proofErr w:type="gramEnd"/>
      <w:r w:rsidRPr="009E41CE">
        <w:rPr>
          <w:i/>
          <w:iCs/>
          <w:sz w:val="18"/>
          <w:szCs w:val="18"/>
        </w:rPr>
        <w:t xml:space="preserve"> I'd Have Baked a Cake</w:t>
      </w:r>
      <w:r w:rsidRPr="009E41CE">
        <w:rPr>
          <w:sz w:val="18"/>
          <w:szCs w:val="18"/>
        </w:rPr>
        <w:t>.” p. 126.</w:t>
      </w:r>
    </w:p>
  </w:footnote>
  <w:footnote w:id="10">
    <w:p w14:paraId="678BE11D" w14:textId="4A14656A" w:rsidR="00BB23F5" w:rsidRPr="009E41CE" w:rsidRDefault="00BB23F5">
      <w:pPr>
        <w:pStyle w:val="FootnoteText"/>
        <w:rPr>
          <w:sz w:val="18"/>
          <w:szCs w:val="18"/>
        </w:rPr>
      </w:pPr>
      <w:r w:rsidRPr="009E41CE">
        <w:rPr>
          <w:rStyle w:val="FootnoteReference"/>
          <w:sz w:val="18"/>
          <w:szCs w:val="18"/>
        </w:rPr>
        <w:footnoteRef/>
      </w:r>
      <w:r w:rsidRPr="009E41CE">
        <w:rPr>
          <w:sz w:val="18"/>
          <w:szCs w:val="18"/>
        </w:rPr>
        <w:t xml:space="preserve"> </w:t>
      </w:r>
      <w:r w:rsidRPr="009E41CE">
        <w:rPr>
          <w:sz w:val="18"/>
          <w:szCs w:val="18"/>
        </w:rPr>
        <w:t>Bennet G,</w:t>
      </w:r>
      <w:r w:rsidR="00D96080" w:rsidRPr="009E41CE">
        <w:rPr>
          <w:sz w:val="18"/>
          <w:szCs w:val="18"/>
        </w:rPr>
        <w:t xml:space="preserve"> </w:t>
      </w:r>
      <w:r w:rsidRPr="009E41CE">
        <w:rPr>
          <w:sz w:val="18"/>
          <w:szCs w:val="18"/>
        </w:rPr>
        <w:t>“</w:t>
      </w:r>
      <w:r w:rsidRPr="009E41CE">
        <w:rPr>
          <w:i/>
          <w:iCs/>
          <w:sz w:val="18"/>
          <w:szCs w:val="18"/>
        </w:rPr>
        <w:t xml:space="preserve">If I Knew You were </w:t>
      </w:r>
      <w:proofErr w:type="gramStart"/>
      <w:r w:rsidRPr="009E41CE">
        <w:rPr>
          <w:i/>
          <w:iCs/>
          <w:sz w:val="18"/>
          <w:szCs w:val="18"/>
        </w:rPr>
        <w:t>Coming</w:t>
      </w:r>
      <w:proofErr w:type="gramEnd"/>
      <w:r w:rsidRPr="009E41CE">
        <w:rPr>
          <w:i/>
          <w:iCs/>
          <w:sz w:val="18"/>
          <w:szCs w:val="18"/>
        </w:rPr>
        <w:t xml:space="preserve"> I'd Have Baked a Cake</w:t>
      </w:r>
      <w:r w:rsidRPr="009E41CE">
        <w:rPr>
          <w:sz w:val="18"/>
          <w:szCs w:val="18"/>
        </w:rPr>
        <w:t>.” p. 12</w:t>
      </w:r>
      <w:r w:rsidR="0073645C" w:rsidRPr="009E41CE">
        <w:rPr>
          <w:sz w:val="18"/>
          <w:szCs w:val="18"/>
        </w:rPr>
        <w:t>7</w:t>
      </w:r>
      <w:r w:rsidRPr="009E41CE">
        <w:rPr>
          <w:sz w:val="18"/>
          <w:szCs w:val="18"/>
        </w:rPr>
        <w:t>.</w:t>
      </w:r>
    </w:p>
  </w:footnote>
  <w:footnote w:id="11">
    <w:p w14:paraId="6AED9469" w14:textId="7F9AE5F9" w:rsidR="00BB23F5" w:rsidRPr="001B523F" w:rsidRDefault="00BB23F5">
      <w:pPr>
        <w:pStyle w:val="FootnoteText"/>
        <w:rPr>
          <w:sz w:val="18"/>
          <w:szCs w:val="18"/>
        </w:rPr>
      </w:pPr>
      <w:r w:rsidRPr="001B523F">
        <w:rPr>
          <w:rStyle w:val="FootnoteReference"/>
          <w:sz w:val="18"/>
          <w:szCs w:val="18"/>
        </w:rPr>
        <w:footnoteRef/>
      </w:r>
      <w:r w:rsidRPr="001B523F">
        <w:rPr>
          <w:sz w:val="18"/>
          <w:szCs w:val="18"/>
        </w:rPr>
        <w:t xml:space="preserve"> </w:t>
      </w:r>
      <w:r w:rsidR="00593A46" w:rsidRPr="001B523F">
        <w:rPr>
          <w:sz w:val="18"/>
          <w:szCs w:val="18"/>
        </w:rPr>
        <w:t>Gillian Bennet</w:t>
      </w:r>
      <w:r w:rsidRPr="001B523F">
        <w:rPr>
          <w:sz w:val="18"/>
          <w:szCs w:val="18"/>
        </w:rPr>
        <w:t>,</w:t>
      </w:r>
      <w:r w:rsidR="00D96080" w:rsidRPr="001B523F">
        <w:rPr>
          <w:sz w:val="18"/>
          <w:szCs w:val="18"/>
        </w:rPr>
        <w:t xml:space="preserve"> </w:t>
      </w:r>
      <w:r w:rsidRPr="001B523F">
        <w:rPr>
          <w:sz w:val="18"/>
          <w:szCs w:val="18"/>
        </w:rPr>
        <w:t>“</w:t>
      </w:r>
      <w:r w:rsidRPr="001B523F">
        <w:rPr>
          <w:i/>
          <w:iCs/>
          <w:sz w:val="18"/>
          <w:szCs w:val="18"/>
        </w:rPr>
        <w:t xml:space="preserve">If I Knew You were </w:t>
      </w:r>
      <w:proofErr w:type="gramStart"/>
      <w:r w:rsidRPr="001B523F">
        <w:rPr>
          <w:i/>
          <w:iCs/>
          <w:sz w:val="18"/>
          <w:szCs w:val="18"/>
        </w:rPr>
        <w:t>Coming</w:t>
      </w:r>
      <w:proofErr w:type="gramEnd"/>
      <w:r w:rsidRPr="001B523F">
        <w:rPr>
          <w:i/>
          <w:iCs/>
          <w:sz w:val="18"/>
          <w:szCs w:val="18"/>
        </w:rPr>
        <w:t xml:space="preserve"> I'd Have Baked a Cake</w:t>
      </w:r>
      <w:r w:rsidRPr="001B523F">
        <w:rPr>
          <w:sz w:val="18"/>
          <w:szCs w:val="18"/>
        </w:rPr>
        <w:t>.” p. 128.</w:t>
      </w:r>
    </w:p>
  </w:footnote>
  <w:footnote w:id="12">
    <w:p w14:paraId="6BA73705" w14:textId="600A60F5" w:rsidR="00BB23F5" w:rsidRPr="001B523F" w:rsidRDefault="00BB23F5">
      <w:pPr>
        <w:pStyle w:val="FootnoteText"/>
        <w:rPr>
          <w:sz w:val="18"/>
          <w:szCs w:val="18"/>
        </w:rPr>
      </w:pPr>
      <w:r w:rsidRPr="001B523F">
        <w:rPr>
          <w:rStyle w:val="FootnoteReference"/>
          <w:sz w:val="18"/>
          <w:szCs w:val="18"/>
        </w:rPr>
        <w:footnoteRef/>
      </w:r>
      <w:r w:rsidRPr="001B523F">
        <w:rPr>
          <w:sz w:val="18"/>
          <w:szCs w:val="18"/>
        </w:rPr>
        <w:t xml:space="preserve"> </w:t>
      </w:r>
      <w:r w:rsidR="00F43B96" w:rsidRPr="001B523F">
        <w:rPr>
          <w:sz w:val="18"/>
          <w:szCs w:val="18"/>
        </w:rPr>
        <w:t xml:space="preserve">Monnig, Jane, </w:t>
      </w:r>
      <w:r w:rsidRPr="001B523F">
        <w:rPr>
          <w:sz w:val="18"/>
          <w:szCs w:val="18"/>
        </w:rPr>
        <w:t>Atkinson. “</w:t>
      </w:r>
      <w:r w:rsidRPr="001B523F">
        <w:rPr>
          <w:i/>
          <w:iCs/>
          <w:sz w:val="18"/>
          <w:szCs w:val="18"/>
        </w:rPr>
        <w:t>Shamanisms Today</w:t>
      </w:r>
      <w:r w:rsidRPr="001B523F">
        <w:rPr>
          <w:sz w:val="18"/>
          <w:szCs w:val="18"/>
        </w:rPr>
        <w:t>.” Annual Review of Anthropology, vol. 21, 1992, pp. 307–330. J</w:t>
      </w:r>
    </w:p>
  </w:footnote>
  <w:footnote w:id="13">
    <w:p w14:paraId="34632AF3" w14:textId="17A3501B" w:rsidR="00BB23F5" w:rsidRPr="001B523F" w:rsidRDefault="00BB23F5">
      <w:pPr>
        <w:pStyle w:val="FootnoteText"/>
        <w:rPr>
          <w:sz w:val="18"/>
          <w:szCs w:val="18"/>
        </w:rPr>
      </w:pPr>
      <w:r w:rsidRPr="001B523F">
        <w:rPr>
          <w:rStyle w:val="FootnoteReference"/>
          <w:sz w:val="18"/>
          <w:szCs w:val="18"/>
        </w:rPr>
        <w:footnoteRef/>
      </w:r>
      <w:r w:rsidRPr="001B523F">
        <w:rPr>
          <w:sz w:val="18"/>
          <w:szCs w:val="18"/>
        </w:rPr>
        <w:t xml:space="preserve"> </w:t>
      </w:r>
      <w:r w:rsidR="009A6BCF" w:rsidRPr="001B523F">
        <w:rPr>
          <w:sz w:val="18"/>
          <w:szCs w:val="18"/>
        </w:rPr>
        <w:t>Larry, Ellis</w:t>
      </w:r>
      <w:r w:rsidRPr="001B523F">
        <w:rPr>
          <w:sz w:val="18"/>
          <w:szCs w:val="18"/>
        </w:rPr>
        <w:t>. “</w:t>
      </w:r>
      <w:r w:rsidRPr="001B523F">
        <w:rPr>
          <w:i/>
          <w:iCs/>
          <w:sz w:val="18"/>
          <w:szCs w:val="18"/>
        </w:rPr>
        <w:t>Trickster: Shaman of the Liminal</w:t>
      </w:r>
      <w:r w:rsidRPr="001B523F">
        <w:rPr>
          <w:sz w:val="18"/>
          <w:szCs w:val="18"/>
        </w:rPr>
        <w:t>.” Studies in American Indian Literatures, vol. 5, no. 4, 1993, pp. 55–68.</w:t>
      </w:r>
    </w:p>
  </w:footnote>
  <w:footnote w:id="14">
    <w:p w14:paraId="346AB1EE" w14:textId="6302D859" w:rsidR="009F3BB6" w:rsidRPr="001B523F" w:rsidRDefault="009F3BB6">
      <w:pPr>
        <w:pStyle w:val="FootnoteText"/>
        <w:rPr>
          <w:sz w:val="18"/>
          <w:szCs w:val="18"/>
        </w:rPr>
      </w:pPr>
      <w:r w:rsidRPr="001B523F">
        <w:rPr>
          <w:rStyle w:val="FootnoteReference"/>
          <w:sz w:val="18"/>
          <w:szCs w:val="18"/>
        </w:rPr>
        <w:footnoteRef/>
      </w:r>
      <w:r w:rsidR="009A6BCF" w:rsidRPr="001B523F">
        <w:rPr>
          <w:sz w:val="18"/>
          <w:szCs w:val="18"/>
        </w:rPr>
        <w:t xml:space="preserve"> James, M Glass</w:t>
      </w:r>
      <w:r w:rsidR="00920945" w:rsidRPr="001B523F">
        <w:rPr>
          <w:sz w:val="18"/>
          <w:szCs w:val="18"/>
        </w:rPr>
        <w:t>. “</w:t>
      </w:r>
      <w:r w:rsidR="00920945" w:rsidRPr="001B523F">
        <w:rPr>
          <w:i/>
          <w:iCs/>
          <w:sz w:val="18"/>
          <w:szCs w:val="18"/>
        </w:rPr>
        <w:t>The Philosopher and the Shaman: The Political Vision as Incantation</w:t>
      </w:r>
      <w:r w:rsidR="00920945" w:rsidRPr="001B523F">
        <w:rPr>
          <w:sz w:val="18"/>
          <w:szCs w:val="18"/>
        </w:rPr>
        <w:t>.” Political Theory, vol.2, no. 2, 1974, pp. 181–196.</w:t>
      </w:r>
    </w:p>
  </w:footnote>
  <w:footnote w:id="15">
    <w:p w14:paraId="3AD840D5" w14:textId="56D9933B" w:rsidR="00920945" w:rsidRPr="001B523F" w:rsidRDefault="00920945">
      <w:pPr>
        <w:pStyle w:val="FootnoteText"/>
        <w:rPr>
          <w:sz w:val="18"/>
          <w:szCs w:val="18"/>
        </w:rPr>
      </w:pPr>
      <w:r w:rsidRPr="001B523F">
        <w:rPr>
          <w:rStyle w:val="FootnoteReference"/>
          <w:sz w:val="18"/>
          <w:szCs w:val="18"/>
        </w:rPr>
        <w:footnoteRef/>
      </w:r>
      <w:r w:rsidRPr="001B523F">
        <w:rPr>
          <w:sz w:val="18"/>
          <w:szCs w:val="18"/>
        </w:rPr>
        <w:t xml:space="preserve"> </w:t>
      </w:r>
      <w:r w:rsidR="009A6BCF" w:rsidRPr="001B523F">
        <w:rPr>
          <w:sz w:val="18"/>
          <w:szCs w:val="18"/>
        </w:rPr>
        <w:t xml:space="preserve">James, V, </w:t>
      </w:r>
      <w:r w:rsidR="003A096A" w:rsidRPr="001B523F">
        <w:rPr>
          <w:sz w:val="18"/>
          <w:szCs w:val="18"/>
        </w:rPr>
        <w:t>Spickard. "</w:t>
      </w:r>
      <w:r w:rsidR="003A096A" w:rsidRPr="001B523F">
        <w:rPr>
          <w:i/>
          <w:iCs/>
          <w:sz w:val="18"/>
          <w:szCs w:val="18"/>
        </w:rPr>
        <w:t>Empirical Phenomenology in the Study of Religion</w:t>
      </w:r>
      <w:r w:rsidR="003A096A" w:rsidRPr="001B523F">
        <w:rPr>
          <w:sz w:val="18"/>
          <w:szCs w:val="18"/>
        </w:rPr>
        <w:t>." (2012).</w:t>
      </w:r>
    </w:p>
  </w:footnote>
  <w:footnote w:id="16">
    <w:p w14:paraId="299A601C" w14:textId="71C3A1AC" w:rsidR="00227CC9" w:rsidRDefault="00227CC9">
      <w:pPr>
        <w:pStyle w:val="FootnoteText"/>
      </w:pPr>
      <w:r w:rsidRPr="001B523F">
        <w:rPr>
          <w:rStyle w:val="FootnoteReference"/>
          <w:sz w:val="18"/>
          <w:szCs w:val="18"/>
        </w:rPr>
        <w:footnoteRef/>
      </w:r>
      <w:r w:rsidRPr="001B523F">
        <w:rPr>
          <w:sz w:val="18"/>
          <w:szCs w:val="18"/>
        </w:rPr>
        <w:t xml:space="preserve"> </w:t>
      </w:r>
      <w:r w:rsidR="009A6BCF" w:rsidRPr="001B523F">
        <w:rPr>
          <w:sz w:val="18"/>
          <w:szCs w:val="18"/>
        </w:rPr>
        <w:t xml:space="preserve">Rachel, K, </w:t>
      </w:r>
      <w:r w:rsidR="00FD5FFD" w:rsidRPr="001B523F">
        <w:rPr>
          <w:sz w:val="18"/>
          <w:szCs w:val="18"/>
        </w:rPr>
        <w:t>Fischer., and Aimee Graham. “</w:t>
      </w:r>
      <w:r w:rsidR="00FD5FFD" w:rsidRPr="001B523F">
        <w:rPr>
          <w:i/>
          <w:iCs/>
          <w:sz w:val="18"/>
          <w:szCs w:val="18"/>
        </w:rPr>
        <w:t>Postmodernism</w:t>
      </w:r>
      <w:r w:rsidR="00FD5FFD" w:rsidRPr="001B523F">
        <w:rPr>
          <w:sz w:val="18"/>
          <w:szCs w:val="18"/>
        </w:rPr>
        <w:t>.” Reference &amp; User Services Quarterly, vol. 54, no. 1, 2014, pp. 29–33.</w:t>
      </w:r>
    </w:p>
  </w:footnote>
  <w:footnote w:id="17">
    <w:p w14:paraId="485CE4A6" w14:textId="7922046C" w:rsidR="000377DB" w:rsidRPr="001B523F" w:rsidRDefault="000377DB">
      <w:pPr>
        <w:pStyle w:val="FootnoteText"/>
        <w:rPr>
          <w:sz w:val="18"/>
          <w:szCs w:val="18"/>
        </w:rPr>
      </w:pPr>
      <w:r w:rsidRPr="001B523F">
        <w:rPr>
          <w:rStyle w:val="FootnoteReference"/>
          <w:sz w:val="18"/>
          <w:szCs w:val="18"/>
        </w:rPr>
        <w:footnoteRef/>
      </w:r>
      <w:r w:rsidRPr="001B523F">
        <w:rPr>
          <w:sz w:val="18"/>
          <w:szCs w:val="18"/>
        </w:rPr>
        <w:t xml:space="preserve"> </w:t>
      </w:r>
      <w:r w:rsidR="009A6BCF" w:rsidRPr="001B523F">
        <w:rPr>
          <w:sz w:val="18"/>
          <w:szCs w:val="18"/>
        </w:rPr>
        <w:t xml:space="preserve">Claudia, </w:t>
      </w:r>
      <w:r w:rsidR="00941509" w:rsidRPr="001B523F">
        <w:rPr>
          <w:sz w:val="18"/>
          <w:szCs w:val="18"/>
        </w:rPr>
        <w:t>Malacrida. "</w:t>
      </w:r>
      <w:r w:rsidR="00941509" w:rsidRPr="001B523F">
        <w:rPr>
          <w:i/>
          <w:iCs/>
          <w:sz w:val="18"/>
          <w:szCs w:val="18"/>
        </w:rPr>
        <w:t>Reflexive journaling on emotional research topics: Ethical issues for team researchers</w:t>
      </w:r>
      <w:r w:rsidR="00941509" w:rsidRPr="001B523F">
        <w:rPr>
          <w:sz w:val="18"/>
          <w:szCs w:val="18"/>
        </w:rPr>
        <w:t>." Qualitative health research 17.10 (2007): pp. 1329-1339.</w:t>
      </w:r>
    </w:p>
  </w:footnote>
  <w:footnote w:id="18">
    <w:p w14:paraId="4A139837" w14:textId="44319ADD" w:rsidR="00296CC1" w:rsidRPr="001B523F" w:rsidRDefault="00296CC1">
      <w:pPr>
        <w:pStyle w:val="FootnoteText"/>
        <w:rPr>
          <w:sz w:val="18"/>
          <w:szCs w:val="18"/>
        </w:rPr>
      </w:pPr>
      <w:r w:rsidRPr="001B523F">
        <w:rPr>
          <w:rStyle w:val="FootnoteReference"/>
          <w:sz w:val="18"/>
          <w:szCs w:val="18"/>
        </w:rPr>
        <w:footnoteRef/>
      </w:r>
      <w:r w:rsidRPr="001B523F">
        <w:rPr>
          <w:sz w:val="18"/>
          <w:szCs w:val="18"/>
        </w:rPr>
        <w:t xml:space="preserve"> </w:t>
      </w:r>
      <w:r w:rsidR="0004487C" w:rsidRPr="001B523F">
        <w:rPr>
          <w:sz w:val="18"/>
          <w:szCs w:val="18"/>
        </w:rPr>
        <w:t xml:space="preserve">David, Woodruff, </w:t>
      </w:r>
      <w:r w:rsidR="00E26250" w:rsidRPr="001B523F">
        <w:rPr>
          <w:sz w:val="18"/>
          <w:szCs w:val="18"/>
        </w:rPr>
        <w:t>Smith, "</w:t>
      </w:r>
      <w:r w:rsidR="00E26250" w:rsidRPr="001B523F">
        <w:rPr>
          <w:i/>
          <w:iCs/>
          <w:sz w:val="18"/>
          <w:szCs w:val="18"/>
        </w:rPr>
        <w:t>Phenomenology</w:t>
      </w:r>
      <w:r w:rsidR="00E26250" w:rsidRPr="001B523F">
        <w:rPr>
          <w:sz w:val="18"/>
          <w:szCs w:val="18"/>
        </w:rPr>
        <w:t>", The Stanford Encyclopedia of Philosophy (Summer 2018 Edition), Edward N. Zalta (ed.)</w:t>
      </w:r>
    </w:p>
  </w:footnote>
  <w:footnote w:id="19">
    <w:p w14:paraId="79DC7EF3" w14:textId="1162B372" w:rsidR="002860A8" w:rsidRPr="001B523F" w:rsidRDefault="002860A8">
      <w:pPr>
        <w:pStyle w:val="FootnoteText"/>
        <w:rPr>
          <w:sz w:val="18"/>
          <w:szCs w:val="18"/>
        </w:rPr>
      </w:pPr>
      <w:r w:rsidRPr="001B523F">
        <w:rPr>
          <w:rStyle w:val="FootnoteReference"/>
          <w:sz w:val="18"/>
          <w:szCs w:val="18"/>
        </w:rPr>
        <w:footnoteRef/>
      </w:r>
      <w:r w:rsidRPr="001B523F">
        <w:rPr>
          <w:sz w:val="18"/>
          <w:szCs w:val="18"/>
        </w:rPr>
        <w:t xml:space="preserve"> </w:t>
      </w:r>
      <w:r w:rsidR="0004487C" w:rsidRPr="001B523F">
        <w:rPr>
          <w:sz w:val="18"/>
          <w:szCs w:val="18"/>
        </w:rPr>
        <w:t xml:space="preserve">Alan, </w:t>
      </w:r>
      <w:r w:rsidR="004B5F31" w:rsidRPr="001B523F">
        <w:rPr>
          <w:sz w:val="18"/>
          <w:szCs w:val="18"/>
        </w:rPr>
        <w:t>Bryman. "</w:t>
      </w:r>
      <w:r w:rsidR="004B5F31" w:rsidRPr="001B523F">
        <w:rPr>
          <w:i/>
          <w:iCs/>
          <w:sz w:val="18"/>
          <w:szCs w:val="18"/>
        </w:rPr>
        <w:t xml:space="preserve">Integrating quantitative and qualitative research: how is it </w:t>
      </w:r>
      <w:proofErr w:type="gramStart"/>
      <w:r w:rsidR="004B5F31" w:rsidRPr="001B523F">
        <w:rPr>
          <w:i/>
          <w:iCs/>
          <w:sz w:val="18"/>
          <w:szCs w:val="18"/>
        </w:rPr>
        <w:t>done?</w:t>
      </w:r>
      <w:r w:rsidR="004B5F31" w:rsidRPr="001B523F">
        <w:rPr>
          <w:sz w:val="18"/>
          <w:szCs w:val="18"/>
        </w:rPr>
        <w:t>.</w:t>
      </w:r>
      <w:proofErr w:type="gramEnd"/>
      <w:r w:rsidR="004B5F31" w:rsidRPr="001B523F">
        <w:rPr>
          <w:sz w:val="18"/>
          <w:szCs w:val="18"/>
        </w:rPr>
        <w:t>" Qualitative research 6.1 (2006):</w:t>
      </w:r>
      <w:r w:rsidR="0056325E">
        <w:rPr>
          <w:sz w:val="18"/>
          <w:szCs w:val="18"/>
        </w:rPr>
        <w:t xml:space="preserve"> pp.</w:t>
      </w:r>
      <w:r w:rsidR="004B5F31" w:rsidRPr="001B523F">
        <w:rPr>
          <w:sz w:val="18"/>
          <w:szCs w:val="18"/>
        </w:rPr>
        <w:t xml:space="preserve"> 97-113.</w:t>
      </w:r>
    </w:p>
  </w:footnote>
  <w:footnote w:id="20">
    <w:p w14:paraId="10CD24A5" w14:textId="20D623A8" w:rsidR="004720A9" w:rsidRPr="001B523F" w:rsidRDefault="004720A9">
      <w:pPr>
        <w:pStyle w:val="FootnoteText"/>
        <w:rPr>
          <w:sz w:val="18"/>
          <w:szCs w:val="18"/>
        </w:rPr>
      </w:pPr>
      <w:r w:rsidRPr="001B523F">
        <w:rPr>
          <w:rStyle w:val="FootnoteReference"/>
          <w:sz w:val="18"/>
          <w:szCs w:val="18"/>
        </w:rPr>
        <w:footnoteRef/>
      </w:r>
      <w:r w:rsidRPr="001B523F">
        <w:rPr>
          <w:sz w:val="18"/>
          <w:szCs w:val="18"/>
        </w:rPr>
        <w:t xml:space="preserve"> </w:t>
      </w:r>
      <w:r w:rsidR="0004487C" w:rsidRPr="001B523F">
        <w:rPr>
          <w:sz w:val="18"/>
          <w:szCs w:val="18"/>
        </w:rPr>
        <w:t xml:space="preserve">Cristina, </w:t>
      </w:r>
      <w:r w:rsidR="000F3E7D" w:rsidRPr="001B523F">
        <w:rPr>
          <w:sz w:val="18"/>
          <w:szCs w:val="18"/>
        </w:rPr>
        <w:t>Moretti. “</w:t>
      </w:r>
      <w:r w:rsidR="000F3E7D" w:rsidRPr="001B523F">
        <w:rPr>
          <w:i/>
          <w:iCs/>
          <w:sz w:val="18"/>
          <w:szCs w:val="18"/>
        </w:rPr>
        <w:t>The Wandering Ethnographer: Researching and Representing the City through Everyday Encounters</w:t>
      </w:r>
      <w:r w:rsidR="000F3E7D" w:rsidRPr="001B523F">
        <w:rPr>
          <w:sz w:val="18"/>
          <w:szCs w:val="18"/>
        </w:rPr>
        <w:t>.” Anthropologica, vol. 53, no. 2, 2011, pp. 245–255.</w:t>
      </w:r>
    </w:p>
  </w:footnote>
  <w:footnote w:id="21">
    <w:p w14:paraId="76EFD49C" w14:textId="39C839E1" w:rsidR="00205850" w:rsidRPr="003C35E6" w:rsidRDefault="00205850">
      <w:pPr>
        <w:pStyle w:val="FootnoteText"/>
        <w:rPr>
          <w:sz w:val="18"/>
          <w:szCs w:val="18"/>
        </w:rPr>
      </w:pPr>
      <w:r w:rsidRPr="003C35E6">
        <w:rPr>
          <w:rStyle w:val="FootnoteReference"/>
          <w:sz w:val="18"/>
          <w:szCs w:val="18"/>
        </w:rPr>
        <w:footnoteRef/>
      </w:r>
      <w:r w:rsidR="0004487C" w:rsidRPr="003C35E6">
        <w:rPr>
          <w:sz w:val="18"/>
          <w:szCs w:val="18"/>
        </w:rPr>
        <w:t xml:space="preserve"> </w:t>
      </w:r>
      <w:r w:rsidR="00692435" w:rsidRPr="003C35E6">
        <w:rPr>
          <w:sz w:val="18"/>
          <w:szCs w:val="18"/>
        </w:rPr>
        <w:t>Ellen</w:t>
      </w:r>
      <w:r w:rsidR="0004487C" w:rsidRPr="003C35E6">
        <w:rPr>
          <w:sz w:val="18"/>
          <w:szCs w:val="18"/>
        </w:rPr>
        <w:t>, Mary, Kondrat</w:t>
      </w:r>
      <w:r w:rsidR="00692435" w:rsidRPr="003C35E6">
        <w:rPr>
          <w:sz w:val="18"/>
          <w:szCs w:val="18"/>
        </w:rPr>
        <w:t>. “</w:t>
      </w:r>
      <w:r w:rsidR="00692435" w:rsidRPr="003C35E6">
        <w:rPr>
          <w:i/>
          <w:iCs/>
          <w:sz w:val="18"/>
          <w:szCs w:val="18"/>
        </w:rPr>
        <w:t>Who Is the ‘Self’ in Self‐Aware: Professional Self‐Awareness from a Critical Theory Perspective</w:t>
      </w:r>
      <w:r w:rsidR="00692435" w:rsidRPr="003C35E6">
        <w:rPr>
          <w:sz w:val="18"/>
          <w:szCs w:val="18"/>
        </w:rPr>
        <w:t>.” Social Service Review, vol. 73, no. 4, 1999, pp. 451–477.</w:t>
      </w:r>
    </w:p>
  </w:footnote>
  <w:footnote w:id="22">
    <w:p w14:paraId="6A464E49" w14:textId="252FE746" w:rsidR="0004127C" w:rsidRPr="003C35E6" w:rsidRDefault="0004127C">
      <w:pPr>
        <w:pStyle w:val="FootnoteText"/>
        <w:rPr>
          <w:sz w:val="18"/>
          <w:szCs w:val="18"/>
        </w:rPr>
      </w:pPr>
      <w:r w:rsidRPr="003C35E6">
        <w:rPr>
          <w:rStyle w:val="FootnoteReference"/>
          <w:sz w:val="18"/>
          <w:szCs w:val="18"/>
        </w:rPr>
        <w:footnoteRef/>
      </w:r>
      <w:r w:rsidRPr="003C35E6">
        <w:rPr>
          <w:sz w:val="18"/>
          <w:szCs w:val="18"/>
        </w:rPr>
        <w:t xml:space="preserve"> </w:t>
      </w:r>
      <w:r w:rsidR="007464CC" w:rsidRPr="003C35E6">
        <w:rPr>
          <w:sz w:val="18"/>
          <w:szCs w:val="18"/>
        </w:rPr>
        <w:t xml:space="preserve">Robert, J, Wallis, </w:t>
      </w:r>
      <w:r w:rsidR="005243F3" w:rsidRPr="003C35E6">
        <w:rPr>
          <w:sz w:val="18"/>
          <w:szCs w:val="18"/>
        </w:rPr>
        <w:t>Wallis,</w:t>
      </w:r>
      <w:r w:rsidR="007464CC" w:rsidRPr="003C35E6">
        <w:rPr>
          <w:sz w:val="18"/>
          <w:szCs w:val="18"/>
        </w:rPr>
        <w:t xml:space="preserve"> </w:t>
      </w:r>
      <w:r w:rsidR="005243F3" w:rsidRPr="003C35E6">
        <w:rPr>
          <w:sz w:val="18"/>
          <w:szCs w:val="18"/>
        </w:rPr>
        <w:t xml:space="preserve">&amp; </w:t>
      </w:r>
      <w:r w:rsidR="007464CC" w:rsidRPr="003C35E6">
        <w:rPr>
          <w:sz w:val="18"/>
          <w:szCs w:val="18"/>
        </w:rPr>
        <w:t xml:space="preserve">Jenny, </w:t>
      </w:r>
      <w:r w:rsidR="005243F3" w:rsidRPr="003C35E6">
        <w:rPr>
          <w:sz w:val="18"/>
          <w:szCs w:val="18"/>
        </w:rPr>
        <w:t xml:space="preserve">Blain. (2003). Sites, sacredness, and stories: </w:t>
      </w:r>
      <w:r w:rsidR="005243F3" w:rsidRPr="003C35E6">
        <w:rPr>
          <w:i/>
          <w:iCs/>
          <w:sz w:val="18"/>
          <w:szCs w:val="18"/>
        </w:rPr>
        <w:t>Interactions of archaeology and contemporary paganism</w:t>
      </w:r>
      <w:r w:rsidR="005243F3" w:rsidRPr="003C35E6">
        <w:rPr>
          <w:sz w:val="18"/>
          <w:szCs w:val="18"/>
        </w:rPr>
        <w:t>. Folklore (London), 114(3), pp. 307–321.</w:t>
      </w:r>
    </w:p>
  </w:footnote>
  <w:footnote w:id="23">
    <w:p w14:paraId="6023E85E" w14:textId="6B37DE67" w:rsidR="001F2782" w:rsidRPr="003C35E6" w:rsidRDefault="001F2782">
      <w:pPr>
        <w:pStyle w:val="FootnoteText"/>
        <w:rPr>
          <w:sz w:val="18"/>
          <w:szCs w:val="18"/>
        </w:rPr>
      </w:pPr>
      <w:r w:rsidRPr="003C35E6">
        <w:rPr>
          <w:rStyle w:val="FootnoteReference"/>
          <w:sz w:val="18"/>
          <w:szCs w:val="18"/>
        </w:rPr>
        <w:footnoteRef/>
      </w:r>
      <w:r w:rsidRPr="003C35E6">
        <w:rPr>
          <w:sz w:val="18"/>
          <w:szCs w:val="18"/>
        </w:rPr>
        <w:t xml:space="preserve"> </w:t>
      </w:r>
      <w:r w:rsidR="007C00AF" w:rsidRPr="003C35E6">
        <w:rPr>
          <w:sz w:val="18"/>
          <w:szCs w:val="18"/>
        </w:rPr>
        <w:t>Tuhiwai</w:t>
      </w:r>
      <w:r w:rsidR="007464CC" w:rsidRPr="003C35E6">
        <w:rPr>
          <w:sz w:val="18"/>
          <w:szCs w:val="18"/>
        </w:rPr>
        <w:t>, Linda</w:t>
      </w:r>
      <w:r w:rsidR="005459CE" w:rsidRPr="003C35E6">
        <w:rPr>
          <w:sz w:val="18"/>
          <w:szCs w:val="18"/>
        </w:rPr>
        <w:t>, Smith</w:t>
      </w:r>
      <w:r w:rsidR="007C00AF" w:rsidRPr="003C35E6">
        <w:rPr>
          <w:sz w:val="18"/>
          <w:szCs w:val="18"/>
        </w:rPr>
        <w:t xml:space="preserve">. </w:t>
      </w:r>
      <w:r w:rsidR="007C00AF" w:rsidRPr="003C35E6">
        <w:rPr>
          <w:i/>
          <w:iCs/>
          <w:sz w:val="18"/>
          <w:szCs w:val="18"/>
        </w:rPr>
        <w:t>Decolonizing methodologies: Research and indigenous peoples</w:t>
      </w:r>
      <w:r w:rsidR="007C00AF" w:rsidRPr="003C35E6">
        <w:rPr>
          <w:sz w:val="18"/>
          <w:szCs w:val="18"/>
        </w:rPr>
        <w:t>. Zed Books Ltd., 2013.</w:t>
      </w:r>
    </w:p>
  </w:footnote>
  <w:footnote w:id="24">
    <w:p w14:paraId="539ED66A" w14:textId="280E7D4D" w:rsidR="00951B1E" w:rsidRPr="003C35E6" w:rsidRDefault="00951B1E">
      <w:pPr>
        <w:pStyle w:val="FootnoteText"/>
        <w:rPr>
          <w:sz w:val="18"/>
          <w:szCs w:val="18"/>
        </w:rPr>
      </w:pPr>
      <w:r w:rsidRPr="003C35E6">
        <w:rPr>
          <w:rStyle w:val="FootnoteReference"/>
          <w:sz w:val="18"/>
          <w:szCs w:val="18"/>
        </w:rPr>
        <w:footnoteRef/>
      </w:r>
      <w:r w:rsidRPr="003C35E6">
        <w:rPr>
          <w:sz w:val="18"/>
          <w:szCs w:val="18"/>
        </w:rPr>
        <w:t xml:space="preserve"> Blain, </w:t>
      </w:r>
      <w:r w:rsidR="000D4F6D" w:rsidRPr="003C35E6">
        <w:rPr>
          <w:sz w:val="18"/>
          <w:szCs w:val="18"/>
        </w:rPr>
        <w:t>‘</w:t>
      </w:r>
      <w:r w:rsidR="000D4F6D" w:rsidRPr="003C35E6">
        <w:rPr>
          <w:i/>
          <w:iCs/>
          <w:sz w:val="18"/>
          <w:szCs w:val="18"/>
        </w:rPr>
        <w:t>Shamanistically: Seidr, Academia and Rationality’</w:t>
      </w:r>
      <w:r w:rsidR="00D96409" w:rsidRPr="003C35E6">
        <w:rPr>
          <w:sz w:val="18"/>
          <w:szCs w:val="18"/>
        </w:rPr>
        <w:t xml:space="preserve"> (2000).</w:t>
      </w:r>
    </w:p>
  </w:footnote>
  <w:footnote w:id="25">
    <w:p w14:paraId="2A57CF6A" w14:textId="6AA05688" w:rsidR="00CC7DB9" w:rsidRPr="00DC0684" w:rsidRDefault="00CC7DB9">
      <w:pPr>
        <w:pStyle w:val="FootnoteText"/>
        <w:rPr>
          <w:sz w:val="18"/>
          <w:szCs w:val="18"/>
        </w:rPr>
      </w:pPr>
      <w:r w:rsidRPr="003C35E6">
        <w:rPr>
          <w:rStyle w:val="FootnoteReference"/>
          <w:sz w:val="18"/>
          <w:szCs w:val="18"/>
        </w:rPr>
        <w:footnoteRef/>
      </w:r>
      <w:r w:rsidRPr="003C35E6">
        <w:rPr>
          <w:sz w:val="18"/>
          <w:szCs w:val="18"/>
        </w:rPr>
        <w:t xml:space="preserve"> </w:t>
      </w:r>
      <w:r w:rsidRPr="003C35E6">
        <w:rPr>
          <w:sz w:val="18"/>
          <w:szCs w:val="18"/>
        </w:rPr>
        <w:t xml:space="preserve">Marie, Perruchon. I am Tsunki: </w:t>
      </w:r>
      <w:r w:rsidRPr="003C35E6">
        <w:rPr>
          <w:i/>
          <w:iCs/>
          <w:sz w:val="18"/>
          <w:szCs w:val="18"/>
        </w:rPr>
        <w:t>Gender and shamanism among the Shuar of western Amazonia</w:t>
      </w:r>
      <w:r w:rsidRPr="003C35E6">
        <w:rPr>
          <w:sz w:val="18"/>
          <w:szCs w:val="18"/>
        </w:rPr>
        <w:t>. Diss. Acta Universitatis Upsaliensis, 2003.</w:t>
      </w:r>
    </w:p>
  </w:footnote>
  <w:footnote w:id="26">
    <w:p w14:paraId="6869AD40" w14:textId="24249A11" w:rsidR="00742FC1" w:rsidRPr="00DC0684" w:rsidRDefault="00742FC1">
      <w:pPr>
        <w:pStyle w:val="FootnoteText"/>
        <w:rPr>
          <w:sz w:val="18"/>
          <w:szCs w:val="18"/>
        </w:rPr>
      </w:pPr>
      <w:r w:rsidRPr="00DC0684">
        <w:rPr>
          <w:rStyle w:val="FootnoteReference"/>
          <w:sz w:val="18"/>
          <w:szCs w:val="18"/>
        </w:rPr>
        <w:footnoteRef/>
      </w:r>
      <w:r w:rsidRPr="00DC0684">
        <w:rPr>
          <w:sz w:val="18"/>
          <w:szCs w:val="18"/>
        </w:rPr>
        <w:t xml:space="preserve"> </w:t>
      </w:r>
      <w:r w:rsidR="000142B9" w:rsidRPr="00DC0684">
        <w:rPr>
          <w:sz w:val="18"/>
          <w:szCs w:val="18"/>
        </w:rPr>
        <w:t xml:space="preserve">Mary N. MacDonald. (2002). </w:t>
      </w:r>
      <w:r w:rsidR="000142B9" w:rsidRPr="00DC0684">
        <w:rPr>
          <w:i/>
          <w:iCs/>
          <w:sz w:val="18"/>
          <w:szCs w:val="18"/>
        </w:rPr>
        <w:t>THE STUDY OF SHAMANISM: LOCAL AND UNIVERSAL DIMENSIONS</w:t>
      </w:r>
      <w:r w:rsidR="000142B9" w:rsidRPr="00DC0684">
        <w:rPr>
          <w:sz w:val="18"/>
          <w:szCs w:val="18"/>
        </w:rPr>
        <w:t>. Journal of Ritual Studies, 16(2), pp. 88–107.</w:t>
      </w:r>
      <w:r w:rsidR="00CC7DB9" w:rsidRPr="00DC0684">
        <w:rPr>
          <w:sz w:val="18"/>
          <w:szCs w:val="18"/>
        </w:rPr>
        <w:t xml:space="preserve"> </w:t>
      </w:r>
    </w:p>
  </w:footnote>
  <w:footnote w:id="27">
    <w:p w14:paraId="36E943C9" w14:textId="2CE4B33D" w:rsidR="000142B9" w:rsidRPr="00DC0684" w:rsidRDefault="000142B9">
      <w:pPr>
        <w:pStyle w:val="FootnoteText"/>
        <w:rPr>
          <w:sz w:val="18"/>
          <w:szCs w:val="18"/>
        </w:rPr>
      </w:pPr>
      <w:r w:rsidRPr="00DC0684">
        <w:rPr>
          <w:rStyle w:val="FootnoteReference"/>
          <w:sz w:val="18"/>
          <w:szCs w:val="18"/>
        </w:rPr>
        <w:footnoteRef/>
      </w:r>
      <w:r w:rsidRPr="00DC0684">
        <w:rPr>
          <w:sz w:val="18"/>
          <w:szCs w:val="18"/>
        </w:rPr>
        <w:t xml:space="preserve"> </w:t>
      </w:r>
      <w:r w:rsidR="00BE280D" w:rsidRPr="00DC0684">
        <w:rPr>
          <w:sz w:val="18"/>
          <w:szCs w:val="18"/>
        </w:rPr>
        <w:t>JUN</w:t>
      </w:r>
      <w:r w:rsidR="004261E3" w:rsidRPr="00DC0684">
        <w:rPr>
          <w:sz w:val="18"/>
          <w:szCs w:val="18"/>
        </w:rPr>
        <w:t>, SATO</w:t>
      </w:r>
      <w:r w:rsidR="00BE280D" w:rsidRPr="00DC0684">
        <w:rPr>
          <w:sz w:val="18"/>
          <w:szCs w:val="18"/>
        </w:rPr>
        <w:t>. “</w:t>
      </w:r>
      <w:r w:rsidR="00BE280D" w:rsidRPr="00DC0684">
        <w:rPr>
          <w:i/>
          <w:iCs/>
          <w:sz w:val="18"/>
          <w:szCs w:val="18"/>
        </w:rPr>
        <w:t>EUROPEAN SHAMANISM IN CONTEXT: THE CASE OF THE ‘BENANDANTI</w:t>
      </w:r>
      <w:r w:rsidR="00BE280D" w:rsidRPr="00DC0684">
        <w:rPr>
          <w:sz w:val="18"/>
          <w:szCs w:val="18"/>
        </w:rPr>
        <w:t>.’” Cambridge Anthropology, vol. 25, no. 3, 2005, pp. 17–37.</w:t>
      </w:r>
    </w:p>
  </w:footnote>
  <w:footnote w:id="28">
    <w:p w14:paraId="600192F1" w14:textId="0424965E" w:rsidR="00151823" w:rsidRPr="00DC0684" w:rsidRDefault="00151823">
      <w:pPr>
        <w:pStyle w:val="FootnoteText"/>
        <w:rPr>
          <w:sz w:val="18"/>
          <w:szCs w:val="18"/>
        </w:rPr>
      </w:pPr>
      <w:r w:rsidRPr="00DC0684">
        <w:rPr>
          <w:rStyle w:val="FootnoteReference"/>
          <w:sz w:val="18"/>
          <w:szCs w:val="18"/>
        </w:rPr>
        <w:footnoteRef/>
      </w:r>
      <w:r w:rsidRPr="00DC0684">
        <w:rPr>
          <w:sz w:val="18"/>
          <w:szCs w:val="18"/>
        </w:rPr>
        <w:t xml:space="preserve"> </w:t>
      </w:r>
      <w:r w:rsidRPr="00DC0684">
        <w:rPr>
          <w:sz w:val="18"/>
          <w:szCs w:val="18"/>
        </w:rPr>
        <w:t xml:space="preserve">Jo, Pearson. “Going Native in Reverse’: </w:t>
      </w:r>
      <w:r w:rsidRPr="007E57C9">
        <w:rPr>
          <w:i/>
          <w:iCs/>
          <w:sz w:val="18"/>
          <w:szCs w:val="18"/>
        </w:rPr>
        <w:t>The Insider as Researcher in British Wicca</w:t>
      </w:r>
      <w:r w:rsidRPr="00DC0684">
        <w:rPr>
          <w:sz w:val="18"/>
          <w:szCs w:val="18"/>
        </w:rPr>
        <w:t>.” Nova Religio: The Journal of Alternative and Emergent Religions, vol. 5, no. 1, 2001, pp. 52–63.</w:t>
      </w:r>
    </w:p>
  </w:footnote>
  <w:footnote w:id="29">
    <w:p w14:paraId="5BFFE700" w14:textId="0BACEFD9" w:rsidR="00156C9E" w:rsidRDefault="00156C9E">
      <w:pPr>
        <w:pStyle w:val="FootnoteText"/>
      </w:pPr>
      <w:r w:rsidRPr="00DC0684">
        <w:rPr>
          <w:rStyle w:val="FootnoteReference"/>
          <w:sz w:val="18"/>
          <w:szCs w:val="18"/>
        </w:rPr>
        <w:footnoteRef/>
      </w:r>
      <w:r w:rsidRPr="00DC0684">
        <w:rPr>
          <w:sz w:val="18"/>
          <w:szCs w:val="18"/>
        </w:rPr>
        <w:t xml:space="preserve"> </w:t>
      </w:r>
      <w:r w:rsidRPr="00DC0684">
        <w:rPr>
          <w:sz w:val="18"/>
          <w:szCs w:val="18"/>
        </w:rPr>
        <w:t xml:space="preserve">Frank Vanclay, James T. Baines &amp; C. Nicholas Taylor (2013) </w:t>
      </w:r>
      <w:r w:rsidRPr="00BE270B">
        <w:rPr>
          <w:i/>
          <w:iCs/>
          <w:sz w:val="18"/>
          <w:szCs w:val="18"/>
        </w:rPr>
        <w:t>Principles for ethical research involving humans: ethical professional practice in impact assessment Part I</w:t>
      </w:r>
      <w:r w:rsidRPr="00DC0684">
        <w:rPr>
          <w:sz w:val="18"/>
          <w:szCs w:val="18"/>
        </w:rPr>
        <w:t xml:space="preserve">, Impact Assessment and Project Appraisal, 31:4, </w:t>
      </w:r>
      <w:r w:rsidR="00DC0684" w:rsidRPr="00DC0684">
        <w:rPr>
          <w:sz w:val="18"/>
          <w:szCs w:val="18"/>
        </w:rPr>
        <w:t xml:space="preserve">pp. </w:t>
      </w:r>
      <w:r w:rsidRPr="00DC0684">
        <w:rPr>
          <w:sz w:val="18"/>
          <w:szCs w:val="18"/>
        </w:rPr>
        <w:t>243-253</w:t>
      </w:r>
      <w:r w:rsidR="00DC0684" w:rsidRPr="00DC0684">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1389245"/>
      <w:docPartObj>
        <w:docPartGallery w:val="Page Numbers (Top of Page)"/>
        <w:docPartUnique/>
      </w:docPartObj>
    </w:sdtPr>
    <w:sdtEndPr>
      <w:rPr>
        <w:noProof/>
      </w:rPr>
    </w:sdtEndPr>
    <w:sdtContent>
      <w:p w14:paraId="585726B4" w14:textId="1140E104" w:rsidR="009C3914" w:rsidRDefault="009C391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01B2476" w14:textId="77777777" w:rsidR="009C3914" w:rsidRDefault="009C39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04"/>
    <w:rsid w:val="00010A55"/>
    <w:rsid w:val="00011B7D"/>
    <w:rsid w:val="000142B9"/>
    <w:rsid w:val="00023708"/>
    <w:rsid w:val="000320BE"/>
    <w:rsid w:val="00033339"/>
    <w:rsid w:val="000377DB"/>
    <w:rsid w:val="0004127C"/>
    <w:rsid w:val="0004487C"/>
    <w:rsid w:val="000450DA"/>
    <w:rsid w:val="00045690"/>
    <w:rsid w:val="00050FE1"/>
    <w:rsid w:val="000737E0"/>
    <w:rsid w:val="00085B95"/>
    <w:rsid w:val="00091982"/>
    <w:rsid w:val="000A591D"/>
    <w:rsid w:val="000B345D"/>
    <w:rsid w:val="000C1070"/>
    <w:rsid w:val="000C5D1B"/>
    <w:rsid w:val="000C5D6F"/>
    <w:rsid w:val="000D09B0"/>
    <w:rsid w:val="000D19E6"/>
    <w:rsid w:val="000D3154"/>
    <w:rsid w:val="000D4F6D"/>
    <w:rsid w:val="000E3ADF"/>
    <w:rsid w:val="000E4386"/>
    <w:rsid w:val="000E546B"/>
    <w:rsid w:val="000E6146"/>
    <w:rsid w:val="000F2020"/>
    <w:rsid w:val="000F3E7D"/>
    <w:rsid w:val="0010411E"/>
    <w:rsid w:val="001053A1"/>
    <w:rsid w:val="00105806"/>
    <w:rsid w:val="001072D0"/>
    <w:rsid w:val="00123C8A"/>
    <w:rsid w:val="001351DB"/>
    <w:rsid w:val="00151823"/>
    <w:rsid w:val="00156C9E"/>
    <w:rsid w:val="00160B76"/>
    <w:rsid w:val="00164A6F"/>
    <w:rsid w:val="001651F1"/>
    <w:rsid w:val="0016660A"/>
    <w:rsid w:val="00170AE2"/>
    <w:rsid w:val="00173227"/>
    <w:rsid w:val="0017501D"/>
    <w:rsid w:val="00183123"/>
    <w:rsid w:val="00194E73"/>
    <w:rsid w:val="00195BF5"/>
    <w:rsid w:val="00195E3A"/>
    <w:rsid w:val="001A2A5A"/>
    <w:rsid w:val="001B44E1"/>
    <w:rsid w:val="001B523F"/>
    <w:rsid w:val="001B55C4"/>
    <w:rsid w:val="001C778F"/>
    <w:rsid w:val="001D155F"/>
    <w:rsid w:val="001D403C"/>
    <w:rsid w:val="001D795F"/>
    <w:rsid w:val="001E0ED7"/>
    <w:rsid w:val="001F06AB"/>
    <w:rsid w:val="001F2782"/>
    <w:rsid w:val="001F52C4"/>
    <w:rsid w:val="001F7192"/>
    <w:rsid w:val="00203608"/>
    <w:rsid w:val="00203CD6"/>
    <w:rsid w:val="00205783"/>
    <w:rsid w:val="00205850"/>
    <w:rsid w:val="00205CF7"/>
    <w:rsid w:val="0020717E"/>
    <w:rsid w:val="00214982"/>
    <w:rsid w:val="00216980"/>
    <w:rsid w:val="002243C2"/>
    <w:rsid w:val="00227CC9"/>
    <w:rsid w:val="002318BD"/>
    <w:rsid w:val="00233DFF"/>
    <w:rsid w:val="00237A00"/>
    <w:rsid w:val="0024505C"/>
    <w:rsid w:val="00246E2E"/>
    <w:rsid w:val="00255A12"/>
    <w:rsid w:val="00263B8C"/>
    <w:rsid w:val="00265C5A"/>
    <w:rsid w:val="002765D0"/>
    <w:rsid w:val="002860A8"/>
    <w:rsid w:val="00296968"/>
    <w:rsid w:val="00296CC1"/>
    <w:rsid w:val="002A2C15"/>
    <w:rsid w:val="002B3652"/>
    <w:rsid w:val="002C50F3"/>
    <w:rsid w:val="002C529D"/>
    <w:rsid w:val="002D35EA"/>
    <w:rsid w:val="002D6D9C"/>
    <w:rsid w:val="002F5311"/>
    <w:rsid w:val="003266DF"/>
    <w:rsid w:val="003407B7"/>
    <w:rsid w:val="00341159"/>
    <w:rsid w:val="0034243E"/>
    <w:rsid w:val="00352677"/>
    <w:rsid w:val="00354D74"/>
    <w:rsid w:val="00361A49"/>
    <w:rsid w:val="00364CDA"/>
    <w:rsid w:val="0036714E"/>
    <w:rsid w:val="003732BE"/>
    <w:rsid w:val="003A096A"/>
    <w:rsid w:val="003A76A8"/>
    <w:rsid w:val="003B1985"/>
    <w:rsid w:val="003B2232"/>
    <w:rsid w:val="003B3E7F"/>
    <w:rsid w:val="003B5E44"/>
    <w:rsid w:val="003B74EE"/>
    <w:rsid w:val="003C35E6"/>
    <w:rsid w:val="003C4770"/>
    <w:rsid w:val="003C65F7"/>
    <w:rsid w:val="003D131B"/>
    <w:rsid w:val="003D1EFD"/>
    <w:rsid w:val="003E394B"/>
    <w:rsid w:val="00413AB7"/>
    <w:rsid w:val="004261E3"/>
    <w:rsid w:val="00427467"/>
    <w:rsid w:val="00434934"/>
    <w:rsid w:val="00436B6E"/>
    <w:rsid w:val="00443A61"/>
    <w:rsid w:val="00443B49"/>
    <w:rsid w:val="00454197"/>
    <w:rsid w:val="00460CD1"/>
    <w:rsid w:val="00461C34"/>
    <w:rsid w:val="00467030"/>
    <w:rsid w:val="004677D6"/>
    <w:rsid w:val="00467973"/>
    <w:rsid w:val="004679C7"/>
    <w:rsid w:val="004708BE"/>
    <w:rsid w:val="00471F4A"/>
    <w:rsid w:val="004720A9"/>
    <w:rsid w:val="00472EB1"/>
    <w:rsid w:val="004B5F31"/>
    <w:rsid w:val="004B789F"/>
    <w:rsid w:val="004C455D"/>
    <w:rsid w:val="004D33B2"/>
    <w:rsid w:val="004D67DE"/>
    <w:rsid w:val="004E0F03"/>
    <w:rsid w:val="004F2E19"/>
    <w:rsid w:val="004F457F"/>
    <w:rsid w:val="0050321C"/>
    <w:rsid w:val="005243F3"/>
    <w:rsid w:val="005303F9"/>
    <w:rsid w:val="00530F45"/>
    <w:rsid w:val="00540EEE"/>
    <w:rsid w:val="00542088"/>
    <w:rsid w:val="005459CE"/>
    <w:rsid w:val="005509CB"/>
    <w:rsid w:val="00556129"/>
    <w:rsid w:val="00560D65"/>
    <w:rsid w:val="0056325E"/>
    <w:rsid w:val="00564161"/>
    <w:rsid w:val="005655D1"/>
    <w:rsid w:val="00566F40"/>
    <w:rsid w:val="00572CE8"/>
    <w:rsid w:val="005909A6"/>
    <w:rsid w:val="00593A46"/>
    <w:rsid w:val="00594B33"/>
    <w:rsid w:val="005A1EB8"/>
    <w:rsid w:val="005B2DBF"/>
    <w:rsid w:val="005B3DF1"/>
    <w:rsid w:val="005C4274"/>
    <w:rsid w:val="005C6EA7"/>
    <w:rsid w:val="005D04EF"/>
    <w:rsid w:val="005D728C"/>
    <w:rsid w:val="005E07CD"/>
    <w:rsid w:val="005E37DB"/>
    <w:rsid w:val="0060628F"/>
    <w:rsid w:val="006078B3"/>
    <w:rsid w:val="006161C8"/>
    <w:rsid w:val="00620BB0"/>
    <w:rsid w:val="0062251D"/>
    <w:rsid w:val="00634283"/>
    <w:rsid w:val="006404A4"/>
    <w:rsid w:val="0064592C"/>
    <w:rsid w:val="00650280"/>
    <w:rsid w:val="0065258E"/>
    <w:rsid w:val="006568EF"/>
    <w:rsid w:val="0065719F"/>
    <w:rsid w:val="0066193D"/>
    <w:rsid w:val="0067046C"/>
    <w:rsid w:val="00672AD3"/>
    <w:rsid w:val="00681C20"/>
    <w:rsid w:val="00683672"/>
    <w:rsid w:val="006862AB"/>
    <w:rsid w:val="00692435"/>
    <w:rsid w:val="00696398"/>
    <w:rsid w:val="00697E3A"/>
    <w:rsid w:val="006B124C"/>
    <w:rsid w:val="006B5313"/>
    <w:rsid w:val="006B6100"/>
    <w:rsid w:val="006B751B"/>
    <w:rsid w:val="006B7D7F"/>
    <w:rsid w:val="006C2524"/>
    <w:rsid w:val="006E0DAF"/>
    <w:rsid w:val="006E7E3F"/>
    <w:rsid w:val="00707F03"/>
    <w:rsid w:val="007116F7"/>
    <w:rsid w:val="007121EB"/>
    <w:rsid w:val="0073645C"/>
    <w:rsid w:val="0073716A"/>
    <w:rsid w:val="00742FC1"/>
    <w:rsid w:val="007464CC"/>
    <w:rsid w:val="007561F5"/>
    <w:rsid w:val="007644CC"/>
    <w:rsid w:val="00770418"/>
    <w:rsid w:val="00774288"/>
    <w:rsid w:val="0078209B"/>
    <w:rsid w:val="0078327D"/>
    <w:rsid w:val="00785DBC"/>
    <w:rsid w:val="00790711"/>
    <w:rsid w:val="00797A37"/>
    <w:rsid w:val="007B039F"/>
    <w:rsid w:val="007B3B2C"/>
    <w:rsid w:val="007C00AF"/>
    <w:rsid w:val="007C0E58"/>
    <w:rsid w:val="007C3C8A"/>
    <w:rsid w:val="007C48B0"/>
    <w:rsid w:val="007E57C9"/>
    <w:rsid w:val="007F1595"/>
    <w:rsid w:val="007F352D"/>
    <w:rsid w:val="00800367"/>
    <w:rsid w:val="00812638"/>
    <w:rsid w:val="00814640"/>
    <w:rsid w:val="00825891"/>
    <w:rsid w:val="00831491"/>
    <w:rsid w:val="00851CB7"/>
    <w:rsid w:val="00854049"/>
    <w:rsid w:val="00856463"/>
    <w:rsid w:val="0086165A"/>
    <w:rsid w:val="008770A6"/>
    <w:rsid w:val="0088314C"/>
    <w:rsid w:val="008A3CE7"/>
    <w:rsid w:val="008A5792"/>
    <w:rsid w:val="008A74FA"/>
    <w:rsid w:val="008B29A4"/>
    <w:rsid w:val="008C2540"/>
    <w:rsid w:val="008C3076"/>
    <w:rsid w:val="008D5BDC"/>
    <w:rsid w:val="008D72E1"/>
    <w:rsid w:val="008E7E70"/>
    <w:rsid w:val="00900998"/>
    <w:rsid w:val="00902690"/>
    <w:rsid w:val="009126D1"/>
    <w:rsid w:val="0092010A"/>
    <w:rsid w:val="0092010E"/>
    <w:rsid w:val="00920945"/>
    <w:rsid w:val="00941509"/>
    <w:rsid w:val="0095132C"/>
    <w:rsid w:val="00951B1E"/>
    <w:rsid w:val="00955F90"/>
    <w:rsid w:val="0096002D"/>
    <w:rsid w:val="0098245A"/>
    <w:rsid w:val="0099020A"/>
    <w:rsid w:val="009A0744"/>
    <w:rsid w:val="009A6BCF"/>
    <w:rsid w:val="009C3914"/>
    <w:rsid w:val="009D4923"/>
    <w:rsid w:val="009E0867"/>
    <w:rsid w:val="009E41CE"/>
    <w:rsid w:val="009F100F"/>
    <w:rsid w:val="009F3BB6"/>
    <w:rsid w:val="009F64CB"/>
    <w:rsid w:val="00A11E9B"/>
    <w:rsid w:val="00A131E4"/>
    <w:rsid w:val="00A1385E"/>
    <w:rsid w:val="00A22D8B"/>
    <w:rsid w:val="00A425B8"/>
    <w:rsid w:val="00A42B05"/>
    <w:rsid w:val="00A44302"/>
    <w:rsid w:val="00A47756"/>
    <w:rsid w:val="00A5764D"/>
    <w:rsid w:val="00A57E10"/>
    <w:rsid w:val="00A81FBB"/>
    <w:rsid w:val="00AB5676"/>
    <w:rsid w:val="00AB73BC"/>
    <w:rsid w:val="00AD1DBA"/>
    <w:rsid w:val="00AD31CC"/>
    <w:rsid w:val="00AD5517"/>
    <w:rsid w:val="00AE105F"/>
    <w:rsid w:val="00AF18F4"/>
    <w:rsid w:val="00AF3DA0"/>
    <w:rsid w:val="00AF65DB"/>
    <w:rsid w:val="00B10AF3"/>
    <w:rsid w:val="00B11BE6"/>
    <w:rsid w:val="00B15138"/>
    <w:rsid w:val="00B15F4F"/>
    <w:rsid w:val="00B20477"/>
    <w:rsid w:val="00B24903"/>
    <w:rsid w:val="00B33276"/>
    <w:rsid w:val="00B3483A"/>
    <w:rsid w:val="00B551D2"/>
    <w:rsid w:val="00B56D89"/>
    <w:rsid w:val="00B761E6"/>
    <w:rsid w:val="00B83A11"/>
    <w:rsid w:val="00B87B5B"/>
    <w:rsid w:val="00BB23F5"/>
    <w:rsid w:val="00BB5824"/>
    <w:rsid w:val="00BC1A81"/>
    <w:rsid w:val="00BD0772"/>
    <w:rsid w:val="00BE270B"/>
    <w:rsid w:val="00BE280D"/>
    <w:rsid w:val="00BF3F4E"/>
    <w:rsid w:val="00C06471"/>
    <w:rsid w:val="00C06F9E"/>
    <w:rsid w:val="00C07025"/>
    <w:rsid w:val="00C12995"/>
    <w:rsid w:val="00C13024"/>
    <w:rsid w:val="00C27EC7"/>
    <w:rsid w:val="00C30E45"/>
    <w:rsid w:val="00C31CF6"/>
    <w:rsid w:val="00C35891"/>
    <w:rsid w:val="00C36B8D"/>
    <w:rsid w:val="00C37C21"/>
    <w:rsid w:val="00C4515A"/>
    <w:rsid w:val="00C54116"/>
    <w:rsid w:val="00C56DAD"/>
    <w:rsid w:val="00C6736A"/>
    <w:rsid w:val="00C70C9A"/>
    <w:rsid w:val="00C72B4D"/>
    <w:rsid w:val="00C737F2"/>
    <w:rsid w:val="00C9747F"/>
    <w:rsid w:val="00CA1CFC"/>
    <w:rsid w:val="00CA22AC"/>
    <w:rsid w:val="00CA3E73"/>
    <w:rsid w:val="00CA7597"/>
    <w:rsid w:val="00CC324A"/>
    <w:rsid w:val="00CC7DB9"/>
    <w:rsid w:val="00CD7262"/>
    <w:rsid w:val="00CD7B89"/>
    <w:rsid w:val="00CE2F01"/>
    <w:rsid w:val="00CE46A0"/>
    <w:rsid w:val="00CF5C6F"/>
    <w:rsid w:val="00D01B0B"/>
    <w:rsid w:val="00D0272C"/>
    <w:rsid w:val="00D047A7"/>
    <w:rsid w:val="00D13864"/>
    <w:rsid w:val="00D1677F"/>
    <w:rsid w:val="00D17E99"/>
    <w:rsid w:val="00D336FC"/>
    <w:rsid w:val="00D34FDE"/>
    <w:rsid w:val="00D61304"/>
    <w:rsid w:val="00D6198A"/>
    <w:rsid w:val="00D72A9C"/>
    <w:rsid w:val="00D74C59"/>
    <w:rsid w:val="00D77BB7"/>
    <w:rsid w:val="00D8138F"/>
    <w:rsid w:val="00D81871"/>
    <w:rsid w:val="00D95091"/>
    <w:rsid w:val="00D950D9"/>
    <w:rsid w:val="00D95288"/>
    <w:rsid w:val="00D954E5"/>
    <w:rsid w:val="00D96080"/>
    <w:rsid w:val="00D96409"/>
    <w:rsid w:val="00DA05FB"/>
    <w:rsid w:val="00DA0FCF"/>
    <w:rsid w:val="00DC0684"/>
    <w:rsid w:val="00DD41B6"/>
    <w:rsid w:val="00DE2DFC"/>
    <w:rsid w:val="00DE745E"/>
    <w:rsid w:val="00DF023D"/>
    <w:rsid w:val="00DF37B7"/>
    <w:rsid w:val="00DF5F63"/>
    <w:rsid w:val="00E0472B"/>
    <w:rsid w:val="00E2300D"/>
    <w:rsid w:val="00E26250"/>
    <w:rsid w:val="00E27FB7"/>
    <w:rsid w:val="00E30CC2"/>
    <w:rsid w:val="00E3347F"/>
    <w:rsid w:val="00E352E7"/>
    <w:rsid w:val="00E40A53"/>
    <w:rsid w:val="00E43965"/>
    <w:rsid w:val="00E475E7"/>
    <w:rsid w:val="00E535B0"/>
    <w:rsid w:val="00E62202"/>
    <w:rsid w:val="00E959F7"/>
    <w:rsid w:val="00E965B3"/>
    <w:rsid w:val="00EA425F"/>
    <w:rsid w:val="00EB2261"/>
    <w:rsid w:val="00EB5595"/>
    <w:rsid w:val="00EC6B17"/>
    <w:rsid w:val="00ED2351"/>
    <w:rsid w:val="00ED60FB"/>
    <w:rsid w:val="00EE607F"/>
    <w:rsid w:val="00EE6663"/>
    <w:rsid w:val="00EE6F6F"/>
    <w:rsid w:val="00F003E3"/>
    <w:rsid w:val="00F01C77"/>
    <w:rsid w:val="00F0606C"/>
    <w:rsid w:val="00F1465B"/>
    <w:rsid w:val="00F24470"/>
    <w:rsid w:val="00F24D4D"/>
    <w:rsid w:val="00F27772"/>
    <w:rsid w:val="00F33BB3"/>
    <w:rsid w:val="00F35255"/>
    <w:rsid w:val="00F37BAC"/>
    <w:rsid w:val="00F41E34"/>
    <w:rsid w:val="00F43B96"/>
    <w:rsid w:val="00F451BA"/>
    <w:rsid w:val="00F479C2"/>
    <w:rsid w:val="00F47A51"/>
    <w:rsid w:val="00F54BCA"/>
    <w:rsid w:val="00F77202"/>
    <w:rsid w:val="00F77B95"/>
    <w:rsid w:val="00F84DDC"/>
    <w:rsid w:val="00F94A8F"/>
    <w:rsid w:val="00FB18A1"/>
    <w:rsid w:val="00FB399D"/>
    <w:rsid w:val="00FC095B"/>
    <w:rsid w:val="00FC19D0"/>
    <w:rsid w:val="00FC7C7D"/>
    <w:rsid w:val="00FD4FBF"/>
    <w:rsid w:val="00FD5FFD"/>
    <w:rsid w:val="00FD6FB2"/>
    <w:rsid w:val="00FE717A"/>
    <w:rsid w:val="00FF3D1A"/>
    <w:rsid w:val="00FF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2063"/>
  <w15:chartTrackingRefBased/>
  <w15:docId w15:val="{B9E647F2-C879-49A1-B91E-FBF5D73A2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13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1304"/>
    <w:rPr>
      <w:sz w:val="20"/>
      <w:szCs w:val="20"/>
    </w:rPr>
  </w:style>
  <w:style w:type="character" w:styleId="FootnoteReference">
    <w:name w:val="footnote reference"/>
    <w:basedOn w:val="DefaultParagraphFont"/>
    <w:uiPriority w:val="99"/>
    <w:semiHidden/>
    <w:unhideWhenUsed/>
    <w:rsid w:val="00D61304"/>
    <w:rPr>
      <w:vertAlign w:val="superscript"/>
    </w:rPr>
  </w:style>
  <w:style w:type="character" w:styleId="Hyperlink">
    <w:name w:val="Hyperlink"/>
    <w:basedOn w:val="DefaultParagraphFont"/>
    <w:uiPriority w:val="99"/>
    <w:unhideWhenUsed/>
    <w:rsid w:val="00902690"/>
    <w:rPr>
      <w:color w:val="0563C1" w:themeColor="hyperlink"/>
      <w:u w:val="single"/>
    </w:rPr>
  </w:style>
  <w:style w:type="character" w:styleId="UnresolvedMention">
    <w:name w:val="Unresolved Mention"/>
    <w:basedOn w:val="DefaultParagraphFont"/>
    <w:uiPriority w:val="99"/>
    <w:semiHidden/>
    <w:unhideWhenUsed/>
    <w:rsid w:val="00902690"/>
    <w:rPr>
      <w:color w:val="605E5C"/>
      <w:shd w:val="clear" w:color="auto" w:fill="E1DFDD"/>
    </w:rPr>
  </w:style>
  <w:style w:type="paragraph" w:styleId="Header">
    <w:name w:val="header"/>
    <w:basedOn w:val="Normal"/>
    <w:link w:val="HeaderChar"/>
    <w:uiPriority w:val="99"/>
    <w:unhideWhenUsed/>
    <w:rsid w:val="009C39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914"/>
  </w:style>
  <w:style w:type="paragraph" w:styleId="Footer">
    <w:name w:val="footer"/>
    <w:basedOn w:val="Normal"/>
    <w:link w:val="FooterChar"/>
    <w:uiPriority w:val="99"/>
    <w:unhideWhenUsed/>
    <w:rsid w:val="009C39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jstor.org/stable/2155990.%20Accessed%2029%20Mar.%202021"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4" ma:contentTypeDescription="Create a new document." ma:contentTypeScope="" ma:versionID="6d07a51682930a045794f6ce5ef816fe">
  <xsd:schema xmlns:xsd="http://www.w3.org/2001/XMLSchema" xmlns:xs="http://www.w3.org/2001/XMLSchema" xmlns:p="http://schemas.microsoft.com/office/2006/metadata/properties" xmlns:ns3="dd7bbc2b-1d05-4a2b-aef3-b6f0207d1649" targetNamespace="http://schemas.microsoft.com/office/2006/metadata/properties" ma:root="true" ma:fieldsID="32919218e2dac293e690616d528889ba" ns3:_="">
    <xsd:import namespace="dd7bbc2b-1d05-4a2b-aef3-b6f0207d16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94E19B-44B2-451E-846B-7CCF00BA57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6BEA3B-DCCC-4F6D-BA2F-D92477ABCE8A}">
  <ds:schemaRefs>
    <ds:schemaRef ds:uri="http://schemas.microsoft.com/sharepoint/v3/contenttype/forms"/>
  </ds:schemaRefs>
</ds:datastoreItem>
</file>

<file path=customXml/itemProps3.xml><?xml version="1.0" encoding="utf-8"?>
<ds:datastoreItem xmlns:ds="http://schemas.openxmlformats.org/officeDocument/2006/customXml" ds:itemID="{F265E34D-DD5D-4235-8B18-AD2B7D91B2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9</Pages>
  <Words>2599</Words>
  <Characters>14816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Hicks</dc:creator>
  <cp:keywords/>
  <dc:description/>
  <cp:lastModifiedBy>Leon Hicks</cp:lastModifiedBy>
  <cp:revision>412</cp:revision>
  <cp:lastPrinted>2021-03-31T11:00:00Z</cp:lastPrinted>
  <dcterms:created xsi:type="dcterms:W3CDTF">2021-03-29T10:44:00Z</dcterms:created>
  <dcterms:modified xsi:type="dcterms:W3CDTF">2021-03-31T11:10:00Z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