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1DA" w:rsidRDefault="00B131DA" w:rsidP="6B697D2F">
      <w:pPr>
        <w:jc w:val="center"/>
        <w:rPr>
          <w:rFonts w:cs="Calibri"/>
          <w:sz w:val="28"/>
          <w:szCs w:val="28"/>
        </w:rPr>
      </w:pPr>
    </w:p>
    <w:p w:rsidR="00B131DA" w:rsidRDefault="00B131DA" w:rsidP="6B697D2F">
      <w:pPr>
        <w:jc w:val="center"/>
        <w:rPr>
          <w:rFonts w:cs="Calibri"/>
          <w:sz w:val="28"/>
          <w:szCs w:val="28"/>
        </w:rPr>
      </w:pPr>
    </w:p>
    <w:p w:rsidR="00B131DA" w:rsidRDefault="00B131DA" w:rsidP="6B697D2F">
      <w:pPr>
        <w:jc w:val="center"/>
        <w:rPr>
          <w:rFonts w:cs="Calibri"/>
          <w:sz w:val="28"/>
          <w:szCs w:val="28"/>
        </w:rPr>
      </w:pPr>
    </w:p>
    <w:p w:rsidR="00B131DA" w:rsidRDefault="00B131DA" w:rsidP="6B697D2F">
      <w:pPr>
        <w:jc w:val="center"/>
        <w:rPr>
          <w:rFonts w:cs="Calibri"/>
          <w:sz w:val="28"/>
          <w:szCs w:val="28"/>
        </w:rPr>
      </w:pPr>
    </w:p>
    <w:p w:rsidR="00B131DA" w:rsidRDefault="00B131DA" w:rsidP="6B697D2F">
      <w:pPr>
        <w:jc w:val="center"/>
        <w:rPr>
          <w:rFonts w:ascii="Times New Roman" w:hAnsi="Times New Roman"/>
          <w:sz w:val="28"/>
          <w:szCs w:val="28"/>
        </w:rPr>
      </w:pPr>
    </w:p>
    <w:p w:rsidR="00B131DA" w:rsidRDefault="00B131DA" w:rsidP="6B697D2F">
      <w:pPr>
        <w:jc w:val="center"/>
        <w:rPr>
          <w:rFonts w:ascii="Times New Roman" w:hAnsi="Times New Roman"/>
          <w:b/>
          <w:bCs/>
          <w:sz w:val="36"/>
          <w:szCs w:val="36"/>
        </w:rPr>
      </w:pPr>
      <w:r w:rsidRPr="6B697D2F">
        <w:rPr>
          <w:rFonts w:ascii="Times New Roman" w:hAnsi="Times New Roman"/>
          <w:b/>
          <w:bCs/>
          <w:sz w:val="36"/>
          <w:szCs w:val="36"/>
        </w:rPr>
        <w:t>BA Primary Education with QTS: Year 3</w:t>
      </w:r>
      <w:r>
        <w:br/>
      </w:r>
      <w:r>
        <w:br/>
      </w:r>
      <w:r w:rsidRPr="6B697D2F">
        <w:rPr>
          <w:rFonts w:ascii="Times New Roman" w:hAnsi="Times New Roman"/>
          <w:b/>
          <w:bCs/>
          <w:sz w:val="36"/>
          <w:szCs w:val="36"/>
          <w:u w:val="single"/>
        </w:rPr>
        <w:t>Module Title:</w:t>
      </w:r>
      <w:r w:rsidRPr="6B697D2F">
        <w:rPr>
          <w:rFonts w:ascii="Times New Roman" w:hAnsi="Times New Roman"/>
          <w:b/>
          <w:bCs/>
          <w:sz w:val="36"/>
          <w:szCs w:val="36"/>
        </w:rPr>
        <w:t xml:space="preserve"> </w:t>
      </w:r>
      <w:r w:rsidRPr="6B697D2F">
        <w:rPr>
          <w:rFonts w:ascii="Times New Roman" w:hAnsi="Times New Roman"/>
          <w:sz w:val="36"/>
          <w:szCs w:val="36"/>
          <w:lang/>
        </w:rPr>
        <w:t>Enterprising and Creative Teaching and Learning</w:t>
      </w:r>
      <w:r>
        <w:br/>
      </w:r>
      <w:r>
        <w:br/>
      </w:r>
      <w:r w:rsidRPr="6B697D2F">
        <w:rPr>
          <w:rFonts w:ascii="Times New Roman" w:hAnsi="Times New Roman"/>
          <w:sz w:val="36"/>
          <w:szCs w:val="36"/>
          <w:lang/>
        </w:rPr>
        <w:t>ECAD6004</w:t>
      </w:r>
      <w:r>
        <w:br/>
      </w:r>
      <w:r>
        <w:br/>
      </w:r>
      <w:r w:rsidRPr="6B697D2F">
        <w:rPr>
          <w:rFonts w:ascii="Times New Roman" w:hAnsi="Times New Roman"/>
          <w:b/>
          <w:bCs/>
          <w:sz w:val="36"/>
          <w:szCs w:val="36"/>
          <w:u w:val="single"/>
          <w:lang/>
        </w:rPr>
        <w:t>Module Tutor:</w:t>
      </w:r>
      <w:r w:rsidRPr="6B697D2F">
        <w:rPr>
          <w:rFonts w:ascii="Times New Roman" w:hAnsi="Times New Roman"/>
          <w:b/>
          <w:bCs/>
          <w:sz w:val="36"/>
          <w:szCs w:val="36"/>
          <w:lang/>
        </w:rPr>
        <w:t xml:space="preserve"> </w:t>
      </w:r>
      <w:r w:rsidRPr="6B697D2F">
        <w:rPr>
          <w:rFonts w:ascii="Times New Roman" w:hAnsi="Times New Roman"/>
          <w:sz w:val="36"/>
          <w:szCs w:val="36"/>
          <w:lang/>
        </w:rPr>
        <w:t>Tom Cox</w:t>
      </w:r>
      <w:r>
        <w:br/>
      </w:r>
      <w:r>
        <w:br/>
      </w:r>
      <w:r w:rsidRPr="6B697D2F">
        <w:rPr>
          <w:rFonts w:ascii="Times New Roman" w:hAnsi="Times New Roman"/>
          <w:b/>
          <w:bCs/>
          <w:sz w:val="36"/>
          <w:szCs w:val="36"/>
          <w:u w:val="single"/>
          <w:lang/>
        </w:rPr>
        <w:t>Assignment Title:</w:t>
      </w:r>
      <w:r w:rsidRPr="6B697D2F">
        <w:rPr>
          <w:rFonts w:ascii="Times New Roman" w:hAnsi="Times New Roman"/>
          <w:sz w:val="36"/>
          <w:szCs w:val="36"/>
        </w:rPr>
        <w:t xml:space="preserve"> Consider how you might be able to develop the creative or enterprising skills of learners through your own pedagogy.</w:t>
      </w:r>
    </w:p>
    <w:p w:rsidR="00B131DA" w:rsidRDefault="00B131DA" w:rsidP="6B697D2F">
      <w:pPr>
        <w:rPr>
          <w:rFonts w:ascii="Times New Roman" w:hAnsi="Times New Roman"/>
          <w:sz w:val="32"/>
          <w:szCs w:val="32"/>
        </w:rPr>
      </w:pPr>
    </w:p>
    <w:p w:rsidR="00B131DA" w:rsidRDefault="00B131DA" w:rsidP="6B697D2F">
      <w:pPr>
        <w:jc w:val="center"/>
        <w:rPr>
          <w:rFonts w:ascii="Times New Roman" w:hAnsi="Times New Roman"/>
          <w:sz w:val="28"/>
          <w:szCs w:val="28"/>
        </w:rPr>
      </w:pPr>
      <w:r>
        <w:br/>
      </w:r>
      <w:r>
        <w:br/>
      </w:r>
      <w:r>
        <w:br/>
      </w:r>
      <w:r w:rsidRPr="6B697D2F">
        <w:rPr>
          <w:rFonts w:ascii="Times New Roman" w:hAnsi="Times New Roman"/>
          <w:sz w:val="36"/>
          <w:szCs w:val="36"/>
          <w:u w:val="single"/>
        </w:rPr>
        <w:t>Submission Date:</w:t>
      </w:r>
      <w:r w:rsidRPr="6B697D2F">
        <w:rPr>
          <w:rFonts w:ascii="Times New Roman" w:hAnsi="Times New Roman"/>
          <w:sz w:val="36"/>
          <w:szCs w:val="36"/>
        </w:rPr>
        <w:t xml:space="preserve"> 8/3/2018</w:t>
      </w:r>
      <w:r>
        <w:br/>
      </w:r>
      <w:r w:rsidRPr="6B697D2F">
        <w:rPr>
          <w:rFonts w:ascii="Times New Roman" w:hAnsi="Times New Roman"/>
          <w:sz w:val="28"/>
          <w:szCs w:val="28"/>
        </w:rPr>
        <w:t xml:space="preserve"> </w:t>
      </w:r>
    </w:p>
    <w:p w:rsidR="00B131DA" w:rsidRDefault="00B131DA" w:rsidP="6B697D2F">
      <w:pPr>
        <w:rPr>
          <w:rFonts w:cs="Calibri"/>
          <w:sz w:val="28"/>
          <w:szCs w:val="28"/>
        </w:rPr>
      </w:pPr>
    </w:p>
    <w:p w:rsidR="00B131DA" w:rsidRDefault="00B131DA" w:rsidP="6B697D2F">
      <w:pPr>
        <w:rPr>
          <w:rFonts w:cs="Calibri"/>
          <w:sz w:val="28"/>
          <w:szCs w:val="28"/>
        </w:rPr>
      </w:pPr>
    </w:p>
    <w:p w:rsidR="00B131DA" w:rsidRDefault="00B131DA" w:rsidP="6B697D2F">
      <w:pPr>
        <w:rPr>
          <w:rFonts w:cs="Calibri"/>
          <w:sz w:val="28"/>
          <w:szCs w:val="28"/>
        </w:rPr>
      </w:pPr>
    </w:p>
    <w:p w:rsidR="00B131DA" w:rsidRDefault="00B131DA" w:rsidP="6B697D2F">
      <w:pPr>
        <w:rPr>
          <w:rFonts w:cs="Calibri"/>
          <w:sz w:val="28"/>
          <w:szCs w:val="28"/>
        </w:rPr>
      </w:pPr>
    </w:p>
    <w:p w:rsidR="00B131DA" w:rsidRDefault="00B131DA" w:rsidP="6B697D2F">
      <w:pPr>
        <w:rPr>
          <w:rFonts w:cs="Calibri"/>
          <w:sz w:val="28"/>
          <w:szCs w:val="28"/>
        </w:rPr>
      </w:pPr>
    </w:p>
    <w:p w:rsidR="00B131DA" w:rsidRDefault="00B131DA" w:rsidP="6B697D2F">
      <w:pPr>
        <w:rPr>
          <w:rFonts w:ascii="Times New Roman" w:hAnsi="Times New Roman"/>
          <w:sz w:val="28"/>
          <w:szCs w:val="28"/>
        </w:rPr>
      </w:pPr>
      <w:r>
        <w:br/>
      </w:r>
      <w:hyperlink r:id="rId6">
        <w:r w:rsidRPr="6B697D2F">
          <w:rPr>
            <w:rStyle w:val="Hyperlink"/>
            <w:rFonts w:ascii="Times New Roman" w:hAnsi="Times New Roman"/>
            <w:color w:val="167AC6"/>
            <w:sz w:val="28"/>
            <w:szCs w:val="28"/>
          </w:rPr>
          <w:t>https://youtu.be/3WWOujGeZEw</w:t>
        </w:r>
        <w:r>
          <w:br/>
        </w:r>
      </w:hyperlink>
    </w:p>
    <w:p w:rsidR="00B131DA" w:rsidRDefault="00B131DA" w:rsidP="6B697D2F">
      <w:pPr>
        <w:rPr>
          <w:rFonts w:ascii="Times New Roman" w:hAnsi="Times New Roman"/>
          <w:sz w:val="24"/>
          <w:szCs w:val="24"/>
        </w:rPr>
      </w:pPr>
      <w:r w:rsidRPr="6B697D2F">
        <w:rPr>
          <w:rFonts w:ascii="Times New Roman" w:hAnsi="Times New Roman"/>
          <w:sz w:val="24"/>
          <w:szCs w:val="24"/>
        </w:rPr>
        <w:t xml:space="preserve">Teaching for creativity is of the utmost importance as forms of teaching are considered to prosper and develop creative thinking. Estyn (2016) recognised that in order for pupils to channel their creativity, the fear of being wrong needs to be addressed and dismissed to ensure staff are inspired and excited by the creative nature.  Robinson (2015) and Donaldson (2015) validate that teaching for creativity is for learners to seize opportunities to develop commercial awareness, creative and innovative thinking. </w:t>
      </w:r>
    </w:p>
    <w:p w:rsidR="00B131DA" w:rsidRDefault="00B131DA" w:rsidP="6B697D2F">
      <w:pPr>
        <w:rPr>
          <w:rFonts w:ascii="Times New Roman" w:hAnsi="Times New Roman"/>
          <w:sz w:val="24"/>
          <w:szCs w:val="24"/>
        </w:rPr>
      </w:pPr>
      <w:r w:rsidRPr="6B697D2F">
        <w:rPr>
          <w:rFonts w:ascii="Times New Roman" w:hAnsi="Times New Roman"/>
          <w:sz w:val="24"/>
          <w:szCs w:val="24"/>
        </w:rPr>
        <w:t>Rousseau (1778) however saw the learning environment in a different perspective, stating that the environment should be determined from the study of the different psychological and physical stages a learner will pass through. Thus implying that it is the educator who needs to provide appropriate opportunities for creative learning to take place. Central to this idea, Wellhousen and Crowther (2004) work with the same in mind, maintaining that the role of the adult was to set up learning environments to influence active exploration.</w:t>
      </w:r>
    </w:p>
    <w:p w:rsidR="00B131DA" w:rsidRDefault="00B131DA" w:rsidP="6B697D2F">
      <w:pPr>
        <w:rPr>
          <w:rFonts w:ascii="Times New Roman" w:hAnsi="Times New Roman"/>
          <w:sz w:val="24"/>
          <w:szCs w:val="24"/>
        </w:rPr>
      </w:pPr>
      <w:r w:rsidRPr="6B697D2F">
        <w:rPr>
          <w:rFonts w:ascii="Times New Roman" w:hAnsi="Times New Roman"/>
          <w:sz w:val="24"/>
          <w:szCs w:val="24"/>
        </w:rPr>
        <w:t>Vygotsky (1962) developed a learning theory whereby studies were made on how social environments impact the process of learning. He believed that learning actually takes place through the teacher, other experts or their peers. Comparable to Vygotsky, Malaguzzi believed that social learning was anticipated from learners cognitive development, where the environment plays a fundamental role in ensuring that learning is purposeful. What is more, Malaguzzi saw the importance of this notion and referred to the environment as 'the third teacher' which was inspired by the Reggio Emilia approach.</w:t>
      </w:r>
    </w:p>
    <w:p w:rsidR="00B131DA" w:rsidRDefault="00B131DA" w:rsidP="6B697D2F">
      <w:pPr>
        <w:rPr>
          <w:rFonts w:ascii="Times New Roman" w:hAnsi="Times New Roman"/>
          <w:sz w:val="24"/>
          <w:szCs w:val="24"/>
        </w:rPr>
      </w:pPr>
      <w:r w:rsidRPr="6B697D2F">
        <w:rPr>
          <w:rFonts w:ascii="Times New Roman" w:hAnsi="Times New Roman"/>
          <w:sz w:val="24"/>
          <w:szCs w:val="24"/>
        </w:rPr>
        <w:t xml:space="preserve">Thus, the classroom environment plays a crucial role in nurturing creativity and confidence in pupils. It is therefore a convenient time to include pupil voice. Estyn (2016) confirm this stating that a strong pupil voice will contribute to benefits for both schools and learners. An example of this is when children are given the opportunity to use pupil voice to determine the theme from a set of options that will be the focus of the term, allowing them a choice and providing a sense of ownership to their work. </w:t>
      </w:r>
    </w:p>
    <w:p w:rsidR="00B131DA" w:rsidRDefault="00B131DA" w:rsidP="6B697D2F">
      <w:pPr>
        <w:rPr>
          <w:rFonts w:ascii="Times New Roman" w:hAnsi="Times New Roman"/>
          <w:sz w:val="24"/>
          <w:szCs w:val="24"/>
        </w:rPr>
      </w:pPr>
      <w:r w:rsidRPr="6B697D2F">
        <w:rPr>
          <w:rFonts w:ascii="Times New Roman" w:hAnsi="Times New Roman"/>
          <w:sz w:val="24"/>
          <w:szCs w:val="24"/>
        </w:rPr>
        <w:t>The character and personality that a person naturally has, results in the mindset they will carry. To explain, some children will have a negative disposition towards a subject that they may not enjoy because they may not believe they have the ability or skill set to complete the task. On the other hand, many children will immediately display a positive reaction particularly within expressive arts as imagination and innovation is encouraged. Sir Ken Robinson stated "Creativity is the process of having original ideas that have value". Creativity is strongly connected with two other concepts: imagination which is viewed as the root of creativity, and innovation where the new ideas are put into action. Fundamentally, creativity is your imagination at work.</w:t>
      </w:r>
    </w:p>
    <w:p w:rsidR="00B131DA" w:rsidRDefault="00B131DA" w:rsidP="6B697D2F">
      <w:pPr>
        <w:rPr>
          <w:rFonts w:ascii="Times New Roman" w:hAnsi="Times New Roman"/>
          <w:sz w:val="24"/>
          <w:szCs w:val="24"/>
        </w:rPr>
      </w:pPr>
      <w:r w:rsidRPr="6B697D2F">
        <w:rPr>
          <w:rFonts w:ascii="Times New Roman" w:hAnsi="Times New Roman"/>
          <w:sz w:val="24"/>
          <w:szCs w:val="24"/>
        </w:rPr>
        <w:t xml:space="preserve">Conner and Lofthouse (1990) suggest that building in choices and decisions into the children's work will strengthen ownership while remaining to achieve the levels of attainment. However i would have to be very careful in my approach and allow opportunities for learners to use their convergent thinking skills which are a pivotal factor to creativity according to Chemanais. With this in mind, a strategy that I am going to employ is to incorporate a mix of divergent and convergent thinking to a numeracy lesson. J.P.Guilford claimed divergent thinking is the ability to raise questions, analyse data and generate solutions to a problem, particularly when there is not one set answer to the problem. Grainger also noted the importance of convergent thinking, and how it is important to be able to come to one final answer, as it is expected of learners to do so in tests. Creative thinking is addressed through this method as tests often can require students whether they are able to identify more than one reasonable answer with justification. </w:t>
      </w:r>
    </w:p>
    <w:p w:rsidR="00B131DA" w:rsidRDefault="00B131DA" w:rsidP="6B697D2F">
      <w:pPr>
        <w:rPr>
          <w:rFonts w:ascii="Times New Roman" w:hAnsi="Times New Roman"/>
          <w:sz w:val="24"/>
          <w:szCs w:val="24"/>
        </w:rPr>
      </w:pPr>
      <w:r w:rsidRPr="6B697D2F">
        <w:rPr>
          <w:rFonts w:ascii="Times New Roman" w:hAnsi="Times New Roman"/>
          <w:sz w:val="24"/>
          <w:szCs w:val="24"/>
        </w:rPr>
        <w:t>Malaguzzi (1993) states that creativity becomes more visible when adults are more attentive to the cognitive processes of children rather than the outcome of the activity or lesson, thus children's daily interaction with adults and peers have a great influence on children's creativity. Taking this into account, I am going to use open ended questions in mathematics, to push students to justify their answers through reasoning. Within the context of reasoning tasks, it is useful to use open ended questions which is one of four categories of questions to support and encourage children to take a step further in the development of their answers (Badham, 1994). Donaldson (2015) agrees with this stating that Mathematics helps children to make sense of the world around them and manage their lives which meets one of the purposes; 'ambitious and capable learners'. In agreement with Badham, Wood (1999) suggests that Children understand mathematics best if they are actively involved in their learning, thus empowering students to make their own decisions.</w:t>
      </w:r>
    </w:p>
    <w:p w:rsidR="00B131DA" w:rsidRDefault="00B131DA" w:rsidP="6B697D2F">
      <w:pPr>
        <w:rPr>
          <w:rFonts w:ascii="Times New Roman" w:hAnsi="Times New Roman"/>
          <w:sz w:val="24"/>
          <w:szCs w:val="24"/>
        </w:rPr>
      </w:pPr>
      <w:r w:rsidRPr="6B697D2F">
        <w:rPr>
          <w:rFonts w:ascii="Times New Roman" w:hAnsi="Times New Roman"/>
          <w:sz w:val="24"/>
          <w:szCs w:val="24"/>
        </w:rPr>
        <w:t xml:space="preserve">Robinson (2015) acknowledges that music encourages creativity to be fostered in all subject areas through a variety of different methods. I will be exploring this acknowledgement by analysing the different cross-curricular methods that can create a valuable, unique learning experience for learners. Barnes validates Robinsons belief and suggests that music can be used to fuse knowledge and skills together that create fluent cross-curricular links within the classroom. SPARK have noted that the dissociation effect has been recognised to reduce distinguished effort whilst endurance is increased. Taking part in physical activity is essential as it works towards one of the four purposes put forward by Donaldson 'to be healthy and confident individuals. Introducing music into physical activity will improve children's attitude and create a positive environment to work in. </w:t>
      </w:r>
    </w:p>
    <w:p w:rsidR="00B131DA" w:rsidRDefault="00B131DA" w:rsidP="6B697D2F">
      <w:pPr>
        <w:rPr>
          <w:rFonts w:ascii="Times New Roman" w:hAnsi="Times New Roman"/>
          <w:sz w:val="24"/>
          <w:szCs w:val="24"/>
        </w:rPr>
      </w:pPr>
      <w:r w:rsidRPr="6B697D2F">
        <w:rPr>
          <w:rFonts w:ascii="Times New Roman" w:hAnsi="Times New Roman"/>
          <w:sz w:val="24"/>
          <w:szCs w:val="24"/>
        </w:rPr>
        <w:t>Fostering creativity and enterprising skills in learners is essential to working towards Donaldson's report of the revised curriculum. Evidence for the impact of creative environments on pupil attainment are taken into consideration alongside the development of teacher professionalism. Teaching for creativity should be about children taking risks, accepting if they are wrong and learning from their mistakes. Grainger et al stated that creativity is possible wherever human intelligence is actively engaged and is an essential part of an effective education. This will allow me to identify future priorities to make more informed decisions on learning experience to improve the quality of teaching and to make thoughtful choices that support creative efforts through cognitive, social and emotional and physical developments.</w:t>
      </w:r>
    </w:p>
    <w:p w:rsidR="00B131DA" w:rsidRDefault="00B131DA" w:rsidP="6B697D2F">
      <w:pPr>
        <w:rPr>
          <w:rFonts w:ascii="Times New Roman" w:hAnsi="Times New Roman"/>
        </w:rPr>
      </w:pPr>
      <w:r>
        <w:br/>
      </w:r>
    </w:p>
    <w:p w:rsidR="00B131DA" w:rsidRDefault="00B131DA" w:rsidP="6B697D2F"/>
    <w:p w:rsidR="00B131DA" w:rsidRDefault="00B131DA" w:rsidP="6B697D2F">
      <w:pPr>
        <w:rPr>
          <w:rFonts w:ascii="Times New Roman" w:hAnsi="Times New Roman"/>
          <w:sz w:val="28"/>
          <w:szCs w:val="28"/>
          <w:u w:val="single"/>
        </w:rPr>
      </w:pPr>
      <w:r w:rsidRPr="6B697D2F">
        <w:rPr>
          <w:rFonts w:ascii="Times New Roman" w:hAnsi="Times New Roman"/>
          <w:sz w:val="28"/>
          <w:szCs w:val="28"/>
          <w:u w:val="single"/>
        </w:rPr>
        <w:t>Reference List</w:t>
      </w:r>
      <w:r>
        <w:br/>
      </w:r>
    </w:p>
    <w:p w:rsidR="00B131DA" w:rsidRDefault="00B131DA" w:rsidP="6B697D2F">
      <w:pPr>
        <w:ind w:left="450" w:hanging="450"/>
      </w:pPr>
      <w:r w:rsidRPr="6B697D2F">
        <w:rPr>
          <w:rFonts w:ascii="Times New Roman" w:hAnsi="Times New Roman"/>
        </w:rPr>
        <w:t xml:space="preserve">Anon, (2018). </w:t>
      </w:r>
      <w:r w:rsidRPr="6B697D2F">
        <w:rPr>
          <w:rFonts w:ascii="Times New Roman" w:hAnsi="Times New Roman"/>
          <w:i/>
          <w:iCs/>
        </w:rPr>
        <w:t>Creative Thinking Skills</w:t>
      </w:r>
      <w:r w:rsidRPr="6B697D2F">
        <w:rPr>
          <w:rFonts w:ascii="Times New Roman" w:hAnsi="Times New Roman"/>
        </w:rPr>
        <w:t xml:space="preserve">. [online] Available at: </w:t>
      </w:r>
      <w:hyperlink r:id="rId7">
        <w:r w:rsidRPr="6B697D2F">
          <w:rPr>
            <w:rStyle w:val="Hyperlink"/>
            <w:rFonts w:ascii="Times New Roman" w:hAnsi="Times New Roman"/>
          </w:rPr>
          <w:t>https://www.macmillanihe.com/studentstudyskills/page/creative-thinking-skills/</w:t>
        </w:r>
      </w:hyperlink>
      <w:r w:rsidRPr="6B697D2F">
        <w:rPr>
          <w:rFonts w:ascii="Times New Roman" w:hAnsi="Times New Roman"/>
        </w:rPr>
        <w:t xml:space="preserve"> [Accessed 10 Mar. 2018].</w:t>
      </w:r>
    </w:p>
    <w:p w:rsidR="00B131DA" w:rsidRDefault="00B131DA" w:rsidP="6B697D2F">
      <w:pPr>
        <w:rPr>
          <w:rFonts w:ascii="Times New Roman" w:hAnsi="Times New Roman"/>
        </w:rPr>
      </w:pPr>
      <w:r w:rsidRPr="6B697D2F">
        <w:rPr>
          <w:rFonts w:ascii="Times New Roman" w:hAnsi="Times New Roman"/>
        </w:rPr>
        <w:t xml:space="preserve">Barnes, J. (2015). </w:t>
      </w:r>
      <w:r w:rsidRPr="6B697D2F">
        <w:rPr>
          <w:rFonts w:ascii="Times New Roman" w:hAnsi="Times New Roman"/>
          <w:i/>
          <w:iCs/>
        </w:rPr>
        <w:t>Cross-Curricular Learning</w:t>
      </w:r>
      <w:r w:rsidRPr="6B697D2F">
        <w:rPr>
          <w:rFonts w:ascii="Times New Roman" w:hAnsi="Times New Roman"/>
        </w:rPr>
        <w:t xml:space="preserve"> 3-14. 1st ed. </w:t>
      </w:r>
      <w:smartTag w:uri="urn:schemas-microsoft-com:office:smarttags" w:element="place">
        <w:smartTag w:uri="urn:schemas-microsoft-com:office:smarttags" w:element="City">
          <w:r w:rsidRPr="6B697D2F">
            <w:rPr>
              <w:rFonts w:ascii="Times New Roman" w:hAnsi="Times New Roman"/>
            </w:rPr>
            <w:t>London</w:t>
          </w:r>
        </w:smartTag>
      </w:smartTag>
      <w:r w:rsidRPr="6B697D2F">
        <w:rPr>
          <w:rFonts w:ascii="Times New Roman" w:hAnsi="Times New Roman"/>
        </w:rPr>
        <w:t>: SAGE Publications</w:t>
      </w:r>
    </w:p>
    <w:p w:rsidR="00B131DA" w:rsidRDefault="00B131DA" w:rsidP="6B697D2F">
      <w:pPr>
        <w:ind w:left="450" w:hanging="450"/>
      </w:pPr>
      <w:r w:rsidRPr="6B697D2F">
        <w:rPr>
          <w:rFonts w:ascii="Times New Roman" w:hAnsi="Times New Roman"/>
        </w:rPr>
        <w:t xml:space="preserve">Cheminais, R. (n.d.). </w:t>
      </w:r>
      <w:r w:rsidRPr="6B697D2F">
        <w:rPr>
          <w:rFonts w:ascii="Times New Roman" w:hAnsi="Times New Roman"/>
          <w:i/>
          <w:iCs/>
        </w:rPr>
        <w:t>Engaging pupil voice to ensure that every child matters</w:t>
      </w:r>
      <w:r w:rsidRPr="6B697D2F">
        <w:rPr>
          <w:rFonts w:ascii="Times New Roman" w:hAnsi="Times New Roman"/>
        </w:rPr>
        <w:t>.</w:t>
      </w:r>
    </w:p>
    <w:p w:rsidR="00B131DA" w:rsidRDefault="00B131DA" w:rsidP="6B697D2F">
      <w:pPr>
        <w:ind w:left="450" w:hanging="450"/>
      </w:pPr>
      <w:r w:rsidRPr="6B697D2F">
        <w:rPr>
          <w:rFonts w:ascii="Times New Roman" w:hAnsi="Times New Roman"/>
        </w:rPr>
        <w:t xml:space="preserve">Conner, C. and Lofthouse, B. (1990). </w:t>
      </w:r>
      <w:r w:rsidRPr="6B697D2F">
        <w:rPr>
          <w:rFonts w:ascii="Times New Roman" w:hAnsi="Times New Roman"/>
          <w:i/>
          <w:iCs/>
        </w:rPr>
        <w:t>The study of primary education</w:t>
      </w:r>
      <w:r w:rsidRPr="6B697D2F">
        <w:rPr>
          <w:rFonts w:ascii="Times New Roman" w:hAnsi="Times New Roman"/>
        </w:rPr>
        <w:t xml:space="preserve">. 1st ed. </w:t>
      </w:r>
      <w:smartTag w:uri="urn:schemas-microsoft-com:office:smarttags" w:element="place">
        <w:smartTag w:uri="urn:schemas-microsoft-com:office:smarttags" w:element="City">
          <w:r w:rsidRPr="6B697D2F">
            <w:rPr>
              <w:rFonts w:ascii="Times New Roman" w:hAnsi="Times New Roman"/>
            </w:rPr>
            <w:t>London</w:t>
          </w:r>
        </w:smartTag>
      </w:smartTag>
      <w:r w:rsidRPr="6B697D2F">
        <w:rPr>
          <w:rFonts w:ascii="Times New Roman" w:hAnsi="Times New Roman"/>
        </w:rPr>
        <w:t>: Falmer, pp.175-176.</w:t>
      </w:r>
    </w:p>
    <w:p w:rsidR="00B131DA" w:rsidRDefault="00B131DA" w:rsidP="6B697D2F">
      <w:pPr>
        <w:ind w:left="450" w:hanging="450"/>
      </w:pPr>
      <w:r w:rsidRPr="6B697D2F">
        <w:rPr>
          <w:rFonts w:ascii="Times New Roman" w:hAnsi="Times New Roman"/>
        </w:rPr>
        <w:t xml:space="preserve">Creativitycatapult.org. (2018). </w:t>
      </w:r>
      <w:r w:rsidRPr="6B697D2F">
        <w:rPr>
          <w:rFonts w:ascii="Times New Roman" w:hAnsi="Times New Roman"/>
          <w:i/>
          <w:iCs/>
        </w:rPr>
        <w:t>7 Components of Creativity</w:t>
      </w:r>
      <w:r w:rsidRPr="6B697D2F">
        <w:rPr>
          <w:rFonts w:ascii="Times New Roman" w:hAnsi="Times New Roman"/>
        </w:rPr>
        <w:t xml:space="preserve">. [online] Available at: </w:t>
      </w:r>
      <w:hyperlink r:id="rId8">
        <w:r w:rsidRPr="6B697D2F">
          <w:rPr>
            <w:rStyle w:val="Hyperlink"/>
            <w:rFonts w:ascii="Times New Roman" w:hAnsi="Times New Roman"/>
          </w:rPr>
          <w:t>http://creativitycatapult.org/wp-content/uploads/sites/3/2016/03/7-Components-of-Creativity.jpg</w:t>
        </w:r>
      </w:hyperlink>
      <w:r w:rsidRPr="6B697D2F">
        <w:rPr>
          <w:rFonts w:ascii="Times New Roman" w:hAnsi="Times New Roman"/>
        </w:rPr>
        <w:t xml:space="preserve"> [Accessed 10 Mar. 2018].</w:t>
      </w:r>
    </w:p>
    <w:p w:rsidR="00B131DA" w:rsidRDefault="00B131DA" w:rsidP="6B697D2F">
      <w:pPr>
        <w:rPr>
          <w:rFonts w:ascii="Times New Roman" w:hAnsi="Times New Roman"/>
          <w:sz w:val="24"/>
          <w:szCs w:val="24"/>
        </w:rPr>
      </w:pPr>
      <w:r w:rsidRPr="6B697D2F">
        <w:rPr>
          <w:rFonts w:ascii="Times New Roman" w:hAnsi="Times New Roman"/>
          <w:sz w:val="24"/>
          <w:szCs w:val="24"/>
        </w:rPr>
        <w:t xml:space="preserve">Donaldson, G. (2015) </w:t>
      </w:r>
      <w:r w:rsidRPr="6B697D2F">
        <w:rPr>
          <w:rFonts w:ascii="Times New Roman" w:hAnsi="Times New Roman"/>
          <w:i/>
          <w:iCs/>
          <w:sz w:val="24"/>
          <w:szCs w:val="24"/>
        </w:rPr>
        <w:t>Successful futures independent review of curriculum and assessment arrangements in wales</w:t>
      </w:r>
      <w:r w:rsidRPr="6B697D2F">
        <w:rPr>
          <w:rFonts w:ascii="Times New Roman" w:hAnsi="Times New Roman"/>
          <w:sz w:val="24"/>
          <w:szCs w:val="24"/>
        </w:rPr>
        <w:t xml:space="preserve">. Available at: </w:t>
      </w:r>
      <w:hyperlink r:id="rId9">
        <w:r w:rsidRPr="6B697D2F">
          <w:rPr>
            <w:rStyle w:val="Hyperlink"/>
            <w:rFonts w:ascii="Times New Roman" w:hAnsi="Times New Roman"/>
            <w:sz w:val="24"/>
            <w:szCs w:val="24"/>
          </w:rPr>
          <w:t>http://gov.wales/docs/dcells/publications/150317-successful-futures-en.pdf</w:t>
        </w:r>
      </w:hyperlink>
      <w:r w:rsidRPr="6B697D2F">
        <w:rPr>
          <w:rFonts w:ascii="Times New Roman" w:hAnsi="Times New Roman"/>
          <w:color w:val="0563C1"/>
          <w:sz w:val="24"/>
          <w:szCs w:val="24"/>
          <w:u w:val="single"/>
        </w:rPr>
        <w:t xml:space="preserve"> </w:t>
      </w:r>
      <w:r w:rsidRPr="6B697D2F">
        <w:rPr>
          <w:rFonts w:ascii="Times New Roman" w:hAnsi="Times New Roman"/>
          <w:color w:val="222222"/>
          <w:sz w:val="24"/>
          <w:szCs w:val="24"/>
        </w:rPr>
        <w:t xml:space="preserve"> [Accessed: 29 Nov. 2017].</w:t>
      </w:r>
      <w:r w:rsidRPr="6B697D2F">
        <w:rPr>
          <w:rFonts w:ascii="Times New Roman" w:hAnsi="Times New Roman"/>
          <w:sz w:val="24"/>
          <w:szCs w:val="24"/>
        </w:rPr>
        <w:t>.</w:t>
      </w:r>
    </w:p>
    <w:p w:rsidR="00B131DA" w:rsidRDefault="00B131DA" w:rsidP="6B697D2F">
      <w:pPr>
        <w:ind w:left="450" w:hanging="450"/>
      </w:pPr>
      <w:r w:rsidRPr="6B697D2F">
        <w:rPr>
          <w:rFonts w:ascii="Times New Roman" w:hAnsi="Times New Roman"/>
        </w:rPr>
        <w:t xml:space="preserve">Estyn (2016). </w:t>
      </w:r>
      <w:r w:rsidRPr="6B697D2F">
        <w:rPr>
          <w:rFonts w:ascii="Times New Roman" w:hAnsi="Times New Roman"/>
          <w:i/>
          <w:iCs/>
        </w:rPr>
        <w:t>‘Pupil voice’ benefits pupils and helps schools to improve | Estyn</w:t>
      </w:r>
      <w:r w:rsidRPr="6B697D2F">
        <w:rPr>
          <w:rFonts w:ascii="Times New Roman" w:hAnsi="Times New Roman"/>
        </w:rPr>
        <w:t xml:space="preserve">. [online] Estyn.gov.wales. Available at: </w:t>
      </w:r>
      <w:hyperlink r:id="rId10">
        <w:r w:rsidRPr="6B697D2F">
          <w:rPr>
            <w:rStyle w:val="Hyperlink"/>
            <w:rFonts w:ascii="Times New Roman" w:hAnsi="Times New Roman"/>
          </w:rPr>
          <w:t>https://www.estyn.gov.wales/news/%E2%80%98pupil-voice%E2%80%99-benefits-pupils-and-helps-schools-improve</w:t>
        </w:r>
      </w:hyperlink>
      <w:r w:rsidRPr="6B697D2F">
        <w:rPr>
          <w:rFonts w:ascii="Times New Roman" w:hAnsi="Times New Roman"/>
        </w:rPr>
        <w:t xml:space="preserve"> [Accessed 12 Mar. 2018].</w:t>
      </w:r>
    </w:p>
    <w:p w:rsidR="00B131DA" w:rsidRDefault="00B131DA" w:rsidP="6B697D2F">
      <w:pPr>
        <w:ind w:left="450" w:hanging="450"/>
      </w:pPr>
      <w:r w:rsidRPr="6B697D2F">
        <w:rPr>
          <w:rFonts w:ascii="Times New Roman" w:hAnsi="Times New Roman"/>
        </w:rPr>
        <w:t xml:space="preserve">Estyn (2018). </w:t>
      </w:r>
      <w:r w:rsidRPr="6B697D2F">
        <w:rPr>
          <w:rFonts w:ascii="Times New Roman" w:hAnsi="Times New Roman"/>
          <w:i/>
          <w:iCs/>
        </w:rPr>
        <w:t>Improving literacy through creative learning | Estyn</w:t>
      </w:r>
      <w:r w:rsidRPr="6B697D2F">
        <w:rPr>
          <w:rFonts w:ascii="Times New Roman" w:hAnsi="Times New Roman"/>
        </w:rPr>
        <w:t xml:space="preserve">. [online] Estyn.gov.wales. Available at: </w:t>
      </w:r>
      <w:hyperlink r:id="rId11">
        <w:r w:rsidRPr="6B697D2F">
          <w:rPr>
            <w:rStyle w:val="Hyperlink"/>
            <w:rFonts w:ascii="Times New Roman" w:hAnsi="Times New Roman"/>
          </w:rPr>
          <w:t>https://www.estyn.gov.wales/effective-practice/improving-literacy-through-creative-learning</w:t>
        </w:r>
      </w:hyperlink>
      <w:r w:rsidRPr="6B697D2F">
        <w:rPr>
          <w:rFonts w:ascii="Times New Roman" w:hAnsi="Times New Roman"/>
        </w:rPr>
        <w:t xml:space="preserve"> [Accessed 7 Mar. 2018].</w:t>
      </w:r>
    </w:p>
    <w:p w:rsidR="00B131DA" w:rsidRDefault="00B131DA" w:rsidP="6B697D2F">
      <w:pPr>
        <w:ind w:left="450" w:hanging="450"/>
      </w:pPr>
      <w:r w:rsidRPr="6B697D2F">
        <w:rPr>
          <w:rFonts w:ascii="Times New Roman" w:hAnsi="Times New Roman"/>
        </w:rPr>
        <w:t xml:space="preserve">Fostering Child's Creativity: Convergent Versus Divergent Thinking. (2018). [Blog] </w:t>
      </w:r>
      <w:r w:rsidRPr="6B697D2F">
        <w:rPr>
          <w:rFonts w:ascii="Times New Roman" w:hAnsi="Times New Roman"/>
          <w:i/>
          <w:iCs/>
        </w:rPr>
        <w:t>Enroll</w:t>
      </w:r>
      <w:r w:rsidRPr="6B697D2F">
        <w:rPr>
          <w:rFonts w:ascii="Times New Roman" w:hAnsi="Times New Roman"/>
        </w:rPr>
        <w:t xml:space="preserve">. Available at: </w:t>
      </w:r>
      <w:hyperlink r:id="rId12">
        <w:r w:rsidRPr="6B697D2F">
          <w:rPr>
            <w:rStyle w:val="Hyperlink"/>
            <w:rFonts w:ascii="Times New Roman" w:hAnsi="Times New Roman"/>
          </w:rPr>
          <w:t>http://blog.enroll.com/post/Fostering-Childs-Creativity</w:t>
        </w:r>
      </w:hyperlink>
      <w:r w:rsidRPr="6B697D2F">
        <w:rPr>
          <w:rFonts w:ascii="Times New Roman" w:hAnsi="Times New Roman"/>
        </w:rPr>
        <w:t xml:space="preserve"> [Accessed 12 Mar. 2018].</w:t>
      </w:r>
    </w:p>
    <w:p w:rsidR="00B131DA" w:rsidRDefault="00B131DA" w:rsidP="6B697D2F">
      <w:pPr>
        <w:ind w:left="450" w:hanging="450"/>
      </w:pPr>
      <w:r w:rsidRPr="6B697D2F">
        <w:rPr>
          <w:rFonts w:ascii="Times New Roman" w:hAnsi="Times New Roman"/>
        </w:rPr>
        <w:t xml:space="preserve">Graham, G. (2008). </w:t>
      </w:r>
      <w:r w:rsidRPr="6B697D2F">
        <w:rPr>
          <w:rFonts w:ascii="Times New Roman" w:hAnsi="Times New Roman"/>
          <w:i/>
          <w:iCs/>
        </w:rPr>
        <w:t>Teaching Children Physical Education: Becoming a Master Teacher</w:t>
      </w:r>
      <w:r w:rsidRPr="6B697D2F">
        <w:rPr>
          <w:rFonts w:ascii="Times New Roman" w:hAnsi="Times New Roman"/>
        </w:rPr>
        <w:t xml:space="preserve">. 3rd ed. [ebook] Pennsylvania: United States. Available at: </w:t>
      </w:r>
      <w:hyperlink r:id="rId13" w:anchor="v=onepage&amp;q=advantages%20of%20using%20music%20in%20physical%20education&amp;f=false">
        <w:r w:rsidRPr="6B697D2F">
          <w:rPr>
            <w:rStyle w:val="Hyperlink"/>
            <w:rFonts w:ascii="Times New Roman" w:hAnsi="Times New Roman"/>
          </w:rPr>
          <w:t>https://books.google.co.uk/books?id=LN6NYPh_cnAC&amp;pg=PA71&amp;dq=advantages+of+using+music+in+physical+education&amp;hl=en&amp;sa=X&amp;ved=0ahUKEwjj5vzE8unZAhVjJMAKHfdECBMQ6AEIKTAA#v=onepage&amp;q=advantages%20of%20using%20music%20in%20physical%20education&amp;f=false</w:t>
        </w:r>
      </w:hyperlink>
      <w:r w:rsidRPr="6B697D2F">
        <w:rPr>
          <w:rFonts w:ascii="Times New Roman" w:hAnsi="Times New Roman"/>
        </w:rPr>
        <w:t xml:space="preserve"> [Accessed 13 Mar. 2018].</w:t>
      </w:r>
    </w:p>
    <w:p w:rsidR="00B131DA" w:rsidRDefault="00B131DA" w:rsidP="6B697D2F">
      <w:pPr>
        <w:rPr>
          <w:rFonts w:ascii="Times New Roman" w:hAnsi="Times New Roman"/>
        </w:rPr>
      </w:pPr>
      <w:r w:rsidRPr="6B697D2F">
        <w:rPr>
          <w:rFonts w:ascii="Times New Roman" w:hAnsi="Times New Roman"/>
        </w:rPr>
        <w:t xml:space="preserve">Grainger, T. and Barnes, J. (2006) </w:t>
      </w:r>
      <w:r w:rsidRPr="6B697D2F">
        <w:rPr>
          <w:rFonts w:ascii="Times New Roman" w:hAnsi="Times New Roman"/>
          <w:i/>
          <w:iCs/>
        </w:rPr>
        <w:t>Creativity in the Primary Curriculum in J. Arthur, T. GRAINGER and D. Wray. (eds.) Learning to Teach in the Primary School London</w:t>
      </w:r>
      <w:r w:rsidRPr="6B697D2F">
        <w:rPr>
          <w:rFonts w:ascii="Times New Roman" w:hAnsi="Times New Roman"/>
        </w:rPr>
        <w:t>: Routledge.pp.209-225. C</w:t>
      </w:r>
    </w:p>
    <w:p w:rsidR="00B131DA" w:rsidRDefault="00B131DA" w:rsidP="6B697D2F">
      <w:pPr>
        <w:ind w:left="450" w:hanging="450"/>
      </w:pPr>
      <w:r w:rsidRPr="6B697D2F">
        <w:rPr>
          <w:rFonts w:ascii="Times New Roman" w:hAnsi="Times New Roman"/>
        </w:rPr>
        <w:t xml:space="preserve">Grand Rapids Child Discovery Centre (2018). </w:t>
      </w:r>
      <w:r w:rsidRPr="6B697D2F">
        <w:rPr>
          <w:rFonts w:ascii="Times New Roman" w:hAnsi="Times New Roman"/>
          <w:i/>
          <w:iCs/>
        </w:rPr>
        <w:t>What is the Reggio Emilia Approach? | Child Discovery Center</w:t>
      </w:r>
      <w:r w:rsidRPr="6B697D2F">
        <w:rPr>
          <w:rFonts w:ascii="Times New Roman" w:hAnsi="Times New Roman"/>
        </w:rPr>
        <w:t xml:space="preserve">. [online] Childdiscoverycenter.org. Available at: </w:t>
      </w:r>
      <w:hyperlink r:id="rId14">
        <w:r w:rsidRPr="6B697D2F">
          <w:rPr>
            <w:rStyle w:val="Hyperlink"/>
            <w:rFonts w:ascii="Times New Roman" w:hAnsi="Times New Roman"/>
          </w:rPr>
          <w:t>https://childdiscoverycenter.org/non-traditional-classroom/what-is-the-reggio-emilia-approach/</w:t>
        </w:r>
      </w:hyperlink>
      <w:r w:rsidRPr="6B697D2F">
        <w:rPr>
          <w:rFonts w:ascii="Times New Roman" w:hAnsi="Times New Roman"/>
        </w:rPr>
        <w:t xml:space="preserve"> [Accessed 11 Mar. 2018].</w:t>
      </w:r>
    </w:p>
    <w:p w:rsidR="00B131DA" w:rsidRDefault="00B131DA" w:rsidP="6B697D2F">
      <w:pPr>
        <w:rPr>
          <w:rFonts w:ascii="Times New Roman" w:hAnsi="Times New Roman"/>
        </w:rPr>
      </w:pPr>
      <w:r w:rsidRPr="6B697D2F">
        <w:rPr>
          <w:rFonts w:ascii="Times New Roman" w:hAnsi="Times New Roman"/>
        </w:rPr>
        <w:t xml:space="preserve">Malaguzzi, L. (1993). </w:t>
      </w:r>
      <w:r w:rsidRPr="6B697D2F">
        <w:rPr>
          <w:rFonts w:ascii="Times New Roman" w:hAnsi="Times New Roman"/>
          <w:i/>
          <w:iCs/>
        </w:rPr>
        <w:t>‘History, ideas, and basic philosophy: an interview with Lella Gandini.’ In: EDWARDS, C., GANDINI, L. and FORMAN, G. (Eds) The Hundred Languages of Children: The Reggio Emilia Approach – Advanced Reflections</w:t>
      </w:r>
      <w:r w:rsidRPr="6B697D2F">
        <w:rPr>
          <w:rFonts w:ascii="Times New Roman" w:hAnsi="Times New Roman"/>
        </w:rPr>
        <w:t>. Second edn. Greenwich, CT: Ablex Publishing.</w:t>
      </w:r>
    </w:p>
    <w:p w:rsidR="00B131DA" w:rsidRDefault="00B131DA" w:rsidP="6B697D2F">
      <w:pPr>
        <w:ind w:left="450" w:hanging="450"/>
      </w:pPr>
      <w:r w:rsidRPr="6B697D2F">
        <w:rPr>
          <w:rFonts w:ascii="Times New Roman" w:hAnsi="Times New Roman"/>
        </w:rPr>
        <w:t xml:space="preserve">Nrich.maths.org. (2018). </w:t>
      </w:r>
      <w:r w:rsidRPr="6B697D2F">
        <w:rPr>
          <w:rFonts w:ascii="Times New Roman" w:hAnsi="Times New Roman"/>
          <w:i/>
          <w:iCs/>
        </w:rPr>
        <w:t>Using Questioning to Stimulate Mathematical Thinking : nrich.maths.org</w:t>
      </w:r>
      <w:r w:rsidRPr="6B697D2F">
        <w:rPr>
          <w:rFonts w:ascii="Times New Roman" w:hAnsi="Times New Roman"/>
        </w:rPr>
        <w:t xml:space="preserve">. [online] Available at: </w:t>
      </w:r>
      <w:hyperlink r:id="rId15">
        <w:r w:rsidRPr="6B697D2F">
          <w:rPr>
            <w:rStyle w:val="Hyperlink"/>
            <w:rFonts w:ascii="Times New Roman" w:hAnsi="Times New Roman"/>
          </w:rPr>
          <w:t>https://nrich.maths.org/2473</w:t>
        </w:r>
      </w:hyperlink>
      <w:r w:rsidRPr="6B697D2F">
        <w:rPr>
          <w:rFonts w:ascii="Times New Roman" w:hAnsi="Times New Roman"/>
        </w:rPr>
        <w:t xml:space="preserve"> [Accessed 13 Mar. 2018].</w:t>
      </w:r>
    </w:p>
    <w:p w:rsidR="00B131DA" w:rsidRDefault="00B131DA" w:rsidP="6B697D2F">
      <w:pPr>
        <w:rPr>
          <w:rFonts w:ascii="Times New Roman" w:hAnsi="Times New Roman"/>
        </w:rPr>
      </w:pPr>
      <w:r w:rsidRPr="6B697D2F">
        <w:rPr>
          <w:rFonts w:ascii="Times New Roman" w:hAnsi="Times New Roman"/>
        </w:rPr>
        <w:t xml:space="preserve">Robinson, K. and Aronica, L. (2015). </w:t>
      </w:r>
      <w:r w:rsidRPr="6B697D2F">
        <w:rPr>
          <w:rFonts w:ascii="Times New Roman" w:hAnsi="Times New Roman"/>
          <w:i/>
          <w:iCs/>
        </w:rPr>
        <w:t>Creative schools</w:t>
      </w:r>
      <w:r w:rsidRPr="6B697D2F">
        <w:rPr>
          <w:rFonts w:ascii="Times New Roman" w:hAnsi="Times New Roman"/>
        </w:rPr>
        <w:t>. 1st ed.</w:t>
      </w:r>
    </w:p>
    <w:p w:rsidR="00B131DA" w:rsidRDefault="00B131DA" w:rsidP="6B697D2F">
      <w:pPr>
        <w:ind w:left="450" w:hanging="450"/>
        <w:rPr>
          <w:rFonts w:ascii="Times New Roman" w:hAnsi="Times New Roman"/>
          <w:sz w:val="24"/>
          <w:szCs w:val="24"/>
        </w:rPr>
      </w:pPr>
      <w:r w:rsidRPr="6B697D2F">
        <w:rPr>
          <w:rFonts w:ascii="Times New Roman" w:hAnsi="Times New Roman"/>
          <w:sz w:val="24"/>
          <w:szCs w:val="24"/>
        </w:rPr>
        <w:t xml:space="preserve">Robinson, K. (2017). </w:t>
      </w:r>
      <w:r w:rsidRPr="6B697D2F">
        <w:rPr>
          <w:rFonts w:ascii="Times New Roman" w:hAnsi="Times New Roman"/>
          <w:i/>
          <w:iCs/>
          <w:sz w:val="24"/>
          <w:szCs w:val="24"/>
        </w:rPr>
        <w:t>Do schools kill creativity?</w:t>
      </w:r>
      <w:r w:rsidRPr="6B697D2F">
        <w:rPr>
          <w:rFonts w:ascii="Times New Roman" w:hAnsi="Times New Roman"/>
          <w:sz w:val="24"/>
          <w:szCs w:val="24"/>
        </w:rPr>
        <w:t xml:space="preserve">. [online] Ted.com. Available at: </w:t>
      </w:r>
      <w:hyperlink r:id="rId16">
        <w:r w:rsidRPr="6B697D2F">
          <w:rPr>
            <w:rStyle w:val="Hyperlink"/>
            <w:rFonts w:ascii="Times New Roman" w:hAnsi="Times New Roman"/>
            <w:sz w:val="24"/>
            <w:szCs w:val="24"/>
          </w:rPr>
          <w:t>https://www.ted.com/talks/ken_robinson_says_schools_kill_creativity</w:t>
        </w:r>
      </w:hyperlink>
      <w:r w:rsidRPr="6B697D2F">
        <w:rPr>
          <w:rFonts w:ascii="Times New Roman" w:hAnsi="Times New Roman"/>
          <w:color w:val="0563C1"/>
          <w:sz w:val="24"/>
          <w:szCs w:val="24"/>
          <w:u w:val="single"/>
        </w:rPr>
        <w:t xml:space="preserve"> [Accessed 14 Dec. 2017].</w:t>
      </w:r>
    </w:p>
    <w:p w:rsidR="00B131DA" w:rsidRDefault="00B131DA" w:rsidP="6B697D2F">
      <w:pPr>
        <w:ind w:left="450" w:hanging="450"/>
      </w:pPr>
      <w:r w:rsidRPr="6B697D2F">
        <w:rPr>
          <w:rFonts w:ascii="Times New Roman" w:hAnsi="Times New Roman"/>
        </w:rPr>
        <w:t xml:space="preserve">Shaheen, R. (2010). </w:t>
      </w:r>
      <w:r w:rsidRPr="6B697D2F">
        <w:rPr>
          <w:rFonts w:ascii="Times New Roman" w:hAnsi="Times New Roman"/>
          <w:i/>
          <w:iCs/>
        </w:rPr>
        <w:t>Creativity and Education</w:t>
      </w:r>
      <w:r w:rsidRPr="6B697D2F">
        <w:rPr>
          <w:rFonts w:ascii="Times New Roman" w:hAnsi="Times New Roman"/>
        </w:rPr>
        <w:t xml:space="preserve">. [online] File.scirp.org. Available at: </w:t>
      </w:r>
      <w:hyperlink r:id="rId17">
        <w:r w:rsidRPr="6B697D2F">
          <w:rPr>
            <w:rStyle w:val="Hyperlink"/>
            <w:rFonts w:ascii="Times New Roman" w:hAnsi="Times New Roman"/>
          </w:rPr>
          <w:t>https://file.scirp.org/pdf/CE20100300004_79654079.pdf</w:t>
        </w:r>
      </w:hyperlink>
      <w:r w:rsidRPr="6B697D2F">
        <w:rPr>
          <w:rFonts w:ascii="Times New Roman" w:hAnsi="Times New Roman"/>
        </w:rPr>
        <w:t xml:space="preserve"> [Accessed 6 Mar. 2018].</w:t>
      </w:r>
    </w:p>
    <w:p w:rsidR="00B131DA" w:rsidRDefault="00B131DA" w:rsidP="6B697D2F">
      <w:pPr>
        <w:ind w:left="450" w:hanging="450"/>
      </w:pPr>
      <w:r w:rsidRPr="6B697D2F">
        <w:rPr>
          <w:rFonts w:ascii="Times New Roman" w:hAnsi="Times New Roman"/>
        </w:rPr>
        <w:t xml:space="preserve">Sharp, C. (2004). </w:t>
      </w:r>
      <w:r w:rsidRPr="6B697D2F">
        <w:rPr>
          <w:rFonts w:ascii="Times New Roman" w:hAnsi="Times New Roman"/>
          <w:i/>
          <w:iCs/>
        </w:rPr>
        <w:t>Developing young children’s creativity: what can we learn from research?</w:t>
      </w:r>
      <w:r w:rsidRPr="6B697D2F">
        <w:rPr>
          <w:rFonts w:ascii="Times New Roman" w:hAnsi="Times New Roman"/>
        </w:rPr>
        <w:t xml:space="preserve">. [online] Nfer.ac.uk. Available at: </w:t>
      </w:r>
      <w:hyperlink r:id="rId18">
        <w:r w:rsidRPr="6B697D2F">
          <w:rPr>
            <w:rStyle w:val="Hyperlink"/>
            <w:rFonts w:ascii="Times New Roman" w:hAnsi="Times New Roman"/>
          </w:rPr>
          <w:t>https://www.nfer.ac.uk/publications/55502/55502.pdf</w:t>
        </w:r>
      </w:hyperlink>
      <w:r w:rsidRPr="6B697D2F">
        <w:rPr>
          <w:rFonts w:ascii="Times New Roman" w:hAnsi="Times New Roman"/>
        </w:rPr>
        <w:t xml:space="preserve"> [Accessed 12 Mar. 2018].</w:t>
      </w:r>
    </w:p>
    <w:p w:rsidR="00B131DA" w:rsidRDefault="00B131DA" w:rsidP="6B697D2F">
      <w:pPr>
        <w:ind w:left="450" w:hanging="450"/>
      </w:pPr>
      <w:r w:rsidRPr="6B697D2F">
        <w:rPr>
          <w:rFonts w:ascii="Times New Roman" w:hAnsi="Times New Roman"/>
        </w:rPr>
        <w:t xml:space="preserve">SPARK (2013). Benefits of Music and Dance in PE Class. [Blog] </w:t>
      </w:r>
      <w:r w:rsidRPr="6B697D2F">
        <w:rPr>
          <w:rFonts w:ascii="Times New Roman" w:hAnsi="Times New Roman"/>
          <w:i/>
          <w:iCs/>
        </w:rPr>
        <w:t>SPARK</w:t>
      </w:r>
      <w:r w:rsidRPr="6B697D2F">
        <w:rPr>
          <w:rFonts w:ascii="Times New Roman" w:hAnsi="Times New Roman"/>
        </w:rPr>
        <w:t xml:space="preserve">. Available at: </w:t>
      </w:r>
      <w:hyperlink r:id="rId19">
        <w:r w:rsidRPr="6B697D2F">
          <w:rPr>
            <w:rStyle w:val="Hyperlink"/>
            <w:rFonts w:ascii="Times New Roman" w:hAnsi="Times New Roman"/>
          </w:rPr>
          <w:t>https://sparkpe.org/blog/benefits-of-music-and-dance-in-pe-class/</w:t>
        </w:r>
      </w:hyperlink>
      <w:r w:rsidRPr="6B697D2F">
        <w:rPr>
          <w:rFonts w:ascii="Times New Roman" w:hAnsi="Times New Roman"/>
        </w:rPr>
        <w:t xml:space="preserve"> [Accessed 13 Mar. 2018].</w:t>
      </w:r>
    </w:p>
    <w:p w:rsidR="00B131DA" w:rsidRDefault="00B131DA" w:rsidP="6B697D2F">
      <w:pPr>
        <w:ind w:left="450" w:hanging="450"/>
      </w:pPr>
      <w:r w:rsidRPr="6B697D2F">
        <w:rPr>
          <w:rFonts w:ascii="Times New Roman" w:hAnsi="Times New Roman"/>
        </w:rPr>
        <w:t xml:space="preserve">Wellhousen, K. and Crowther, I. (2004). </w:t>
      </w:r>
      <w:r w:rsidRPr="6B697D2F">
        <w:rPr>
          <w:rFonts w:ascii="Times New Roman" w:hAnsi="Times New Roman"/>
          <w:i/>
          <w:iCs/>
        </w:rPr>
        <w:t>Creating effective learning environments</w:t>
      </w:r>
      <w:r w:rsidRPr="6B697D2F">
        <w:rPr>
          <w:rFonts w:ascii="Times New Roman" w:hAnsi="Times New Roman"/>
        </w:rPr>
        <w:t>. New York: Delmar Learning.</w:t>
      </w:r>
    </w:p>
    <w:p w:rsidR="00B131DA" w:rsidRDefault="00B131DA" w:rsidP="6B697D2F"/>
    <w:p w:rsidR="00B131DA" w:rsidRDefault="00B131DA" w:rsidP="6B697D2F"/>
    <w:p w:rsidR="00B131DA" w:rsidRDefault="00B131DA" w:rsidP="6B697D2F"/>
    <w:sectPr w:rsidR="00B131DA" w:rsidSect="00595452">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31DA" w:rsidRDefault="00B131DA" w:rsidP="00595452">
      <w:pPr>
        <w:spacing w:after="0" w:line="240" w:lineRule="auto"/>
      </w:pPr>
      <w:r>
        <w:separator/>
      </w:r>
    </w:p>
  </w:endnote>
  <w:endnote w:type="continuationSeparator" w:id="0">
    <w:p w:rsidR="00B131DA" w:rsidRDefault="00B131DA" w:rsidP="0059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A0"/>
    </w:tblPr>
    <w:tblGrid>
      <w:gridCol w:w="3012"/>
      <w:gridCol w:w="3120"/>
      <w:gridCol w:w="3120"/>
    </w:tblGrid>
    <w:tr w:rsidR="00B131DA" w:rsidRPr="001C37CF" w:rsidTr="6B697D2F">
      <w:tc>
        <w:tcPr>
          <w:tcW w:w="3120" w:type="dxa"/>
        </w:tcPr>
        <w:p w:rsidR="00B131DA" w:rsidRPr="001C37CF" w:rsidRDefault="00B131DA" w:rsidP="6B697D2F">
          <w:pPr>
            <w:pStyle w:val="Header"/>
            <w:ind w:left="-115"/>
          </w:pPr>
        </w:p>
      </w:tc>
      <w:tc>
        <w:tcPr>
          <w:tcW w:w="3120" w:type="dxa"/>
        </w:tcPr>
        <w:p w:rsidR="00B131DA" w:rsidRPr="001C37CF" w:rsidRDefault="00B131DA" w:rsidP="6B697D2F">
          <w:pPr>
            <w:pStyle w:val="Header"/>
            <w:jc w:val="center"/>
          </w:pPr>
        </w:p>
      </w:tc>
      <w:tc>
        <w:tcPr>
          <w:tcW w:w="3120" w:type="dxa"/>
        </w:tcPr>
        <w:p w:rsidR="00B131DA" w:rsidRPr="001C37CF" w:rsidRDefault="00B131DA" w:rsidP="6B697D2F">
          <w:pPr>
            <w:pStyle w:val="Header"/>
            <w:ind w:right="-115"/>
            <w:jc w:val="right"/>
          </w:pPr>
        </w:p>
      </w:tc>
    </w:tr>
  </w:tbl>
  <w:p w:rsidR="00B131DA" w:rsidRDefault="00B131DA" w:rsidP="6B697D2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31DA" w:rsidRDefault="00B131DA" w:rsidP="00595452">
      <w:pPr>
        <w:spacing w:after="0" w:line="240" w:lineRule="auto"/>
      </w:pPr>
      <w:r>
        <w:separator/>
      </w:r>
    </w:p>
  </w:footnote>
  <w:footnote w:type="continuationSeparator" w:id="0">
    <w:p w:rsidR="00B131DA" w:rsidRDefault="00B131DA" w:rsidP="0059545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A0"/>
    </w:tblPr>
    <w:tblGrid>
      <w:gridCol w:w="3120"/>
      <w:gridCol w:w="3120"/>
      <w:gridCol w:w="3120"/>
    </w:tblGrid>
    <w:tr w:rsidR="00B131DA" w:rsidRPr="001C37CF" w:rsidTr="6B697D2F">
      <w:tc>
        <w:tcPr>
          <w:tcW w:w="3120" w:type="dxa"/>
        </w:tcPr>
        <w:p w:rsidR="00B131DA" w:rsidRPr="001C37CF" w:rsidRDefault="00B131DA" w:rsidP="6B697D2F">
          <w:pPr>
            <w:pStyle w:val="Header"/>
            <w:ind w:left="-115"/>
          </w:pPr>
        </w:p>
      </w:tc>
      <w:tc>
        <w:tcPr>
          <w:tcW w:w="3120" w:type="dxa"/>
        </w:tcPr>
        <w:p w:rsidR="00B131DA" w:rsidRPr="001C37CF" w:rsidRDefault="00B131DA" w:rsidP="6B697D2F">
          <w:pPr>
            <w:pStyle w:val="Header"/>
            <w:jc w:val="center"/>
          </w:pPr>
        </w:p>
      </w:tc>
      <w:tc>
        <w:tcPr>
          <w:tcW w:w="3120" w:type="dxa"/>
        </w:tcPr>
        <w:p w:rsidR="00B131DA" w:rsidRPr="001C37CF" w:rsidRDefault="00B131DA" w:rsidP="6B697D2F">
          <w:pPr>
            <w:pStyle w:val="Header"/>
            <w:ind w:right="-115"/>
            <w:jc w:val="right"/>
          </w:pPr>
          <w:r w:rsidRPr="001C37CF">
            <w:t>1400448</w:t>
          </w:r>
        </w:p>
      </w:tc>
    </w:tr>
  </w:tbl>
  <w:p w:rsidR="00B131DA" w:rsidRDefault="00B131DA" w:rsidP="6B697D2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3D4ABA31"/>
    <w:rsid w:val="001C37CF"/>
    <w:rsid w:val="003960EC"/>
    <w:rsid w:val="00595452"/>
    <w:rsid w:val="006B622A"/>
    <w:rsid w:val="00B131DA"/>
    <w:rsid w:val="00C20FFB"/>
    <w:rsid w:val="3D4ABA31"/>
    <w:rsid w:val="6B697D2F"/>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5452"/>
    <w:pPr>
      <w:spacing w:after="160" w:line="259"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95452"/>
    <w:rPr>
      <w:rFonts w:cs="Times New Roman"/>
      <w:color w:val="0563C1"/>
      <w:u w:val="single"/>
    </w:rPr>
  </w:style>
  <w:style w:type="table" w:styleId="TableGrid">
    <w:name w:val="Table Grid"/>
    <w:basedOn w:val="TableNormal"/>
    <w:uiPriority w:val="9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locked/>
    <w:rsid w:val="00595452"/>
    <w:rPr>
      <w:rFonts w:cs="Times New Roman"/>
    </w:rPr>
  </w:style>
  <w:style w:type="paragraph" w:styleId="Header">
    <w:name w:val="header"/>
    <w:basedOn w:val="Normal"/>
    <w:link w:val="HeaderChar"/>
    <w:uiPriority w:val="99"/>
    <w:rsid w:val="00595452"/>
    <w:pPr>
      <w:tabs>
        <w:tab w:val="center" w:pos="4680"/>
        <w:tab w:val="right" w:pos="9360"/>
      </w:tabs>
      <w:spacing w:after="0" w:line="240" w:lineRule="auto"/>
    </w:pPr>
  </w:style>
  <w:style w:type="character" w:customStyle="1" w:styleId="HeaderChar1">
    <w:name w:val="Header Char1"/>
    <w:basedOn w:val="DefaultParagraphFont"/>
    <w:link w:val="Header"/>
    <w:uiPriority w:val="99"/>
    <w:semiHidden/>
    <w:rsid w:val="00D82419"/>
    <w:rPr>
      <w:lang w:val="en-US" w:eastAsia="en-US"/>
    </w:rPr>
  </w:style>
  <w:style w:type="character" w:customStyle="1" w:styleId="FooterChar">
    <w:name w:val="Footer Char"/>
    <w:basedOn w:val="DefaultParagraphFont"/>
    <w:link w:val="Footer"/>
    <w:uiPriority w:val="99"/>
    <w:locked/>
    <w:rsid w:val="00595452"/>
    <w:rPr>
      <w:rFonts w:cs="Times New Roman"/>
    </w:rPr>
  </w:style>
  <w:style w:type="paragraph" w:styleId="Footer">
    <w:name w:val="footer"/>
    <w:basedOn w:val="Normal"/>
    <w:link w:val="FooterChar"/>
    <w:uiPriority w:val="99"/>
    <w:rsid w:val="00595452"/>
    <w:pPr>
      <w:tabs>
        <w:tab w:val="center" w:pos="4680"/>
        <w:tab w:val="right" w:pos="9360"/>
      </w:tabs>
      <w:spacing w:after="0" w:line="240" w:lineRule="auto"/>
    </w:pPr>
  </w:style>
  <w:style w:type="character" w:customStyle="1" w:styleId="FooterChar1">
    <w:name w:val="Footer Char1"/>
    <w:basedOn w:val="DefaultParagraphFont"/>
    <w:link w:val="Footer"/>
    <w:uiPriority w:val="99"/>
    <w:semiHidden/>
    <w:rsid w:val="00D82419"/>
    <w:rPr>
      <w:lang w:val="en-US"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reativitycatapult.org/wp-content/uploads/sites/3/2016/03/7-Components-of-Creativity.jpg" TargetMode="External"/><Relationship Id="rId13" Type="http://schemas.openxmlformats.org/officeDocument/2006/relationships/hyperlink" Target="https://books.google.co.uk/books?id=LN6NYPh_cnAC&amp;pg=PA71&amp;dq=advantages+of+using+music+in+physical+education&amp;hl=en&amp;sa=X&amp;ved=0ahUKEwjj5vzE8unZAhVjJMAKHfdECBMQ6AEIKTAA" TargetMode="External"/><Relationship Id="rId18" Type="http://schemas.openxmlformats.org/officeDocument/2006/relationships/hyperlink" Target="https://www.nfer.ac.uk/publications/55502/55502.pdf"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https://www.macmillanihe.com/studentstudyskills/page/creative-thinking-skills/" TargetMode="External"/><Relationship Id="rId12" Type="http://schemas.openxmlformats.org/officeDocument/2006/relationships/hyperlink" Target="http://blog.enroll.com/post/Fostering-Childs-Creativity" TargetMode="External"/><Relationship Id="rId17" Type="http://schemas.openxmlformats.org/officeDocument/2006/relationships/hyperlink" Target="https://file.scirp.org/pdf/CE20100300004_79654079.pdf" TargetMode="External"/><Relationship Id="rId2" Type="http://schemas.openxmlformats.org/officeDocument/2006/relationships/settings" Target="settings.xml"/><Relationship Id="rId16" Type="http://schemas.openxmlformats.org/officeDocument/2006/relationships/hyperlink" Target="https://www.ted.com/talks/ken_robinson_says_schools_kill_creativity"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youtu.be/3WWOujGeZEw" TargetMode="External"/><Relationship Id="rId11" Type="http://schemas.openxmlformats.org/officeDocument/2006/relationships/hyperlink" Target="https://www.estyn.gov.wales/effective-practice/improving-literacy-through-creative-learning" TargetMode="External"/><Relationship Id="rId5" Type="http://schemas.openxmlformats.org/officeDocument/2006/relationships/endnotes" Target="endnotes.xml"/><Relationship Id="rId15" Type="http://schemas.openxmlformats.org/officeDocument/2006/relationships/hyperlink" Target="https://nrich.maths.org/2473" TargetMode="External"/><Relationship Id="rId23" Type="http://schemas.openxmlformats.org/officeDocument/2006/relationships/theme" Target="theme/theme1.xml"/><Relationship Id="rId10" Type="http://schemas.openxmlformats.org/officeDocument/2006/relationships/hyperlink" Target="https://www.estyn.gov.wales/news/%E2%80%98pupil-voice%E2%80%99-benefits-pupils-and-helps-schools-improve" TargetMode="External"/><Relationship Id="rId19" Type="http://schemas.openxmlformats.org/officeDocument/2006/relationships/hyperlink" Target="https://sparkpe.org/blog/benefits-of-music-and-dance-in-pe-class/" TargetMode="External"/><Relationship Id="rId4" Type="http://schemas.openxmlformats.org/officeDocument/2006/relationships/footnotes" Target="footnotes.xml"/><Relationship Id="rId9" Type="http://schemas.openxmlformats.org/officeDocument/2006/relationships/hyperlink" Target="http://gov.wales/docs/dcells/publications/150317-successful-futures-en.pdf" TargetMode="External"/><Relationship Id="rId14" Type="http://schemas.openxmlformats.org/officeDocument/2006/relationships/hyperlink" Target="https://childdiscoverycenter.org/non-traditional-classroom/what-is-the-reggio-emilia-approach/"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1828</Words>
  <Characters>10422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Primary Education with QTS: Year 3</dc:title>
  <dc:subject/>
  <dc:creator>Courtney Williams (1400448)</dc:creator>
  <cp:keywords/>
  <dc:description/>
  <cp:lastModifiedBy>Peter Hardy</cp:lastModifiedBy>
  <cp:revision>3</cp:revision>
  <dcterms:created xsi:type="dcterms:W3CDTF">2018-03-13T21:59:00Z</dcterms:created>
  <dcterms:modified xsi:type="dcterms:W3CDTF">2018-03-13T21:59:00Z</dcterms:modified>
</cp:coreProperties>
</file>