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CBBBD" w14:textId="47F9607C" w:rsidR="006D1B23" w:rsidRPr="006D1B23" w:rsidRDefault="006D1B23" w:rsidP="006D1B23">
      <w:pPr>
        <w:spacing w:line="480" w:lineRule="auto"/>
        <w:rPr>
          <w:rFonts w:ascii="Calibri" w:hAnsi="Calibri" w:cs="Calibri"/>
        </w:rPr>
      </w:pPr>
      <w:r w:rsidRPr="006D1B23">
        <w:rPr>
          <w:rFonts w:ascii="Calibri" w:hAnsi="Calibri" w:cs="Calibri"/>
        </w:rPr>
        <w:t xml:space="preserve">Case formulation is central to forensic psychological practice, as it provides an internegative framework for understanding offending </w:t>
      </w:r>
      <w:r w:rsidR="008212B9" w:rsidRPr="006D1B23">
        <w:rPr>
          <w:rFonts w:ascii="Calibri" w:hAnsi="Calibri" w:cs="Calibri"/>
        </w:rPr>
        <w:t>behaviour</w:t>
      </w:r>
      <w:r w:rsidRPr="006D1B23">
        <w:rPr>
          <w:rFonts w:ascii="Calibri" w:hAnsi="Calibri" w:cs="Calibri"/>
        </w:rPr>
        <w:t xml:space="preserve"> within its developmental, situational, and systemic context. Unlike diagnostic approaches, which priorities of symptom classification, formulations set to explain how an individual's difficulties have developed are maintained and may be modified through intervention. This is particularly relevant within forensic settings, where understanding risk, responsibility, and rehabilitation is paramount</w:t>
      </w:r>
      <w:r w:rsidR="008212B9" w:rsidRPr="006D1B23">
        <w:rPr>
          <w:rFonts w:ascii="Calibri" w:hAnsi="Calibri" w:cs="Calibri"/>
        </w:rPr>
        <w:t xml:space="preserve">. </w:t>
      </w:r>
      <w:r w:rsidRPr="006D1B23">
        <w:rPr>
          <w:rFonts w:ascii="Calibri" w:hAnsi="Calibri" w:cs="Calibri"/>
        </w:rPr>
        <w:t xml:space="preserve">Findings from an article by Hart et al (2011) found that conducting a case formulation is idiographic, meaning that it focuses on the individual and not on generic diagnostic categories. This helps in the individual's treatment plans, risk assessments, risk management, and preventative solutions in the long term and is central to ethical and effective practice. (British Psychological Society, 2011). </w:t>
      </w:r>
    </w:p>
    <w:p w14:paraId="2D7B258B" w14:textId="1775D5FB" w:rsidR="006D1B23" w:rsidRPr="006D1B23" w:rsidRDefault="006D1B23" w:rsidP="006D1B23">
      <w:pPr>
        <w:spacing w:line="480" w:lineRule="auto"/>
        <w:rPr>
          <w:rFonts w:ascii="Calibri" w:hAnsi="Calibri" w:cs="Calibri"/>
        </w:rPr>
      </w:pPr>
      <w:r w:rsidRPr="006D1B23">
        <w:rPr>
          <w:rFonts w:ascii="Calibri" w:hAnsi="Calibri" w:cs="Calibri"/>
        </w:rPr>
        <w:t xml:space="preserve"> The 5 P’s model is widely used within applied psychology due to its biopsychological scope and flexibility, allowing clinicians to consider dynamic risk factors alongside protective strengths</w:t>
      </w:r>
      <w:r w:rsidR="008212B9" w:rsidRPr="006D1B23">
        <w:rPr>
          <w:rFonts w:ascii="Calibri" w:hAnsi="Calibri" w:cs="Calibri"/>
        </w:rPr>
        <w:t xml:space="preserve">. </w:t>
      </w:r>
      <w:r w:rsidRPr="006D1B23">
        <w:rPr>
          <w:rFonts w:ascii="Calibri" w:hAnsi="Calibri" w:cs="Calibri"/>
        </w:rPr>
        <w:t>The model considers presenting problems, predisposing vulnerabilities, precipitating triggers, perpetuating mechanisms, and protective factors to develop a coherent psychological explanation for an individual's difficulties (Johnstone &amp; Dallos, 2014)</w:t>
      </w:r>
      <w:r w:rsidR="008212B9" w:rsidRPr="006D1B23">
        <w:rPr>
          <w:rFonts w:ascii="Calibri" w:hAnsi="Calibri" w:cs="Calibri"/>
        </w:rPr>
        <w:t xml:space="preserve">. </w:t>
      </w:r>
      <w:r w:rsidRPr="006D1B23">
        <w:rPr>
          <w:rFonts w:ascii="Calibri" w:hAnsi="Calibri" w:cs="Calibri"/>
        </w:rPr>
        <w:t xml:space="preserve">By critically applying this model, the essay aims to demonstrate how formulation can inform risk management, intervention planning, and ethical decision-making in forensic contexts. </w:t>
      </w:r>
    </w:p>
    <w:p w14:paraId="685BFDD7" w14:textId="4C3A2DBA" w:rsidR="006D1B23" w:rsidRPr="006D1B23" w:rsidRDefault="006D1B23" w:rsidP="006D1B23">
      <w:pPr>
        <w:spacing w:line="480" w:lineRule="auto"/>
        <w:rPr>
          <w:rFonts w:ascii="Calibri" w:hAnsi="Calibri" w:cs="Calibri"/>
        </w:rPr>
      </w:pPr>
      <w:r w:rsidRPr="006D1B23">
        <w:rPr>
          <w:rFonts w:ascii="Calibri" w:hAnsi="Calibri" w:cs="Calibri"/>
        </w:rPr>
        <w:t xml:space="preserve">The present essay applies the 5 P’s formulation model to the case of Ms. Emma L, a 29-year-old female who was charged with fraud and theft from her workplace. Emma stole an estimated amount of £15,000, </w:t>
      </w:r>
      <w:r w:rsidR="008212B9" w:rsidRPr="006D1B23">
        <w:rPr>
          <w:rFonts w:ascii="Calibri" w:hAnsi="Calibri" w:cs="Calibri"/>
        </w:rPr>
        <w:t>funnelling</w:t>
      </w:r>
      <w:r w:rsidRPr="006D1B23">
        <w:rPr>
          <w:rFonts w:ascii="Calibri" w:hAnsi="Calibri" w:cs="Calibri"/>
        </w:rPr>
        <w:t xml:space="preserve"> company funds into her own accounts. Emma was charged with fraud by abuse of position and theft. Emma explained that she had used the money to cover bills after falling behind on her credit card bills. She had also stated that </w:t>
      </w:r>
      <w:r w:rsidRPr="006D1B23">
        <w:rPr>
          <w:rFonts w:ascii="Calibri" w:hAnsi="Calibri" w:cs="Calibri"/>
        </w:rPr>
        <w:lastRenderedPageBreak/>
        <w:t xml:space="preserve">she had been physically and emotionally abused by her partner, controlling her finances and keeping her socially withdrawn. Emma described her feelings of “helplessness” and being “terrified of losing </w:t>
      </w:r>
      <w:r w:rsidR="008212B9" w:rsidRPr="006D1B23">
        <w:rPr>
          <w:rFonts w:ascii="Calibri" w:hAnsi="Calibri" w:cs="Calibri"/>
        </w:rPr>
        <w:t>everything.”</w:t>
      </w:r>
    </w:p>
    <w:p w14:paraId="2C2611B9" w14:textId="77777777" w:rsidR="006D1B23" w:rsidRPr="006D1B23" w:rsidRDefault="006D1B23" w:rsidP="006D1B23">
      <w:pPr>
        <w:spacing w:line="480" w:lineRule="auto"/>
        <w:rPr>
          <w:rFonts w:ascii="Calibri" w:hAnsi="Calibri" w:cs="Calibri"/>
        </w:rPr>
      </w:pPr>
    </w:p>
    <w:p w14:paraId="4B82C045" w14:textId="4E72A6DF" w:rsidR="006D1B23" w:rsidRPr="006D1B23" w:rsidRDefault="006D1B23" w:rsidP="006D1B23">
      <w:pPr>
        <w:spacing w:line="480" w:lineRule="auto"/>
        <w:rPr>
          <w:rFonts w:ascii="Calibri" w:hAnsi="Calibri" w:cs="Calibri"/>
        </w:rPr>
      </w:pPr>
      <w:r w:rsidRPr="006D1B23">
        <w:rPr>
          <w:rFonts w:ascii="Calibri" w:hAnsi="Calibri" w:cs="Calibri"/>
        </w:rPr>
        <w:t xml:space="preserve">Emma was charged with fraud by abuse of position and theft after internal audits revealed financial discrepancies. She explained that she had used the money to “cover rent and bills” after falling behind due to credit card debt and her partner’s job loss. Her partner had also been physically and emotionally abusive, controlling her finances and restricting her social contact. Emma described feeling “trapped” and “terrified of losing everything.” She received an 18-month suspended sentence, 150 hours of unpaid work, and was placed under community supervision with a requirement to attend a Women’s Rehabilitation Programme. Emma's offending can be understood within the framework proposed by Tyminski (2014) and Sardana et al. (2024) who argue that theft frequently emerges as a maladaptive response to experience of deprivation, coercion, and the fear of loss. In Emma’s case, her </w:t>
      </w:r>
      <w:r w:rsidR="008212B9" w:rsidRPr="006D1B23">
        <w:rPr>
          <w:rFonts w:ascii="Calibri" w:hAnsi="Calibri" w:cs="Calibri"/>
        </w:rPr>
        <w:t>behaviour</w:t>
      </w:r>
      <w:r w:rsidRPr="006D1B23">
        <w:rPr>
          <w:rFonts w:ascii="Calibri" w:hAnsi="Calibri" w:cs="Calibri"/>
        </w:rPr>
        <w:t xml:space="preserve"> occurred against a backdrop of escalating financial strain, mounting debt and the imminent fear of losing her home, all of which align with Tyminski's view that individuals may steal to ward off overwhelming feelings of loss and insecurity. </w:t>
      </w:r>
    </w:p>
    <w:p w14:paraId="7216FDA4" w14:textId="1A86070C" w:rsidR="006D1B23" w:rsidRPr="006D1B23" w:rsidRDefault="006D1B23" w:rsidP="006D1B23">
      <w:pPr>
        <w:spacing w:line="480" w:lineRule="auto"/>
        <w:rPr>
          <w:rFonts w:ascii="Calibri" w:hAnsi="Calibri" w:cs="Calibri"/>
        </w:rPr>
      </w:pPr>
      <w:r w:rsidRPr="006D1B23">
        <w:rPr>
          <w:rFonts w:ascii="Calibri" w:hAnsi="Calibri" w:cs="Calibri"/>
        </w:rPr>
        <w:t xml:space="preserve">Emma’s childhood history reveals multiple predisposing factors associated with her later maladaptive coping strategies and stealing in later adulthood. At a young age, Emma’s father was arrested for fraud, which in turn put the added pressure on her mother to provide for her and her two younger siblings and in Emma’s case, she then became the carer for her younger siblings at a young age, without the support from her mother as she has been described as emotionally unavailable due to stress.  Research by </w:t>
      </w:r>
      <w:r w:rsidR="008212B9" w:rsidRPr="006D1B23">
        <w:rPr>
          <w:rFonts w:ascii="Calibri" w:hAnsi="Calibri" w:cs="Calibri"/>
        </w:rPr>
        <w:t>Poliakova</w:t>
      </w:r>
      <w:r w:rsidRPr="006D1B23">
        <w:rPr>
          <w:rFonts w:ascii="Calibri" w:hAnsi="Calibri" w:cs="Calibri"/>
        </w:rPr>
        <w:t xml:space="preserve"> et al. (2015) </w:t>
      </w:r>
      <w:r w:rsidRPr="006D1B23">
        <w:rPr>
          <w:rFonts w:ascii="Calibri" w:hAnsi="Calibri" w:cs="Calibri"/>
        </w:rPr>
        <w:lastRenderedPageBreak/>
        <w:t>demonstrates that childhood socio-economic disadvantage had lasting psychological effects, including reduced self-control, lower self-efficacy, heightened sensitivity to deprivation and a tendency to adopt short-term survival focused coping strategies. (Burdett et al., 2018; Sharp-Jeffs, 2015; Mani et al., 2013). If Emma experienced poverty or material insecurity earlier in life, this may have predisposed her to respond to later financial crises with heightened fear, reduced problem-solving capacity, and a sense of limited alternatives. This could be a potential link to Emma’s pathway into offending, best understood through the lens of Feminist Pathways Theory. (Holtfreter et al., 2022)</w:t>
      </w:r>
      <w:r w:rsidR="008212B9" w:rsidRPr="006D1B23">
        <w:rPr>
          <w:rFonts w:ascii="Calibri" w:hAnsi="Calibri" w:cs="Calibri"/>
        </w:rPr>
        <w:t xml:space="preserve">. </w:t>
      </w:r>
      <w:r w:rsidRPr="006D1B23">
        <w:rPr>
          <w:rFonts w:ascii="Calibri" w:hAnsi="Calibri" w:cs="Calibri"/>
        </w:rPr>
        <w:t xml:space="preserve">This emphasises that women often commit crime as a response to trauma, </w:t>
      </w:r>
      <w:r w:rsidR="008212B9" w:rsidRPr="006D1B23">
        <w:rPr>
          <w:rFonts w:ascii="Calibri" w:hAnsi="Calibri" w:cs="Calibri"/>
        </w:rPr>
        <w:t>abuse,</w:t>
      </w:r>
      <w:r w:rsidRPr="006D1B23">
        <w:rPr>
          <w:rFonts w:ascii="Calibri" w:hAnsi="Calibri" w:cs="Calibri"/>
        </w:rPr>
        <w:t xml:space="preserve"> and restricted autonomy, which aligns closely with Emma’s circumstances. These psychological patterns increase vulnerability to maladaptive coping </w:t>
      </w:r>
      <w:r w:rsidR="008212B9" w:rsidRPr="006D1B23">
        <w:rPr>
          <w:rFonts w:ascii="Calibri" w:hAnsi="Calibri" w:cs="Calibri"/>
        </w:rPr>
        <w:t>behaviours</w:t>
      </w:r>
      <w:r w:rsidRPr="006D1B23">
        <w:rPr>
          <w:rFonts w:ascii="Calibri" w:hAnsi="Calibri" w:cs="Calibri"/>
        </w:rPr>
        <w:t xml:space="preserve">, such as theft or fraud, particularly when combined with acute stressors like debt, partner unemployment, and domestic abuse. From this perspective, childhood poverty can be understood as a predisposing factor that shaped Emma’s emotional and cognitive responses long before the offending occurred. </w:t>
      </w:r>
    </w:p>
    <w:p w14:paraId="770D6FF7" w14:textId="77777777" w:rsidR="006D1B23" w:rsidRPr="006D1B23" w:rsidRDefault="006D1B23" w:rsidP="006D1B23">
      <w:pPr>
        <w:spacing w:line="480" w:lineRule="auto"/>
        <w:rPr>
          <w:rFonts w:ascii="Calibri" w:hAnsi="Calibri" w:cs="Calibri"/>
        </w:rPr>
      </w:pPr>
      <w:r w:rsidRPr="006D1B23">
        <w:rPr>
          <w:rFonts w:ascii="Calibri" w:hAnsi="Calibri" w:cs="Calibri"/>
        </w:rPr>
        <w:t xml:space="preserve">Additionally, Linton’s (2017) findings suggest that outcomes for individuals raised in single parent households depend heavily on family functioning and the development of resilience. If Emma experienced instability, low emotional support, or limited coping modelling in childhood, this may have predisposed her to lower resilience and reduced problem-solving capacity in adulthood. Linton’s work shows that individuals with lower resilience are more vulnerable to stress and more likely to rely on maladaptive coping strategies. This helps explain why, when faced with acute financial strain and domestic abuse, Emma may have turned to theft as a desperate attempt to manage overwhelming circumstances. Furthermore, it is noted that Emma was the caregiver to her younger siblings from a young age as her mother had multiple jobs and was emotionally unavailable, </w:t>
      </w:r>
      <w:r w:rsidRPr="006D1B23">
        <w:rPr>
          <w:rFonts w:ascii="Calibri" w:hAnsi="Calibri" w:cs="Calibri"/>
        </w:rPr>
        <w:lastRenderedPageBreak/>
        <w:t xml:space="preserve">research shows that maternal warmth in early childhood plays a protective role in reducing later anxiety, whereas lower warmth is associated with higher anxiety trajectories across development (Anderson et al., 2022). Emma experienced inconsistent warmth in childhood as she was taking on adult responsibilities. This may have predisposed her to chronic anxiety and reduced coping capacity. These early vulnerabilities can make individuals more reactive to stress and more likely to rely on maladaptive coping strategies when overwhelmed. This helps explain why, when faced with financial strain and coercive control in adulthood, Emma may have turned to theft as a desperate attempt to manage intense anxiety and perceived lack of alternatives. </w:t>
      </w:r>
    </w:p>
    <w:p w14:paraId="598D4C71" w14:textId="2BA5353F" w:rsidR="006D1B23" w:rsidRPr="006D1B23" w:rsidRDefault="006D1B23" w:rsidP="006D1B23">
      <w:pPr>
        <w:spacing w:line="480" w:lineRule="auto"/>
        <w:rPr>
          <w:rFonts w:ascii="Calibri" w:hAnsi="Calibri" w:cs="Calibri"/>
        </w:rPr>
      </w:pPr>
      <w:r w:rsidRPr="006D1B23">
        <w:rPr>
          <w:rFonts w:ascii="Calibri" w:hAnsi="Calibri" w:cs="Calibri"/>
        </w:rPr>
        <w:t xml:space="preserve">Precipitating factors refer to the immediate stressors or circumstances that triggered Emma’s offending </w:t>
      </w:r>
      <w:r w:rsidR="008212B9" w:rsidRPr="006D1B23">
        <w:rPr>
          <w:rFonts w:ascii="Calibri" w:hAnsi="Calibri" w:cs="Calibri"/>
        </w:rPr>
        <w:t>behaviour</w:t>
      </w:r>
      <w:r w:rsidRPr="006D1B23">
        <w:rPr>
          <w:rFonts w:ascii="Calibri" w:hAnsi="Calibri" w:cs="Calibri"/>
        </w:rPr>
        <w:t xml:space="preserve"> in the present case, the fraud and theft occurred within the context of escalating financial pressure and coercive interpersonal abuse. Emma reported that the offence was committed to cover mounting debts and credit card liabilities, which were exacerbated by her partners controlling behaviour and the loss of his job. Financial strain has been consistently identified as a situational stressor associated with acquisitive offending, particularly among individuals without a prior history of criminal behaviour (Farrall et al., 2014).</w:t>
      </w:r>
    </w:p>
    <w:p w14:paraId="1CBA72AE" w14:textId="6D624D00" w:rsidR="006D1B23" w:rsidRPr="006D1B23" w:rsidRDefault="006D1B23" w:rsidP="006D1B23">
      <w:pPr>
        <w:spacing w:line="480" w:lineRule="auto"/>
        <w:rPr>
          <w:rFonts w:ascii="Calibri" w:hAnsi="Calibri" w:cs="Calibri"/>
        </w:rPr>
      </w:pPr>
      <w:r w:rsidRPr="006D1B23">
        <w:rPr>
          <w:rFonts w:ascii="Calibri" w:hAnsi="Calibri" w:cs="Calibri"/>
        </w:rPr>
        <w:t xml:space="preserve">A central precipitating factor in Emma’s case is her involvement in an abusive intimate relationship </w:t>
      </w:r>
      <w:r w:rsidR="008212B9" w:rsidRPr="006D1B23">
        <w:rPr>
          <w:rFonts w:ascii="Calibri" w:hAnsi="Calibri" w:cs="Calibri"/>
        </w:rPr>
        <w:t>characterised</w:t>
      </w:r>
      <w:r w:rsidRPr="006D1B23">
        <w:rPr>
          <w:rFonts w:ascii="Calibri" w:hAnsi="Calibri" w:cs="Calibri"/>
        </w:rPr>
        <w:t xml:space="preserve"> by physical violence, emotional manipulation, and financial control. Research on coercive control demonstrates that abusive partners may restrict access to money, monitor spending and create economic dependency, significantly reducing victims perceived autonomy and capacity for independent decision-making (Stark, 2007). Within this context, Emma’s offending behaviour can be understood as occurring </w:t>
      </w:r>
      <w:r w:rsidRPr="006D1B23">
        <w:rPr>
          <w:rFonts w:ascii="Calibri" w:hAnsi="Calibri" w:cs="Calibri"/>
        </w:rPr>
        <w:lastRenderedPageBreak/>
        <w:t xml:space="preserve">under acute psychological pressure rather than as a calculated or instrumental criminal act. The escalation of abuse and financial restriction appears to have intensified Emma’s sense of entrapment and desperation, increasing the likelihood of maladaptive coping. </w:t>
      </w:r>
    </w:p>
    <w:p w14:paraId="37CE38B4" w14:textId="6BB86215" w:rsidR="006D1B23" w:rsidRPr="006D1B23" w:rsidRDefault="006D1B23" w:rsidP="006D1B23">
      <w:pPr>
        <w:spacing w:line="480" w:lineRule="auto"/>
        <w:rPr>
          <w:rFonts w:ascii="Calibri" w:hAnsi="Calibri" w:cs="Calibri"/>
        </w:rPr>
      </w:pPr>
      <w:r w:rsidRPr="006D1B23">
        <w:rPr>
          <w:rFonts w:ascii="Calibri" w:hAnsi="Calibri" w:cs="Calibri"/>
        </w:rPr>
        <w:t xml:space="preserve">The offence may also be conceptualized through cognitive and emotional overlaid. Chronic exposure to fear, financial instability and surveillance within abusive relationships is associated with heightened stress responses and impaired executive functioning, which can undermine problem solving abilities and increase reliance on short term coping strategies. (Herman, 1992). Under such conditions, decision making may become emotionally driven and focused on immediate relief, with limited consideration of long-term consequences. This mechanism is particularly relevant in workplace fraud, which is often committed in response to acute crises rather than enduring criminal intent. Additionally, Emma’s employment provided the situational opportunity to commit the offence. Opportunity based theories of offending suggest that access to financial systems combined with insufficient safeguards can </w:t>
      </w:r>
      <w:r w:rsidR="008212B9" w:rsidRPr="006D1B23">
        <w:rPr>
          <w:rFonts w:ascii="Calibri" w:hAnsi="Calibri" w:cs="Calibri"/>
        </w:rPr>
        <w:t>function as</w:t>
      </w:r>
      <w:r w:rsidRPr="006D1B23">
        <w:rPr>
          <w:rFonts w:ascii="Calibri" w:hAnsi="Calibri" w:cs="Calibri"/>
        </w:rPr>
        <w:t xml:space="preserve"> a proximal trigger for fraud when individuals experience acute stress (Andrews &amp; Bonta, 2010). In Emma’s case, the convergence of financial opportunity, escalating debt and coercive interpersonal pressure appears to have precipitated the offending behaviour. </w:t>
      </w:r>
    </w:p>
    <w:p w14:paraId="7D6233C5" w14:textId="4660F232" w:rsidR="006D1B23" w:rsidRPr="006D1B23" w:rsidRDefault="006D1B23" w:rsidP="006D1B23">
      <w:pPr>
        <w:spacing w:line="480" w:lineRule="auto"/>
        <w:rPr>
          <w:rFonts w:ascii="Calibri" w:hAnsi="Calibri" w:cs="Calibri"/>
        </w:rPr>
      </w:pPr>
      <w:r w:rsidRPr="006D1B23">
        <w:rPr>
          <w:rFonts w:ascii="Calibri" w:hAnsi="Calibri" w:cs="Calibri"/>
        </w:rPr>
        <w:t xml:space="preserve">Perpetuating factors refer to the psychological and contextual processes that may maintain vulnerability and increase the risk of continued harm if left unaddressed. In Emma’s case, several </w:t>
      </w:r>
      <w:r w:rsidR="008212B9" w:rsidRPr="006D1B23">
        <w:rPr>
          <w:rFonts w:ascii="Calibri" w:hAnsi="Calibri" w:cs="Calibri"/>
        </w:rPr>
        <w:t>interrelated</w:t>
      </w:r>
      <w:r w:rsidRPr="006D1B23">
        <w:rPr>
          <w:rFonts w:ascii="Calibri" w:hAnsi="Calibri" w:cs="Calibri"/>
        </w:rPr>
        <w:t xml:space="preserve"> </w:t>
      </w:r>
      <w:r w:rsidR="008212B9" w:rsidRPr="006D1B23">
        <w:rPr>
          <w:rFonts w:ascii="Calibri" w:hAnsi="Calibri" w:cs="Calibri"/>
        </w:rPr>
        <w:t>perpetuating</w:t>
      </w:r>
      <w:r w:rsidRPr="006D1B23">
        <w:rPr>
          <w:rFonts w:ascii="Calibri" w:hAnsi="Calibri" w:cs="Calibri"/>
        </w:rPr>
        <w:t xml:space="preserve"> mechanisms can be identified, particularly those linked to trauma, cognitive appraisals, and relational dynamics. One key perpetuating factor is the internalisation of fear and </w:t>
      </w:r>
      <w:r w:rsidR="008212B9" w:rsidRPr="006D1B23">
        <w:rPr>
          <w:rFonts w:ascii="Calibri" w:hAnsi="Calibri" w:cs="Calibri"/>
        </w:rPr>
        <w:t>responsibility</w:t>
      </w:r>
      <w:r w:rsidRPr="006D1B23">
        <w:rPr>
          <w:rFonts w:ascii="Calibri" w:hAnsi="Calibri" w:cs="Calibri"/>
        </w:rPr>
        <w:t xml:space="preserve"> associated with prolonged coercive control. Victims of abusive relationships frequently develop beliefs that they are personally responsible for preventing financial collapse or interpersonal harm, particularly when </w:t>
      </w:r>
      <w:r w:rsidRPr="006D1B23">
        <w:rPr>
          <w:rFonts w:ascii="Calibri" w:hAnsi="Calibri" w:cs="Calibri"/>
        </w:rPr>
        <w:lastRenderedPageBreak/>
        <w:t xml:space="preserve">threats or intimidation are present. (Stark, 2007). Emma’s belief that she had no alternative but to resolve the debt situation, even through illegal means, reflects constrained cognition commonly observed in individuals experiencing sustained abuse. Such beliefs may perpetuate maladaptive decision making by reinforcing the perception that unlawful behaviour is justified or unavoidable in crisis situations. </w:t>
      </w:r>
    </w:p>
    <w:p w14:paraId="3B68F95D" w14:textId="77777777" w:rsidR="006D1B23" w:rsidRPr="006D1B23" w:rsidRDefault="006D1B23" w:rsidP="006D1B23">
      <w:pPr>
        <w:spacing w:line="480" w:lineRule="auto"/>
        <w:rPr>
          <w:rFonts w:ascii="Calibri" w:hAnsi="Calibri" w:cs="Calibri"/>
        </w:rPr>
      </w:pPr>
      <w:r w:rsidRPr="006D1B23">
        <w:rPr>
          <w:rFonts w:ascii="Calibri" w:hAnsi="Calibri" w:cs="Calibri"/>
        </w:rPr>
        <w:t xml:space="preserve">Trauma-related processes may further maintain psychological vulnerability. Exposure to chronic physical and emotional abuse is associated with anxiety, hypervigilance, and difficulties with emotional regulation, all of which can impair reflective functioning (Herman, 1992). These trauma responses may reduce Emma’s capacity to evaluate risk effectively or seek support, particularly when faced with perceived threats. Without intervention, unresolved trauma may continue to influence behaviour indirectly, increasing susceptibility to future stress related offending or further victimization (Cloitre et al., 2012). </w:t>
      </w:r>
    </w:p>
    <w:p w14:paraId="453334BC" w14:textId="68034408" w:rsidR="006D1B23" w:rsidRPr="006D1B23" w:rsidRDefault="006D1B23" w:rsidP="006D1B23">
      <w:pPr>
        <w:spacing w:line="480" w:lineRule="auto"/>
        <w:rPr>
          <w:rFonts w:ascii="Calibri" w:hAnsi="Calibri" w:cs="Calibri"/>
        </w:rPr>
      </w:pPr>
      <w:r w:rsidRPr="006D1B23">
        <w:rPr>
          <w:rFonts w:ascii="Calibri" w:hAnsi="Calibri" w:cs="Calibri"/>
        </w:rPr>
        <w:t xml:space="preserve">Emma’s early life experiences may also interact with current circumstances to perpetuate vulnerability. Her fathers' arrest for drug-related offences during childhood and her mother's limited availability due to work commitments may have contributed to early instability and emotional insecurity. While these factors did not directly cause the offence, developmental research suggests that early experiences of unpredictability may shape coping strategies </w:t>
      </w:r>
      <w:r w:rsidR="008212B9" w:rsidRPr="006D1B23">
        <w:rPr>
          <w:rFonts w:ascii="Calibri" w:hAnsi="Calibri" w:cs="Calibri"/>
        </w:rPr>
        <w:t>characterised</w:t>
      </w:r>
      <w:r w:rsidRPr="006D1B23">
        <w:rPr>
          <w:rFonts w:ascii="Calibri" w:hAnsi="Calibri" w:cs="Calibri"/>
        </w:rPr>
        <w:t xml:space="preserve"> by self-reliance, </w:t>
      </w:r>
      <w:r w:rsidR="008212B9" w:rsidRPr="006D1B23">
        <w:rPr>
          <w:rFonts w:ascii="Calibri" w:hAnsi="Calibri" w:cs="Calibri"/>
        </w:rPr>
        <w:t>compliance,</w:t>
      </w:r>
      <w:r w:rsidRPr="006D1B23">
        <w:rPr>
          <w:rFonts w:ascii="Calibri" w:hAnsi="Calibri" w:cs="Calibri"/>
        </w:rPr>
        <w:t xml:space="preserve"> and avoidance of conflict (Johnstone &amp; Dallos, 2014). Such patterns can increase vulnerability to abusive relationships and reinforce compliance with controlling partners.</w:t>
      </w:r>
    </w:p>
    <w:p w14:paraId="587AE2DE" w14:textId="787C3978" w:rsidR="006D1B23" w:rsidRPr="006D1B23" w:rsidRDefault="006D1B23" w:rsidP="006D1B23">
      <w:pPr>
        <w:spacing w:line="480" w:lineRule="auto"/>
        <w:rPr>
          <w:rFonts w:ascii="Calibri" w:hAnsi="Calibri" w:cs="Calibri"/>
        </w:rPr>
      </w:pPr>
      <w:r w:rsidRPr="006D1B23">
        <w:rPr>
          <w:rFonts w:ascii="Calibri" w:hAnsi="Calibri" w:cs="Calibri"/>
        </w:rPr>
        <w:t xml:space="preserve">Financial dependency represents another significant perpetuating factor. Emma’s restricted access to finances and reliance on her partners limited ability to seek lawful solutions, such as debt management support or disclosure. Financial dependency has been </w:t>
      </w:r>
      <w:r w:rsidRPr="006D1B23">
        <w:rPr>
          <w:rFonts w:ascii="Calibri" w:hAnsi="Calibri" w:cs="Calibri"/>
        </w:rPr>
        <w:lastRenderedPageBreak/>
        <w:t xml:space="preserve">shown to increase both victimisation risk and engagement in </w:t>
      </w:r>
      <w:r w:rsidR="008212B9" w:rsidRPr="006D1B23">
        <w:rPr>
          <w:rFonts w:ascii="Calibri" w:hAnsi="Calibri" w:cs="Calibri"/>
        </w:rPr>
        <w:t>survival-based</w:t>
      </w:r>
      <w:r w:rsidRPr="006D1B23">
        <w:rPr>
          <w:rFonts w:ascii="Calibri" w:hAnsi="Calibri" w:cs="Calibri"/>
        </w:rPr>
        <w:t xml:space="preserve"> offending, particularly among women (Farrall et al., 2014). Shame and fear of judgement may further inhibit help seeking, reinforcing isolation and psychological entrapment. </w:t>
      </w:r>
    </w:p>
    <w:p w14:paraId="7D5E3EEE" w14:textId="77777777" w:rsidR="006D1B23" w:rsidRPr="006D1B23" w:rsidRDefault="006D1B23" w:rsidP="006D1B23">
      <w:pPr>
        <w:spacing w:line="480" w:lineRule="auto"/>
        <w:rPr>
          <w:rFonts w:ascii="Calibri" w:hAnsi="Calibri" w:cs="Calibri"/>
        </w:rPr>
      </w:pPr>
      <w:r w:rsidRPr="006D1B23">
        <w:rPr>
          <w:rFonts w:ascii="Calibri" w:hAnsi="Calibri" w:cs="Calibri"/>
        </w:rPr>
        <w:t xml:space="preserve">Protective factors are strengths or resources that reduce the likelihood of reoffending and support rehabilitation. Despite significant adversity. Emma demonstrates several protective elements that may be leveraged to promote desistance and psychological recovery. A key protective factor is Emma’s absence of prior offending. The lack of previous criminal behaviour suggests that the offence is situational rather than indicative or entrenched criminality. Research indicates that first time offending linked to acute stressors is associated with lower recidivism risk when appropriate psychosocial support is provided (Andrews &amp; Bonta, 2010). This distinction is critical within forensic formulation, as it informs proportionate intervention planning. </w:t>
      </w:r>
    </w:p>
    <w:p w14:paraId="23A119F6" w14:textId="55C765EF" w:rsidR="006D1B23" w:rsidRPr="006D1B23" w:rsidRDefault="006D1B23" w:rsidP="006D1B23">
      <w:pPr>
        <w:spacing w:line="480" w:lineRule="auto"/>
        <w:rPr>
          <w:rFonts w:ascii="Calibri" w:hAnsi="Calibri" w:cs="Calibri"/>
        </w:rPr>
      </w:pPr>
      <w:r w:rsidRPr="006D1B23">
        <w:rPr>
          <w:rFonts w:ascii="Calibri" w:hAnsi="Calibri" w:cs="Calibri"/>
        </w:rPr>
        <w:t>Emma also demonstrates insight into her behaviour, acknowledging responsibility for the offence while recognizing the influence or coercive control and financial pressure. Insight and reflective capacity are associated with improved engagement in psychological interventions and better rehabilitative outcomes (Johnstone &amp; Dallos, 2014). Emma's ability to articulate the contextual factors surrounding her offence suggests readiness for formulation led intervention. Additionally, Emma displays adaptive strengths linked to resilience and responsibility. Growing up in a household where her mother worked extensively to support the family may have fostered perseverance and empathy. While these qualities may have increased vulnerability to exploitation, they also represent strengths that can support engagement with rehabilitative services and the development of a prosocial identity</w:t>
      </w:r>
      <w:r w:rsidR="008212B9" w:rsidRPr="006D1B23">
        <w:rPr>
          <w:rFonts w:ascii="Calibri" w:hAnsi="Calibri" w:cs="Calibri"/>
        </w:rPr>
        <w:t xml:space="preserve">. </w:t>
      </w:r>
    </w:p>
    <w:p w14:paraId="766DC29D" w14:textId="7101982E" w:rsidR="006D1B23" w:rsidRPr="006D1B23" w:rsidRDefault="006D1B23" w:rsidP="006D1B23">
      <w:pPr>
        <w:spacing w:line="480" w:lineRule="auto"/>
        <w:rPr>
          <w:rFonts w:ascii="Calibri" w:hAnsi="Calibri" w:cs="Calibri"/>
        </w:rPr>
      </w:pPr>
      <w:r w:rsidRPr="006D1B23">
        <w:rPr>
          <w:rFonts w:ascii="Calibri" w:hAnsi="Calibri" w:cs="Calibri"/>
        </w:rPr>
        <w:lastRenderedPageBreak/>
        <w:t>The apparent cessation of the abusive relationship represents a significant protective shift. Removal from the source of coercive control reduces immediate psychological and situational risk and allows space for recovery. Research indicates that leaving abusive relationships when supported appropriately reduces both revictimization and associated criminal vulnerability. (Stark, 2007)</w:t>
      </w:r>
      <w:r w:rsidR="008212B9" w:rsidRPr="006D1B23">
        <w:rPr>
          <w:rFonts w:ascii="Calibri" w:hAnsi="Calibri" w:cs="Calibri"/>
        </w:rPr>
        <w:t xml:space="preserve">. </w:t>
      </w:r>
      <w:r w:rsidRPr="006D1B23">
        <w:rPr>
          <w:rFonts w:ascii="Calibri" w:hAnsi="Calibri" w:cs="Calibri"/>
        </w:rPr>
        <w:t xml:space="preserve">From a desistance perspective, Emma’s prior stable employment history is also protective. Employment provides financial stability, </w:t>
      </w:r>
      <w:r w:rsidR="008212B9" w:rsidRPr="006D1B23">
        <w:rPr>
          <w:rFonts w:ascii="Calibri" w:hAnsi="Calibri" w:cs="Calibri"/>
        </w:rPr>
        <w:t>structure,</w:t>
      </w:r>
      <w:r w:rsidRPr="006D1B23">
        <w:rPr>
          <w:rFonts w:ascii="Calibri" w:hAnsi="Calibri" w:cs="Calibri"/>
        </w:rPr>
        <w:t xml:space="preserve"> and a sense of identity, all of which are associated with reduced reoffending (Maruna, 2001). Emma is currently unemployed due to the conviction and living in a rented flat, but she has expressed the motivation to rebuild her life and move on. With the appropriate </w:t>
      </w:r>
      <w:r w:rsidR="008212B9" w:rsidRPr="006D1B23">
        <w:rPr>
          <w:rFonts w:ascii="Calibri" w:hAnsi="Calibri" w:cs="Calibri"/>
        </w:rPr>
        <w:t>safeguards</w:t>
      </w:r>
      <w:r w:rsidRPr="006D1B23">
        <w:rPr>
          <w:rFonts w:ascii="Calibri" w:hAnsi="Calibri" w:cs="Calibri"/>
        </w:rPr>
        <w:t xml:space="preserve"> and support, reoffending is reduced. </w:t>
      </w:r>
    </w:p>
    <w:p w14:paraId="6BCFEF7A" w14:textId="77777777" w:rsidR="006D1B23" w:rsidRPr="006D1B23" w:rsidRDefault="006D1B23" w:rsidP="006D1B23">
      <w:pPr>
        <w:spacing w:line="480" w:lineRule="auto"/>
        <w:rPr>
          <w:rFonts w:ascii="Calibri" w:hAnsi="Calibri" w:cs="Calibri"/>
        </w:rPr>
      </w:pPr>
      <w:r w:rsidRPr="006D1B23">
        <w:rPr>
          <w:rFonts w:ascii="Calibri" w:hAnsi="Calibri" w:cs="Calibri"/>
        </w:rPr>
        <w:t xml:space="preserve">The proposed intervention plan is informed by Emma’s formulation using the 5 P’s model and focuses on addressing dynamic risk factors associated with her offending while strengthening protective factors. Formulation-led intervention is a core principle of forensic psychology, as it allows psychological understanding to inform proportionate ethical responses to offending behaviour, rather than relying solely on punitive control. Emma’s offence appears to be situational. Emerging from acute financial stress and coercive interpersonal dynamics, indicating that a rehabilitative, trauma informed approach is appropriate. </w:t>
      </w:r>
    </w:p>
    <w:p w14:paraId="232311A2" w14:textId="01C420B2" w:rsidR="006D1B23" w:rsidRPr="006D1B23" w:rsidRDefault="006D1B23" w:rsidP="006D1B23">
      <w:pPr>
        <w:spacing w:line="480" w:lineRule="auto"/>
        <w:rPr>
          <w:rFonts w:ascii="Calibri" w:hAnsi="Calibri" w:cs="Calibri"/>
        </w:rPr>
      </w:pPr>
      <w:r w:rsidRPr="006D1B23">
        <w:rPr>
          <w:rFonts w:ascii="Calibri" w:hAnsi="Calibri" w:cs="Calibri"/>
        </w:rPr>
        <w:t xml:space="preserve">The intervention plan is structured in line with the Risk Need Responsivity (RNR) Model, which emphasizes targeting criminogenic needs using methods responsive to the individual's psychological social context (Andrews &amp; Bonta, 2010). Given Emma’s lack of prior offending and the contextual nature of the offence, interventions should be proportionate and focused on reducing vulnerability rather than managing entrenched </w:t>
      </w:r>
      <w:r w:rsidRPr="006D1B23">
        <w:rPr>
          <w:rFonts w:ascii="Calibri" w:hAnsi="Calibri" w:cs="Calibri"/>
        </w:rPr>
        <w:lastRenderedPageBreak/>
        <w:t>criminal risk</w:t>
      </w:r>
      <w:r w:rsidR="008212B9" w:rsidRPr="006D1B23">
        <w:rPr>
          <w:rFonts w:ascii="Calibri" w:hAnsi="Calibri" w:cs="Calibri"/>
        </w:rPr>
        <w:t xml:space="preserve">. </w:t>
      </w:r>
      <w:r w:rsidRPr="006D1B23">
        <w:rPr>
          <w:rFonts w:ascii="Calibri" w:hAnsi="Calibri" w:cs="Calibri"/>
        </w:rPr>
        <w:t xml:space="preserve">Emma is likely </w:t>
      </w:r>
      <w:r w:rsidR="008212B9" w:rsidRPr="006D1B23">
        <w:rPr>
          <w:rFonts w:ascii="Calibri" w:hAnsi="Calibri" w:cs="Calibri"/>
        </w:rPr>
        <w:t>a minimal risk</w:t>
      </w:r>
      <w:r w:rsidRPr="006D1B23">
        <w:rPr>
          <w:rFonts w:ascii="Calibri" w:hAnsi="Calibri" w:cs="Calibri"/>
        </w:rPr>
        <w:t xml:space="preserve"> for future offending because her theft was situational, not habitual. Her criminogenic needs include coping with financial stress, trauma from domestic abuse, low self-efficacy, and her anxiety relating to poor problem solving under pressure. Emma would benefit from trauma informed support, along with CBT-based coping skills along with financial management support.</w:t>
      </w:r>
    </w:p>
    <w:p w14:paraId="5A2762B5" w14:textId="1B97A742" w:rsidR="003B4C1A" w:rsidRDefault="006D1B23" w:rsidP="006D1B23">
      <w:pPr>
        <w:spacing w:line="480" w:lineRule="auto"/>
        <w:rPr>
          <w:rFonts w:ascii="Calibri" w:hAnsi="Calibri" w:cs="Calibri"/>
        </w:rPr>
      </w:pPr>
      <w:r w:rsidRPr="006D1B23">
        <w:rPr>
          <w:rFonts w:ascii="Calibri" w:hAnsi="Calibri" w:cs="Calibri"/>
        </w:rPr>
        <w:t xml:space="preserve">Emma’s offending behaviour cannot be fully </w:t>
      </w:r>
      <w:r w:rsidR="008212B9" w:rsidRPr="006D1B23">
        <w:rPr>
          <w:rFonts w:ascii="Calibri" w:hAnsi="Calibri" w:cs="Calibri"/>
        </w:rPr>
        <w:t>understood</w:t>
      </w:r>
      <w:r w:rsidRPr="006D1B23">
        <w:rPr>
          <w:rFonts w:ascii="Calibri" w:hAnsi="Calibri" w:cs="Calibri"/>
        </w:rPr>
        <w:t xml:space="preserve"> without recognising the role if coercive control within her abusive relationship. Coercive control </w:t>
      </w:r>
      <w:r w:rsidR="008212B9" w:rsidRPr="006D1B23">
        <w:rPr>
          <w:rFonts w:ascii="Calibri" w:hAnsi="Calibri" w:cs="Calibri"/>
        </w:rPr>
        <w:t>involves</w:t>
      </w:r>
      <w:r w:rsidRPr="006D1B23">
        <w:rPr>
          <w:rFonts w:ascii="Calibri" w:hAnsi="Calibri" w:cs="Calibri"/>
        </w:rPr>
        <w:t xml:space="preserve"> patterns of intimidation, isolation and </w:t>
      </w:r>
      <w:r w:rsidR="008212B9" w:rsidRPr="006D1B23">
        <w:rPr>
          <w:rFonts w:ascii="Calibri" w:hAnsi="Calibri" w:cs="Calibri"/>
        </w:rPr>
        <w:t>financial</w:t>
      </w:r>
      <w:r w:rsidRPr="006D1B23">
        <w:rPr>
          <w:rFonts w:ascii="Calibri" w:hAnsi="Calibri" w:cs="Calibri"/>
        </w:rPr>
        <w:t xml:space="preserve"> restriction that erodes autonomy and increases compliance under threat. (Stark, 2007). Such </w:t>
      </w:r>
      <w:r w:rsidR="008212B9" w:rsidRPr="006D1B23">
        <w:rPr>
          <w:rFonts w:ascii="Calibri" w:hAnsi="Calibri" w:cs="Calibri"/>
        </w:rPr>
        <w:t>dynamics</w:t>
      </w:r>
      <w:r w:rsidRPr="006D1B23">
        <w:rPr>
          <w:rFonts w:ascii="Calibri" w:hAnsi="Calibri" w:cs="Calibri"/>
        </w:rPr>
        <w:t xml:space="preserve"> significantly limit victims </w:t>
      </w:r>
      <w:r w:rsidR="008212B9" w:rsidRPr="006D1B23">
        <w:rPr>
          <w:rFonts w:ascii="Calibri" w:hAnsi="Calibri" w:cs="Calibri"/>
        </w:rPr>
        <w:t>perceived</w:t>
      </w:r>
      <w:r w:rsidRPr="006D1B23">
        <w:rPr>
          <w:rFonts w:ascii="Calibri" w:hAnsi="Calibri" w:cs="Calibri"/>
        </w:rPr>
        <w:t xml:space="preserve"> agency and increase vulnerability to </w:t>
      </w:r>
      <w:r w:rsidR="008212B9" w:rsidRPr="006D1B23">
        <w:rPr>
          <w:rFonts w:ascii="Calibri" w:hAnsi="Calibri" w:cs="Calibri"/>
        </w:rPr>
        <w:t>illegal</w:t>
      </w:r>
      <w:r w:rsidRPr="006D1B23">
        <w:rPr>
          <w:rFonts w:ascii="Calibri" w:hAnsi="Calibri" w:cs="Calibri"/>
        </w:rPr>
        <w:t xml:space="preserve"> </w:t>
      </w:r>
      <w:r w:rsidR="008212B9" w:rsidRPr="006D1B23">
        <w:rPr>
          <w:rFonts w:ascii="Calibri" w:hAnsi="Calibri" w:cs="Calibri"/>
        </w:rPr>
        <w:t>behaviour</w:t>
      </w:r>
      <w:r w:rsidRPr="006D1B23">
        <w:rPr>
          <w:rFonts w:ascii="Calibri" w:hAnsi="Calibri" w:cs="Calibri"/>
        </w:rPr>
        <w:t xml:space="preserve"> as a means of avoiding harm or </w:t>
      </w:r>
      <w:proofErr w:type="gramStart"/>
      <w:r w:rsidR="008212B9" w:rsidRPr="006D1B23">
        <w:rPr>
          <w:rFonts w:ascii="Calibri" w:hAnsi="Calibri" w:cs="Calibri"/>
        </w:rPr>
        <w:t>financial</w:t>
      </w:r>
      <w:r w:rsidRPr="006D1B23">
        <w:rPr>
          <w:rFonts w:ascii="Calibri" w:hAnsi="Calibri" w:cs="Calibri"/>
        </w:rPr>
        <w:t xml:space="preserve"> crisis</w:t>
      </w:r>
      <w:proofErr w:type="gramEnd"/>
      <w:r w:rsidRPr="006D1B23">
        <w:rPr>
          <w:rFonts w:ascii="Calibri" w:hAnsi="Calibri" w:cs="Calibri"/>
        </w:rPr>
        <w:t xml:space="preserve">. Intervention should therefore include </w:t>
      </w:r>
      <w:r w:rsidR="008212B9" w:rsidRPr="006D1B23">
        <w:rPr>
          <w:rFonts w:ascii="Calibri" w:hAnsi="Calibri" w:cs="Calibri"/>
        </w:rPr>
        <w:t>referral</w:t>
      </w:r>
      <w:r w:rsidRPr="006D1B23">
        <w:rPr>
          <w:rFonts w:ascii="Calibri" w:hAnsi="Calibri" w:cs="Calibri"/>
        </w:rPr>
        <w:t xml:space="preserve"> to a specialist domestic abuse service offering psychoeducation on coercive control, </w:t>
      </w:r>
      <w:r w:rsidR="008212B9" w:rsidRPr="006D1B23">
        <w:rPr>
          <w:rFonts w:ascii="Calibri" w:hAnsi="Calibri" w:cs="Calibri"/>
        </w:rPr>
        <w:t>boundary</w:t>
      </w:r>
      <w:r w:rsidRPr="006D1B23">
        <w:rPr>
          <w:rFonts w:ascii="Calibri" w:hAnsi="Calibri" w:cs="Calibri"/>
        </w:rPr>
        <w:t xml:space="preserve"> setting and health relationship development.</w:t>
      </w:r>
    </w:p>
    <w:p w14:paraId="046C6EF1" w14:textId="77777777" w:rsidR="008212B9" w:rsidRDefault="008212B9" w:rsidP="006D1B23">
      <w:pPr>
        <w:spacing w:line="480" w:lineRule="auto"/>
        <w:rPr>
          <w:rFonts w:ascii="Calibri" w:hAnsi="Calibri" w:cs="Calibri"/>
        </w:rPr>
      </w:pPr>
    </w:p>
    <w:p w14:paraId="52C38DBE" w14:textId="77777777" w:rsidR="008212B9" w:rsidRDefault="008212B9" w:rsidP="006D1B23">
      <w:pPr>
        <w:spacing w:line="480" w:lineRule="auto"/>
        <w:rPr>
          <w:rFonts w:ascii="Calibri" w:hAnsi="Calibri" w:cs="Calibri"/>
        </w:rPr>
      </w:pPr>
    </w:p>
    <w:p w14:paraId="278C9FA4" w14:textId="77777777" w:rsidR="008212B9" w:rsidRDefault="008212B9" w:rsidP="006D1B23">
      <w:pPr>
        <w:spacing w:line="480" w:lineRule="auto"/>
        <w:rPr>
          <w:rFonts w:ascii="Calibri" w:hAnsi="Calibri" w:cs="Calibri"/>
        </w:rPr>
      </w:pPr>
    </w:p>
    <w:p w14:paraId="04CC34C3" w14:textId="77777777" w:rsidR="008212B9" w:rsidRDefault="008212B9" w:rsidP="006D1B23">
      <w:pPr>
        <w:spacing w:line="480" w:lineRule="auto"/>
        <w:rPr>
          <w:rFonts w:ascii="Calibri" w:hAnsi="Calibri" w:cs="Calibri"/>
        </w:rPr>
      </w:pPr>
    </w:p>
    <w:p w14:paraId="07CF05AD" w14:textId="77777777" w:rsidR="008212B9" w:rsidRDefault="008212B9" w:rsidP="006D1B23">
      <w:pPr>
        <w:spacing w:line="480" w:lineRule="auto"/>
        <w:rPr>
          <w:rFonts w:ascii="Calibri" w:hAnsi="Calibri" w:cs="Calibri"/>
        </w:rPr>
      </w:pPr>
    </w:p>
    <w:p w14:paraId="6673B674" w14:textId="77777777" w:rsidR="008212B9" w:rsidRDefault="008212B9" w:rsidP="006D1B23">
      <w:pPr>
        <w:spacing w:line="480" w:lineRule="auto"/>
        <w:rPr>
          <w:rFonts w:ascii="Calibri" w:hAnsi="Calibri" w:cs="Calibri"/>
        </w:rPr>
      </w:pPr>
    </w:p>
    <w:p w14:paraId="2EB486A1" w14:textId="77777777" w:rsidR="008212B9" w:rsidRDefault="008212B9" w:rsidP="007943FE">
      <w:pPr>
        <w:spacing w:line="480" w:lineRule="auto"/>
        <w:ind w:firstLine="0"/>
        <w:rPr>
          <w:rFonts w:ascii="Calibri" w:hAnsi="Calibri" w:cs="Calibri"/>
        </w:rPr>
      </w:pPr>
    </w:p>
    <w:p w14:paraId="016593E9" w14:textId="77777777" w:rsidR="007943FE" w:rsidRDefault="007943FE" w:rsidP="007943FE">
      <w:pPr>
        <w:spacing w:line="480" w:lineRule="auto"/>
        <w:ind w:firstLine="0"/>
        <w:rPr>
          <w:rFonts w:ascii="Calibri" w:hAnsi="Calibri" w:cs="Calibri"/>
        </w:rPr>
      </w:pPr>
    </w:p>
    <w:p w14:paraId="5F73B916" w14:textId="6CABCE5A" w:rsidR="008212B9" w:rsidRDefault="008212B9" w:rsidP="008212B9">
      <w:pPr>
        <w:jc w:val="center"/>
      </w:pPr>
      <w:r w:rsidRPr="00DB6AF9">
        <w:lastRenderedPageBreak/>
        <w:t>References</w:t>
      </w:r>
    </w:p>
    <w:p w14:paraId="4DB7E35A" w14:textId="77777777" w:rsidR="007943FE" w:rsidRDefault="007943FE" w:rsidP="008212B9">
      <w:pPr>
        <w:jc w:val="center"/>
      </w:pPr>
    </w:p>
    <w:p w14:paraId="0EC15F32"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Andrews, D. A., &amp; Bonta, J. (2010). </w:t>
      </w:r>
      <w:r w:rsidRPr="000718B1">
        <w:rPr>
          <w:rFonts w:ascii="Calibri" w:eastAsia="Times New Roman" w:hAnsi="Calibri" w:cs="Calibri"/>
          <w:i/>
          <w:iCs/>
          <w:kern w:val="0"/>
          <w:lang w:eastAsia="en-GB"/>
          <w14:ligatures w14:val="none"/>
        </w:rPr>
        <w:t>The psychology of criminal conduct</w:t>
      </w:r>
      <w:r w:rsidRPr="000718B1">
        <w:rPr>
          <w:rFonts w:ascii="Calibri" w:eastAsia="Times New Roman" w:hAnsi="Calibri" w:cs="Calibri"/>
          <w:kern w:val="0"/>
          <w:lang w:eastAsia="en-GB"/>
          <w14:ligatures w14:val="none"/>
        </w:rPr>
        <w:t xml:space="preserve"> (5th ed.). Routledge.</w:t>
      </w:r>
    </w:p>
    <w:p w14:paraId="2B6DA9DA"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Anderson, S. L., Goulter, N., &amp; McMahon, R. J. (2022). Examining the directionality of the relationship between maternal warmth and early school-age anxiety. </w:t>
      </w:r>
      <w:r w:rsidRPr="000718B1">
        <w:rPr>
          <w:rFonts w:ascii="Calibri" w:eastAsia="Times New Roman" w:hAnsi="Calibri" w:cs="Calibri"/>
          <w:i/>
          <w:iCs/>
          <w:kern w:val="0"/>
          <w:lang w:eastAsia="en-GB"/>
          <w14:ligatures w14:val="none"/>
        </w:rPr>
        <w:t>Child Psychiatry &amp; Human Development, 53</w:t>
      </w:r>
      <w:r w:rsidRPr="000718B1">
        <w:rPr>
          <w:rFonts w:ascii="Calibri" w:eastAsia="Times New Roman" w:hAnsi="Calibri" w:cs="Calibri"/>
          <w:kern w:val="0"/>
          <w:lang w:eastAsia="en-GB"/>
          <w14:ligatures w14:val="none"/>
        </w:rPr>
        <w:t xml:space="preserve">(6), 1161–1173. </w:t>
      </w:r>
      <w:hyperlink r:id="rId4" w:tgtFrame="_new" w:history="1">
        <w:r w:rsidRPr="000718B1">
          <w:rPr>
            <w:rFonts w:ascii="Calibri" w:eastAsia="Times New Roman" w:hAnsi="Calibri" w:cs="Calibri"/>
            <w:color w:val="0000FF"/>
            <w:kern w:val="0"/>
            <w:u w:val="single"/>
            <w:lang w:eastAsia="en-GB"/>
            <w14:ligatures w14:val="none"/>
          </w:rPr>
          <w:t>https://doi.org/10.1007/s10578-021-01197-4</w:t>
        </w:r>
      </w:hyperlink>
    </w:p>
    <w:p w14:paraId="2919DBE0"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British Psychological Society. (2011). </w:t>
      </w:r>
      <w:r w:rsidRPr="000718B1">
        <w:rPr>
          <w:rFonts w:ascii="Calibri" w:eastAsia="Times New Roman" w:hAnsi="Calibri" w:cs="Calibri"/>
          <w:i/>
          <w:iCs/>
          <w:kern w:val="0"/>
          <w:lang w:eastAsia="en-GB"/>
          <w14:ligatures w14:val="none"/>
        </w:rPr>
        <w:t>Good practice guidelines on the use of psychological formulation</w:t>
      </w:r>
      <w:r w:rsidRPr="000718B1">
        <w:rPr>
          <w:rFonts w:ascii="Calibri" w:eastAsia="Times New Roman" w:hAnsi="Calibri" w:cs="Calibri"/>
          <w:kern w:val="0"/>
          <w:lang w:eastAsia="en-GB"/>
          <w14:ligatures w14:val="none"/>
        </w:rPr>
        <w:t>. British Psychological Society.</w:t>
      </w:r>
    </w:p>
    <w:p w14:paraId="6014E562"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Burdett, J., Heron, J., &amp; </w:t>
      </w:r>
      <w:proofErr w:type="spellStart"/>
      <w:r w:rsidRPr="000718B1">
        <w:rPr>
          <w:rFonts w:ascii="Calibri" w:eastAsia="Times New Roman" w:hAnsi="Calibri" w:cs="Calibri"/>
          <w:kern w:val="0"/>
          <w:lang w:eastAsia="en-GB"/>
          <w14:ligatures w14:val="none"/>
        </w:rPr>
        <w:t>Munafò</w:t>
      </w:r>
      <w:proofErr w:type="spellEnd"/>
      <w:r w:rsidRPr="000718B1">
        <w:rPr>
          <w:rFonts w:ascii="Calibri" w:eastAsia="Times New Roman" w:hAnsi="Calibri" w:cs="Calibri"/>
          <w:kern w:val="0"/>
          <w:lang w:eastAsia="en-GB"/>
          <w14:ligatures w14:val="none"/>
        </w:rPr>
        <w:t xml:space="preserve">, M. (2018). Economic stress and crime: A longitudinal analysis. </w:t>
      </w:r>
      <w:r w:rsidRPr="000718B1">
        <w:rPr>
          <w:rFonts w:ascii="Calibri" w:eastAsia="Times New Roman" w:hAnsi="Calibri" w:cs="Calibri"/>
          <w:i/>
          <w:iCs/>
          <w:kern w:val="0"/>
          <w:lang w:eastAsia="en-GB"/>
          <w14:ligatures w14:val="none"/>
        </w:rPr>
        <w:t>Journal of Quantitative Criminology, 34</w:t>
      </w:r>
      <w:r w:rsidRPr="000718B1">
        <w:rPr>
          <w:rFonts w:ascii="Calibri" w:eastAsia="Times New Roman" w:hAnsi="Calibri" w:cs="Calibri"/>
          <w:kern w:val="0"/>
          <w:lang w:eastAsia="en-GB"/>
          <w14:ligatures w14:val="none"/>
        </w:rPr>
        <w:t>(2), 465–489.</w:t>
      </w:r>
    </w:p>
    <w:p w14:paraId="1CB0C59B"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proofErr w:type="spellStart"/>
      <w:r w:rsidRPr="000718B1">
        <w:rPr>
          <w:rFonts w:ascii="Calibri" w:eastAsia="Times New Roman" w:hAnsi="Calibri" w:cs="Calibri"/>
          <w:kern w:val="0"/>
          <w:lang w:eastAsia="en-GB"/>
          <w14:ligatures w14:val="none"/>
        </w:rPr>
        <w:t>Cloitre</w:t>
      </w:r>
      <w:proofErr w:type="spellEnd"/>
      <w:r w:rsidRPr="000718B1">
        <w:rPr>
          <w:rFonts w:ascii="Calibri" w:eastAsia="Times New Roman" w:hAnsi="Calibri" w:cs="Calibri"/>
          <w:kern w:val="0"/>
          <w:lang w:eastAsia="en-GB"/>
          <w14:ligatures w14:val="none"/>
        </w:rPr>
        <w:t xml:space="preserve">, M., Courtois, C. A., </w:t>
      </w:r>
      <w:proofErr w:type="spellStart"/>
      <w:r w:rsidRPr="000718B1">
        <w:rPr>
          <w:rFonts w:ascii="Calibri" w:eastAsia="Times New Roman" w:hAnsi="Calibri" w:cs="Calibri"/>
          <w:kern w:val="0"/>
          <w:lang w:eastAsia="en-GB"/>
          <w14:ligatures w14:val="none"/>
        </w:rPr>
        <w:t>Charuvastra</w:t>
      </w:r>
      <w:proofErr w:type="spellEnd"/>
      <w:r w:rsidRPr="000718B1">
        <w:rPr>
          <w:rFonts w:ascii="Calibri" w:eastAsia="Times New Roman" w:hAnsi="Calibri" w:cs="Calibri"/>
          <w:kern w:val="0"/>
          <w:lang w:eastAsia="en-GB"/>
          <w14:ligatures w14:val="none"/>
        </w:rPr>
        <w:t xml:space="preserve">, A., Carapezza, R., </w:t>
      </w:r>
      <w:proofErr w:type="spellStart"/>
      <w:r w:rsidRPr="000718B1">
        <w:rPr>
          <w:rFonts w:ascii="Calibri" w:eastAsia="Times New Roman" w:hAnsi="Calibri" w:cs="Calibri"/>
          <w:kern w:val="0"/>
          <w:lang w:eastAsia="en-GB"/>
          <w14:ligatures w14:val="none"/>
        </w:rPr>
        <w:t>Stolbach</w:t>
      </w:r>
      <w:proofErr w:type="spellEnd"/>
      <w:r w:rsidRPr="000718B1">
        <w:rPr>
          <w:rFonts w:ascii="Calibri" w:eastAsia="Times New Roman" w:hAnsi="Calibri" w:cs="Calibri"/>
          <w:kern w:val="0"/>
          <w:lang w:eastAsia="en-GB"/>
          <w14:ligatures w14:val="none"/>
        </w:rPr>
        <w:t xml:space="preserve">, B. C., &amp; Green, B. L. (2012). Treatment of complex PTSD: Results of the ISTSS expert clinician survey. </w:t>
      </w:r>
      <w:r w:rsidRPr="000718B1">
        <w:rPr>
          <w:rFonts w:ascii="Calibri" w:eastAsia="Times New Roman" w:hAnsi="Calibri" w:cs="Calibri"/>
          <w:i/>
          <w:iCs/>
          <w:kern w:val="0"/>
          <w:lang w:eastAsia="en-GB"/>
          <w14:ligatures w14:val="none"/>
        </w:rPr>
        <w:t>Journal of Traumatic Stress, 25</w:t>
      </w:r>
      <w:r w:rsidRPr="000718B1">
        <w:rPr>
          <w:rFonts w:ascii="Calibri" w:eastAsia="Times New Roman" w:hAnsi="Calibri" w:cs="Calibri"/>
          <w:kern w:val="0"/>
          <w:lang w:eastAsia="en-GB"/>
          <w14:ligatures w14:val="none"/>
        </w:rPr>
        <w:t>(6), 615–627.</w:t>
      </w:r>
    </w:p>
    <w:p w14:paraId="44999F74"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Farrall, S., Hunter, B., Sharpe, G., &amp; Calverley, A. (2014). </w:t>
      </w:r>
      <w:r w:rsidRPr="000718B1">
        <w:rPr>
          <w:rFonts w:ascii="Calibri" w:eastAsia="Times New Roman" w:hAnsi="Calibri" w:cs="Calibri"/>
          <w:i/>
          <w:iCs/>
          <w:kern w:val="0"/>
          <w:lang w:eastAsia="en-GB"/>
          <w14:ligatures w14:val="none"/>
        </w:rPr>
        <w:t>Criminal careers in transition: The social context of desistance from crime</w:t>
      </w:r>
      <w:r w:rsidRPr="000718B1">
        <w:rPr>
          <w:rFonts w:ascii="Calibri" w:eastAsia="Times New Roman" w:hAnsi="Calibri" w:cs="Calibri"/>
          <w:kern w:val="0"/>
          <w:lang w:eastAsia="en-GB"/>
          <w14:ligatures w14:val="none"/>
        </w:rPr>
        <w:t>. Oxford University Press.</w:t>
      </w:r>
    </w:p>
    <w:p w14:paraId="5486FE4E"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Hart, S. D., Sturmey, P., Logan, C., &amp; McMurran, M. (2011). Forensic case formulation. </w:t>
      </w:r>
      <w:r w:rsidRPr="000718B1">
        <w:rPr>
          <w:rFonts w:ascii="Calibri" w:eastAsia="Times New Roman" w:hAnsi="Calibri" w:cs="Calibri"/>
          <w:i/>
          <w:iCs/>
          <w:kern w:val="0"/>
          <w:lang w:eastAsia="en-GB"/>
          <w14:ligatures w14:val="none"/>
        </w:rPr>
        <w:t>International Journal of Forensic Mental Health, 10</w:t>
      </w:r>
      <w:r w:rsidRPr="000718B1">
        <w:rPr>
          <w:rFonts w:ascii="Calibri" w:eastAsia="Times New Roman" w:hAnsi="Calibri" w:cs="Calibri"/>
          <w:kern w:val="0"/>
          <w:lang w:eastAsia="en-GB"/>
          <w14:ligatures w14:val="none"/>
        </w:rPr>
        <w:t xml:space="preserve">(2), 118–126. </w:t>
      </w:r>
      <w:hyperlink r:id="rId5" w:tgtFrame="_new" w:history="1">
        <w:r w:rsidRPr="000718B1">
          <w:rPr>
            <w:rFonts w:ascii="Calibri" w:eastAsia="Times New Roman" w:hAnsi="Calibri" w:cs="Calibri"/>
            <w:color w:val="0000FF"/>
            <w:kern w:val="0"/>
            <w:u w:val="single"/>
            <w:lang w:eastAsia="en-GB"/>
            <w14:ligatures w14:val="none"/>
          </w:rPr>
          <w:t>https://doi.org/10.1080/14999013.2011.570829</w:t>
        </w:r>
      </w:hyperlink>
    </w:p>
    <w:p w14:paraId="59D6D605"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Herman, J. L. (1992). </w:t>
      </w:r>
      <w:r w:rsidRPr="000718B1">
        <w:rPr>
          <w:rFonts w:ascii="Calibri" w:eastAsia="Times New Roman" w:hAnsi="Calibri" w:cs="Calibri"/>
          <w:i/>
          <w:iCs/>
          <w:kern w:val="0"/>
          <w:lang w:eastAsia="en-GB"/>
          <w14:ligatures w14:val="none"/>
        </w:rPr>
        <w:t>Trauma and recovery</w:t>
      </w:r>
      <w:r w:rsidRPr="000718B1">
        <w:rPr>
          <w:rFonts w:ascii="Calibri" w:eastAsia="Times New Roman" w:hAnsi="Calibri" w:cs="Calibri"/>
          <w:kern w:val="0"/>
          <w:lang w:eastAsia="en-GB"/>
          <w14:ligatures w14:val="none"/>
        </w:rPr>
        <w:t>. Basic Books.</w:t>
      </w:r>
    </w:p>
    <w:p w14:paraId="21DD55EF"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proofErr w:type="spellStart"/>
      <w:r w:rsidRPr="000718B1">
        <w:rPr>
          <w:rFonts w:ascii="Calibri" w:eastAsia="Times New Roman" w:hAnsi="Calibri" w:cs="Calibri"/>
          <w:kern w:val="0"/>
          <w:lang w:eastAsia="en-GB"/>
          <w14:ligatures w14:val="none"/>
        </w:rPr>
        <w:t>Holtfreter</w:t>
      </w:r>
      <w:proofErr w:type="spellEnd"/>
      <w:r w:rsidRPr="000718B1">
        <w:rPr>
          <w:rFonts w:ascii="Calibri" w:eastAsia="Times New Roman" w:hAnsi="Calibri" w:cs="Calibri"/>
          <w:kern w:val="0"/>
          <w:lang w:eastAsia="en-GB"/>
          <w14:ligatures w14:val="none"/>
        </w:rPr>
        <w:t xml:space="preserve">, K., Pusch, N., &amp; Golladay, K. A. (2022). Evolution, evidence, and impact of the feminist </w:t>
      </w:r>
      <w:proofErr w:type="gramStart"/>
      <w:r w:rsidRPr="000718B1">
        <w:rPr>
          <w:rFonts w:ascii="Calibri" w:eastAsia="Times New Roman" w:hAnsi="Calibri" w:cs="Calibri"/>
          <w:kern w:val="0"/>
          <w:lang w:eastAsia="en-GB"/>
          <w14:ligatures w14:val="none"/>
        </w:rPr>
        <w:t>pathways</w:t>
      </w:r>
      <w:proofErr w:type="gramEnd"/>
      <w:r w:rsidRPr="000718B1">
        <w:rPr>
          <w:rFonts w:ascii="Calibri" w:eastAsia="Times New Roman" w:hAnsi="Calibri" w:cs="Calibri"/>
          <w:kern w:val="0"/>
          <w:lang w:eastAsia="en-GB"/>
          <w14:ligatures w14:val="none"/>
        </w:rPr>
        <w:t xml:space="preserve"> perspective. In B. LeClair &amp; A. T. Harris (Eds.), </w:t>
      </w:r>
      <w:r w:rsidRPr="000718B1">
        <w:rPr>
          <w:rFonts w:ascii="Calibri" w:eastAsia="Times New Roman" w:hAnsi="Calibri" w:cs="Calibri"/>
          <w:i/>
          <w:iCs/>
          <w:kern w:val="0"/>
          <w:lang w:eastAsia="en-GB"/>
          <w14:ligatures w14:val="none"/>
        </w:rPr>
        <w:t>The Wiley handbook of crime</w:t>
      </w:r>
      <w:r w:rsidRPr="000718B1">
        <w:rPr>
          <w:rFonts w:ascii="Calibri" w:eastAsia="Times New Roman" w:hAnsi="Calibri" w:cs="Calibri"/>
          <w:kern w:val="0"/>
          <w:lang w:eastAsia="en-GB"/>
          <w14:ligatures w14:val="none"/>
        </w:rPr>
        <w:t xml:space="preserve"> (Chap. 1). Wiley.</w:t>
      </w:r>
    </w:p>
    <w:p w14:paraId="43367CAD"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Johnstone, L., &amp; Dallos, R. (2014). </w:t>
      </w:r>
      <w:r w:rsidRPr="000718B1">
        <w:rPr>
          <w:rFonts w:ascii="Calibri" w:eastAsia="Times New Roman" w:hAnsi="Calibri" w:cs="Calibri"/>
          <w:i/>
          <w:iCs/>
          <w:kern w:val="0"/>
          <w:lang w:eastAsia="en-GB"/>
          <w14:ligatures w14:val="none"/>
        </w:rPr>
        <w:t>Formulation in psychology and psychotherapy: Making sense of people’s problems</w:t>
      </w:r>
      <w:r w:rsidRPr="000718B1">
        <w:rPr>
          <w:rFonts w:ascii="Calibri" w:eastAsia="Times New Roman" w:hAnsi="Calibri" w:cs="Calibri"/>
          <w:kern w:val="0"/>
          <w:lang w:eastAsia="en-GB"/>
          <w14:ligatures w14:val="none"/>
        </w:rPr>
        <w:t xml:space="preserve"> (2nd ed.). Routledge.</w:t>
      </w:r>
    </w:p>
    <w:p w14:paraId="1C59E44C"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lastRenderedPageBreak/>
        <w:t xml:space="preserve">Linton, B. A. (2017). </w:t>
      </w:r>
      <w:r w:rsidRPr="000718B1">
        <w:rPr>
          <w:rFonts w:ascii="Calibri" w:eastAsia="Times New Roman" w:hAnsi="Calibri" w:cs="Calibri"/>
          <w:i/>
          <w:iCs/>
          <w:kern w:val="0"/>
          <w:lang w:eastAsia="en-GB"/>
          <w14:ligatures w14:val="none"/>
        </w:rPr>
        <w:t>Examining resiliency in college students from single-parent structures</w:t>
      </w:r>
      <w:r w:rsidRPr="000718B1">
        <w:rPr>
          <w:rFonts w:ascii="Calibri" w:eastAsia="Times New Roman" w:hAnsi="Calibri" w:cs="Calibri"/>
          <w:kern w:val="0"/>
          <w:lang w:eastAsia="en-GB"/>
          <w14:ligatures w14:val="none"/>
        </w:rPr>
        <w:t xml:space="preserve"> (Doctoral dissertation). Indiana University of Pennsylvania. ProQuest Dissertations Publishing.</w:t>
      </w:r>
    </w:p>
    <w:p w14:paraId="3F97FD38"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Mani, A., Mullainathan, S., Shafir, E., &amp; Zhao, J. (2013). Poverty impedes cognitive function. </w:t>
      </w:r>
      <w:r w:rsidRPr="000718B1">
        <w:rPr>
          <w:rFonts w:ascii="Calibri" w:eastAsia="Times New Roman" w:hAnsi="Calibri" w:cs="Calibri"/>
          <w:i/>
          <w:iCs/>
          <w:kern w:val="0"/>
          <w:lang w:eastAsia="en-GB"/>
          <w14:ligatures w14:val="none"/>
        </w:rPr>
        <w:t>Science, 341</w:t>
      </w:r>
      <w:r w:rsidRPr="000718B1">
        <w:rPr>
          <w:rFonts w:ascii="Calibri" w:eastAsia="Times New Roman" w:hAnsi="Calibri" w:cs="Calibri"/>
          <w:kern w:val="0"/>
          <w:lang w:eastAsia="en-GB"/>
          <w14:ligatures w14:val="none"/>
        </w:rPr>
        <w:t>(6149), 976–980.</w:t>
      </w:r>
    </w:p>
    <w:p w14:paraId="44DA1D5E"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Maruna, S. (2001). </w:t>
      </w:r>
      <w:r w:rsidRPr="000718B1">
        <w:rPr>
          <w:rFonts w:ascii="Calibri" w:eastAsia="Times New Roman" w:hAnsi="Calibri" w:cs="Calibri"/>
          <w:i/>
          <w:iCs/>
          <w:kern w:val="0"/>
          <w:lang w:eastAsia="en-GB"/>
          <w14:ligatures w14:val="none"/>
        </w:rPr>
        <w:t>Making good: How ex-convicts reform and rebuild their lives</w:t>
      </w:r>
      <w:r w:rsidRPr="000718B1">
        <w:rPr>
          <w:rFonts w:ascii="Calibri" w:eastAsia="Times New Roman" w:hAnsi="Calibri" w:cs="Calibri"/>
          <w:kern w:val="0"/>
          <w:lang w:eastAsia="en-GB"/>
          <w14:ligatures w14:val="none"/>
        </w:rPr>
        <w:t>. American Psychological Association.</w:t>
      </w:r>
    </w:p>
    <w:p w14:paraId="7EA578AF"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proofErr w:type="spellStart"/>
      <w:r w:rsidRPr="000718B1">
        <w:rPr>
          <w:rFonts w:ascii="Calibri" w:eastAsia="Times New Roman" w:hAnsi="Calibri" w:cs="Calibri"/>
          <w:kern w:val="0"/>
          <w:lang w:eastAsia="en-GB"/>
          <w14:ligatures w14:val="none"/>
        </w:rPr>
        <w:t>Poluektova</w:t>
      </w:r>
      <w:proofErr w:type="spellEnd"/>
      <w:r w:rsidRPr="000718B1">
        <w:rPr>
          <w:rFonts w:ascii="Calibri" w:eastAsia="Times New Roman" w:hAnsi="Calibri" w:cs="Calibri"/>
          <w:kern w:val="0"/>
          <w:lang w:eastAsia="en-GB"/>
          <w14:ligatures w14:val="none"/>
        </w:rPr>
        <w:t xml:space="preserve">, O., Efremova, M., &amp; Breugelmans, S. M. (2015). </w:t>
      </w:r>
      <w:r w:rsidRPr="000718B1">
        <w:rPr>
          <w:rFonts w:ascii="Calibri" w:eastAsia="Times New Roman" w:hAnsi="Calibri" w:cs="Calibri"/>
          <w:i/>
          <w:iCs/>
          <w:kern w:val="0"/>
          <w:lang w:eastAsia="en-GB"/>
          <w14:ligatures w14:val="none"/>
        </w:rPr>
        <w:t>Poverty and psychology: The psychological consequences of living in poverty</w:t>
      </w:r>
      <w:r w:rsidRPr="000718B1">
        <w:rPr>
          <w:rFonts w:ascii="Calibri" w:eastAsia="Times New Roman" w:hAnsi="Calibri" w:cs="Calibri"/>
          <w:kern w:val="0"/>
          <w:lang w:eastAsia="en-GB"/>
          <w14:ligatures w14:val="none"/>
        </w:rPr>
        <w:t xml:space="preserve"> (HSE Research Paper No. WP BRP 44/PSY/2015). Higher School of Economics. </w:t>
      </w:r>
      <w:hyperlink r:id="rId6" w:tgtFrame="_new" w:history="1">
        <w:r w:rsidRPr="000718B1">
          <w:rPr>
            <w:rFonts w:ascii="Calibri" w:eastAsia="Times New Roman" w:hAnsi="Calibri" w:cs="Calibri"/>
            <w:color w:val="0000FF"/>
            <w:kern w:val="0"/>
            <w:u w:val="single"/>
            <w:lang w:eastAsia="en-GB"/>
            <w14:ligatures w14:val="none"/>
          </w:rPr>
          <w:t>https://wp.hse.ru/data/2015/06/29/1083896512/44PSY2015.pdf</w:t>
        </w:r>
      </w:hyperlink>
    </w:p>
    <w:p w14:paraId="2D13D41A"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Sardana, S., Sharma, M. K., Anand, N., Kumar, R., &amp; Mishra, P. (2024). Psychopathology underlying stealing behaviour. </w:t>
      </w:r>
      <w:r w:rsidRPr="000718B1">
        <w:rPr>
          <w:rFonts w:ascii="Calibri" w:eastAsia="Times New Roman" w:hAnsi="Calibri" w:cs="Calibri"/>
          <w:i/>
          <w:iCs/>
          <w:kern w:val="0"/>
          <w:lang w:eastAsia="en-GB"/>
          <w14:ligatures w14:val="none"/>
        </w:rPr>
        <w:t>Malaysian Journal of Psychiatry, 33</w:t>
      </w:r>
      <w:r w:rsidRPr="000718B1">
        <w:rPr>
          <w:rFonts w:ascii="Calibri" w:eastAsia="Times New Roman" w:hAnsi="Calibri" w:cs="Calibri"/>
          <w:kern w:val="0"/>
          <w:lang w:eastAsia="en-GB"/>
          <w14:ligatures w14:val="none"/>
        </w:rPr>
        <w:t xml:space="preserve">(1), 30–32. </w:t>
      </w:r>
      <w:hyperlink r:id="rId7" w:tgtFrame="_new" w:history="1">
        <w:r w:rsidRPr="000718B1">
          <w:rPr>
            <w:rFonts w:ascii="Calibri" w:eastAsia="Times New Roman" w:hAnsi="Calibri" w:cs="Calibri"/>
            <w:color w:val="0000FF"/>
            <w:kern w:val="0"/>
            <w:u w:val="single"/>
            <w:lang w:eastAsia="en-GB"/>
            <w14:ligatures w14:val="none"/>
          </w:rPr>
          <w:t>https://doi.org/10.4103/mjp.mjp_3_24</w:t>
        </w:r>
      </w:hyperlink>
    </w:p>
    <w:p w14:paraId="6CBCAD1A"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Sharp-Jeffs, N. (2015). </w:t>
      </w:r>
      <w:r w:rsidRPr="000718B1">
        <w:rPr>
          <w:rFonts w:ascii="Calibri" w:eastAsia="Times New Roman" w:hAnsi="Calibri" w:cs="Calibri"/>
          <w:i/>
          <w:iCs/>
          <w:kern w:val="0"/>
          <w:lang w:eastAsia="en-GB"/>
          <w14:ligatures w14:val="none"/>
        </w:rPr>
        <w:t>Money matters: Research into the extent and nature of financial abuse within intimate relationships</w:t>
      </w:r>
      <w:r w:rsidRPr="000718B1">
        <w:rPr>
          <w:rFonts w:ascii="Calibri" w:eastAsia="Times New Roman" w:hAnsi="Calibri" w:cs="Calibri"/>
          <w:kern w:val="0"/>
          <w:lang w:eastAsia="en-GB"/>
          <w14:ligatures w14:val="none"/>
        </w:rPr>
        <w:t>. The Co-operative Bank &amp; Refuge.</w:t>
      </w:r>
    </w:p>
    <w:p w14:paraId="1D49BF79"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Stark, E. (2007). </w:t>
      </w:r>
      <w:r w:rsidRPr="000718B1">
        <w:rPr>
          <w:rFonts w:ascii="Calibri" w:eastAsia="Times New Roman" w:hAnsi="Calibri" w:cs="Calibri"/>
          <w:i/>
          <w:iCs/>
          <w:kern w:val="0"/>
          <w:lang w:eastAsia="en-GB"/>
          <w14:ligatures w14:val="none"/>
        </w:rPr>
        <w:t>Coercive control: How men entrap women in personal life</w:t>
      </w:r>
      <w:r w:rsidRPr="000718B1">
        <w:rPr>
          <w:rFonts w:ascii="Calibri" w:eastAsia="Times New Roman" w:hAnsi="Calibri" w:cs="Calibri"/>
          <w:kern w:val="0"/>
          <w:lang w:eastAsia="en-GB"/>
          <w14:ligatures w14:val="none"/>
        </w:rPr>
        <w:t>. Oxford University Press.</w:t>
      </w:r>
    </w:p>
    <w:p w14:paraId="314356B4" w14:textId="77777777" w:rsidR="000718B1" w:rsidRPr="000718B1" w:rsidRDefault="000718B1" w:rsidP="000718B1">
      <w:pPr>
        <w:spacing w:before="100" w:beforeAutospacing="1" w:after="100" w:afterAutospacing="1" w:line="360" w:lineRule="auto"/>
        <w:ind w:left="720" w:hanging="720"/>
        <w:rPr>
          <w:rFonts w:ascii="Calibri" w:eastAsia="Times New Roman" w:hAnsi="Calibri" w:cs="Calibri"/>
          <w:kern w:val="0"/>
          <w:lang w:eastAsia="en-GB"/>
          <w14:ligatures w14:val="none"/>
        </w:rPr>
      </w:pPr>
      <w:r w:rsidRPr="000718B1">
        <w:rPr>
          <w:rFonts w:ascii="Calibri" w:eastAsia="Times New Roman" w:hAnsi="Calibri" w:cs="Calibri"/>
          <w:kern w:val="0"/>
          <w:lang w:eastAsia="en-GB"/>
          <w14:ligatures w14:val="none"/>
        </w:rPr>
        <w:t xml:space="preserve">Tyminski, R. (2014). </w:t>
      </w:r>
      <w:r w:rsidRPr="000718B1">
        <w:rPr>
          <w:rFonts w:ascii="Calibri" w:eastAsia="Times New Roman" w:hAnsi="Calibri" w:cs="Calibri"/>
          <w:i/>
          <w:iCs/>
          <w:kern w:val="0"/>
          <w:lang w:eastAsia="en-GB"/>
          <w14:ligatures w14:val="none"/>
        </w:rPr>
        <w:t>The psychology of theft and loss: Stolen and fleeced</w:t>
      </w:r>
      <w:r w:rsidRPr="000718B1">
        <w:rPr>
          <w:rFonts w:ascii="Calibri" w:eastAsia="Times New Roman" w:hAnsi="Calibri" w:cs="Calibri"/>
          <w:kern w:val="0"/>
          <w:lang w:eastAsia="en-GB"/>
          <w14:ligatures w14:val="none"/>
        </w:rPr>
        <w:t>. Routledge.</w:t>
      </w:r>
    </w:p>
    <w:p w14:paraId="58DFD5B8" w14:textId="77777777" w:rsidR="0083624B" w:rsidRPr="0083624B" w:rsidRDefault="0083624B" w:rsidP="008212B9">
      <w:pPr>
        <w:pStyle w:val="NormalWeb"/>
        <w:spacing w:line="360" w:lineRule="auto"/>
        <w:ind w:left="720" w:hanging="720"/>
        <w:rPr>
          <w:rFonts w:ascii="Calibri" w:hAnsi="Calibri" w:cs="Calibri"/>
        </w:rPr>
      </w:pPr>
    </w:p>
    <w:p w14:paraId="63DD4668" w14:textId="77777777" w:rsidR="008212B9" w:rsidRPr="008212B9" w:rsidRDefault="008212B9" w:rsidP="008212B9">
      <w:pPr>
        <w:spacing w:line="360" w:lineRule="auto"/>
        <w:ind w:left="720" w:hanging="720"/>
        <w:rPr>
          <w:rFonts w:ascii="Calibri" w:hAnsi="Calibri" w:cs="Calibri"/>
        </w:rPr>
      </w:pPr>
    </w:p>
    <w:p w14:paraId="3AE2F5AC" w14:textId="77777777" w:rsidR="008212B9" w:rsidRPr="00DB6AF9" w:rsidRDefault="008212B9" w:rsidP="008212B9"/>
    <w:p w14:paraId="2FF7A4EC" w14:textId="77777777" w:rsidR="008212B9" w:rsidRPr="00DB6AF9" w:rsidRDefault="008212B9" w:rsidP="008212B9"/>
    <w:p w14:paraId="61EAA934" w14:textId="77777777" w:rsidR="008212B9" w:rsidRPr="006D1B23" w:rsidRDefault="008212B9" w:rsidP="006D1B23">
      <w:pPr>
        <w:spacing w:line="480" w:lineRule="auto"/>
        <w:rPr>
          <w:rFonts w:ascii="Calibri" w:hAnsi="Calibri" w:cs="Calibri"/>
        </w:rPr>
      </w:pPr>
    </w:p>
    <w:sectPr w:rsidR="008212B9" w:rsidRPr="006D1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23"/>
    <w:rsid w:val="000718B1"/>
    <w:rsid w:val="002208E0"/>
    <w:rsid w:val="003B4C1A"/>
    <w:rsid w:val="004949DF"/>
    <w:rsid w:val="006D1B23"/>
    <w:rsid w:val="007943FE"/>
    <w:rsid w:val="008212B9"/>
    <w:rsid w:val="0083624B"/>
    <w:rsid w:val="00893B26"/>
    <w:rsid w:val="009E5983"/>
    <w:rsid w:val="00CD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90E29"/>
  <w15:chartTrackingRefBased/>
  <w15:docId w15:val="{490F845F-5ED5-4EED-891A-6594F5FDC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6D1B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B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B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B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B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B23"/>
    <w:rPr>
      <w:rFonts w:eastAsiaTheme="majorEastAsia" w:cstheme="majorBidi"/>
      <w:color w:val="272727" w:themeColor="text1" w:themeTint="D8"/>
    </w:rPr>
  </w:style>
  <w:style w:type="paragraph" w:styleId="Title">
    <w:name w:val="Title"/>
    <w:basedOn w:val="Normal"/>
    <w:next w:val="Normal"/>
    <w:link w:val="TitleChar"/>
    <w:uiPriority w:val="10"/>
    <w:qFormat/>
    <w:rsid w:val="006D1B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B23"/>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B23"/>
    <w:pPr>
      <w:spacing w:before="160"/>
      <w:jc w:val="center"/>
    </w:pPr>
    <w:rPr>
      <w:i/>
      <w:iCs/>
      <w:color w:val="404040" w:themeColor="text1" w:themeTint="BF"/>
    </w:rPr>
  </w:style>
  <w:style w:type="character" w:customStyle="1" w:styleId="QuoteChar">
    <w:name w:val="Quote Char"/>
    <w:basedOn w:val="DefaultParagraphFont"/>
    <w:link w:val="Quote"/>
    <w:uiPriority w:val="29"/>
    <w:rsid w:val="006D1B23"/>
    <w:rPr>
      <w:i/>
      <w:iCs/>
      <w:color w:val="404040" w:themeColor="text1" w:themeTint="BF"/>
    </w:rPr>
  </w:style>
  <w:style w:type="paragraph" w:styleId="ListParagraph">
    <w:name w:val="List Paragraph"/>
    <w:basedOn w:val="Normal"/>
    <w:uiPriority w:val="34"/>
    <w:qFormat/>
    <w:rsid w:val="006D1B23"/>
    <w:pPr>
      <w:ind w:left="720"/>
      <w:contextualSpacing/>
    </w:pPr>
  </w:style>
  <w:style w:type="character" w:styleId="IntenseEmphasis">
    <w:name w:val="Intense Emphasis"/>
    <w:basedOn w:val="DefaultParagraphFont"/>
    <w:uiPriority w:val="21"/>
    <w:qFormat/>
    <w:rsid w:val="006D1B23"/>
    <w:rPr>
      <w:i/>
      <w:iCs/>
      <w:color w:val="0F4761" w:themeColor="accent1" w:themeShade="BF"/>
    </w:rPr>
  </w:style>
  <w:style w:type="paragraph" w:styleId="IntenseQuote">
    <w:name w:val="Intense Quote"/>
    <w:basedOn w:val="Normal"/>
    <w:next w:val="Normal"/>
    <w:link w:val="IntenseQuoteChar"/>
    <w:uiPriority w:val="30"/>
    <w:qFormat/>
    <w:rsid w:val="006D1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B23"/>
    <w:rPr>
      <w:i/>
      <w:iCs/>
      <w:color w:val="0F4761" w:themeColor="accent1" w:themeShade="BF"/>
    </w:rPr>
  </w:style>
  <w:style w:type="character" w:styleId="IntenseReference">
    <w:name w:val="Intense Reference"/>
    <w:basedOn w:val="DefaultParagraphFont"/>
    <w:uiPriority w:val="32"/>
    <w:qFormat/>
    <w:rsid w:val="006D1B23"/>
    <w:rPr>
      <w:b/>
      <w:bCs/>
      <w:smallCaps/>
      <w:color w:val="0F4761" w:themeColor="accent1" w:themeShade="BF"/>
      <w:spacing w:val="5"/>
    </w:rPr>
  </w:style>
  <w:style w:type="character" w:styleId="Hyperlink">
    <w:name w:val="Hyperlink"/>
    <w:basedOn w:val="DefaultParagraphFont"/>
    <w:uiPriority w:val="99"/>
    <w:unhideWhenUsed/>
    <w:rsid w:val="008212B9"/>
    <w:rPr>
      <w:color w:val="467886"/>
      <w:u w:val="single"/>
    </w:rPr>
  </w:style>
  <w:style w:type="paragraph" w:styleId="NormalWeb">
    <w:name w:val="Normal (Web)"/>
    <w:basedOn w:val="Normal"/>
    <w:uiPriority w:val="99"/>
    <w:semiHidden/>
    <w:unhideWhenUsed/>
    <w:rsid w:val="008212B9"/>
    <w:pPr>
      <w:spacing w:before="100" w:beforeAutospacing="1" w:after="100" w:afterAutospacing="1" w:line="240" w:lineRule="auto"/>
      <w:ind w:firstLine="0"/>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212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4103/mjp.mjp_3_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p.hse.ru/data/2015/06/29/1083896512/44PSY2015.pdf" TargetMode="External"/><Relationship Id="rId5" Type="http://schemas.openxmlformats.org/officeDocument/2006/relationships/hyperlink" Target="https://doi.org/10.1080/14999013.2011.570829" TargetMode="External"/><Relationship Id="rId4" Type="http://schemas.openxmlformats.org/officeDocument/2006/relationships/hyperlink" Target="https://doi.org/10.1007/s10578-021-01197-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2749</Words>
  <Characters>17182</Characters>
  <Application>Microsoft Office Word</Application>
  <DocSecurity>0</DocSecurity>
  <Lines>249</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Morgan (2303990)</dc:creator>
  <cp:keywords/>
  <dc:description/>
  <cp:lastModifiedBy>Jess Morgan (2303990)</cp:lastModifiedBy>
  <cp:revision>2</cp:revision>
  <dcterms:created xsi:type="dcterms:W3CDTF">2026-01-08T23:45:00Z</dcterms:created>
  <dcterms:modified xsi:type="dcterms:W3CDTF">2026-01-08T23:45:00Z</dcterms:modified>
</cp:coreProperties>
</file>