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43EB9D" w14:textId="77777777" w:rsidR="002E6159" w:rsidRPr="003409EE" w:rsidRDefault="002E6159" w:rsidP="002E6159">
      <w:pPr>
        <w:spacing w:after="0" w:line="240" w:lineRule="auto"/>
        <w:jc w:val="center"/>
        <w:rPr>
          <w:rFonts w:ascii="Times New Roman" w:hAnsi="Times New Roman" w:cs="Times New Roman"/>
          <w:b/>
          <w:bCs/>
        </w:rPr>
      </w:pPr>
      <w:r w:rsidRPr="003409EE">
        <w:rPr>
          <w:rFonts w:ascii="Times New Roman" w:hAnsi="Times New Roman" w:cs="Times New Roman"/>
          <w:b/>
          <w:bCs/>
        </w:rPr>
        <w:t>A Critical Comparison of Two Secondary Sources</w:t>
      </w:r>
    </w:p>
    <w:p w14:paraId="1CB2C592" w14:textId="77777777" w:rsidR="002E6159" w:rsidRPr="003409EE" w:rsidRDefault="002E6159" w:rsidP="002E6159">
      <w:pPr>
        <w:spacing w:after="0" w:line="240" w:lineRule="auto"/>
        <w:jc w:val="center"/>
        <w:rPr>
          <w:rFonts w:ascii="Times New Roman" w:hAnsi="Times New Roman" w:cs="Times New Roman"/>
        </w:rPr>
      </w:pPr>
    </w:p>
    <w:p w14:paraId="11523C39" w14:textId="77777777" w:rsidR="002E6159" w:rsidRPr="003409EE" w:rsidRDefault="002E6159" w:rsidP="002E6159">
      <w:pPr>
        <w:spacing w:after="0" w:line="240" w:lineRule="auto"/>
        <w:jc w:val="center"/>
        <w:rPr>
          <w:rFonts w:ascii="Times New Roman" w:hAnsi="Times New Roman" w:cs="Times New Roman"/>
        </w:rPr>
      </w:pPr>
      <w:r w:rsidRPr="003409EE">
        <w:rPr>
          <w:rFonts w:ascii="Times New Roman" w:hAnsi="Times New Roman" w:cs="Times New Roman"/>
        </w:rPr>
        <w:t>Introduction</w:t>
      </w:r>
    </w:p>
    <w:p w14:paraId="1ADD0371" w14:textId="77777777" w:rsidR="002E6159" w:rsidRPr="003409EE" w:rsidRDefault="002E6159" w:rsidP="002E6159">
      <w:pPr>
        <w:spacing w:after="0" w:line="240" w:lineRule="auto"/>
        <w:rPr>
          <w:rFonts w:ascii="Times New Roman" w:hAnsi="Times New Roman" w:cs="Times New Roman"/>
          <w:i/>
          <w:iCs/>
        </w:rPr>
      </w:pPr>
    </w:p>
    <w:p w14:paraId="2BD9CA63" w14:textId="77777777" w:rsidR="002E6159" w:rsidRPr="003409EE" w:rsidRDefault="002E6159" w:rsidP="002E6159">
      <w:pPr>
        <w:spacing w:after="0" w:line="240" w:lineRule="auto"/>
        <w:rPr>
          <w:rFonts w:ascii="Times New Roman" w:hAnsi="Times New Roman" w:cs="Times New Roman"/>
          <w:i/>
          <w:iCs/>
        </w:rPr>
      </w:pPr>
      <w:r w:rsidRPr="003409EE">
        <w:rPr>
          <w:rFonts w:ascii="Times New Roman" w:hAnsi="Times New Roman" w:cs="Times New Roman"/>
          <w:i/>
          <w:iCs/>
        </w:rPr>
        <w:t>Secondary Sources Compared in This Essay</w:t>
      </w:r>
    </w:p>
    <w:p w14:paraId="5D36049D" w14:textId="77777777" w:rsidR="002E6159" w:rsidRPr="003409EE" w:rsidRDefault="002E6159" w:rsidP="002E6159">
      <w:pPr>
        <w:spacing w:after="0" w:line="240" w:lineRule="auto"/>
        <w:rPr>
          <w:rFonts w:ascii="Times New Roman" w:hAnsi="Times New Roman" w:cs="Times New Roman"/>
        </w:rPr>
      </w:pPr>
    </w:p>
    <w:p w14:paraId="7C5BF444" w14:textId="2ADF573B"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 xml:space="preserve">The articles </w:t>
      </w:r>
      <w:r w:rsidR="00650F72">
        <w:rPr>
          <w:rFonts w:ascii="Times New Roman" w:hAnsi="Times New Roman" w:cs="Times New Roman"/>
        </w:rPr>
        <w:t xml:space="preserve">critically </w:t>
      </w:r>
      <w:r w:rsidRPr="003409EE">
        <w:rPr>
          <w:rFonts w:ascii="Times New Roman" w:hAnsi="Times New Roman" w:cs="Times New Roman"/>
        </w:rPr>
        <w:t>compared and contrasted in this essay are Brink,</w:t>
      </w:r>
      <w:r w:rsidRPr="003409EE">
        <w:rPr>
          <w:rStyle w:val="FootnoteReference"/>
          <w:rFonts w:ascii="Times New Roman" w:hAnsi="Times New Roman" w:cs="Times New Roman"/>
        </w:rPr>
        <w:footnoteReference w:id="1"/>
      </w:r>
      <w:r w:rsidRPr="003409EE">
        <w:rPr>
          <w:rFonts w:ascii="Times New Roman" w:hAnsi="Times New Roman" w:cs="Times New Roman"/>
        </w:rPr>
        <w:t xml:space="preserve"> and Walter and Waterhouse</w:t>
      </w:r>
      <w:r w:rsidRPr="003409EE">
        <w:rPr>
          <w:rStyle w:val="FootnoteReference"/>
          <w:rFonts w:ascii="Times New Roman" w:hAnsi="Times New Roman" w:cs="Times New Roman"/>
        </w:rPr>
        <w:footnoteReference w:id="2"/>
      </w:r>
      <w:r w:rsidRPr="003409EE">
        <w:rPr>
          <w:rFonts w:ascii="Times New Roman" w:hAnsi="Times New Roman" w:cs="Times New Roman"/>
        </w:rPr>
        <w:t>. The articles will be examined for:</w:t>
      </w:r>
    </w:p>
    <w:p w14:paraId="6EB6D0DB" w14:textId="77777777" w:rsidR="002E6159" w:rsidRPr="003409EE" w:rsidRDefault="002E6159" w:rsidP="002E6159">
      <w:pPr>
        <w:pStyle w:val="ListParagraph"/>
        <w:numPr>
          <w:ilvl w:val="0"/>
          <w:numId w:val="1"/>
        </w:numPr>
        <w:spacing w:after="0" w:line="240" w:lineRule="auto"/>
        <w:rPr>
          <w:rFonts w:ascii="Times New Roman" w:hAnsi="Times New Roman" w:cs="Times New Roman"/>
        </w:rPr>
      </w:pPr>
      <w:r w:rsidRPr="003409EE">
        <w:rPr>
          <w:rFonts w:ascii="Times New Roman" w:hAnsi="Times New Roman" w:cs="Times New Roman"/>
        </w:rPr>
        <w:t>the methodology utilized and its validity in relation to the remit of the study;</w:t>
      </w:r>
    </w:p>
    <w:p w14:paraId="76776102" w14:textId="77777777" w:rsidR="002E6159" w:rsidRPr="003409EE" w:rsidRDefault="002E6159" w:rsidP="002E6159">
      <w:pPr>
        <w:pStyle w:val="ListParagraph"/>
        <w:numPr>
          <w:ilvl w:val="0"/>
          <w:numId w:val="1"/>
        </w:numPr>
        <w:spacing w:after="0" w:line="240" w:lineRule="auto"/>
        <w:rPr>
          <w:rFonts w:ascii="Times New Roman" w:hAnsi="Times New Roman" w:cs="Times New Roman"/>
        </w:rPr>
      </w:pPr>
      <w:r w:rsidRPr="003409EE">
        <w:rPr>
          <w:rFonts w:ascii="Times New Roman" w:hAnsi="Times New Roman" w:cs="Times New Roman"/>
        </w:rPr>
        <w:t>the location of the authors on the insider/outsider continuum relative to their respective target groups, and the impact this had on their particular study;</w:t>
      </w:r>
    </w:p>
    <w:p w14:paraId="5CD188E1" w14:textId="77777777" w:rsidR="002E6159" w:rsidRPr="003409EE" w:rsidRDefault="002E6159" w:rsidP="002E6159">
      <w:pPr>
        <w:pStyle w:val="ListParagraph"/>
        <w:numPr>
          <w:ilvl w:val="0"/>
          <w:numId w:val="1"/>
        </w:numPr>
        <w:spacing w:after="0" w:line="240" w:lineRule="auto"/>
        <w:rPr>
          <w:rFonts w:ascii="Times New Roman" w:hAnsi="Times New Roman" w:cs="Times New Roman"/>
        </w:rPr>
      </w:pPr>
      <w:r w:rsidRPr="003409EE">
        <w:rPr>
          <w:rFonts w:ascii="Times New Roman" w:hAnsi="Times New Roman" w:cs="Times New Roman"/>
        </w:rPr>
        <w:t>the relevance of literature reviewed and the effectiveness of the relation of this literature to field work data collected;</w:t>
      </w:r>
    </w:p>
    <w:p w14:paraId="6D7D0304" w14:textId="77777777" w:rsidR="002E6159" w:rsidRPr="003409EE" w:rsidRDefault="002E6159" w:rsidP="002E6159">
      <w:pPr>
        <w:pStyle w:val="ListParagraph"/>
        <w:numPr>
          <w:ilvl w:val="0"/>
          <w:numId w:val="1"/>
        </w:numPr>
        <w:spacing w:after="0" w:line="240" w:lineRule="auto"/>
        <w:rPr>
          <w:rFonts w:ascii="Times New Roman" w:hAnsi="Times New Roman" w:cs="Times New Roman"/>
        </w:rPr>
      </w:pPr>
      <w:r w:rsidRPr="003409EE">
        <w:rPr>
          <w:rFonts w:ascii="Times New Roman" w:hAnsi="Times New Roman" w:cs="Times New Roman"/>
        </w:rPr>
        <w:t>and the way the authors located their studies within a wider academic caucus.</w:t>
      </w:r>
    </w:p>
    <w:p w14:paraId="6FE9A424" w14:textId="77777777" w:rsidR="002E6159" w:rsidRPr="003409EE" w:rsidRDefault="002E6159" w:rsidP="002E6159">
      <w:pPr>
        <w:spacing w:after="0" w:line="240" w:lineRule="auto"/>
        <w:rPr>
          <w:rFonts w:ascii="Times New Roman" w:hAnsi="Times New Roman" w:cs="Times New Roman"/>
          <w:i/>
          <w:iCs/>
        </w:rPr>
      </w:pPr>
    </w:p>
    <w:p w14:paraId="714AE44C" w14:textId="77777777" w:rsidR="002E6159" w:rsidRPr="003409EE" w:rsidRDefault="002E6159" w:rsidP="002E6159">
      <w:pPr>
        <w:spacing w:after="0" w:line="240" w:lineRule="auto"/>
        <w:rPr>
          <w:rFonts w:ascii="Times New Roman" w:hAnsi="Times New Roman" w:cs="Times New Roman"/>
          <w:i/>
          <w:iCs/>
        </w:rPr>
      </w:pPr>
      <w:r w:rsidRPr="003409EE">
        <w:rPr>
          <w:rFonts w:ascii="Times New Roman" w:hAnsi="Times New Roman" w:cs="Times New Roman"/>
          <w:i/>
          <w:iCs/>
        </w:rPr>
        <w:t>Context</w:t>
      </w:r>
    </w:p>
    <w:p w14:paraId="6125351D" w14:textId="77777777" w:rsidR="002E6159" w:rsidRPr="003409EE" w:rsidRDefault="002E6159" w:rsidP="002E6159">
      <w:pPr>
        <w:spacing w:after="0" w:line="240" w:lineRule="auto"/>
        <w:rPr>
          <w:rFonts w:ascii="Times New Roman" w:hAnsi="Times New Roman" w:cs="Times New Roman"/>
        </w:rPr>
      </w:pPr>
    </w:p>
    <w:p w14:paraId="6B737CF6"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Brink, and Walter and Waterhouse, published in academic journals targeting an audience of scholars in the humanities. All authors, by disclosing academic affiliations, indicate they are writing for their respective universities.</w:t>
      </w:r>
    </w:p>
    <w:p w14:paraId="488DEAFE"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Brink studied pupils in a Roman Catholic girls’ school,</w:t>
      </w:r>
      <w:r w:rsidRPr="003409EE">
        <w:rPr>
          <w:rStyle w:val="FootnoteReference"/>
          <w:rFonts w:ascii="Times New Roman" w:hAnsi="Times New Roman" w:cs="Times New Roman"/>
        </w:rPr>
        <w:footnoteReference w:id="3"/>
      </w:r>
      <w:r w:rsidRPr="003409EE">
        <w:rPr>
          <w:rFonts w:ascii="Times New Roman" w:hAnsi="Times New Roman" w:cs="Times New Roman"/>
        </w:rPr>
        <w:t xml:space="preserve"> comparing his 1978 findings with existing research into simultaneous holding of incompatible beliefs,</w:t>
      </w:r>
      <w:r w:rsidRPr="003409EE">
        <w:rPr>
          <w:rStyle w:val="FootnoteReference"/>
          <w:rFonts w:ascii="Times New Roman" w:hAnsi="Times New Roman" w:cs="Times New Roman"/>
        </w:rPr>
        <w:footnoteReference w:id="4"/>
      </w:r>
      <w:r w:rsidRPr="003409EE">
        <w:rPr>
          <w:rFonts w:ascii="Times New Roman" w:hAnsi="Times New Roman" w:cs="Times New Roman"/>
        </w:rPr>
        <w:t xml:space="preserve"> testing the theory of cognitive consistency.</w:t>
      </w:r>
    </w:p>
    <w:p w14:paraId="077CF568"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Walter and Waterhouse cross-reference their study with research on reincarnation beliefs among westerners, and contribute to this existing body of knowledge. Their specific intended audience is, therefore, academics engaged in this research area, a community of which they are a part. Their article constitutes a summary of reincarnation belief research both had been conducting in the second half of the 1990s.</w:t>
      </w:r>
      <w:r w:rsidRPr="003409EE">
        <w:rPr>
          <w:rStyle w:val="FootnoteReference"/>
          <w:rFonts w:ascii="Times New Roman" w:hAnsi="Times New Roman" w:cs="Times New Roman"/>
        </w:rPr>
        <w:footnoteReference w:id="5"/>
      </w:r>
    </w:p>
    <w:p w14:paraId="5FDF562B" w14:textId="77777777" w:rsidR="002E6159" w:rsidRPr="003409EE" w:rsidRDefault="002E6159" w:rsidP="002E6159">
      <w:pPr>
        <w:spacing w:after="0" w:line="240" w:lineRule="auto"/>
        <w:rPr>
          <w:rFonts w:ascii="Times New Roman" w:hAnsi="Times New Roman" w:cs="Times New Roman"/>
        </w:rPr>
      </w:pPr>
    </w:p>
    <w:p w14:paraId="15F9A317" w14:textId="77777777" w:rsidR="002E6159" w:rsidRPr="003409EE" w:rsidRDefault="002E6159" w:rsidP="002E6159">
      <w:pPr>
        <w:spacing w:after="0" w:line="240" w:lineRule="auto"/>
        <w:jc w:val="center"/>
        <w:rPr>
          <w:rFonts w:ascii="Times New Roman" w:hAnsi="Times New Roman" w:cs="Times New Roman"/>
        </w:rPr>
      </w:pPr>
      <w:r w:rsidRPr="003409EE">
        <w:rPr>
          <w:rFonts w:ascii="Times New Roman" w:hAnsi="Times New Roman" w:cs="Times New Roman"/>
        </w:rPr>
        <w:t>Summaries of the Two Articles</w:t>
      </w:r>
    </w:p>
    <w:p w14:paraId="24F25950" w14:textId="77777777" w:rsidR="002E6159" w:rsidRPr="003409EE" w:rsidRDefault="002E6159" w:rsidP="002E6159">
      <w:pPr>
        <w:spacing w:after="0" w:line="240" w:lineRule="auto"/>
        <w:rPr>
          <w:rFonts w:ascii="Times New Roman" w:hAnsi="Times New Roman" w:cs="Times New Roman"/>
        </w:rPr>
      </w:pPr>
    </w:p>
    <w:p w14:paraId="00590F22"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Brink invokes social psychological theories focused on cognitive consistency. To test these theories, Brink collected questionnaire data from teenage Catholic schoolgirls, expecting individuals not to simultaneously hold theoretically incongruous beliefs of core Catholic doctrine, astrology, or reincarnation. Brink found that, contrary to theory, “acceptance of one belief system was no assurance that incompatible beliefs would be rejected”.</w:t>
      </w:r>
      <w:r w:rsidRPr="003409EE">
        <w:rPr>
          <w:rStyle w:val="FootnoteReference"/>
          <w:rFonts w:ascii="Times New Roman" w:hAnsi="Times New Roman" w:cs="Times New Roman"/>
        </w:rPr>
        <w:footnoteReference w:id="6"/>
      </w:r>
    </w:p>
    <w:p w14:paraId="73A64040"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 xml:space="preserve">Walter and Waterhouse began from a position derived from existing quantitative research stating increasing belief in reincarnation exists in western society. Using interviews, they elicited details of the nature of this belief. Their qualitative study revealed that the nature of western reincarnation belief among their participants varied in terms of meaning, and supported the notion of natural, emergent “privatized religion” in western society, differing from beliefs in reincarnation included in traditional eastern religions. </w:t>
      </w:r>
    </w:p>
    <w:p w14:paraId="4BFBBA3B" w14:textId="77777777" w:rsidR="002E6159" w:rsidRPr="003409EE" w:rsidRDefault="002E6159" w:rsidP="002E6159">
      <w:pPr>
        <w:spacing w:after="0" w:line="240" w:lineRule="auto"/>
        <w:rPr>
          <w:rFonts w:ascii="Times New Roman" w:hAnsi="Times New Roman" w:cs="Times New Roman"/>
        </w:rPr>
      </w:pPr>
    </w:p>
    <w:p w14:paraId="13244FB7" w14:textId="77777777" w:rsidR="002E6159" w:rsidRPr="003409EE" w:rsidRDefault="002E6159" w:rsidP="002E6159">
      <w:pPr>
        <w:spacing w:after="0" w:line="240" w:lineRule="auto"/>
        <w:jc w:val="center"/>
        <w:rPr>
          <w:rFonts w:ascii="Times New Roman" w:hAnsi="Times New Roman" w:cs="Times New Roman"/>
        </w:rPr>
      </w:pPr>
      <w:r w:rsidRPr="003409EE">
        <w:rPr>
          <w:rFonts w:ascii="Times New Roman" w:hAnsi="Times New Roman" w:cs="Times New Roman"/>
        </w:rPr>
        <w:t>Analysis of the Two Articles</w:t>
      </w:r>
    </w:p>
    <w:p w14:paraId="7312D0A1" w14:textId="77777777" w:rsidR="002E6159" w:rsidRPr="003409EE" w:rsidRDefault="002E6159" w:rsidP="002E6159">
      <w:pPr>
        <w:spacing w:after="0" w:line="240" w:lineRule="auto"/>
        <w:rPr>
          <w:rFonts w:ascii="Times New Roman" w:hAnsi="Times New Roman" w:cs="Times New Roman"/>
          <w:i/>
          <w:iCs/>
        </w:rPr>
      </w:pPr>
    </w:p>
    <w:p w14:paraId="33DAB6B0" w14:textId="77777777" w:rsidR="002E6159" w:rsidRPr="003409EE" w:rsidRDefault="002E6159" w:rsidP="002E6159">
      <w:pPr>
        <w:spacing w:after="0" w:line="240" w:lineRule="auto"/>
        <w:rPr>
          <w:rFonts w:ascii="Times New Roman" w:hAnsi="Times New Roman" w:cs="Times New Roman"/>
          <w:i/>
          <w:iCs/>
        </w:rPr>
      </w:pPr>
      <w:r w:rsidRPr="003409EE">
        <w:rPr>
          <w:rFonts w:ascii="Times New Roman" w:hAnsi="Times New Roman" w:cs="Times New Roman"/>
          <w:i/>
          <w:iCs/>
        </w:rPr>
        <w:t>Literature Review (and Academic Rationale)</w:t>
      </w:r>
    </w:p>
    <w:p w14:paraId="689F3DB3" w14:textId="77777777" w:rsidR="002E6159" w:rsidRPr="003409EE" w:rsidRDefault="002E6159" w:rsidP="002E6159">
      <w:pPr>
        <w:spacing w:after="0" w:line="240" w:lineRule="auto"/>
        <w:ind w:firstLine="720"/>
        <w:rPr>
          <w:rFonts w:ascii="Times New Roman" w:hAnsi="Times New Roman" w:cs="Times New Roman"/>
        </w:rPr>
      </w:pPr>
    </w:p>
    <w:p w14:paraId="400EEBF8"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Brink’s literature review provides a concise, arguably minimally adequate background for his study, locating it in social psychological theory. Brink hypothesizes that incompatible beliefs (core Catholic doctrine, astrology, reincarnation) will not coexist in individual participants. Unsupported assumptions in his rationale leave his hypothesis somewhat unsound, but nevertheless providing a springboard for the study.</w:t>
      </w:r>
    </w:p>
    <w:p w14:paraId="177F712C"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Alternatively, the Walter and Waterhouse article, with no formal literature review, outlines existing research in a ‘Survey Data’ section,</w:t>
      </w:r>
      <w:r w:rsidRPr="003409EE">
        <w:rPr>
          <w:rStyle w:val="FootnoteReference"/>
          <w:rFonts w:ascii="Times New Roman" w:hAnsi="Times New Roman" w:cs="Times New Roman"/>
        </w:rPr>
        <w:footnoteReference w:id="7"/>
      </w:r>
      <w:r w:rsidRPr="003409EE">
        <w:rPr>
          <w:rFonts w:ascii="Times New Roman" w:hAnsi="Times New Roman" w:cs="Times New Roman"/>
        </w:rPr>
        <w:t xml:space="preserve"> and interweaves references throughout the ‘Findings’ section.</w:t>
      </w:r>
      <w:r w:rsidRPr="003409EE">
        <w:rPr>
          <w:rStyle w:val="FootnoteReference"/>
          <w:rFonts w:ascii="Times New Roman" w:hAnsi="Times New Roman" w:cs="Times New Roman"/>
        </w:rPr>
        <w:footnoteReference w:id="8"/>
      </w:r>
      <w:r w:rsidRPr="003409EE">
        <w:rPr>
          <w:rFonts w:ascii="Times New Roman" w:hAnsi="Times New Roman" w:cs="Times New Roman"/>
        </w:rPr>
        <w:t xml:space="preserve"> Their academic rationale is derived from a research base supporting the idea that western societies have experienced the emergence of individual, ‘private’ religious belief coinciding with declines in participation in traditional organized religion, and includes ideas of reincarnation free from direct influence from eastern religions or the New Age. The authors sought details of the nature of this reincarnation belief.</w:t>
      </w:r>
    </w:p>
    <w:p w14:paraId="0F2563ED" w14:textId="77777777" w:rsidR="002E6159" w:rsidRPr="003409EE" w:rsidRDefault="002E6159" w:rsidP="002E6159">
      <w:pPr>
        <w:spacing w:after="0" w:line="240" w:lineRule="auto"/>
        <w:rPr>
          <w:rFonts w:ascii="Times New Roman" w:hAnsi="Times New Roman" w:cs="Times New Roman"/>
          <w:i/>
          <w:iCs/>
        </w:rPr>
      </w:pPr>
    </w:p>
    <w:p w14:paraId="287744C1" w14:textId="77777777" w:rsidR="002E6159" w:rsidRPr="003409EE" w:rsidRDefault="002E6159" w:rsidP="002E6159">
      <w:pPr>
        <w:spacing w:after="0" w:line="240" w:lineRule="auto"/>
        <w:rPr>
          <w:rFonts w:ascii="Times New Roman" w:hAnsi="Times New Roman" w:cs="Times New Roman"/>
          <w:i/>
          <w:iCs/>
        </w:rPr>
      </w:pPr>
      <w:r w:rsidRPr="003409EE">
        <w:rPr>
          <w:rFonts w:ascii="Times New Roman" w:hAnsi="Times New Roman" w:cs="Times New Roman"/>
          <w:i/>
          <w:iCs/>
        </w:rPr>
        <w:t>Methodology Used for the Research</w:t>
      </w:r>
    </w:p>
    <w:p w14:paraId="029568CC" w14:textId="77777777" w:rsidR="002E6159" w:rsidRPr="003409EE" w:rsidRDefault="002E6159" w:rsidP="002E6159">
      <w:pPr>
        <w:spacing w:after="0" w:line="240" w:lineRule="auto"/>
        <w:rPr>
          <w:rFonts w:ascii="Times New Roman" w:hAnsi="Times New Roman" w:cs="Times New Roman"/>
        </w:rPr>
      </w:pPr>
    </w:p>
    <w:p w14:paraId="38E214EE"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Objectives</w:t>
      </w:r>
    </w:p>
    <w:p w14:paraId="5449B87E" w14:textId="77777777" w:rsidR="002E6159" w:rsidRPr="003409EE" w:rsidRDefault="002E6159" w:rsidP="002E6159">
      <w:pPr>
        <w:pStyle w:val="ListParagraph"/>
        <w:spacing w:after="0" w:line="240" w:lineRule="auto"/>
        <w:ind w:left="0" w:firstLine="360"/>
        <w:rPr>
          <w:rFonts w:ascii="Times New Roman" w:hAnsi="Times New Roman" w:cs="Times New Roman"/>
        </w:rPr>
      </w:pPr>
    </w:p>
    <w:p w14:paraId="2B3795F0"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 xml:space="preserve">Brink approaches his study from the positivist paradigm, that </w:t>
      </w:r>
      <w:proofErr w:type="spellStart"/>
      <w:r w:rsidRPr="003409EE">
        <w:rPr>
          <w:rFonts w:ascii="Times New Roman" w:hAnsi="Times New Roman" w:cs="Times New Roman"/>
        </w:rPr>
        <w:t>Henninck</w:t>
      </w:r>
      <w:proofErr w:type="spellEnd"/>
      <w:r w:rsidRPr="003409EE">
        <w:rPr>
          <w:rFonts w:ascii="Times New Roman" w:hAnsi="Times New Roman" w:cs="Times New Roman"/>
        </w:rPr>
        <w:t xml:space="preserve">, </w:t>
      </w:r>
      <w:proofErr w:type="spellStart"/>
      <w:r w:rsidRPr="003409EE">
        <w:rPr>
          <w:rFonts w:ascii="Times New Roman" w:hAnsi="Times New Roman" w:cs="Times New Roman"/>
        </w:rPr>
        <w:t>Hutter</w:t>
      </w:r>
      <w:proofErr w:type="spellEnd"/>
      <w:r w:rsidRPr="003409EE">
        <w:rPr>
          <w:rFonts w:ascii="Times New Roman" w:hAnsi="Times New Roman" w:cs="Times New Roman"/>
        </w:rPr>
        <w:t xml:space="preserve"> and Bailey explain as being foundational to quantitative, ‘scientific’ research.</w:t>
      </w:r>
      <w:r w:rsidRPr="003409EE">
        <w:rPr>
          <w:rStyle w:val="FootnoteReference"/>
          <w:rFonts w:ascii="Times New Roman" w:hAnsi="Times New Roman" w:cs="Times New Roman"/>
        </w:rPr>
        <w:footnoteReference w:id="9"/>
      </w:r>
      <w:r w:rsidRPr="003409EE">
        <w:rPr>
          <w:rFonts w:ascii="Times New Roman" w:hAnsi="Times New Roman" w:cs="Times New Roman"/>
        </w:rPr>
        <w:t xml:space="preserve"> Brink engaged in hypothesis testing, collecting numerical data for statistical analysis, expressing this as tabulated percentages, and analyzed his data. Brink’s study falls within a broad area of social psychology referred to as “cognitive consistency”.</w:t>
      </w:r>
      <w:r w:rsidRPr="003409EE">
        <w:rPr>
          <w:rStyle w:val="FootnoteReference"/>
          <w:rFonts w:ascii="Times New Roman" w:hAnsi="Times New Roman" w:cs="Times New Roman"/>
        </w:rPr>
        <w:footnoteReference w:id="10"/>
      </w:r>
      <w:r w:rsidRPr="003409EE">
        <w:rPr>
          <w:rFonts w:ascii="Times New Roman" w:hAnsi="Times New Roman" w:cs="Times New Roman"/>
        </w:rPr>
        <w:t xml:space="preserve"> Brink asks whether or not Catholic schoolgirls hold incongruous beliefs, namely Catholic doctrine, belief in astrology, and belief in reincarnation, and thereby support or refute the presumption “that individuals strive to attain and maintain a consistent set of attitudes”.</w:t>
      </w:r>
      <w:r w:rsidRPr="003409EE">
        <w:rPr>
          <w:rStyle w:val="FootnoteReference"/>
          <w:rFonts w:ascii="Times New Roman" w:hAnsi="Times New Roman" w:cs="Times New Roman"/>
        </w:rPr>
        <w:footnoteReference w:id="11"/>
      </w:r>
      <w:r w:rsidRPr="003409EE">
        <w:rPr>
          <w:rFonts w:ascii="Times New Roman" w:hAnsi="Times New Roman" w:cs="Times New Roman"/>
        </w:rPr>
        <w:t xml:space="preserve"> Brink’s choice of a quantitative approach promises, as Bell and Waters advise,</w:t>
      </w:r>
      <w:r w:rsidRPr="003409EE">
        <w:rPr>
          <w:rStyle w:val="FootnoteReference"/>
          <w:rFonts w:ascii="Times New Roman" w:hAnsi="Times New Roman" w:cs="Times New Roman"/>
        </w:rPr>
        <w:footnoteReference w:id="12"/>
      </w:r>
      <w:r w:rsidRPr="003409EE">
        <w:rPr>
          <w:rFonts w:ascii="Times New Roman" w:hAnsi="Times New Roman" w:cs="Times New Roman"/>
        </w:rPr>
        <w:t xml:space="preserve"> greater objectivity and the possibility of being able to generalize the findings, at least to this one school population. However, the questionnaire used is limiting due to its response options; nowhere is there opportunity to access participant thoughts and feelings.</w:t>
      </w:r>
    </w:p>
    <w:p w14:paraId="0E7FDBB4"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Walter and Waterhouse, based on existing findings of other researchers, aimed to explore the nature of the mainly private reincarnation beliefs known to be present in society. They excluded from the study people who believed in reincarnation because of their religious tradition. However, by naming these groups and using the words “because their religion tells them to”</w:t>
      </w:r>
      <w:r w:rsidRPr="003409EE">
        <w:rPr>
          <w:rStyle w:val="FootnoteReference"/>
          <w:rFonts w:ascii="Times New Roman" w:hAnsi="Times New Roman" w:cs="Times New Roman"/>
        </w:rPr>
        <w:footnoteReference w:id="13"/>
      </w:r>
      <w:r w:rsidRPr="003409EE">
        <w:rPr>
          <w:rFonts w:ascii="Times New Roman" w:hAnsi="Times New Roman" w:cs="Times New Roman"/>
        </w:rPr>
        <w:t xml:space="preserve"> in reference to belief in reincarnation, the authors’ presumably unintended, seemingly insensitive use of language risks marginalization of minority groups, and derision of organized religions generally.</w:t>
      </w:r>
    </w:p>
    <w:p w14:paraId="5A1C2EC1" w14:textId="77777777" w:rsidR="002E6159" w:rsidRPr="003409EE" w:rsidRDefault="002E6159" w:rsidP="002E6159">
      <w:pPr>
        <w:spacing w:after="0" w:line="240" w:lineRule="auto"/>
        <w:rPr>
          <w:rFonts w:ascii="Times New Roman" w:hAnsi="Times New Roman" w:cs="Times New Roman"/>
        </w:rPr>
      </w:pPr>
    </w:p>
    <w:p w14:paraId="063A7BF5"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Sample</w:t>
      </w:r>
    </w:p>
    <w:p w14:paraId="0CB21151" w14:textId="77777777" w:rsidR="002E6159" w:rsidRPr="003409EE" w:rsidRDefault="002E6159" w:rsidP="002E6159">
      <w:pPr>
        <w:spacing w:after="0" w:line="240" w:lineRule="auto"/>
        <w:rPr>
          <w:rFonts w:ascii="Times New Roman" w:hAnsi="Times New Roman" w:cs="Times New Roman"/>
        </w:rPr>
      </w:pPr>
    </w:p>
    <w:p w14:paraId="264F0374"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Brink’s 1978 study population consisted of 227 teenage girls, pupils at a girls’ Catholic high school (ages 11-18) drawing its students from a largely Polish- and Italian-American community in north-west Chicago.</w:t>
      </w:r>
      <w:r w:rsidRPr="003409EE">
        <w:rPr>
          <w:rStyle w:val="FootnoteReference"/>
          <w:rFonts w:ascii="Times New Roman" w:hAnsi="Times New Roman" w:cs="Times New Roman"/>
        </w:rPr>
        <w:footnoteReference w:id="14"/>
      </w:r>
      <w:r w:rsidRPr="003409EE">
        <w:rPr>
          <w:rFonts w:ascii="Times New Roman" w:hAnsi="Times New Roman" w:cs="Times New Roman"/>
        </w:rPr>
        <w:t xml:space="preserve"> All girls present for religion class on the study day received a 14-item questionnaire to complete.</w:t>
      </w:r>
      <w:r w:rsidRPr="003409EE">
        <w:rPr>
          <w:rStyle w:val="FootnoteReference"/>
          <w:rFonts w:ascii="Times New Roman" w:hAnsi="Times New Roman" w:cs="Times New Roman"/>
        </w:rPr>
        <w:footnoteReference w:id="15"/>
      </w:r>
      <w:r w:rsidRPr="003409EE">
        <w:rPr>
          <w:rFonts w:ascii="Times New Roman" w:hAnsi="Times New Roman" w:cs="Times New Roman"/>
        </w:rPr>
        <w:t xml:space="preserve"> Brink’s sample, therefore, is the entire population of this girls’ school. While his results theoretically represent the views of these girls, they cannot be generalized to the wider population nor even other Catholic girls’ schools. Participants apparently had no choice regarding participation. The study seems to have been presented as a routine religion class exercise or activity.</w:t>
      </w:r>
      <w:r w:rsidRPr="003409EE">
        <w:rPr>
          <w:rStyle w:val="FootnoteReference"/>
          <w:rFonts w:ascii="Times New Roman" w:hAnsi="Times New Roman" w:cs="Times New Roman"/>
        </w:rPr>
        <w:footnoteReference w:id="16"/>
      </w:r>
    </w:p>
    <w:p w14:paraId="4044475E"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Conversely, Walter and Waterhouse sought voluntary adult and juvenile participants, from an area of southwest England (Somerset), using various recruitment strategies (personal contacts, radio advertising, snowballing).</w:t>
      </w:r>
      <w:r w:rsidRPr="003409EE">
        <w:rPr>
          <w:rStyle w:val="FootnoteReference"/>
          <w:rFonts w:ascii="Times New Roman" w:hAnsi="Times New Roman" w:cs="Times New Roman"/>
        </w:rPr>
        <w:footnoteReference w:id="17"/>
      </w:r>
      <w:r w:rsidRPr="003409EE">
        <w:rPr>
          <w:rFonts w:ascii="Times New Roman" w:hAnsi="Times New Roman" w:cs="Times New Roman"/>
        </w:rPr>
        <w:t xml:space="preserve"> Snowball sampling is a type of non-probability sampling used when there is difficulty finding members of the target population</w:t>
      </w:r>
      <w:r w:rsidRPr="003409EE">
        <w:rPr>
          <w:rStyle w:val="FootnoteReference"/>
          <w:rFonts w:ascii="Times New Roman" w:hAnsi="Times New Roman" w:cs="Times New Roman"/>
        </w:rPr>
        <w:footnoteReference w:id="18"/>
      </w:r>
      <w:r w:rsidRPr="003409EE">
        <w:rPr>
          <w:rFonts w:ascii="Times New Roman" w:hAnsi="Times New Roman" w:cs="Times New Roman"/>
        </w:rPr>
        <w:t xml:space="preserve"> (in this case people expressing interest in the subject of reincarnation).</w:t>
      </w:r>
      <w:r w:rsidRPr="003409EE">
        <w:rPr>
          <w:rStyle w:val="FootnoteReference"/>
          <w:rFonts w:ascii="Times New Roman" w:hAnsi="Times New Roman" w:cs="Times New Roman"/>
        </w:rPr>
        <w:footnoteReference w:id="19"/>
      </w:r>
      <w:r w:rsidRPr="003409EE">
        <w:rPr>
          <w:rFonts w:ascii="Times New Roman" w:hAnsi="Times New Roman" w:cs="Times New Roman"/>
        </w:rPr>
        <w:t xml:space="preserve"> Walter and Waterhouse’s sample comprised thirty adults interviewed individually, and twenty-one school children interviewed in three groups</w:t>
      </w:r>
      <w:r w:rsidRPr="003409EE">
        <w:rPr>
          <w:rStyle w:val="FootnoteReference"/>
          <w:rFonts w:ascii="Times New Roman" w:hAnsi="Times New Roman" w:cs="Times New Roman"/>
        </w:rPr>
        <w:footnoteReference w:id="20"/>
      </w:r>
      <w:r w:rsidRPr="003409EE">
        <w:rPr>
          <w:rFonts w:ascii="Times New Roman" w:hAnsi="Times New Roman" w:cs="Times New Roman"/>
        </w:rPr>
        <w:t xml:space="preserve"> corresponding roughly to the age range sampled by Brink.</w:t>
      </w:r>
    </w:p>
    <w:p w14:paraId="1672ACE7" w14:textId="77777777" w:rsidR="002E6159" w:rsidRPr="003409EE" w:rsidRDefault="002E6159" w:rsidP="002E6159">
      <w:pPr>
        <w:spacing w:after="0" w:line="240" w:lineRule="auto"/>
        <w:rPr>
          <w:rFonts w:ascii="Times New Roman" w:hAnsi="Times New Roman" w:cs="Times New Roman"/>
        </w:rPr>
      </w:pPr>
    </w:p>
    <w:p w14:paraId="485FE5E5"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Data collection</w:t>
      </w:r>
    </w:p>
    <w:p w14:paraId="22036313" w14:textId="77777777" w:rsidR="002E6159" w:rsidRPr="003409EE" w:rsidRDefault="002E6159" w:rsidP="002E6159">
      <w:pPr>
        <w:spacing w:after="0" w:line="240" w:lineRule="auto"/>
        <w:rPr>
          <w:rFonts w:ascii="Times New Roman" w:hAnsi="Times New Roman" w:cs="Times New Roman"/>
        </w:rPr>
      </w:pPr>
    </w:p>
    <w:p w14:paraId="76FCA46B"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Brink uses a simple 14-item questionnaire with dichotomous</w:t>
      </w:r>
      <w:r w:rsidRPr="003409EE">
        <w:rPr>
          <w:rStyle w:val="FootnoteReference"/>
          <w:rFonts w:ascii="Times New Roman" w:hAnsi="Times New Roman" w:cs="Times New Roman"/>
        </w:rPr>
        <w:footnoteReference w:id="21"/>
      </w:r>
      <w:r w:rsidRPr="003409EE">
        <w:rPr>
          <w:rFonts w:ascii="Times New Roman" w:hAnsi="Times New Roman" w:cs="Times New Roman"/>
        </w:rPr>
        <w:t xml:space="preserve"> ‘agree/disagree’ type response options provided with statements such as “I believe in astrology”</w:t>
      </w:r>
      <w:r w:rsidRPr="003409EE">
        <w:rPr>
          <w:rStyle w:val="FootnoteReference"/>
          <w:rFonts w:ascii="Times New Roman" w:hAnsi="Times New Roman" w:cs="Times New Roman"/>
        </w:rPr>
        <w:footnoteReference w:id="22"/>
      </w:r>
      <w:r w:rsidRPr="003409EE">
        <w:rPr>
          <w:rFonts w:ascii="Times New Roman" w:hAnsi="Times New Roman" w:cs="Times New Roman"/>
        </w:rPr>
        <w:t xml:space="preserve"> consistent with a quantitative approach. Walter and Waterhouse utilized recorded individual interviews with adults, and group interviews with three age cohorts of secondary school children, reflective of their interpretive paradigm. Because they first review quantitative findings about reincarnation beliefs from surveys conducted by other researchers, their qualitative study, aiming to “elicit the meaning of reincarnation to those who believe in it”</w:t>
      </w:r>
      <w:r w:rsidRPr="003409EE">
        <w:rPr>
          <w:rStyle w:val="FootnoteReference"/>
          <w:rFonts w:ascii="Times New Roman" w:hAnsi="Times New Roman" w:cs="Times New Roman"/>
        </w:rPr>
        <w:footnoteReference w:id="23"/>
      </w:r>
      <w:r w:rsidRPr="003409EE">
        <w:rPr>
          <w:rFonts w:ascii="Times New Roman" w:hAnsi="Times New Roman" w:cs="Times New Roman"/>
        </w:rPr>
        <w:t>, taken in the context of the field of research into reincarnation belief, equates to the qualitative phase of an explanatory sequential mixed methods design. In such a design, the qualitative phase seeks to explain in detail the results obtained from the quantitative phase,</w:t>
      </w:r>
      <w:r w:rsidRPr="003409EE">
        <w:rPr>
          <w:rStyle w:val="FootnoteReference"/>
          <w:rFonts w:ascii="Times New Roman" w:hAnsi="Times New Roman" w:cs="Times New Roman"/>
        </w:rPr>
        <w:footnoteReference w:id="24"/>
      </w:r>
      <w:r w:rsidRPr="003409EE">
        <w:rPr>
          <w:rFonts w:ascii="Times New Roman" w:hAnsi="Times New Roman" w:cs="Times New Roman"/>
        </w:rPr>
        <w:t xml:space="preserve"> with the aim of “developing a better understanding of the quantitative data.”</w:t>
      </w:r>
      <w:r w:rsidRPr="003409EE">
        <w:rPr>
          <w:rStyle w:val="FootnoteReference"/>
          <w:rFonts w:ascii="Times New Roman" w:hAnsi="Times New Roman" w:cs="Times New Roman"/>
        </w:rPr>
        <w:footnoteReference w:id="25"/>
      </w:r>
    </w:p>
    <w:p w14:paraId="553C98E0" w14:textId="77777777" w:rsidR="002E6159" w:rsidRPr="003409EE" w:rsidRDefault="002E6159" w:rsidP="002E6159">
      <w:pPr>
        <w:spacing w:after="0" w:line="240" w:lineRule="auto"/>
        <w:rPr>
          <w:rFonts w:ascii="Times New Roman" w:hAnsi="Times New Roman" w:cs="Times New Roman"/>
        </w:rPr>
      </w:pPr>
    </w:p>
    <w:p w14:paraId="10C1BAE5"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Data analysis</w:t>
      </w:r>
    </w:p>
    <w:p w14:paraId="732B9DC8" w14:textId="77777777" w:rsidR="002E6159" w:rsidRPr="003409EE" w:rsidRDefault="002E6159" w:rsidP="002E6159">
      <w:pPr>
        <w:spacing w:after="0" w:line="240" w:lineRule="auto"/>
        <w:rPr>
          <w:rFonts w:ascii="Times New Roman" w:hAnsi="Times New Roman" w:cs="Times New Roman"/>
        </w:rPr>
      </w:pPr>
    </w:p>
    <w:p w14:paraId="6B510381"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Brink presents tabulated processed data giving χ</w:t>
      </w:r>
      <w:r w:rsidRPr="003409EE">
        <w:rPr>
          <w:rFonts w:ascii="Times New Roman" w:hAnsi="Times New Roman" w:cs="Times New Roman"/>
          <w:vertAlign w:val="superscript"/>
        </w:rPr>
        <w:t>2</w:t>
      </w:r>
      <w:r w:rsidRPr="003409EE">
        <w:rPr>
          <w:rFonts w:ascii="Times New Roman" w:hAnsi="Times New Roman" w:cs="Times New Roman"/>
        </w:rPr>
        <w:t xml:space="preserve"> and corresponding p values for those combinations of variables that were significant.</w:t>
      </w:r>
      <w:r w:rsidRPr="003409EE">
        <w:rPr>
          <w:rStyle w:val="FootnoteReference"/>
          <w:rFonts w:ascii="Times New Roman" w:hAnsi="Times New Roman" w:cs="Times New Roman"/>
        </w:rPr>
        <w:footnoteReference w:id="26"/>
      </w:r>
      <w:r w:rsidRPr="003409EE">
        <w:rPr>
          <w:rFonts w:ascii="Times New Roman" w:hAnsi="Times New Roman" w:cs="Times New Roman"/>
        </w:rPr>
        <w:t xml:space="preserve"> Use of the χ</w:t>
      </w:r>
      <w:r w:rsidRPr="003409EE">
        <w:rPr>
          <w:rFonts w:ascii="Times New Roman" w:hAnsi="Times New Roman" w:cs="Times New Roman"/>
          <w:vertAlign w:val="superscript"/>
        </w:rPr>
        <w:t>2</w:t>
      </w:r>
      <w:r w:rsidRPr="003409EE">
        <w:rPr>
          <w:rFonts w:ascii="Times New Roman" w:hAnsi="Times New Roman" w:cs="Times New Roman"/>
        </w:rPr>
        <w:t xml:space="preserve"> test is appropriate for the type of data </w:t>
      </w:r>
      <w:r w:rsidRPr="003409EE">
        <w:rPr>
          <w:rFonts w:ascii="Times New Roman" w:hAnsi="Times New Roman" w:cs="Times New Roman"/>
        </w:rPr>
        <w:lastRenderedPageBreak/>
        <w:t>collected.</w:t>
      </w:r>
      <w:r w:rsidRPr="003409EE">
        <w:rPr>
          <w:rStyle w:val="FootnoteReference"/>
          <w:rFonts w:ascii="Times New Roman" w:hAnsi="Times New Roman" w:cs="Times New Roman"/>
        </w:rPr>
        <w:footnoteReference w:id="27"/>
      </w:r>
      <w:r w:rsidRPr="003409EE">
        <w:rPr>
          <w:rFonts w:ascii="Times New Roman" w:hAnsi="Times New Roman" w:cs="Times New Roman"/>
        </w:rPr>
        <w:t xml:space="preserve"> In analyzing his findings, Brink refers to research on psychology, religious education, and culture, as he explains results that reject his hypothesis of cognitive consistency.</w:t>
      </w:r>
    </w:p>
    <w:p w14:paraId="1E0063D3"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Brink’s simple statistical analysis contrasts with Walter and Waterhouse’s analysis of interview transcripts for patterns and details that constitutes the bulk of their article.</w:t>
      </w:r>
    </w:p>
    <w:p w14:paraId="10026827" w14:textId="77777777" w:rsidR="002E6159" w:rsidRPr="003409EE" w:rsidRDefault="002E6159" w:rsidP="002E6159">
      <w:pPr>
        <w:pStyle w:val="ListParagraph"/>
        <w:spacing w:after="0" w:line="240" w:lineRule="auto"/>
        <w:ind w:left="0"/>
        <w:rPr>
          <w:rFonts w:ascii="Times New Roman" w:hAnsi="Times New Roman" w:cs="Times New Roman"/>
        </w:rPr>
      </w:pPr>
    </w:p>
    <w:p w14:paraId="4762531E" w14:textId="77777777" w:rsidR="002E6159" w:rsidRPr="003409EE" w:rsidRDefault="002E6159" w:rsidP="002E6159">
      <w:pPr>
        <w:spacing w:after="0" w:line="240" w:lineRule="auto"/>
        <w:rPr>
          <w:rFonts w:ascii="Times New Roman" w:hAnsi="Times New Roman" w:cs="Times New Roman"/>
          <w:i/>
          <w:iCs/>
        </w:rPr>
      </w:pPr>
      <w:r w:rsidRPr="003409EE">
        <w:rPr>
          <w:rFonts w:ascii="Times New Roman" w:hAnsi="Times New Roman" w:cs="Times New Roman"/>
          <w:i/>
          <w:iCs/>
        </w:rPr>
        <w:t>Positions on the Insider/Outsider Continuum and Related Reflexivity</w:t>
      </w:r>
    </w:p>
    <w:p w14:paraId="221B9385" w14:textId="77777777" w:rsidR="002E6159" w:rsidRPr="003409EE" w:rsidRDefault="002E6159" w:rsidP="002E6159">
      <w:pPr>
        <w:spacing w:after="0" w:line="240" w:lineRule="auto"/>
        <w:rPr>
          <w:rFonts w:ascii="Times New Roman" w:hAnsi="Times New Roman" w:cs="Times New Roman"/>
        </w:rPr>
      </w:pPr>
    </w:p>
    <w:p w14:paraId="16F72531"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Brink does not reflect on the potential influence his own beliefs and interactions with participants may have on research outcomes. He reveals his affiliation with a Catholic college</w:t>
      </w:r>
      <w:r w:rsidRPr="003409EE">
        <w:rPr>
          <w:rStyle w:val="FootnoteReference"/>
          <w:rFonts w:ascii="Times New Roman" w:hAnsi="Times New Roman" w:cs="Times New Roman"/>
        </w:rPr>
        <w:footnoteReference w:id="28"/>
      </w:r>
      <w:r w:rsidRPr="003409EE">
        <w:rPr>
          <w:rFonts w:ascii="Times New Roman" w:hAnsi="Times New Roman" w:cs="Times New Roman"/>
        </w:rPr>
        <w:t>, but not whether he is Catholic, nor his stance regarding belief in astrology or reincarnation. His quantitative approach positions him as an outsider, according to Bryman,</w:t>
      </w:r>
      <w:r w:rsidRPr="003409EE">
        <w:rPr>
          <w:rStyle w:val="FootnoteReference"/>
          <w:rFonts w:ascii="Times New Roman" w:hAnsi="Times New Roman" w:cs="Times New Roman"/>
        </w:rPr>
        <w:footnoteReference w:id="29"/>
      </w:r>
      <w:r w:rsidRPr="003409EE">
        <w:rPr>
          <w:rFonts w:ascii="Times New Roman" w:hAnsi="Times New Roman" w:cs="Times New Roman"/>
        </w:rPr>
        <w:t xml:space="preserve"> predicting Brink’s statistical interpretation of results lacking insight into underlying meanings from participants’ points of view. </w:t>
      </w:r>
    </w:p>
    <w:p w14:paraId="225A9468"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Like Brink, Walter and Waterhouse’s language infers objectivity and neutrality. By not disclosing whether they believe in reincarnation themselves, their relationship to the study population remains unknown. Qualitative researchers have an insider stance, according to Bryman.</w:t>
      </w:r>
      <w:r w:rsidRPr="003409EE">
        <w:rPr>
          <w:rStyle w:val="FootnoteReference"/>
          <w:rFonts w:ascii="Times New Roman" w:hAnsi="Times New Roman" w:cs="Times New Roman"/>
        </w:rPr>
        <w:footnoteReference w:id="30"/>
      </w:r>
      <w:r w:rsidRPr="003409EE">
        <w:rPr>
          <w:rFonts w:ascii="Times New Roman" w:hAnsi="Times New Roman" w:cs="Times New Roman"/>
        </w:rPr>
        <w:t>Thus, Walter and Waterhouse, by accessing “the insider’s perceptions, beliefs and meaning system” achieve an emic perspective that qualifies as Verstehen,</w:t>
      </w:r>
      <w:r w:rsidRPr="003409EE">
        <w:rPr>
          <w:rStyle w:val="FootnoteReference"/>
          <w:rFonts w:ascii="Times New Roman" w:hAnsi="Times New Roman" w:cs="Times New Roman"/>
        </w:rPr>
        <w:footnoteReference w:id="31"/>
      </w:r>
      <w:r w:rsidRPr="003409EE">
        <w:rPr>
          <w:rFonts w:ascii="Times New Roman" w:hAnsi="Times New Roman" w:cs="Times New Roman"/>
        </w:rPr>
        <w:t xml:space="preserve"> which Bryman explains was considered a principal “precursor” of qualitative research by Max Weber.</w:t>
      </w:r>
      <w:r w:rsidRPr="003409EE">
        <w:rPr>
          <w:rStyle w:val="FootnoteReference"/>
          <w:rFonts w:ascii="Times New Roman" w:hAnsi="Times New Roman" w:cs="Times New Roman"/>
        </w:rPr>
        <w:footnoteReference w:id="32"/>
      </w:r>
      <w:r w:rsidRPr="003409EE">
        <w:rPr>
          <w:rFonts w:ascii="Times New Roman" w:hAnsi="Times New Roman" w:cs="Times New Roman"/>
        </w:rPr>
        <w:t xml:space="preserve"> It is difficult to gauge the extent to which the researcher’s own beliefs impact their research outcomes in this case (personal reflexivity, as discussed by </w:t>
      </w:r>
      <w:proofErr w:type="spellStart"/>
      <w:r w:rsidRPr="003409EE">
        <w:rPr>
          <w:rFonts w:ascii="Times New Roman" w:hAnsi="Times New Roman" w:cs="Times New Roman"/>
        </w:rPr>
        <w:t>Henninck</w:t>
      </w:r>
      <w:proofErr w:type="spellEnd"/>
      <w:r w:rsidRPr="003409EE">
        <w:rPr>
          <w:rFonts w:ascii="Times New Roman" w:hAnsi="Times New Roman" w:cs="Times New Roman"/>
        </w:rPr>
        <w:t xml:space="preserve"> et al.).</w:t>
      </w:r>
      <w:r w:rsidRPr="003409EE">
        <w:rPr>
          <w:rStyle w:val="FootnoteReference"/>
          <w:rFonts w:ascii="Times New Roman" w:hAnsi="Times New Roman" w:cs="Times New Roman"/>
        </w:rPr>
        <w:footnoteReference w:id="33"/>
      </w:r>
      <w:r w:rsidRPr="003409EE">
        <w:rPr>
          <w:rFonts w:ascii="Times New Roman" w:hAnsi="Times New Roman" w:cs="Times New Roman"/>
        </w:rPr>
        <w:t xml:space="preserve"> It can be inferred from the personal nature of the interview data reported that there was good interpersonal reflexivity (</w:t>
      </w:r>
      <w:proofErr w:type="spellStart"/>
      <w:r w:rsidRPr="003409EE">
        <w:rPr>
          <w:rFonts w:ascii="Times New Roman" w:hAnsi="Times New Roman" w:cs="Times New Roman"/>
        </w:rPr>
        <w:t>Henninck</w:t>
      </w:r>
      <w:proofErr w:type="spellEnd"/>
      <w:r w:rsidRPr="003409EE">
        <w:rPr>
          <w:rFonts w:ascii="Times New Roman" w:hAnsi="Times New Roman" w:cs="Times New Roman"/>
        </w:rPr>
        <w:t xml:space="preserve"> explains this means that creation of knowledge is influenced by the interview setting and researcher/participant interpersonal dynamic),</w:t>
      </w:r>
      <w:r w:rsidRPr="003409EE">
        <w:rPr>
          <w:rStyle w:val="FootnoteReference"/>
          <w:rFonts w:ascii="Times New Roman" w:hAnsi="Times New Roman" w:cs="Times New Roman"/>
        </w:rPr>
        <w:footnoteReference w:id="34"/>
      </w:r>
      <w:r w:rsidRPr="003409EE">
        <w:rPr>
          <w:rFonts w:ascii="Times New Roman" w:hAnsi="Times New Roman" w:cs="Times New Roman"/>
        </w:rPr>
        <w:t xml:space="preserve"> facilitated by interview location (respondent homes) and rapport building.</w:t>
      </w:r>
    </w:p>
    <w:p w14:paraId="07FC17D3" w14:textId="77777777" w:rsidR="002E6159" w:rsidRPr="003409EE" w:rsidRDefault="002E6159" w:rsidP="002E6159">
      <w:pPr>
        <w:spacing w:after="0" w:line="240" w:lineRule="auto"/>
        <w:rPr>
          <w:rFonts w:ascii="Times New Roman" w:hAnsi="Times New Roman" w:cs="Times New Roman"/>
        </w:rPr>
      </w:pPr>
    </w:p>
    <w:p w14:paraId="6D2ABC69"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Ethical considerations</w:t>
      </w:r>
    </w:p>
    <w:p w14:paraId="1B8B0248" w14:textId="77777777" w:rsidR="002E6159" w:rsidRPr="003409EE" w:rsidRDefault="002E6159" w:rsidP="002E6159">
      <w:pPr>
        <w:spacing w:after="0" w:line="240" w:lineRule="auto"/>
        <w:ind w:firstLine="720"/>
        <w:rPr>
          <w:rFonts w:ascii="Times New Roman" w:hAnsi="Times New Roman" w:cs="Times New Roman"/>
        </w:rPr>
      </w:pPr>
    </w:p>
    <w:p w14:paraId="3EE33AA1"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Although not discussed in his article, school authorities probably gave Brink permission to conduct this study. There is, however, no mention of parental or any other kind of consent for the research. For school and church, Brink’s results could provide justification for modifications to religious instruction, aimed at eliminating beliefs considered heretical to Catholicism. Such a possibility might be viewed as violating the ‘do no harm’ basic ethical principle, surpassing documented informed consent and entering the realm of ethics in practice, a divide best bridged by a reflexive researcher, according to Guillemin and Gillam.</w:t>
      </w:r>
      <w:r w:rsidRPr="003409EE">
        <w:rPr>
          <w:rStyle w:val="FootnoteReference"/>
          <w:rFonts w:ascii="Times New Roman" w:hAnsi="Times New Roman" w:cs="Times New Roman"/>
        </w:rPr>
        <w:footnoteReference w:id="35"/>
      </w:r>
      <w:r w:rsidRPr="003409EE">
        <w:rPr>
          <w:rFonts w:ascii="Times New Roman" w:hAnsi="Times New Roman" w:cs="Times New Roman"/>
        </w:rPr>
        <w:t xml:space="preserve"> Although reflexivity is typically associated with qualitative research, </w:t>
      </w:r>
      <w:proofErr w:type="spellStart"/>
      <w:r w:rsidRPr="003409EE">
        <w:rPr>
          <w:rFonts w:ascii="Times New Roman" w:hAnsi="Times New Roman" w:cs="Times New Roman"/>
        </w:rPr>
        <w:t>Lahman</w:t>
      </w:r>
      <w:proofErr w:type="spellEnd"/>
      <w:r w:rsidRPr="003409EE">
        <w:rPr>
          <w:rFonts w:ascii="Times New Roman" w:hAnsi="Times New Roman" w:cs="Times New Roman"/>
        </w:rPr>
        <w:t xml:space="preserve"> et al. argue that a reflexive stance is appropriate across all research paradigms.</w:t>
      </w:r>
      <w:r w:rsidRPr="003409EE">
        <w:rPr>
          <w:rStyle w:val="FootnoteReference"/>
          <w:rFonts w:ascii="Times New Roman" w:hAnsi="Times New Roman" w:cs="Times New Roman"/>
        </w:rPr>
        <w:footnoteReference w:id="36"/>
      </w:r>
    </w:p>
    <w:p w14:paraId="2E4D0E5A"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 xml:space="preserve">Walter and Waterhouse similarly do not discuss consents, but since their participants were all voluntarily responding to invitations to participate, and the authors gave information about the study as </w:t>
      </w:r>
      <w:r w:rsidRPr="003409EE">
        <w:rPr>
          <w:rFonts w:ascii="Times New Roman" w:hAnsi="Times New Roman" w:cs="Times New Roman"/>
        </w:rPr>
        <w:lastRenderedPageBreak/>
        <w:t>part of their recruitment strategy (they wanted people with existing interest in reincarnation)</w:t>
      </w:r>
      <w:r w:rsidRPr="003409EE">
        <w:rPr>
          <w:rStyle w:val="FootnoteReference"/>
          <w:rFonts w:ascii="Times New Roman" w:hAnsi="Times New Roman" w:cs="Times New Roman"/>
        </w:rPr>
        <w:footnoteReference w:id="37"/>
      </w:r>
      <w:r w:rsidRPr="003409EE">
        <w:rPr>
          <w:rFonts w:ascii="Times New Roman" w:hAnsi="Times New Roman" w:cs="Times New Roman"/>
        </w:rPr>
        <w:t>, their study was more ethically sound. Anonymity was assured in the Walter and Waterhouse study, because participants were drawn from a large area, with no individual identifying information present in the report. With the Brink study population, while several Catholic girls’ schools exist in northwest Chicago, it would be relatively easy to track down the participants.</w:t>
      </w:r>
    </w:p>
    <w:p w14:paraId="5D2C60B2"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Brink avoids judgmental language when discussing beliefs, instead maintaining neutrality. Walter and Waterhouse, in contrast, employ various terms that inadvertently perpetuate stereotypes critical or disparaging of New Agers</w:t>
      </w:r>
      <w:r w:rsidRPr="003409EE">
        <w:rPr>
          <w:rStyle w:val="FootnoteReference"/>
          <w:rFonts w:ascii="Times New Roman" w:hAnsi="Times New Roman" w:cs="Times New Roman"/>
        </w:rPr>
        <w:footnoteReference w:id="38"/>
      </w:r>
      <w:r w:rsidRPr="003409EE">
        <w:rPr>
          <w:rFonts w:ascii="Times New Roman" w:hAnsi="Times New Roman" w:cs="Times New Roman"/>
        </w:rPr>
        <w:t>, and people pejoratively labeled as members of ‘sects’ or ‘cults’</w:t>
      </w:r>
      <w:r w:rsidRPr="003409EE">
        <w:rPr>
          <w:rStyle w:val="FootnoteReference"/>
          <w:rFonts w:ascii="Times New Roman" w:hAnsi="Times New Roman" w:cs="Times New Roman"/>
        </w:rPr>
        <w:footnoteReference w:id="39"/>
      </w:r>
      <w:r w:rsidRPr="003409EE">
        <w:rPr>
          <w:rFonts w:ascii="Times New Roman" w:hAnsi="Times New Roman" w:cs="Times New Roman"/>
        </w:rPr>
        <w:t>. Describing reincarnation as a “deviant belief”</w:t>
      </w:r>
      <w:r w:rsidRPr="003409EE">
        <w:rPr>
          <w:rStyle w:val="FootnoteReference"/>
          <w:rFonts w:ascii="Times New Roman" w:hAnsi="Times New Roman" w:cs="Times New Roman"/>
        </w:rPr>
        <w:footnoteReference w:id="40"/>
      </w:r>
      <w:r w:rsidRPr="003409EE">
        <w:rPr>
          <w:rFonts w:ascii="Times New Roman" w:hAnsi="Times New Roman" w:cs="Times New Roman"/>
        </w:rPr>
        <w:t xml:space="preserve"> subscribes to mainstream othering of people for whom reincarnation is simply a world view component, although this may not be intended by the researchers.</w:t>
      </w:r>
    </w:p>
    <w:p w14:paraId="0A8669E1" w14:textId="77777777" w:rsidR="002E6159" w:rsidRPr="003409EE" w:rsidRDefault="002E6159" w:rsidP="002E6159">
      <w:pPr>
        <w:spacing w:after="0" w:line="240" w:lineRule="auto"/>
        <w:ind w:firstLine="720"/>
        <w:rPr>
          <w:rFonts w:ascii="Times New Roman" w:hAnsi="Times New Roman" w:cs="Times New Roman"/>
        </w:rPr>
      </w:pPr>
    </w:p>
    <w:p w14:paraId="61988EB7" w14:textId="77777777" w:rsidR="002E6159" w:rsidRPr="003409EE" w:rsidRDefault="002E6159" w:rsidP="002E6159">
      <w:pPr>
        <w:spacing w:after="0" w:line="240" w:lineRule="auto"/>
        <w:rPr>
          <w:rFonts w:ascii="Times New Roman" w:hAnsi="Times New Roman" w:cs="Times New Roman"/>
          <w:i/>
          <w:iCs/>
        </w:rPr>
      </w:pPr>
      <w:r w:rsidRPr="003409EE">
        <w:rPr>
          <w:rFonts w:ascii="Times New Roman" w:hAnsi="Times New Roman" w:cs="Times New Roman"/>
          <w:i/>
          <w:iCs/>
        </w:rPr>
        <w:t>Writing Quality</w:t>
      </w:r>
    </w:p>
    <w:p w14:paraId="34A7E23D" w14:textId="77777777" w:rsidR="002E6159" w:rsidRPr="003409EE" w:rsidRDefault="002E6159" w:rsidP="002E6159">
      <w:pPr>
        <w:spacing w:after="0" w:line="240" w:lineRule="auto"/>
        <w:rPr>
          <w:rFonts w:ascii="Times New Roman" w:hAnsi="Times New Roman" w:cs="Times New Roman"/>
          <w:i/>
          <w:iCs/>
        </w:rPr>
      </w:pPr>
    </w:p>
    <w:p w14:paraId="279F1D3F"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Clarity and logic of structure</w:t>
      </w:r>
    </w:p>
    <w:p w14:paraId="1E31C09F" w14:textId="77777777" w:rsidR="002E6159" w:rsidRPr="003409EE" w:rsidRDefault="002E6159" w:rsidP="002E6159">
      <w:pPr>
        <w:spacing w:after="0" w:line="240" w:lineRule="auto"/>
        <w:rPr>
          <w:rFonts w:ascii="Times New Roman" w:hAnsi="Times New Roman" w:cs="Times New Roman"/>
        </w:rPr>
      </w:pPr>
    </w:p>
    <w:p w14:paraId="75B75938"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Brink writes an abbreviated but standard quantitative research article. Section headings reflect the process followed. Walter and Waterhouse, true to their qualitative approach, present an article structured to fit the more organic, evolving nature of the researchers’ experience. Because of this, the reader initially lacks the compass provided by the standard structure used by Brink. Instead, the growth of reader comprehension reflects the route of discovery taken by the researchers.</w:t>
      </w:r>
    </w:p>
    <w:p w14:paraId="15E6A1CC" w14:textId="77777777" w:rsidR="002E6159" w:rsidRPr="003409EE" w:rsidRDefault="002E6159" w:rsidP="002E6159">
      <w:pPr>
        <w:spacing w:after="0" w:line="240" w:lineRule="auto"/>
        <w:rPr>
          <w:rFonts w:ascii="Times New Roman" w:hAnsi="Times New Roman" w:cs="Times New Roman"/>
        </w:rPr>
      </w:pPr>
    </w:p>
    <w:p w14:paraId="4BD9CAAD"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Written expression and readability</w:t>
      </w:r>
    </w:p>
    <w:p w14:paraId="7D413832" w14:textId="77777777" w:rsidR="002E6159" w:rsidRPr="003409EE" w:rsidRDefault="002E6159" w:rsidP="002E6159">
      <w:pPr>
        <w:spacing w:after="0" w:line="240" w:lineRule="auto"/>
        <w:rPr>
          <w:rFonts w:ascii="Times New Roman" w:hAnsi="Times New Roman" w:cs="Times New Roman"/>
        </w:rPr>
      </w:pPr>
    </w:p>
    <w:p w14:paraId="4A15BED7"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 xml:space="preserve">Although constrained into being over-concise, Brink’s account is clear and straightforward. Walter and Waterhouse’s article </w:t>
      </w:r>
      <w:proofErr w:type="gramStart"/>
      <w:r w:rsidRPr="003409EE">
        <w:rPr>
          <w:rFonts w:ascii="Times New Roman" w:hAnsi="Times New Roman" w:cs="Times New Roman"/>
        </w:rPr>
        <w:t>is</w:t>
      </w:r>
      <w:proofErr w:type="gramEnd"/>
      <w:r w:rsidRPr="003409EE">
        <w:rPr>
          <w:rFonts w:ascii="Times New Roman" w:hAnsi="Times New Roman" w:cs="Times New Roman"/>
        </w:rPr>
        <w:t xml:space="preserve"> more complex, with key information from the academic literature revealed sequentially as the study’s findings are analyzed. Objectives provided at the beginning signaled what the reader could expect.</w:t>
      </w:r>
    </w:p>
    <w:p w14:paraId="3F470E81" w14:textId="77777777" w:rsidR="002E6159" w:rsidRPr="003409EE" w:rsidRDefault="002E6159" w:rsidP="002E6159">
      <w:pPr>
        <w:spacing w:after="0" w:line="240" w:lineRule="auto"/>
        <w:rPr>
          <w:rFonts w:ascii="Times New Roman" w:hAnsi="Times New Roman" w:cs="Times New Roman"/>
        </w:rPr>
      </w:pPr>
    </w:p>
    <w:p w14:paraId="240440E2"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Objectivity of claims (extent of reliance on evidence)</w:t>
      </w:r>
    </w:p>
    <w:p w14:paraId="5239E5A8" w14:textId="77777777" w:rsidR="002E6159" w:rsidRPr="003409EE" w:rsidRDefault="002E6159" w:rsidP="002E6159">
      <w:pPr>
        <w:spacing w:after="0" w:line="240" w:lineRule="auto"/>
        <w:rPr>
          <w:rFonts w:ascii="Times New Roman" w:hAnsi="Times New Roman" w:cs="Times New Roman"/>
        </w:rPr>
      </w:pPr>
    </w:p>
    <w:p w14:paraId="122C49C8"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Brink uses some unsupported statements, suggesting personal convictions. Those claims needed reference to academic sources providing evidence for assumed ‘</w:t>
      </w:r>
      <w:proofErr w:type="gramStart"/>
      <w:r w:rsidRPr="003409EE">
        <w:rPr>
          <w:rFonts w:ascii="Times New Roman" w:hAnsi="Times New Roman" w:cs="Times New Roman"/>
        </w:rPr>
        <w:t>facts’</w:t>
      </w:r>
      <w:proofErr w:type="gramEnd"/>
      <w:r w:rsidRPr="003409EE">
        <w:rPr>
          <w:rFonts w:ascii="Times New Roman" w:hAnsi="Times New Roman" w:cs="Times New Roman"/>
        </w:rPr>
        <w:t xml:space="preserve">. For instance, Brink states, “astrology’s fatalism is based upon blind impersonal forces… substantially different from whatever fatalism </w:t>
      </w:r>
      <w:proofErr w:type="spellStart"/>
      <w:r w:rsidRPr="003409EE">
        <w:rPr>
          <w:rFonts w:ascii="Times New Roman" w:hAnsi="Times New Roman" w:cs="Times New Roman"/>
        </w:rPr>
        <w:t>reincarnationists</w:t>
      </w:r>
      <w:proofErr w:type="spellEnd"/>
      <w:r w:rsidRPr="003409EE">
        <w:rPr>
          <w:rFonts w:ascii="Times New Roman" w:hAnsi="Times New Roman" w:cs="Times New Roman"/>
        </w:rPr>
        <w:t xml:space="preserve"> attribute to the workings of karma.”</w:t>
      </w:r>
      <w:r w:rsidRPr="003409EE">
        <w:rPr>
          <w:rStyle w:val="FootnoteReference"/>
          <w:rFonts w:ascii="Times New Roman" w:hAnsi="Times New Roman" w:cs="Times New Roman"/>
        </w:rPr>
        <w:footnoteReference w:id="41"/>
      </w:r>
      <w:r w:rsidRPr="003409EE">
        <w:rPr>
          <w:rFonts w:ascii="Times New Roman" w:hAnsi="Times New Roman" w:cs="Times New Roman"/>
        </w:rPr>
        <w:t xml:space="preserve"> Walter and Waterhouse were more thorough in supporting their statements with reference to academic literature.</w:t>
      </w:r>
    </w:p>
    <w:p w14:paraId="481738C6"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Both articles draw conclusions reflective of their results and reviewed literature.</w:t>
      </w:r>
    </w:p>
    <w:p w14:paraId="3DE9E9D5" w14:textId="77777777" w:rsidR="002E6159" w:rsidRPr="003409EE" w:rsidRDefault="002E6159" w:rsidP="002E6159">
      <w:pPr>
        <w:spacing w:after="0" w:line="240" w:lineRule="auto"/>
        <w:rPr>
          <w:rFonts w:ascii="Times New Roman" w:hAnsi="Times New Roman" w:cs="Times New Roman"/>
          <w:i/>
          <w:iCs/>
        </w:rPr>
      </w:pPr>
    </w:p>
    <w:p w14:paraId="51BC6B6B" w14:textId="77777777" w:rsidR="002E6159" w:rsidRPr="003409EE" w:rsidRDefault="002E6159" w:rsidP="002E6159">
      <w:pPr>
        <w:spacing w:after="0" w:line="240" w:lineRule="auto"/>
        <w:rPr>
          <w:rFonts w:ascii="Times New Roman" w:hAnsi="Times New Roman" w:cs="Times New Roman"/>
          <w:i/>
          <w:iCs/>
        </w:rPr>
      </w:pPr>
      <w:r w:rsidRPr="003409EE">
        <w:rPr>
          <w:rFonts w:ascii="Times New Roman" w:hAnsi="Times New Roman" w:cs="Times New Roman"/>
          <w:i/>
          <w:iCs/>
        </w:rPr>
        <w:t>Philosophical Approaches</w:t>
      </w:r>
    </w:p>
    <w:p w14:paraId="4471B5F2" w14:textId="77777777" w:rsidR="002E6159" w:rsidRPr="003409EE" w:rsidRDefault="002E6159" w:rsidP="002E6159">
      <w:pPr>
        <w:spacing w:after="0" w:line="240" w:lineRule="auto"/>
        <w:rPr>
          <w:rFonts w:ascii="Times New Roman" w:hAnsi="Times New Roman" w:cs="Times New Roman"/>
        </w:rPr>
      </w:pPr>
    </w:p>
    <w:p w14:paraId="595DE918"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Congruity of author philosophies</w:t>
      </w:r>
    </w:p>
    <w:p w14:paraId="02C411F1" w14:textId="77777777" w:rsidR="002E6159" w:rsidRPr="003409EE" w:rsidRDefault="002E6159" w:rsidP="002E6159">
      <w:pPr>
        <w:spacing w:after="0" w:line="240" w:lineRule="auto"/>
        <w:rPr>
          <w:rFonts w:ascii="Times New Roman" w:hAnsi="Times New Roman" w:cs="Times New Roman"/>
        </w:rPr>
      </w:pPr>
    </w:p>
    <w:p w14:paraId="36F10452" w14:textId="77777777" w:rsidR="002E6159" w:rsidRPr="003409EE" w:rsidRDefault="002E6159" w:rsidP="002E6159">
      <w:pPr>
        <w:pStyle w:val="ListParagraph"/>
        <w:spacing w:after="0" w:line="240" w:lineRule="auto"/>
        <w:ind w:left="0" w:firstLine="720"/>
        <w:rPr>
          <w:rFonts w:ascii="Times New Roman" w:hAnsi="Times New Roman" w:cs="Times New Roman"/>
        </w:rPr>
      </w:pPr>
      <w:r w:rsidRPr="003409EE">
        <w:rPr>
          <w:rFonts w:ascii="Times New Roman" w:hAnsi="Times New Roman" w:cs="Times New Roman"/>
        </w:rPr>
        <w:t xml:space="preserve">Brink’s positivist approach fits his aim to discover if individuals simultaneously hold incongruent belief combinations, and did not seek or reveal anything about the nature of the subjects’ beliefs. Walter and Waterhouse conversely, through their interpretive approach, pursued qualitative data to expand the understanding that western people do entertain the idea of or believe in reincarnation. They gathered rich </w:t>
      </w:r>
      <w:r w:rsidRPr="003409EE">
        <w:rPr>
          <w:rFonts w:ascii="Times New Roman" w:hAnsi="Times New Roman" w:cs="Times New Roman"/>
        </w:rPr>
        <w:lastRenderedPageBreak/>
        <w:t>data through open-ended interview questions, revealing the kind of detail inaccessible to Brink’s quantitative approach. Both researcher philosophies were respectively a good fit for the kind of information they sought.</w:t>
      </w:r>
    </w:p>
    <w:p w14:paraId="573F995A" w14:textId="77777777" w:rsidR="002E6159" w:rsidRPr="003409EE" w:rsidRDefault="002E6159" w:rsidP="002E6159">
      <w:pPr>
        <w:spacing w:after="0" w:line="240" w:lineRule="auto"/>
        <w:rPr>
          <w:rFonts w:ascii="Times New Roman" w:hAnsi="Times New Roman" w:cs="Times New Roman"/>
        </w:rPr>
      </w:pPr>
    </w:p>
    <w:p w14:paraId="3DEB0130" w14:textId="77777777" w:rsidR="002E6159" w:rsidRPr="003409EE" w:rsidRDefault="002E6159" w:rsidP="002E6159">
      <w:pPr>
        <w:spacing w:after="0" w:line="240" w:lineRule="auto"/>
        <w:rPr>
          <w:rFonts w:ascii="Times New Roman" w:hAnsi="Times New Roman" w:cs="Times New Roman"/>
        </w:rPr>
      </w:pPr>
      <w:r w:rsidRPr="003409EE">
        <w:rPr>
          <w:rFonts w:ascii="Times New Roman" w:hAnsi="Times New Roman" w:cs="Times New Roman"/>
        </w:rPr>
        <w:t>How similar concepts are dealt with</w:t>
      </w:r>
    </w:p>
    <w:p w14:paraId="7B997310" w14:textId="77777777" w:rsidR="002E6159" w:rsidRPr="003409EE" w:rsidRDefault="002E6159" w:rsidP="002E6159">
      <w:pPr>
        <w:spacing w:after="0" w:line="240" w:lineRule="auto"/>
        <w:rPr>
          <w:rFonts w:ascii="Times New Roman" w:hAnsi="Times New Roman" w:cs="Times New Roman"/>
        </w:rPr>
      </w:pPr>
    </w:p>
    <w:p w14:paraId="48E02AD7"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Both articles address the concept of reincarnation, but explore it in different ways. Brink acquires superficial numerical data. Walter and Waterhouse use such data as a starting point, and look for deeper understanding of the meaning people who are interested in or believe in reincarnation attribute to it. These contrasts mirror the quantitative and qualitative approaches respectively.</w:t>
      </w:r>
    </w:p>
    <w:p w14:paraId="5AD86806" w14:textId="77777777" w:rsidR="002E6159" w:rsidRPr="003409EE" w:rsidRDefault="002E6159" w:rsidP="002E6159">
      <w:pPr>
        <w:spacing w:after="0" w:line="240" w:lineRule="auto"/>
        <w:rPr>
          <w:rFonts w:ascii="Times New Roman" w:hAnsi="Times New Roman" w:cs="Times New Roman"/>
        </w:rPr>
      </w:pPr>
    </w:p>
    <w:p w14:paraId="3B1B99ED" w14:textId="77777777" w:rsidR="002E6159" w:rsidRPr="003409EE" w:rsidRDefault="002E6159" w:rsidP="002E6159">
      <w:pPr>
        <w:spacing w:after="0" w:line="240" w:lineRule="auto"/>
        <w:jc w:val="center"/>
        <w:rPr>
          <w:rFonts w:ascii="Times New Roman" w:hAnsi="Times New Roman" w:cs="Times New Roman"/>
        </w:rPr>
      </w:pPr>
      <w:r w:rsidRPr="003409EE">
        <w:rPr>
          <w:rFonts w:ascii="Times New Roman" w:hAnsi="Times New Roman" w:cs="Times New Roman"/>
        </w:rPr>
        <w:t>Conclusion</w:t>
      </w:r>
    </w:p>
    <w:p w14:paraId="2CECFA95" w14:textId="77777777" w:rsidR="002E6159" w:rsidRPr="003409EE" w:rsidRDefault="002E6159" w:rsidP="002E6159">
      <w:pPr>
        <w:spacing w:after="0" w:line="240" w:lineRule="auto"/>
        <w:rPr>
          <w:rFonts w:ascii="Times New Roman" w:hAnsi="Times New Roman" w:cs="Times New Roman"/>
        </w:rPr>
      </w:pPr>
    </w:p>
    <w:p w14:paraId="1A55E5AC" w14:textId="77777777" w:rsidR="002E6159" w:rsidRPr="003409EE" w:rsidRDefault="002E6159" w:rsidP="002E6159">
      <w:pPr>
        <w:spacing w:after="0" w:line="240" w:lineRule="auto"/>
        <w:ind w:firstLine="720"/>
        <w:rPr>
          <w:rFonts w:ascii="Times New Roman" w:hAnsi="Times New Roman" w:cs="Times New Roman"/>
        </w:rPr>
      </w:pPr>
      <w:r w:rsidRPr="003409EE">
        <w:rPr>
          <w:rFonts w:ascii="Times New Roman" w:hAnsi="Times New Roman" w:cs="Times New Roman"/>
        </w:rPr>
        <w:t>Walter and Waterhouse’s statement, “Starting with survey data of the kind that “x percent of the population believe in reincarnation”, we set out to document how those who entertain the idea of reincarnation actually think and talk”</w:t>
      </w:r>
      <w:r w:rsidRPr="003409EE">
        <w:rPr>
          <w:rStyle w:val="FootnoteReference"/>
          <w:rFonts w:ascii="Times New Roman" w:hAnsi="Times New Roman" w:cs="Times New Roman"/>
        </w:rPr>
        <w:footnoteReference w:id="42"/>
      </w:r>
      <w:r w:rsidRPr="003409EE">
        <w:rPr>
          <w:rFonts w:ascii="Times New Roman" w:hAnsi="Times New Roman" w:cs="Times New Roman"/>
        </w:rPr>
        <w:t xml:space="preserve"> encapsulates what each article achieved. Brink provides limited percentage information regarding belief in reincarnation using a quantitative approach, presenting his findings in an orderly, concise article. Walter and Waterhouse similarly chose an approach fit for purpose, using interviews to gather the rich data necessary to achieve their aims. The less formally structured nature of their article reflects the complexity and detail of their qualitative findings. Both articles contribute to the reincarnation belief knowledge base, the relative simplicity of Brink’s investigation perhaps being related to his study pre-dating Walter and Waterhouse’s by twenty years.</w:t>
      </w:r>
    </w:p>
    <w:p w14:paraId="6C58AC28" w14:textId="77777777" w:rsidR="002E6159" w:rsidRDefault="002E6159" w:rsidP="002E6159">
      <w:pPr>
        <w:spacing w:after="0" w:line="240" w:lineRule="auto"/>
        <w:rPr>
          <w:rFonts w:ascii="Times New Roman" w:hAnsi="Times New Roman" w:cs="Times New Roman"/>
        </w:rPr>
        <w:sectPr w:rsidR="002E6159">
          <w:pgSz w:w="12240" w:h="15840"/>
          <w:pgMar w:top="1440" w:right="1440" w:bottom="1440" w:left="1440" w:header="720" w:footer="720" w:gutter="0"/>
          <w:cols w:space="720"/>
          <w:docGrid w:linePitch="360"/>
        </w:sectPr>
      </w:pPr>
    </w:p>
    <w:p w14:paraId="20D16EF9" w14:textId="77777777" w:rsidR="002E6159" w:rsidRPr="003409EE" w:rsidRDefault="002E6159" w:rsidP="002E6159">
      <w:pPr>
        <w:spacing w:after="0" w:line="240" w:lineRule="auto"/>
        <w:contextualSpacing/>
        <w:jc w:val="center"/>
        <w:rPr>
          <w:rFonts w:ascii="Times New Roman" w:hAnsi="Times New Roman" w:cs="Times New Roman"/>
        </w:rPr>
      </w:pPr>
      <w:r w:rsidRPr="003409EE">
        <w:rPr>
          <w:rFonts w:ascii="Times New Roman" w:hAnsi="Times New Roman" w:cs="Times New Roman"/>
        </w:rPr>
        <w:lastRenderedPageBreak/>
        <w:t>Bibliography</w:t>
      </w:r>
    </w:p>
    <w:p w14:paraId="1D9B046D" w14:textId="77777777" w:rsidR="002E6159" w:rsidRPr="003409EE" w:rsidRDefault="002E6159" w:rsidP="002E6159">
      <w:pPr>
        <w:spacing w:after="0"/>
        <w:contextualSpacing/>
        <w:rPr>
          <w:rFonts w:ascii="Times New Roman" w:hAnsi="Times New Roman" w:cs="Times New Roman"/>
        </w:rPr>
      </w:pPr>
    </w:p>
    <w:p w14:paraId="5F058564" w14:textId="77777777" w:rsidR="002E6159" w:rsidRPr="003409EE" w:rsidRDefault="002E6159" w:rsidP="002E6159">
      <w:pPr>
        <w:spacing w:after="0"/>
        <w:contextualSpacing/>
        <w:rPr>
          <w:rFonts w:ascii="Times New Roman" w:hAnsi="Times New Roman" w:cs="Times New Roman"/>
        </w:rPr>
      </w:pPr>
    </w:p>
    <w:p w14:paraId="71DB2537" w14:textId="77777777" w:rsidR="002E6159" w:rsidRPr="003409EE" w:rsidRDefault="002E6159" w:rsidP="002E6159">
      <w:pPr>
        <w:spacing w:after="0"/>
        <w:ind w:left="720" w:hanging="720"/>
        <w:contextualSpacing/>
        <w:rPr>
          <w:rFonts w:ascii="Times New Roman" w:hAnsi="Times New Roman" w:cs="Times New Roman"/>
        </w:rPr>
      </w:pPr>
      <w:r w:rsidRPr="003409EE">
        <w:rPr>
          <w:rFonts w:ascii="Times New Roman" w:hAnsi="Times New Roman" w:cs="Times New Roman"/>
        </w:rPr>
        <w:t xml:space="preserve">Bell, Judith and Stephen Waters, </w:t>
      </w:r>
      <w:r w:rsidRPr="003409EE">
        <w:rPr>
          <w:rFonts w:ascii="Times New Roman" w:hAnsi="Times New Roman" w:cs="Times New Roman"/>
          <w:i/>
          <w:iCs/>
        </w:rPr>
        <w:t xml:space="preserve">Doing Your Research Project; A Guide </w:t>
      </w:r>
      <w:proofErr w:type="gramStart"/>
      <w:r w:rsidRPr="003409EE">
        <w:rPr>
          <w:rFonts w:ascii="Times New Roman" w:hAnsi="Times New Roman" w:cs="Times New Roman"/>
          <w:i/>
          <w:iCs/>
        </w:rPr>
        <w:t>For</w:t>
      </w:r>
      <w:proofErr w:type="gramEnd"/>
      <w:r w:rsidRPr="003409EE">
        <w:rPr>
          <w:rFonts w:ascii="Times New Roman" w:hAnsi="Times New Roman" w:cs="Times New Roman"/>
          <w:i/>
          <w:iCs/>
        </w:rPr>
        <w:t xml:space="preserve"> First-time Researchers</w:t>
      </w:r>
      <w:r w:rsidRPr="003409EE">
        <w:rPr>
          <w:rFonts w:ascii="Times New Roman" w:hAnsi="Times New Roman" w:cs="Times New Roman"/>
        </w:rPr>
        <w:t>, 7</w:t>
      </w:r>
      <w:r w:rsidRPr="003409EE">
        <w:rPr>
          <w:rFonts w:ascii="Times New Roman" w:hAnsi="Times New Roman" w:cs="Times New Roman"/>
          <w:vertAlign w:val="superscript"/>
        </w:rPr>
        <w:t>th</w:t>
      </w:r>
      <w:r w:rsidRPr="003409EE">
        <w:rPr>
          <w:rFonts w:ascii="Times New Roman" w:hAnsi="Times New Roman" w:cs="Times New Roman"/>
        </w:rPr>
        <w:t xml:space="preserve"> </w:t>
      </w:r>
      <w:proofErr w:type="spellStart"/>
      <w:r w:rsidRPr="003409EE">
        <w:rPr>
          <w:rFonts w:ascii="Times New Roman" w:hAnsi="Times New Roman" w:cs="Times New Roman"/>
        </w:rPr>
        <w:t>edn</w:t>
      </w:r>
      <w:proofErr w:type="spellEnd"/>
      <w:r w:rsidRPr="003409EE">
        <w:rPr>
          <w:rFonts w:ascii="Times New Roman" w:hAnsi="Times New Roman" w:cs="Times New Roman"/>
        </w:rPr>
        <w:t>. (London: Open University Press/McGraw-Hill Education, 2018)</w:t>
      </w:r>
    </w:p>
    <w:p w14:paraId="7F2FB1A7" w14:textId="77777777" w:rsidR="002E6159" w:rsidRPr="003409EE" w:rsidRDefault="002E6159" w:rsidP="002E6159">
      <w:pPr>
        <w:spacing w:after="0"/>
        <w:ind w:left="720" w:hanging="720"/>
        <w:contextualSpacing/>
        <w:rPr>
          <w:rFonts w:ascii="Times New Roman" w:hAnsi="Times New Roman" w:cs="Times New Roman"/>
        </w:rPr>
      </w:pPr>
    </w:p>
    <w:p w14:paraId="63BF4B7A" w14:textId="77777777" w:rsidR="002E6159" w:rsidRPr="003409EE" w:rsidRDefault="002E6159" w:rsidP="002E6159">
      <w:pPr>
        <w:spacing w:after="0"/>
        <w:ind w:left="720" w:hanging="720"/>
        <w:contextualSpacing/>
        <w:rPr>
          <w:rFonts w:ascii="Times New Roman" w:hAnsi="Times New Roman" w:cs="Times New Roman"/>
        </w:rPr>
      </w:pPr>
      <w:r w:rsidRPr="003409EE">
        <w:rPr>
          <w:rFonts w:ascii="Times New Roman" w:hAnsi="Times New Roman" w:cs="Times New Roman"/>
        </w:rPr>
        <w:t xml:space="preserve">Brink, T. L., ‘Inconsistency </w:t>
      </w:r>
      <w:proofErr w:type="gramStart"/>
      <w:r w:rsidRPr="003409EE">
        <w:rPr>
          <w:rFonts w:ascii="Times New Roman" w:hAnsi="Times New Roman" w:cs="Times New Roman"/>
        </w:rPr>
        <w:t>Of</w:t>
      </w:r>
      <w:proofErr w:type="gramEnd"/>
      <w:r w:rsidRPr="003409EE">
        <w:rPr>
          <w:rFonts w:ascii="Times New Roman" w:hAnsi="Times New Roman" w:cs="Times New Roman"/>
        </w:rPr>
        <w:t xml:space="preserve"> Belief Among Roman Catholic Girls: Concerning Religion, Astrology, Reincarnation’, </w:t>
      </w:r>
      <w:r w:rsidRPr="003409EE">
        <w:rPr>
          <w:rFonts w:ascii="Times New Roman" w:hAnsi="Times New Roman" w:cs="Times New Roman"/>
          <w:i/>
          <w:iCs/>
        </w:rPr>
        <w:t>Review of Religious Research</w:t>
      </w:r>
      <w:r w:rsidRPr="003409EE">
        <w:rPr>
          <w:rFonts w:ascii="Times New Roman" w:hAnsi="Times New Roman" w:cs="Times New Roman"/>
        </w:rPr>
        <w:t>, 20.1 (1978), 82-85</w:t>
      </w:r>
      <w:r>
        <w:rPr>
          <w:rFonts w:ascii="Times New Roman" w:hAnsi="Times New Roman" w:cs="Times New Roman"/>
        </w:rPr>
        <w:t xml:space="preserve"> </w:t>
      </w:r>
      <w:r w:rsidRPr="00FC7757">
        <w:rPr>
          <w:rFonts w:ascii="Times New Roman" w:hAnsi="Times New Roman" w:cs="Times New Roman"/>
        </w:rPr>
        <w:t>https://www.jstor.org/stable/3509943</w:t>
      </w:r>
    </w:p>
    <w:p w14:paraId="3CBF723E" w14:textId="77777777" w:rsidR="002E6159" w:rsidRPr="003409EE" w:rsidRDefault="002E6159" w:rsidP="002E6159">
      <w:pPr>
        <w:spacing w:after="0"/>
        <w:ind w:left="720" w:hanging="720"/>
        <w:contextualSpacing/>
        <w:rPr>
          <w:rFonts w:ascii="Times New Roman" w:hAnsi="Times New Roman" w:cs="Times New Roman"/>
        </w:rPr>
      </w:pPr>
    </w:p>
    <w:p w14:paraId="178E9615" w14:textId="77777777" w:rsidR="002E6159" w:rsidRPr="003409EE" w:rsidRDefault="002E6159" w:rsidP="002E6159">
      <w:pPr>
        <w:spacing w:after="0"/>
        <w:ind w:left="720" w:hanging="720"/>
        <w:contextualSpacing/>
        <w:rPr>
          <w:rFonts w:ascii="Times New Roman" w:hAnsi="Times New Roman" w:cs="Times New Roman"/>
        </w:rPr>
      </w:pPr>
      <w:r w:rsidRPr="003409EE">
        <w:rPr>
          <w:rFonts w:ascii="Times New Roman" w:hAnsi="Times New Roman" w:cs="Times New Roman"/>
        </w:rPr>
        <w:t xml:space="preserve">Bryman, Alan, </w:t>
      </w:r>
      <w:r w:rsidRPr="003409EE">
        <w:rPr>
          <w:rFonts w:ascii="Times New Roman" w:hAnsi="Times New Roman" w:cs="Times New Roman"/>
          <w:i/>
          <w:iCs/>
        </w:rPr>
        <w:t xml:space="preserve">Quantity </w:t>
      </w:r>
      <w:proofErr w:type="gramStart"/>
      <w:r w:rsidRPr="003409EE">
        <w:rPr>
          <w:rFonts w:ascii="Times New Roman" w:hAnsi="Times New Roman" w:cs="Times New Roman"/>
          <w:i/>
          <w:iCs/>
        </w:rPr>
        <w:t>And</w:t>
      </w:r>
      <w:proofErr w:type="gramEnd"/>
      <w:r w:rsidRPr="003409EE">
        <w:rPr>
          <w:rFonts w:ascii="Times New Roman" w:hAnsi="Times New Roman" w:cs="Times New Roman"/>
          <w:i/>
          <w:iCs/>
        </w:rPr>
        <w:t xml:space="preserve"> Quality In Social Research</w:t>
      </w:r>
      <w:r w:rsidRPr="003409EE">
        <w:rPr>
          <w:rFonts w:ascii="Times New Roman" w:hAnsi="Times New Roman" w:cs="Times New Roman"/>
        </w:rPr>
        <w:t>, (London: Routledge/Taylor &amp; Francis, 1988)</w:t>
      </w:r>
    </w:p>
    <w:p w14:paraId="54206A23" w14:textId="77777777" w:rsidR="002E6159" w:rsidRPr="003409EE" w:rsidRDefault="002E6159" w:rsidP="002E6159">
      <w:pPr>
        <w:spacing w:after="0"/>
        <w:ind w:left="720" w:hanging="720"/>
        <w:contextualSpacing/>
        <w:rPr>
          <w:rFonts w:ascii="Times New Roman" w:hAnsi="Times New Roman" w:cs="Times New Roman"/>
        </w:rPr>
      </w:pPr>
    </w:p>
    <w:p w14:paraId="7A9497A1" w14:textId="77777777" w:rsidR="002E6159" w:rsidRPr="003409EE" w:rsidRDefault="002E6159" w:rsidP="002E6159">
      <w:pPr>
        <w:spacing w:after="0"/>
        <w:ind w:left="720" w:hanging="720"/>
        <w:contextualSpacing/>
        <w:rPr>
          <w:rFonts w:ascii="Times New Roman" w:hAnsi="Times New Roman" w:cs="Times New Roman"/>
        </w:rPr>
      </w:pPr>
      <w:r w:rsidRPr="003409EE">
        <w:rPr>
          <w:rFonts w:ascii="Times New Roman" w:hAnsi="Times New Roman" w:cs="Times New Roman"/>
        </w:rPr>
        <w:t xml:space="preserve">Creswell, John W. and Vicki L. Piano Clark, </w:t>
      </w:r>
      <w:r w:rsidRPr="003409EE">
        <w:rPr>
          <w:rFonts w:ascii="Times New Roman" w:hAnsi="Times New Roman" w:cs="Times New Roman"/>
          <w:i/>
          <w:iCs/>
        </w:rPr>
        <w:t xml:space="preserve">Designing </w:t>
      </w:r>
      <w:proofErr w:type="gramStart"/>
      <w:r w:rsidRPr="003409EE">
        <w:rPr>
          <w:rFonts w:ascii="Times New Roman" w:hAnsi="Times New Roman" w:cs="Times New Roman"/>
          <w:i/>
          <w:iCs/>
        </w:rPr>
        <w:t>And</w:t>
      </w:r>
      <w:proofErr w:type="gramEnd"/>
      <w:r w:rsidRPr="003409EE">
        <w:rPr>
          <w:rFonts w:ascii="Times New Roman" w:hAnsi="Times New Roman" w:cs="Times New Roman"/>
          <w:i/>
          <w:iCs/>
        </w:rPr>
        <w:t xml:space="preserve"> Conducting Mixed Methods Research</w:t>
      </w:r>
      <w:r w:rsidRPr="003409EE">
        <w:rPr>
          <w:rFonts w:ascii="Times New Roman" w:hAnsi="Times New Roman" w:cs="Times New Roman"/>
        </w:rPr>
        <w:t>, 3</w:t>
      </w:r>
      <w:r w:rsidRPr="003409EE">
        <w:rPr>
          <w:rFonts w:ascii="Times New Roman" w:hAnsi="Times New Roman" w:cs="Times New Roman"/>
          <w:vertAlign w:val="superscript"/>
        </w:rPr>
        <w:t>rd</w:t>
      </w:r>
      <w:r w:rsidRPr="003409EE">
        <w:rPr>
          <w:rFonts w:ascii="Times New Roman" w:hAnsi="Times New Roman" w:cs="Times New Roman"/>
        </w:rPr>
        <w:t xml:space="preserve"> </w:t>
      </w:r>
      <w:proofErr w:type="spellStart"/>
      <w:r w:rsidRPr="003409EE">
        <w:rPr>
          <w:rFonts w:ascii="Times New Roman" w:hAnsi="Times New Roman" w:cs="Times New Roman"/>
        </w:rPr>
        <w:t>edn</w:t>
      </w:r>
      <w:proofErr w:type="spellEnd"/>
      <w:r w:rsidRPr="003409EE">
        <w:rPr>
          <w:rFonts w:ascii="Times New Roman" w:hAnsi="Times New Roman" w:cs="Times New Roman"/>
        </w:rPr>
        <w:t>. (Thousand Oaks, CA: Sage, 2018)</w:t>
      </w:r>
    </w:p>
    <w:p w14:paraId="3189F04D" w14:textId="77777777" w:rsidR="002E6159" w:rsidRPr="003409EE" w:rsidRDefault="002E6159" w:rsidP="002E6159">
      <w:pPr>
        <w:spacing w:after="0"/>
        <w:ind w:left="720" w:hanging="720"/>
        <w:contextualSpacing/>
        <w:rPr>
          <w:rFonts w:ascii="Times New Roman" w:hAnsi="Times New Roman" w:cs="Times New Roman"/>
        </w:rPr>
      </w:pPr>
    </w:p>
    <w:p w14:paraId="13D49AB5" w14:textId="77777777" w:rsidR="002E6159" w:rsidRPr="003409EE" w:rsidRDefault="002E6159" w:rsidP="002E6159">
      <w:pPr>
        <w:spacing w:after="0"/>
        <w:ind w:left="720" w:hanging="720"/>
        <w:contextualSpacing/>
        <w:rPr>
          <w:rFonts w:ascii="Times New Roman" w:hAnsi="Times New Roman" w:cs="Times New Roman"/>
        </w:rPr>
      </w:pPr>
      <w:proofErr w:type="spellStart"/>
      <w:r w:rsidRPr="003409EE">
        <w:rPr>
          <w:rFonts w:ascii="Times New Roman" w:hAnsi="Times New Roman" w:cs="Times New Roman"/>
        </w:rPr>
        <w:t>Gravetter</w:t>
      </w:r>
      <w:proofErr w:type="spellEnd"/>
      <w:r w:rsidRPr="003409EE">
        <w:rPr>
          <w:rFonts w:ascii="Times New Roman" w:hAnsi="Times New Roman" w:cs="Times New Roman"/>
        </w:rPr>
        <w:t xml:space="preserve">, Frederick J., and Larry B. </w:t>
      </w:r>
      <w:proofErr w:type="spellStart"/>
      <w:r w:rsidRPr="003409EE">
        <w:rPr>
          <w:rFonts w:ascii="Times New Roman" w:hAnsi="Times New Roman" w:cs="Times New Roman"/>
        </w:rPr>
        <w:t>Wallnau</w:t>
      </w:r>
      <w:proofErr w:type="spellEnd"/>
      <w:r w:rsidRPr="003409EE">
        <w:rPr>
          <w:rFonts w:ascii="Times New Roman" w:hAnsi="Times New Roman" w:cs="Times New Roman"/>
        </w:rPr>
        <w:t xml:space="preserve">, </w:t>
      </w:r>
      <w:r w:rsidRPr="003409EE">
        <w:rPr>
          <w:rFonts w:ascii="Times New Roman" w:hAnsi="Times New Roman" w:cs="Times New Roman"/>
          <w:i/>
          <w:iCs/>
        </w:rPr>
        <w:t xml:space="preserve">Essentials </w:t>
      </w:r>
      <w:proofErr w:type="gramStart"/>
      <w:r w:rsidRPr="003409EE">
        <w:rPr>
          <w:rFonts w:ascii="Times New Roman" w:hAnsi="Times New Roman" w:cs="Times New Roman"/>
          <w:i/>
          <w:iCs/>
        </w:rPr>
        <w:t>Of</w:t>
      </w:r>
      <w:proofErr w:type="gramEnd"/>
      <w:r w:rsidRPr="003409EE">
        <w:rPr>
          <w:rFonts w:ascii="Times New Roman" w:hAnsi="Times New Roman" w:cs="Times New Roman"/>
          <w:i/>
          <w:iCs/>
        </w:rPr>
        <w:t xml:space="preserve"> Statistics For The Behavioral Sciences</w:t>
      </w:r>
      <w:r w:rsidRPr="003409EE">
        <w:rPr>
          <w:rFonts w:ascii="Times New Roman" w:hAnsi="Times New Roman" w:cs="Times New Roman"/>
        </w:rPr>
        <w:t>, 6</w:t>
      </w:r>
      <w:r w:rsidRPr="003409EE">
        <w:rPr>
          <w:rFonts w:ascii="Times New Roman" w:hAnsi="Times New Roman" w:cs="Times New Roman"/>
          <w:vertAlign w:val="superscript"/>
        </w:rPr>
        <w:t>th</w:t>
      </w:r>
      <w:r w:rsidRPr="003409EE">
        <w:rPr>
          <w:rFonts w:ascii="Times New Roman" w:hAnsi="Times New Roman" w:cs="Times New Roman"/>
        </w:rPr>
        <w:t xml:space="preserve"> </w:t>
      </w:r>
      <w:proofErr w:type="spellStart"/>
      <w:r w:rsidRPr="003409EE">
        <w:rPr>
          <w:rFonts w:ascii="Times New Roman" w:hAnsi="Times New Roman" w:cs="Times New Roman"/>
        </w:rPr>
        <w:t>edn</w:t>
      </w:r>
      <w:proofErr w:type="spellEnd"/>
      <w:r w:rsidRPr="003409EE">
        <w:rPr>
          <w:rFonts w:ascii="Times New Roman" w:hAnsi="Times New Roman" w:cs="Times New Roman"/>
        </w:rPr>
        <w:t>. (Belmont, CA: Thomson Learning, 2008)</w:t>
      </w:r>
    </w:p>
    <w:p w14:paraId="5E3FD856" w14:textId="77777777" w:rsidR="002E6159" w:rsidRPr="003409EE" w:rsidRDefault="002E6159" w:rsidP="002E6159">
      <w:pPr>
        <w:spacing w:after="0"/>
        <w:ind w:left="720" w:hanging="720"/>
        <w:contextualSpacing/>
        <w:rPr>
          <w:rFonts w:ascii="Times New Roman" w:hAnsi="Times New Roman" w:cs="Times New Roman"/>
        </w:rPr>
      </w:pPr>
    </w:p>
    <w:p w14:paraId="525B3920" w14:textId="77777777" w:rsidR="002E6159" w:rsidRPr="003409EE" w:rsidRDefault="002E6159" w:rsidP="002E6159">
      <w:pPr>
        <w:spacing w:after="0"/>
        <w:ind w:left="720" w:hanging="720"/>
        <w:contextualSpacing/>
        <w:rPr>
          <w:rFonts w:ascii="Times New Roman" w:hAnsi="Times New Roman" w:cs="Times New Roman"/>
        </w:rPr>
      </w:pPr>
      <w:r w:rsidRPr="003409EE">
        <w:rPr>
          <w:rFonts w:ascii="Times New Roman" w:hAnsi="Times New Roman" w:cs="Times New Roman"/>
        </w:rPr>
        <w:t xml:space="preserve">Guillemin, </w:t>
      </w:r>
      <w:proofErr w:type="spellStart"/>
      <w:r w:rsidRPr="003409EE">
        <w:rPr>
          <w:rFonts w:ascii="Times New Roman" w:hAnsi="Times New Roman" w:cs="Times New Roman"/>
        </w:rPr>
        <w:t>Marilys</w:t>
      </w:r>
      <w:proofErr w:type="spellEnd"/>
      <w:r w:rsidRPr="003409EE">
        <w:rPr>
          <w:rFonts w:ascii="Times New Roman" w:hAnsi="Times New Roman" w:cs="Times New Roman"/>
        </w:rPr>
        <w:t xml:space="preserve"> and Lynn Gillam, ‘Ethics, Reflexivity, And “Ethically Important Moments” In Research’, </w:t>
      </w:r>
      <w:r w:rsidRPr="003409EE">
        <w:rPr>
          <w:rFonts w:ascii="Times New Roman" w:hAnsi="Times New Roman" w:cs="Times New Roman"/>
          <w:i/>
          <w:iCs/>
        </w:rPr>
        <w:t>Qualitative Inquiry</w:t>
      </w:r>
      <w:r w:rsidRPr="003409EE">
        <w:rPr>
          <w:rFonts w:ascii="Times New Roman" w:hAnsi="Times New Roman" w:cs="Times New Roman"/>
        </w:rPr>
        <w:t>, 10.2 (2004), 261-280</w:t>
      </w:r>
      <w:r>
        <w:rPr>
          <w:rFonts w:ascii="Times New Roman" w:hAnsi="Times New Roman" w:cs="Times New Roman"/>
        </w:rPr>
        <w:t xml:space="preserve"> &lt;</w:t>
      </w:r>
      <w:r w:rsidRPr="00D462BF">
        <w:rPr>
          <w:rFonts w:ascii="Palatino-Roman" w:hAnsi="Palatino-Roman" w:cs="Palatino-Roman"/>
          <w:sz w:val="14"/>
          <w:szCs w:val="14"/>
        </w:rPr>
        <w:t xml:space="preserve"> </w:t>
      </w:r>
      <w:r w:rsidRPr="00D462BF">
        <w:rPr>
          <w:rFonts w:ascii="Times New Roman" w:hAnsi="Times New Roman" w:cs="Times New Roman"/>
        </w:rPr>
        <w:t>DOI: 10.1177/1077800403262360</w:t>
      </w:r>
      <w:r>
        <w:rPr>
          <w:rFonts w:ascii="Times New Roman" w:hAnsi="Times New Roman" w:cs="Times New Roman"/>
        </w:rPr>
        <w:t>&gt;</w:t>
      </w:r>
    </w:p>
    <w:p w14:paraId="10AB7152" w14:textId="77777777" w:rsidR="002E6159" w:rsidRPr="003409EE" w:rsidRDefault="002E6159" w:rsidP="002E6159">
      <w:pPr>
        <w:spacing w:after="0"/>
        <w:ind w:left="720" w:hanging="720"/>
        <w:contextualSpacing/>
        <w:rPr>
          <w:rFonts w:ascii="Times New Roman" w:hAnsi="Times New Roman" w:cs="Times New Roman"/>
        </w:rPr>
      </w:pPr>
    </w:p>
    <w:p w14:paraId="1C271176" w14:textId="77777777" w:rsidR="002E6159" w:rsidRPr="003409EE" w:rsidRDefault="002E6159" w:rsidP="002E6159">
      <w:pPr>
        <w:spacing w:after="0"/>
        <w:ind w:left="720" w:hanging="720"/>
        <w:contextualSpacing/>
        <w:rPr>
          <w:rFonts w:ascii="Times New Roman" w:hAnsi="Times New Roman" w:cs="Times New Roman"/>
        </w:rPr>
      </w:pPr>
      <w:proofErr w:type="spellStart"/>
      <w:r w:rsidRPr="003409EE">
        <w:rPr>
          <w:rFonts w:ascii="Times New Roman" w:hAnsi="Times New Roman" w:cs="Times New Roman"/>
        </w:rPr>
        <w:t>Henninck</w:t>
      </w:r>
      <w:proofErr w:type="spellEnd"/>
      <w:r w:rsidRPr="003409EE">
        <w:rPr>
          <w:rFonts w:ascii="Times New Roman" w:hAnsi="Times New Roman" w:cs="Times New Roman"/>
        </w:rPr>
        <w:t xml:space="preserve">, Monique, Inge </w:t>
      </w:r>
      <w:proofErr w:type="spellStart"/>
      <w:r w:rsidRPr="003409EE">
        <w:rPr>
          <w:rFonts w:ascii="Times New Roman" w:hAnsi="Times New Roman" w:cs="Times New Roman"/>
        </w:rPr>
        <w:t>Hutter</w:t>
      </w:r>
      <w:proofErr w:type="spellEnd"/>
      <w:r w:rsidRPr="003409EE">
        <w:rPr>
          <w:rFonts w:ascii="Times New Roman" w:hAnsi="Times New Roman" w:cs="Times New Roman"/>
        </w:rPr>
        <w:t xml:space="preserve"> and Ajay Bailey, </w:t>
      </w:r>
      <w:r w:rsidRPr="003409EE">
        <w:rPr>
          <w:rFonts w:ascii="Times New Roman" w:hAnsi="Times New Roman" w:cs="Times New Roman"/>
          <w:i/>
          <w:iCs/>
        </w:rPr>
        <w:t>Qualitative Research Methods</w:t>
      </w:r>
      <w:r w:rsidRPr="003409EE">
        <w:rPr>
          <w:rFonts w:ascii="Times New Roman" w:hAnsi="Times New Roman" w:cs="Times New Roman"/>
        </w:rPr>
        <w:t xml:space="preserve"> (London: Sage, 2020)</w:t>
      </w:r>
    </w:p>
    <w:p w14:paraId="21D597F6" w14:textId="77777777" w:rsidR="002E6159" w:rsidRPr="003409EE" w:rsidRDefault="002E6159" w:rsidP="002E6159">
      <w:pPr>
        <w:spacing w:after="0"/>
        <w:ind w:left="720" w:hanging="720"/>
        <w:contextualSpacing/>
        <w:rPr>
          <w:rFonts w:ascii="Times New Roman" w:hAnsi="Times New Roman" w:cs="Times New Roman"/>
        </w:rPr>
      </w:pPr>
    </w:p>
    <w:p w14:paraId="1A3385C5" w14:textId="77777777" w:rsidR="002E6159" w:rsidRPr="003409EE" w:rsidRDefault="002E6159" w:rsidP="002E6159">
      <w:pPr>
        <w:spacing w:after="0"/>
        <w:ind w:left="720" w:hanging="720"/>
        <w:contextualSpacing/>
        <w:rPr>
          <w:rFonts w:ascii="Times New Roman" w:hAnsi="Times New Roman" w:cs="Times New Roman"/>
        </w:rPr>
      </w:pPr>
      <w:proofErr w:type="spellStart"/>
      <w:r w:rsidRPr="003409EE">
        <w:rPr>
          <w:rFonts w:ascii="Times New Roman" w:hAnsi="Times New Roman" w:cs="Times New Roman"/>
        </w:rPr>
        <w:t>Lahman</w:t>
      </w:r>
      <w:proofErr w:type="spellEnd"/>
      <w:r w:rsidRPr="003409EE">
        <w:rPr>
          <w:rFonts w:ascii="Times New Roman" w:hAnsi="Times New Roman" w:cs="Times New Roman"/>
        </w:rPr>
        <w:t xml:space="preserve">, Maria K.E., Monica R. Geist, Katrina L. Rodriguez, Pamela </w:t>
      </w:r>
      <w:proofErr w:type="spellStart"/>
      <w:r w:rsidRPr="003409EE">
        <w:rPr>
          <w:rFonts w:ascii="Times New Roman" w:hAnsi="Times New Roman" w:cs="Times New Roman"/>
        </w:rPr>
        <w:t>Graglia</w:t>
      </w:r>
      <w:proofErr w:type="spellEnd"/>
      <w:r w:rsidRPr="003409EE">
        <w:rPr>
          <w:rFonts w:ascii="Times New Roman" w:hAnsi="Times New Roman" w:cs="Times New Roman"/>
        </w:rPr>
        <w:t xml:space="preserve"> and Kathryn K. </w:t>
      </w:r>
      <w:proofErr w:type="spellStart"/>
      <w:r w:rsidRPr="003409EE">
        <w:rPr>
          <w:rFonts w:ascii="Times New Roman" w:hAnsi="Times New Roman" w:cs="Times New Roman"/>
        </w:rPr>
        <w:t>DeRoche</w:t>
      </w:r>
      <w:proofErr w:type="spellEnd"/>
      <w:r w:rsidRPr="003409EE">
        <w:rPr>
          <w:rFonts w:ascii="Times New Roman" w:hAnsi="Times New Roman" w:cs="Times New Roman"/>
        </w:rPr>
        <w:t xml:space="preserve">, ‘Culturally Responsive Relational Reflexive Ethics </w:t>
      </w:r>
      <w:proofErr w:type="gramStart"/>
      <w:r w:rsidRPr="003409EE">
        <w:rPr>
          <w:rFonts w:ascii="Times New Roman" w:hAnsi="Times New Roman" w:cs="Times New Roman"/>
        </w:rPr>
        <w:t>In</w:t>
      </w:r>
      <w:proofErr w:type="gramEnd"/>
      <w:r w:rsidRPr="003409EE">
        <w:rPr>
          <w:rFonts w:ascii="Times New Roman" w:hAnsi="Times New Roman" w:cs="Times New Roman"/>
        </w:rPr>
        <w:t xml:space="preserve"> Research: The Three Rs’, </w:t>
      </w:r>
      <w:r w:rsidRPr="003409EE">
        <w:rPr>
          <w:rFonts w:ascii="Times New Roman" w:hAnsi="Times New Roman" w:cs="Times New Roman"/>
          <w:i/>
          <w:iCs/>
        </w:rPr>
        <w:t>Quality and Quantity</w:t>
      </w:r>
      <w:r w:rsidRPr="003409EE">
        <w:rPr>
          <w:rFonts w:ascii="Times New Roman" w:hAnsi="Times New Roman" w:cs="Times New Roman"/>
        </w:rPr>
        <w:t>, 45 (2011), 1397-1414</w:t>
      </w:r>
      <w:r>
        <w:rPr>
          <w:rFonts w:ascii="Times New Roman" w:hAnsi="Times New Roman" w:cs="Times New Roman"/>
        </w:rPr>
        <w:t xml:space="preserve"> &lt;</w:t>
      </w:r>
      <w:r w:rsidRPr="008E632D">
        <w:rPr>
          <w:rFonts w:ascii="Times New Roman" w:hAnsi="Times New Roman" w:cs="Times New Roman"/>
        </w:rPr>
        <w:t>DOI 10.1007/s11135-010-9347-3</w:t>
      </w:r>
      <w:r>
        <w:rPr>
          <w:rFonts w:ascii="Times New Roman" w:hAnsi="Times New Roman" w:cs="Times New Roman"/>
        </w:rPr>
        <w:t>&gt;</w:t>
      </w:r>
    </w:p>
    <w:p w14:paraId="459FA265" w14:textId="77777777" w:rsidR="002E6159" w:rsidRPr="003409EE" w:rsidRDefault="002E6159" w:rsidP="002E6159">
      <w:pPr>
        <w:spacing w:after="0"/>
        <w:contextualSpacing/>
        <w:rPr>
          <w:rFonts w:ascii="Times New Roman" w:hAnsi="Times New Roman" w:cs="Times New Roman"/>
        </w:rPr>
      </w:pPr>
    </w:p>
    <w:p w14:paraId="1825CFA4" w14:textId="77777777" w:rsidR="002E6159" w:rsidRPr="003409EE" w:rsidRDefault="002E6159" w:rsidP="002E6159">
      <w:pPr>
        <w:spacing w:after="0"/>
        <w:ind w:left="720" w:hanging="720"/>
        <w:contextualSpacing/>
        <w:rPr>
          <w:rFonts w:ascii="Times New Roman" w:hAnsi="Times New Roman" w:cs="Times New Roman"/>
        </w:rPr>
      </w:pPr>
      <w:r w:rsidRPr="003409EE">
        <w:rPr>
          <w:rFonts w:ascii="Times New Roman" w:hAnsi="Times New Roman" w:cs="Times New Roman"/>
        </w:rPr>
        <w:t xml:space="preserve">Rubin, Allen and Earl Babbie, </w:t>
      </w:r>
      <w:r w:rsidRPr="003409EE">
        <w:rPr>
          <w:rFonts w:ascii="Times New Roman" w:hAnsi="Times New Roman" w:cs="Times New Roman"/>
          <w:i/>
          <w:iCs/>
        </w:rPr>
        <w:t xml:space="preserve">Essential Research Methods </w:t>
      </w:r>
      <w:proofErr w:type="gramStart"/>
      <w:r w:rsidRPr="003409EE">
        <w:rPr>
          <w:rFonts w:ascii="Times New Roman" w:hAnsi="Times New Roman" w:cs="Times New Roman"/>
          <w:i/>
          <w:iCs/>
        </w:rPr>
        <w:t>For</w:t>
      </w:r>
      <w:proofErr w:type="gramEnd"/>
      <w:r w:rsidRPr="003409EE">
        <w:rPr>
          <w:rFonts w:ascii="Times New Roman" w:hAnsi="Times New Roman" w:cs="Times New Roman"/>
          <w:i/>
          <w:iCs/>
        </w:rPr>
        <w:t xml:space="preserve"> Social Work</w:t>
      </w:r>
      <w:r w:rsidRPr="003409EE">
        <w:rPr>
          <w:rFonts w:ascii="Times New Roman" w:hAnsi="Times New Roman" w:cs="Times New Roman"/>
        </w:rPr>
        <w:t>, 4</w:t>
      </w:r>
      <w:r w:rsidRPr="003409EE">
        <w:rPr>
          <w:rFonts w:ascii="Times New Roman" w:hAnsi="Times New Roman" w:cs="Times New Roman"/>
          <w:vertAlign w:val="superscript"/>
        </w:rPr>
        <w:t>th</w:t>
      </w:r>
      <w:r w:rsidRPr="003409EE">
        <w:rPr>
          <w:rFonts w:ascii="Times New Roman" w:hAnsi="Times New Roman" w:cs="Times New Roman"/>
        </w:rPr>
        <w:t xml:space="preserve"> </w:t>
      </w:r>
      <w:proofErr w:type="spellStart"/>
      <w:r w:rsidRPr="003409EE">
        <w:rPr>
          <w:rFonts w:ascii="Times New Roman" w:hAnsi="Times New Roman" w:cs="Times New Roman"/>
        </w:rPr>
        <w:t>edn</w:t>
      </w:r>
      <w:proofErr w:type="spellEnd"/>
      <w:r w:rsidRPr="003409EE">
        <w:rPr>
          <w:rFonts w:ascii="Times New Roman" w:hAnsi="Times New Roman" w:cs="Times New Roman"/>
        </w:rPr>
        <w:t>. (Boston, MA: Cengage, 2014)</w:t>
      </w:r>
    </w:p>
    <w:p w14:paraId="7D9B7CF9" w14:textId="77777777" w:rsidR="002E6159" w:rsidRPr="003409EE" w:rsidRDefault="002E6159" w:rsidP="002E6159">
      <w:pPr>
        <w:spacing w:after="0"/>
        <w:ind w:left="720" w:hanging="720"/>
        <w:contextualSpacing/>
        <w:rPr>
          <w:rFonts w:ascii="Times New Roman" w:hAnsi="Times New Roman" w:cs="Times New Roman"/>
        </w:rPr>
      </w:pPr>
    </w:p>
    <w:p w14:paraId="511657B7" w14:textId="77777777" w:rsidR="002E6159" w:rsidRPr="003409EE" w:rsidRDefault="002E6159" w:rsidP="002E6159">
      <w:pPr>
        <w:spacing w:after="0"/>
        <w:ind w:left="720" w:hanging="720"/>
        <w:contextualSpacing/>
        <w:rPr>
          <w:rFonts w:ascii="Times New Roman" w:hAnsi="Times New Roman" w:cs="Times New Roman"/>
        </w:rPr>
      </w:pPr>
      <w:r w:rsidRPr="003409EE">
        <w:rPr>
          <w:rFonts w:ascii="Times New Roman" w:hAnsi="Times New Roman" w:cs="Times New Roman"/>
        </w:rPr>
        <w:t xml:space="preserve">Trochim, William M.K., </w:t>
      </w:r>
      <w:r w:rsidRPr="003409EE">
        <w:rPr>
          <w:rFonts w:ascii="Times New Roman" w:hAnsi="Times New Roman" w:cs="Times New Roman"/>
          <w:i/>
          <w:iCs/>
        </w:rPr>
        <w:t>The Research Methods Knowledge Base</w:t>
      </w:r>
      <w:r w:rsidRPr="003409EE">
        <w:rPr>
          <w:rFonts w:ascii="Times New Roman" w:hAnsi="Times New Roman" w:cs="Times New Roman"/>
        </w:rPr>
        <w:t>, 2</w:t>
      </w:r>
      <w:r w:rsidRPr="003409EE">
        <w:rPr>
          <w:rFonts w:ascii="Times New Roman" w:hAnsi="Times New Roman" w:cs="Times New Roman"/>
          <w:vertAlign w:val="superscript"/>
        </w:rPr>
        <w:t>nd</w:t>
      </w:r>
      <w:r w:rsidRPr="003409EE">
        <w:rPr>
          <w:rFonts w:ascii="Times New Roman" w:hAnsi="Times New Roman" w:cs="Times New Roman"/>
        </w:rPr>
        <w:t xml:space="preserve"> </w:t>
      </w:r>
      <w:proofErr w:type="spellStart"/>
      <w:r w:rsidRPr="003409EE">
        <w:rPr>
          <w:rFonts w:ascii="Times New Roman" w:hAnsi="Times New Roman" w:cs="Times New Roman"/>
        </w:rPr>
        <w:t>edn</w:t>
      </w:r>
      <w:proofErr w:type="spellEnd"/>
      <w:r w:rsidRPr="003409EE">
        <w:rPr>
          <w:rFonts w:ascii="Times New Roman" w:hAnsi="Times New Roman" w:cs="Times New Roman"/>
        </w:rPr>
        <w:t>. (Cincinnati, OH: Atomic Dog Publishing, 2001)</w:t>
      </w:r>
    </w:p>
    <w:p w14:paraId="612FD9AD" w14:textId="77777777" w:rsidR="002E6159" w:rsidRPr="003409EE" w:rsidRDefault="002E6159" w:rsidP="002E6159">
      <w:pPr>
        <w:spacing w:after="0"/>
        <w:ind w:left="720" w:hanging="720"/>
        <w:contextualSpacing/>
        <w:rPr>
          <w:rFonts w:ascii="Times New Roman" w:hAnsi="Times New Roman" w:cs="Times New Roman"/>
        </w:rPr>
      </w:pPr>
    </w:p>
    <w:p w14:paraId="03BEA5A8" w14:textId="77777777" w:rsidR="002E6159" w:rsidRPr="003409EE" w:rsidRDefault="002E6159" w:rsidP="002E6159">
      <w:pPr>
        <w:spacing w:after="0"/>
        <w:ind w:left="720" w:hanging="720"/>
        <w:contextualSpacing/>
        <w:rPr>
          <w:rFonts w:ascii="Times New Roman" w:hAnsi="Times New Roman" w:cs="Times New Roman"/>
        </w:rPr>
      </w:pPr>
      <w:r w:rsidRPr="003409EE">
        <w:rPr>
          <w:rFonts w:ascii="Times New Roman" w:hAnsi="Times New Roman" w:cs="Times New Roman"/>
        </w:rPr>
        <w:t xml:space="preserve">Walter, Tony and Helen Waterhouse, ‘A Very Private Belief: Reincarnation </w:t>
      </w:r>
      <w:proofErr w:type="gramStart"/>
      <w:r w:rsidRPr="003409EE">
        <w:rPr>
          <w:rFonts w:ascii="Times New Roman" w:hAnsi="Times New Roman" w:cs="Times New Roman"/>
        </w:rPr>
        <w:t>In</w:t>
      </w:r>
      <w:proofErr w:type="gramEnd"/>
      <w:r w:rsidRPr="003409EE">
        <w:rPr>
          <w:rFonts w:ascii="Times New Roman" w:hAnsi="Times New Roman" w:cs="Times New Roman"/>
        </w:rPr>
        <w:t xml:space="preserve"> Contemporary England’, </w:t>
      </w:r>
      <w:r w:rsidRPr="003409EE">
        <w:rPr>
          <w:rFonts w:ascii="Times New Roman" w:hAnsi="Times New Roman" w:cs="Times New Roman"/>
          <w:i/>
          <w:iCs/>
        </w:rPr>
        <w:t>Sociology of Religion</w:t>
      </w:r>
      <w:r w:rsidRPr="003409EE">
        <w:rPr>
          <w:rFonts w:ascii="Times New Roman" w:hAnsi="Times New Roman" w:cs="Times New Roman"/>
        </w:rPr>
        <w:t>, 66.2 (1999), 187-197</w:t>
      </w:r>
      <w:r>
        <w:rPr>
          <w:rFonts w:ascii="Times New Roman" w:hAnsi="Times New Roman" w:cs="Times New Roman"/>
        </w:rPr>
        <w:t xml:space="preserve"> &lt;</w:t>
      </w:r>
      <w:r w:rsidRPr="004A0BA2">
        <w:t xml:space="preserve"> </w:t>
      </w:r>
      <w:r w:rsidRPr="004A0BA2">
        <w:rPr>
          <w:rFonts w:ascii="Times New Roman" w:hAnsi="Times New Roman" w:cs="Times New Roman"/>
        </w:rPr>
        <w:t>https://www.jstor.org/stable/3711748</w:t>
      </w:r>
      <w:r>
        <w:rPr>
          <w:rFonts w:ascii="Times New Roman" w:hAnsi="Times New Roman" w:cs="Times New Roman"/>
        </w:rPr>
        <w:t>&gt;</w:t>
      </w:r>
    </w:p>
    <w:p w14:paraId="1A149212" w14:textId="77777777" w:rsidR="00FB5ECC" w:rsidRDefault="00FB5ECC"/>
    <w:sectPr w:rsidR="00FB5EC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A4AE74" w14:textId="77777777" w:rsidR="00A23909" w:rsidRDefault="00A23909" w:rsidP="002E6159">
      <w:pPr>
        <w:spacing w:after="0" w:line="240" w:lineRule="auto"/>
      </w:pPr>
      <w:r>
        <w:separator/>
      </w:r>
    </w:p>
  </w:endnote>
  <w:endnote w:type="continuationSeparator" w:id="0">
    <w:p w14:paraId="72E3DC2F" w14:textId="77777777" w:rsidR="00A23909" w:rsidRDefault="00A23909" w:rsidP="002E6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alatino-Roman">
    <w:altName w:val="Palatino Linotype"/>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CFF77A" w14:textId="77777777" w:rsidR="00A23909" w:rsidRDefault="00A23909" w:rsidP="002E6159">
      <w:pPr>
        <w:spacing w:after="0" w:line="240" w:lineRule="auto"/>
      </w:pPr>
      <w:r>
        <w:separator/>
      </w:r>
    </w:p>
  </w:footnote>
  <w:footnote w:type="continuationSeparator" w:id="0">
    <w:p w14:paraId="4707429D" w14:textId="77777777" w:rsidR="00A23909" w:rsidRDefault="00A23909" w:rsidP="002E6159">
      <w:pPr>
        <w:spacing w:after="0" w:line="240" w:lineRule="auto"/>
      </w:pPr>
      <w:r>
        <w:continuationSeparator/>
      </w:r>
    </w:p>
  </w:footnote>
  <w:footnote w:id="1">
    <w:p w14:paraId="43E5CF69" w14:textId="77777777" w:rsidR="002E6159" w:rsidRPr="00F55C10" w:rsidRDefault="002E6159" w:rsidP="002E6159">
      <w:pPr>
        <w:pStyle w:val="FootnoteText"/>
        <w:rPr>
          <w:rFonts w:ascii="Times New Roman" w:hAnsi="Times New Roman" w:cs="Times New Roman"/>
        </w:rPr>
      </w:pPr>
      <w:r w:rsidRPr="00F55C10">
        <w:rPr>
          <w:rStyle w:val="FootnoteReference"/>
          <w:rFonts w:ascii="Times New Roman" w:hAnsi="Times New Roman" w:cs="Times New Roman"/>
        </w:rPr>
        <w:footnoteRef/>
      </w:r>
      <w:r w:rsidRPr="00F55C10">
        <w:rPr>
          <w:rFonts w:ascii="Times New Roman" w:hAnsi="Times New Roman" w:cs="Times New Roman"/>
        </w:rPr>
        <w:t xml:space="preserve"> T.L. Brink, </w:t>
      </w:r>
      <w:r>
        <w:rPr>
          <w:rFonts w:ascii="Times New Roman" w:hAnsi="Times New Roman" w:cs="Times New Roman"/>
        </w:rPr>
        <w:t>‘</w:t>
      </w:r>
      <w:r w:rsidRPr="00F55C10">
        <w:rPr>
          <w:rFonts w:ascii="Times New Roman" w:hAnsi="Times New Roman" w:cs="Times New Roman"/>
        </w:rPr>
        <w:t xml:space="preserve">Inconsistency </w:t>
      </w:r>
      <w:proofErr w:type="gramStart"/>
      <w:r>
        <w:rPr>
          <w:rFonts w:ascii="Times New Roman" w:hAnsi="Times New Roman" w:cs="Times New Roman"/>
        </w:rPr>
        <w:t>O</w:t>
      </w:r>
      <w:r w:rsidRPr="00F55C10">
        <w:rPr>
          <w:rFonts w:ascii="Times New Roman" w:hAnsi="Times New Roman" w:cs="Times New Roman"/>
        </w:rPr>
        <w:t>f</w:t>
      </w:r>
      <w:proofErr w:type="gramEnd"/>
      <w:r w:rsidRPr="00F55C10">
        <w:rPr>
          <w:rFonts w:ascii="Times New Roman" w:hAnsi="Times New Roman" w:cs="Times New Roman"/>
        </w:rPr>
        <w:t xml:space="preserve"> Belief Among Roman Catholic Girls: Concerning Religion, Astrology, Reincarnation’, </w:t>
      </w:r>
      <w:r w:rsidRPr="00F55C10">
        <w:rPr>
          <w:rFonts w:ascii="Times New Roman" w:hAnsi="Times New Roman" w:cs="Times New Roman"/>
          <w:i/>
          <w:iCs/>
        </w:rPr>
        <w:t>Review of Religious Research</w:t>
      </w:r>
      <w:r w:rsidRPr="00F55C10">
        <w:rPr>
          <w:rFonts w:ascii="Times New Roman" w:hAnsi="Times New Roman" w:cs="Times New Roman"/>
        </w:rPr>
        <w:t>, 20.1 (1978), 82-85 [hereafter Brink, ‘</w:t>
      </w:r>
      <w:r>
        <w:rPr>
          <w:rFonts w:ascii="Times New Roman" w:hAnsi="Times New Roman" w:cs="Times New Roman"/>
        </w:rPr>
        <w:t>Inconsistency Of Belief’</w:t>
      </w:r>
      <w:r w:rsidRPr="00F55C10">
        <w:rPr>
          <w:rFonts w:ascii="Times New Roman" w:hAnsi="Times New Roman" w:cs="Times New Roman"/>
        </w:rPr>
        <w:t>].</w:t>
      </w:r>
    </w:p>
  </w:footnote>
  <w:footnote w:id="2">
    <w:p w14:paraId="6252BD85" w14:textId="77777777" w:rsidR="002E6159" w:rsidRPr="00F55C10" w:rsidRDefault="002E6159" w:rsidP="002E6159">
      <w:pPr>
        <w:pStyle w:val="FootnoteText"/>
        <w:rPr>
          <w:rFonts w:ascii="Times New Roman" w:hAnsi="Times New Roman" w:cs="Times New Roman"/>
        </w:rPr>
      </w:pPr>
      <w:r w:rsidRPr="00F55C10">
        <w:rPr>
          <w:rStyle w:val="FootnoteReference"/>
          <w:rFonts w:ascii="Times New Roman" w:hAnsi="Times New Roman" w:cs="Times New Roman"/>
        </w:rPr>
        <w:footnoteRef/>
      </w:r>
      <w:r w:rsidRPr="00F55C10">
        <w:rPr>
          <w:rFonts w:ascii="Times New Roman" w:hAnsi="Times New Roman" w:cs="Times New Roman"/>
        </w:rPr>
        <w:t xml:space="preserve"> Tony Walter and Helen Waterhouse, ‘A Very Private Belief: Reincarnation </w:t>
      </w:r>
      <w:proofErr w:type="gramStart"/>
      <w:r>
        <w:rPr>
          <w:rFonts w:ascii="Times New Roman" w:hAnsi="Times New Roman" w:cs="Times New Roman"/>
        </w:rPr>
        <w:t>I</w:t>
      </w:r>
      <w:r w:rsidRPr="00F55C10">
        <w:rPr>
          <w:rFonts w:ascii="Times New Roman" w:hAnsi="Times New Roman" w:cs="Times New Roman"/>
        </w:rPr>
        <w:t>n</w:t>
      </w:r>
      <w:proofErr w:type="gramEnd"/>
      <w:r w:rsidRPr="00F55C10">
        <w:rPr>
          <w:rFonts w:ascii="Times New Roman" w:hAnsi="Times New Roman" w:cs="Times New Roman"/>
        </w:rPr>
        <w:t xml:space="preserve"> Contemporary England’, </w:t>
      </w:r>
      <w:r w:rsidRPr="00F55C10">
        <w:rPr>
          <w:rFonts w:ascii="Times New Roman" w:hAnsi="Times New Roman" w:cs="Times New Roman"/>
          <w:i/>
          <w:iCs/>
        </w:rPr>
        <w:t>Sociology of Religion</w:t>
      </w:r>
      <w:r w:rsidRPr="00F55C10">
        <w:rPr>
          <w:rFonts w:ascii="Times New Roman" w:hAnsi="Times New Roman" w:cs="Times New Roman"/>
        </w:rPr>
        <w:t>, 60.2 (1999), 187-197 [hereafter Walter and Waterhouse, ‘</w:t>
      </w:r>
      <w:r>
        <w:rPr>
          <w:rFonts w:ascii="Times New Roman" w:hAnsi="Times New Roman" w:cs="Times New Roman"/>
        </w:rPr>
        <w:t>Reincarnation In England</w:t>
      </w:r>
      <w:r w:rsidRPr="00F55C10">
        <w:rPr>
          <w:rFonts w:ascii="Times New Roman" w:hAnsi="Times New Roman" w:cs="Times New Roman"/>
        </w:rPr>
        <w:t>’]</w:t>
      </w:r>
    </w:p>
  </w:footnote>
  <w:footnote w:id="3">
    <w:p w14:paraId="1B3D7102" w14:textId="77777777" w:rsidR="002E6159" w:rsidRPr="00F55C10" w:rsidRDefault="002E6159" w:rsidP="002E6159">
      <w:pPr>
        <w:pStyle w:val="FootnoteText"/>
        <w:rPr>
          <w:rFonts w:ascii="Times New Roman" w:hAnsi="Times New Roman" w:cs="Times New Roman"/>
        </w:rPr>
      </w:pPr>
      <w:r w:rsidRPr="00F55C10">
        <w:rPr>
          <w:rStyle w:val="FootnoteReference"/>
          <w:rFonts w:ascii="Times New Roman" w:hAnsi="Times New Roman" w:cs="Times New Roman"/>
        </w:rPr>
        <w:footnoteRef/>
      </w:r>
      <w:r w:rsidRPr="00F55C10">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F55C10">
        <w:rPr>
          <w:rFonts w:ascii="Times New Roman" w:hAnsi="Times New Roman" w:cs="Times New Roman"/>
        </w:rPr>
        <w:t>’, pp. 82-83.</w:t>
      </w:r>
    </w:p>
  </w:footnote>
  <w:footnote w:id="4">
    <w:p w14:paraId="1F251D77" w14:textId="77777777" w:rsidR="002E6159" w:rsidRPr="00F55C10" w:rsidRDefault="002E6159" w:rsidP="002E6159">
      <w:pPr>
        <w:pStyle w:val="FootnoteText"/>
        <w:rPr>
          <w:rFonts w:ascii="Times New Roman" w:hAnsi="Times New Roman" w:cs="Times New Roman"/>
        </w:rPr>
      </w:pPr>
      <w:r w:rsidRPr="00F55C10">
        <w:rPr>
          <w:rStyle w:val="FootnoteReference"/>
          <w:rFonts w:ascii="Times New Roman" w:hAnsi="Times New Roman" w:cs="Times New Roman"/>
        </w:rPr>
        <w:footnoteRef/>
      </w:r>
      <w:r w:rsidRPr="00F55C10">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F55C10">
        <w:rPr>
          <w:rFonts w:ascii="Times New Roman" w:hAnsi="Times New Roman" w:cs="Times New Roman"/>
        </w:rPr>
        <w:t>’, p. 84.</w:t>
      </w:r>
    </w:p>
  </w:footnote>
  <w:footnote w:id="5">
    <w:p w14:paraId="6DE8197F" w14:textId="77777777" w:rsidR="002E6159" w:rsidRPr="00F55C10" w:rsidRDefault="002E6159" w:rsidP="002E6159">
      <w:pPr>
        <w:pStyle w:val="FootnoteText"/>
        <w:rPr>
          <w:rFonts w:ascii="Times New Roman" w:hAnsi="Times New Roman" w:cs="Times New Roman"/>
        </w:rPr>
      </w:pPr>
      <w:r w:rsidRPr="00F55C10">
        <w:rPr>
          <w:rStyle w:val="FootnoteReference"/>
          <w:rFonts w:ascii="Times New Roman" w:hAnsi="Times New Roman" w:cs="Times New Roman"/>
        </w:rPr>
        <w:footnoteRef/>
      </w:r>
      <w:r w:rsidRPr="00F55C10">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F55C10">
        <w:rPr>
          <w:rFonts w:ascii="Times New Roman" w:hAnsi="Times New Roman" w:cs="Times New Roman"/>
        </w:rPr>
        <w:t>’, pp. 189, 197.</w:t>
      </w:r>
    </w:p>
  </w:footnote>
  <w:footnote w:id="6">
    <w:p w14:paraId="7C2710F9" w14:textId="77777777" w:rsidR="002E6159" w:rsidRPr="00F55C10" w:rsidRDefault="002E6159" w:rsidP="002E6159">
      <w:pPr>
        <w:pStyle w:val="FootnoteText"/>
        <w:rPr>
          <w:rFonts w:ascii="Times New Roman" w:hAnsi="Times New Roman" w:cs="Times New Roman"/>
          <w:b/>
          <w:bCs/>
        </w:rPr>
      </w:pPr>
      <w:r w:rsidRPr="00F55C10">
        <w:rPr>
          <w:rStyle w:val="FootnoteReference"/>
          <w:rFonts w:ascii="Times New Roman" w:hAnsi="Times New Roman" w:cs="Times New Roman"/>
        </w:rPr>
        <w:footnoteRef/>
      </w:r>
      <w:r w:rsidRPr="00F55C10">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F55C10">
        <w:rPr>
          <w:rFonts w:ascii="Times New Roman" w:hAnsi="Times New Roman" w:cs="Times New Roman"/>
        </w:rPr>
        <w:t>’, p. 84.</w:t>
      </w:r>
    </w:p>
  </w:footnote>
  <w:footnote w:id="7">
    <w:p w14:paraId="01C319C5"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4378F9">
        <w:rPr>
          <w:rFonts w:ascii="Times New Roman" w:hAnsi="Times New Roman" w:cs="Times New Roman"/>
        </w:rPr>
        <w:t>, p. 188.</w:t>
      </w:r>
    </w:p>
  </w:footnote>
  <w:footnote w:id="8">
    <w:p w14:paraId="34C0510A"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4378F9">
        <w:rPr>
          <w:rFonts w:ascii="Times New Roman" w:hAnsi="Times New Roman" w:cs="Times New Roman"/>
        </w:rPr>
        <w:t>, pp. 190-195.</w:t>
      </w:r>
    </w:p>
  </w:footnote>
  <w:footnote w:id="9">
    <w:p w14:paraId="50F1C87F"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Monique </w:t>
      </w:r>
      <w:proofErr w:type="spellStart"/>
      <w:r w:rsidRPr="004378F9">
        <w:rPr>
          <w:rFonts w:ascii="Times New Roman" w:hAnsi="Times New Roman" w:cs="Times New Roman"/>
        </w:rPr>
        <w:t>Henninck</w:t>
      </w:r>
      <w:proofErr w:type="spellEnd"/>
      <w:r w:rsidRPr="004378F9">
        <w:rPr>
          <w:rFonts w:ascii="Times New Roman" w:hAnsi="Times New Roman" w:cs="Times New Roman"/>
        </w:rPr>
        <w:t xml:space="preserve">, Inge </w:t>
      </w:r>
      <w:proofErr w:type="spellStart"/>
      <w:r w:rsidRPr="004378F9">
        <w:rPr>
          <w:rFonts w:ascii="Times New Roman" w:hAnsi="Times New Roman" w:cs="Times New Roman"/>
        </w:rPr>
        <w:t>Hutter</w:t>
      </w:r>
      <w:proofErr w:type="spellEnd"/>
      <w:r w:rsidRPr="004378F9">
        <w:rPr>
          <w:rFonts w:ascii="Times New Roman" w:hAnsi="Times New Roman" w:cs="Times New Roman"/>
        </w:rPr>
        <w:t xml:space="preserve">, and Ajay Bailey, </w:t>
      </w:r>
      <w:r w:rsidRPr="004378F9">
        <w:rPr>
          <w:rFonts w:ascii="Times New Roman" w:hAnsi="Times New Roman" w:cs="Times New Roman"/>
          <w:i/>
          <w:iCs/>
        </w:rPr>
        <w:t>Qualitative Research Methods</w:t>
      </w:r>
      <w:r w:rsidRPr="004378F9">
        <w:rPr>
          <w:rFonts w:ascii="Times New Roman" w:hAnsi="Times New Roman" w:cs="Times New Roman"/>
        </w:rPr>
        <w:t xml:space="preserve"> (London: Sage, 2020), [hereafter </w:t>
      </w:r>
      <w:proofErr w:type="spellStart"/>
      <w:r w:rsidRPr="004378F9">
        <w:rPr>
          <w:rFonts w:ascii="Times New Roman" w:hAnsi="Times New Roman" w:cs="Times New Roman"/>
        </w:rPr>
        <w:t>Henninck</w:t>
      </w:r>
      <w:proofErr w:type="spellEnd"/>
      <w:r w:rsidRPr="004378F9">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Hutter</w:t>
      </w:r>
      <w:proofErr w:type="spellEnd"/>
      <w:r>
        <w:rPr>
          <w:rFonts w:ascii="Times New Roman" w:hAnsi="Times New Roman" w:cs="Times New Roman"/>
        </w:rPr>
        <w:t xml:space="preserve"> and Bailey,</w:t>
      </w:r>
      <w:r w:rsidRPr="004378F9">
        <w:rPr>
          <w:rFonts w:ascii="Times New Roman" w:hAnsi="Times New Roman" w:cs="Times New Roman"/>
        </w:rPr>
        <w:t xml:space="preserve"> </w:t>
      </w:r>
      <w:r w:rsidRPr="004378F9">
        <w:rPr>
          <w:rFonts w:ascii="Times New Roman" w:hAnsi="Times New Roman" w:cs="Times New Roman"/>
          <w:i/>
          <w:iCs/>
        </w:rPr>
        <w:t>Qualitative Research Methods</w:t>
      </w:r>
      <w:r w:rsidRPr="004378F9">
        <w:rPr>
          <w:rFonts w:ascii="Times New Roman" w:hAnsi="Times New Roman" w:cs="Times New Roman"/>
        </w:rPr>
        <w:t>], p.15.</w:t>
      </w:r>
    </w:p>
  </w:footnote>
  <w:footnote w:id="10">
    <w:p w14:paraId="66A59523"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4378F9">
        <w:rPr>
          <w:rFonts w:ascii="Times New Roman" w:hAnsi="Times New Roman" w:cs="Times New Roman"/>
        </w:rPr>
        <w:t>, p. 82.</w:t>
      </w:r>
    </w:p>
  </w:footnote>
  <w:footnote w:id="11">
    <w:p w14:paraId="79575A38"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4378F9">
        <w:rPr>
          <w:rFonts w:ascii="Times New Roman" w:hAnsi="Times New Roman" w:cs="Times New Roman"/>
        </w:rPr>
        <w:t>, p. 82.</w:t>
      </w:r>
    </w:p>
  </w:footnote>
  <w:footnote w:id="12">
    <w:p w14:paraId="272D15E0"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Judith Bell and Stephen Waters, </w:t>
      </w:r>
      <w:r w:rsidRPr="004378F9">
        <w:rPr>
          <w:rFonts w:ascii="Times New Roman" w:hAnsi="Times New Roman" w:cs="Times New Roman"/>
          <w:i/>
          <w:iCs/>
        </w:rPr>
        <w:t xml:space="preserve">Doing Your Research Project; A Guide </w:t>
      </w:r>
      <w:proofErr w:type="gramStart"/>
      <w:r>
        <w:rPr>
          <w:rFonts w:ascii="Times New Roman" w:hAnsi="Times New Roman" w:cs="Times New Roman"/>
          <w:i/>
          <w:iCs/>
        </w:rPr>
        <w:t>F</w:t>
      </w:r>
      <w:r w:rsidRPr="004378F9">
        <w:rPr>
          <w:rFonts w:ascii="Times New Roman" w:hAnsi="Times New Roman" w:cs="Times New Roman"/>
          <w:i/>
          <w:iCs/>
        </w:rPr>
        <w:t>or</w:t>
      </w:r>
      <w:proofErr w:type="gramEnd"/>
      <w:r w:rsidRPr="004378F9">
        <w:rPr>
          <w:rFonts w:ascii="Times New Roman" w:hAnsi="Times New Roman" w:cs="Times New Roman"/>
          <w:i/>
          <w:iCs/>
        </w:rPr>
        <w:t xml:space="preserve"> First-time Researchers</w:t>
      </w:r>
      <w:r w:rsidRPr="004378F9">
        <w:rPr>
          <w:rFonts w:ascii="Times New Roman" w:hAnsi="Times New Roman" w:cs="Times New Roman"/>
        </w:rPr>
        <w:t>, 7</w:t>
      </w:r>
      <w:r w:rsidRPr="004378F9">
        <w:rPr>
          <w:rFonts w:ascii="Times New Roman" w:hAnsi="Times New Roman" w:cs="Times New Roman"/>
          <w:vertAlign w:val="superscript"/>
        </w:rPr>
        <w:t>th</w:t>
      </w:r>
      <w:r w:rsidRPr="004378F9">
        <w:rPr>
          <w:rFonts w:ascii="Times New Roman" w:hAnsi="Times New Roman" w:cs="Times New Roman"/>
        </w:rPr>
        <w:t xml:space="preserve"> </w:t>
      </w:r>
      <w:proofErr w:type="spellStart"/>
      <w:r w:rsidRPr="004378F9">
        <w:rPr>
          <w:rFonts w:ascii="Times New Roman" w:hAnsi="Times New Roman" w:cs="Times New Roman"/>
        </w:rPr>
        <w:t>edn</w:t>
      </w:r>
      <w:proofErr w:type="spellEnd"/>
      <w:r w:rsidRPr="004378F9">
        <w:rPr>
          <w:rFonts w:ascii="Times New Roman" w:hAnsi="Times New Roman" w:cs="Times New Roman"/>
        </w:rPr>
        <w:t>. (London: Open University Press/McGraw-Hill Education, 2018), p.25.</w:t>
      </w:r>
    </w:p>
  </w:footnote>
  <w:footnote w:id="13">
    <w:p w14:paraId="07ACEBD9"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4378F9">
        <w:rPr>
          <w:rFonts w:ascii="Times New Roman" w:hAnsi="Times New Roman" w:cs="Times New Roman"/>
        </w:rPr>
        <w:t>, p. 189.</w:t>
      </w:r>
    </w:p>
  </w:footnote>
  <w:footnote w:id="14">
    <w:p w14:paraId="0FE0A386"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4378F9">
        <w:rPr>
          <w:rFonts w:ascii="Times New Roman" w:hAnsi="Times New Roman" w:cs="Times New Roman"/>
        </w:rPr>
        <w:t>, pp. 82-83.</w:t>
      </w:r>
    </w:p>
  </w:footnote>
  <w:footnote w:id="15">
    <w:p w14:paraId="37EE0E4B"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4378F9">
        <w:rPr>
          <w:rFonts w:ascii="Times New Roman" w:hAnsi="Times New Roman" w:cs="Times New Roman"/>
        </w:rPr>
        <w:t>, p. 83.</w:t>
      </w:r>
    </w:p>
  </w:footnote>
  <w:footnote w:id="16">
    <w:p w14:paraId="42A71914"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4378F9">
        <w:rPr>
          <w:rFonts w:ascii="Times New Roman" w:hAnsi="Times New Roman" w:cs="Times New Roman"/>
        </w:rPr>
        <w:t>, p. 82.</w:t>
      </w:r>
    </w:p>
  </w:footnote>
  <w:footnote w:id="17">
    <w:p w14:paraId="1F79F932"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4378F9">
        <w:rPr>
          <w:rFonts w:ascii="Times New Roman" w:hAnsi="Times New Roman" w:cs="Times New Roman"/>
        </w:rPr>
        <w:t>, p. 189.</w:t>
      </w:r>
    </w:p>
  </w:footnote>
  <w:footnote w:id="18">
    <w:p w14:paraId="2559C058"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Allen Rubin and Earl Babbie, </w:t>
      </w:r>
      <w:r w:rsidRPr="004378F9">
        <w:rPr>
          <w:rFonts w:ascii="Times New Roman" w:hAnsi="Times New Roman" w:cs="Times New Roman"/>
          <w:i/>
          <w:iCs/>
        </w:rPr>
        <w:t xml:space="preserve">Essential Research Methods </w:t>
      </w:r>
      <w:proofErr w:type="gramStart"/>
      <w:r>
        <w:rPr>
          <w:rFonts w:ascii="Times New Roman" w:hAnsi="Times New Roman" w:cs="Times New Roman"/>
          <w:i/>
          <w:iCs/>
        </w:rPr>
        <w:t>F</w:t>
      </w:r>
      <w:r w:rsidRPr="004378F9">
        <w:rPr>
          <w:rFonts w:ascii="Times New Roman" w:hAnsi="Times New Roman" w:cs="Times New Roman"/>
          <w:i/>
          <w:iCs/>
        </w:rPr>
        <w:t>or</w:t>
      </w:r>
      <w:proofErr w:type="gramEnd"/>
      <w:r w:rsidRPr="004378F9">
        <w:rPr>
          <w:rFonts w:ascii="Times New Roman" w:hAnsi="Times New Roman" w:cs="Times New Roman"/>
          <w:i/>
          <w:iCs/>
        </w:rPr>
        <w:t xml:space="preserve"> Social Work</w:t>
      </w:r>
      <w:r w:rsidRPr="004378F9">
        <w:rPr>
          <w:rFonts w:ascii="Times New Roman" w:hAnsi="Times New Roman" w:cs="Times New Roman"/>
        </w:rPr>
        <w:t>, 4</w:t>
      </w:r>
      <w:r w:rsidRPr="004378F9">
        <w:rPr>
          <w:rFonts w:ascii="Times New Roman" w:hAnsi="Times New Roman" w:cs="Times New Roman"/>
          <w:vertAlign w:val="superscript"/>
        </w:rPr>
        <w:t>th</w:t>
      </w:r>
      <w:r w:rsidRPr="004378F9">
        <w:rPr>
          <w:rFonts w:ascii="Times New Roman" w:hAnsi="Times New Roman" w:cs="Times New Roman"/>
        </w:rPr>
        <w:t xml:space="preserve"> </w:t>
      </w:r>
      <w:proofErr w:type="spellStart"/>
      <w:r w:rsidRPr="004378F9">
        <w:rPr>
          <w:rFonts w:ascii="Times New Roman" w:hAnsi="Times New Roman" w:cs="Times New Roman"/>
        </w:rPr>
        <w:t>edn</w:t>
      </w:r>
      <w:proofErr w:type="spellEnd"/>
      <w:r w:rsidRPr="004378F9">
        <w:rPr>
          <w:rFonts w:ascii="Times New Roman" w:hAnsi="Times New Roman" w:cs="Times New Roman"/>
        </w:rPr>
        <w:t xml:space="preserve">. (Boston, MA: Cengage, 2014), [hereafter Rubin and Babbie, </w:t>
      </w:r>
      <w:r w:rsidRPr="004378F9">
        <w:rPr>
          <w:rFonts w:ascii="Times New Roman" w:hAnsi="Times New Roman" w:cs="Times New Roman"/>
          <w:i/>
          <w:iCs/>
        </w:rPr>
        <w:t>Essential Research Methods</w:t>
      </w:r>
      <w:r w:rsidRPr="004378F9">
        <w:rPr>
          <w:rFonts w:ascii="Times New Roman" w:hAnsi="Times New Roman" w:cs="Times New Roman"/>
        </w:rPr>
        <w:t>], p.223.</w:t>
      </w:r>
    </w:p>
  </w:footnote>
  <w:footnote w:id="19">
    <w:p w14:paraId="7F34A6E3"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4378F9">
        <w:rPr>
          <w:rFonts w:ascii="Times New Roman" w:hAnsi="Times New Roman" w:cs="Times New Roman"/>
        </w:rPr>
        <w:t>, p. 188.</w:t>
      </w:r>
    </w:p>
  </w:footnote>
  <w:footnote w:id="20">
    <w:p w14:paraId="21F35824" w14:textId="77777777" w:rsidR="002E6159" w:rsidRPr="004378F9" w:rsidRDefault="002E6159" w:rsidP="002E6159">
      <w:pPr>
        <w:pStyle w:val="FootnoteText"/>
        <w:ind w:left="180" w:hanging="180"/>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4378F9">
        <w:rPr>
          <w:rFonts w:ascii="Times New Roman" w:hAnsi="Times New Roman" w:cs="Times New Roman"/>
        </w:rPr>
        <w:t>, p. 189.</w:t>
      </w:r>
    </w:p>
  </w:footnote>
  <w:footnote w:id="21">
    <w:p w14:paraId="0F89125B"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William M.K. Trochim, </w:t>
      </w:r>
      <w:r w:rsidRPr="004378F9">
        <w:rPr>
          <w:rFonts w:ascii="Times New Roman" w:hAnsi="Times New Roman" w:cs="Times New Roman"/>
          <w:i/>
          <w:iCs/>
        </w:rPr>
        <w:t>The Research Methods Knowledge Base</w:t>
      </w:r>
      <w:r w:rsidRPr="004378F9">
        <w:rPr>
          <w:rFonts w:ascii="Times New Roman" w:hAnsi="Times New Roman" w:cs="Times New Roman"/>
        </w:rPr>
        <w:t>, 2</w:t>
      </w:r>
      <w:r w:rsidRPr="004378F9">
        <w:rPr>
          <w:rFonts w:ascii="Times New Roman" w:hAnsi="Times New Roman" w:cs="Times New Roman"/>
          <w:vertAlign w:val="superscript"/>
        </w:rPr>
        <w:t>nd</w:t>
      </w:r>
      <w:r w:rsidRPr="004378F9">
        <w:rPr>
          <w:rFonts w:ascii="Times New Roman" w:hAnsi="Times New Roman" w:cs="Times New Roman"/>
        </w:rPr>
        <w:t xml:space="preserve"> </w:t>
      </w:r>
      <w:proofErr w:type="spellStart"/>
      <w:r w:rsidRPr="004378F9">
        <w:rPr>
          <w:rFonts w:ascii="Times New Roman" w:hAnsi="Times New Roman" w:cs="Times New Roman"/>
        </w:rPr>
        <w:t>edn</w:t>
      </w:r>
      <w:proofErr w:type="spellEnd"/>
      <w:r w:rsidRPr="004378F9">
        <w:rPr>
          <w:rFonts w:ascii="Times New Roman" w:hAnsi="Times New Roman" w:cs="Times New Roman"/>
        </w:rPr>
        <w:t>. (Cincinnati, OH: Atomic Dog Publishing</w:t>
      </w:r>
      <w:r>
        <w:rPr>
          <w:rFonts w:ascii="Times New Roman" w:hAnsi="Times New Roman" w:cs="Times New Roman"/>
        </w:rPr>
        <w:t>, 2001</w:t>
      </w:r>
      <w:r w:rsidRPr="004378F9">
        <w:rPr>
          <w:rFonts w:ascii="Times New Roman" w:hAnsi="Times New Roman" w:cs="Times New Roman"/>
        </w:rPr>
        <w:t>), p.114.</w:t>
      </w:r>
    </w:p>
  </w:footnote>
  <w:footnote w:id="22">
    <w:p w14:paraId="1891E628"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4378F9">
        <w:rPr>
          <w:rFonts w:ascii="Times New Roman" w:hAnsi="Times New Roman" w:cs="Times New Roman"/>
        </w:rPr>
        <w:t>, p. 83.</w:t>
      </w:r>
    </w:p>
  </w:footnote>
  <w:footnote w:id="23">
    <w:p w14:paraId="30374FBE" w14:textId="77777777" w:rsidR="002E6159" w:rsidRPr="0003100F" w:rsidRDefault="002E6159" w:rsidP="002E6159">
      <w:pPr>
        <w:pStyle w:val="FootnoteText"/>
        <w:rPr>
          <w:rFonts w:ascii="Times New Roman" w:hAnsi="Times New Roman" w:cs="Times New Roman"/>
        </w:rPr>
      </w:pPr>
      <w:r w:rsidRPr="0003100F">
        <w:rPr>
          <w:rStyle w:val="FootnoteReference"/>
          <w:rFonts w:ascii="Times New Roman" w:hAnsi="Times New Roman" w:cs="Times New Roman"/>
        </w:rPr>
        <w:footnoteRef/>
      </w:r>
      <w:r w:rsidRPr="0003100F">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03100F">
        <w:rPr>
          <w:rFonts w:ascii="Times New Roman" w:hAnsi="Times New Roman" w:cs="Times New Roman"/>
        </w:rPr>
        <w:t>, p. 188.</w:t>
      </w:r>
    </w:p>
  </w:footnote>
  <w:footnote w:id="24">
    <w:p w14:paraId="54FB033D" w14:textId="77777777" w:rsidR="002E6159" w:rsidRPr="0003100F" w:rsidRDefault="002E6159" w:rsidP="002E6159">
      <w:pPr>
        <w:pStyle w:val="FootnoteText"/>
        <w:rPr>
          <w:rFonts w:ascii="Times New Roman" w:hAnsi="Times New Roman" w:cs="Times New Roman"/>
        </w:rPr>
      </w:pPr>
      <w:r w:rsidRPr="0003100F">
        <w:rPr>
          <w:rStyle w:val="FootnoteReference"/>
          <w:rFonts w:ascii="Times New Roman" w:hAnsi="Times New Roman" w:cs="Times New Roman"/>
        </w:rPr>
        <w:footnoteRef/>
      </w:r>
      <w:r w:rsidRPr="0003100F">
        <w:rPr>
          <w:rFonts w:ascii="Times New Roman" w:hAnsi="Times New Roman" w:cs="Times New Roman"/>
        </w:rPr>
        <w:t xml:space="preserve"> </w:t>
      </w:r>
      <w:bookmarkStart w:id="0" w:name="_Hlk67664141"/>
      <w:r w:rsidRPr="0003100F">
        <w:rPr>
          <w:rFonts w:ascii="Times New Roman" w:hAnsi="Times New Roman" w:cs="Times New Roman"/>
        </w:rPr>
        <w:t xml:space="preserve">John W. Creswell and Vicki L. Piano Clark, </w:t>
      </w:r>
      <w:r w:rsidRPr="0003100F">
        <w:rPr>
          <w:rFonts w:ascii="Times New Roman" w:hAnsi="Times New Roman" w:cs="Times New Roman"/>
          <w:i/>
          <w:iCs/>
        </w:rPr>
        <w:t xml:space="preserve">Designing </w:t>
      </w:r>
      <w:proofErr w:type="gramStart"/>
      <w:r>
        <w:rPr>
          <w:rFonts w:ascii="Times New Roman" w:hAnsi="Times New Roman" w:cs="Times New Roman"/>
          <w:i/>
          <w:iCs/>
        </w:rPr>
        <w:t>A</w:t>
      </w:r>
      <w:r w:rsidRPr="0003100F">
        <w:rPr>
          <w:rFonts w:ascii="Times New Roman" w:hAnsi="Times New Roman" w:cs="Times New Roman"/>
          <w:i/>
          <w:iCs/>
        </w:rPr>
        <w:t>nd</w:t>
      </w:r>
      <w:proofErr w:type="gramEnd"/>
      <w:r w:rsidRPr="0003100F">
        <w:rPr>
          <w:rFonts w:ascii="Times New Roman" w:hAnsi="Times New Roman" w:cs="Times New Roman"/>
          <w:i/>
          <w:iCs/>
        </w:rPr>
        <w:t xml:space="preserve"> Conducting Mixed Methods Research</w:t>
      </w:r>
      <w:r w:rsidRPr="0003100F">
        <w:rPr>
          <w:rFonts w:ascii="Times New Roman" w:hAnsi="Times New Roman" w:cs="Times New Roman"/>
        </w:rPr>
        <w:t>, 3</w:t>
      </w:r>
      <w:r w:rsidRPr="0003100F">
        <w:rPr>
          <w:rFonts w:ascii="Times New Roman" w:hAnsi="Times New Roman" w:cs="Times New Roman"/>
          <w:vertAlign w:val="superscript"/>
        </w:rPr>
        <w:t>rd</w:t>
      </w:r>
      <w:r w:rsidRPr="0003100F">
        <w:rPr>
          <w:rFonts w:ascii="Times New Roman" w:hAnsi="Times New Roman" w:cs="Times New Roman"/>
        </w:rPr>
        <w:t xml:space="preserve"> </w:t>
      </w:r>
      <w:proofErr w:type="spellStart"/>
      <w:r>
        <w:rPr>
          <w:rFonts w:ascii="Times New Roman" w:hAnsi="Times New Roman" w:cs="Times New Roman"/>
        </w:rPr>
        <w:t>e</w:t>
      </w:r>
      <w:r w:rsidRPr="0003100F">
        <w:rPr>
          <w:rFonts w:ascii="Times New Roman" w:hAnsi="Times New Roman" w:cs="Times New Roman"/>
        </w:rPr>
        <w:t>dn</w:t>
      </w:r>
      <w:proofErr w:type="spellEnd"/>
      <w:r w:rsidRPr="0003100F">
        <w:rPr>
          <w:rFonts w:ascii="Times New Roman" w:hAnsi="Times New Roman" w:cs="Times New Roman"/>
        </w:rPr>
        <w:t>. (Thousand Oaks, CA: Sage, 2018)</w:t>
      </w:r>
      <w:bookmarkEnd w:id="0"/>
      <w:r w:rsidRPr="0003100F">
        <w:rPr>
          <w:rFonts w:ascii="Times New Roman" w:hAnsi="Times New Roman" w:cs="Times New Roman"/>
        </w:rPr>
        <w:t>, p.77.</w:t>
      </w:r>
    </w:p>
  </w:footnote>
  <w:footnote w:id="25">
    <w:p w14:paraId="3CB8257C" w14:textId="77777777" w:rsidR="002E6159" w:rsidRPr="00F3453D" w:rsidRDefault="002E6159" w:rsidP="002E6159">
      <w:pPr>
        <w:pStyle w:val="FootnoteText"/>
        <w:rPr>
          <w:rFonts w:ascii="Times New Roman" w:hAnsi="Times New Roman" w:cs="Times New Roman"/>
        </w:rPr>
      </w:pPr>
      <w:r w:rsidRPr="00F3453D">
        <w:rPr>
          <w:rStyle w:val="FootnoteReference"/>
          <w:rFonts w:ascii="Times New Roman" w:hAnsi="Times New Roman" w:cs="Times New Roman"/>
        </w:rPr>
        <w:footnoteRef/>
      </w:r>
      <w:r w:rsidRPr="00F3453D">
        <w:rPr>
          <w:rFonts w:ascii="Times New Roman" w:hAnsi="Times New Roman" w:cs="Times New Roman"/>
        </w:rPr>
        <w:t xml:space="preserve"> Rubin and Babbie, </w:t>
      </w:r>
      <w:r w:rsidRPr="004378F9">
        <w:rPr>
          <w:rFonts w:ascii="Times New Roman" w:hAnsi="Times New Roman" w:cs="Times New Roman"/>
          <w:i/>
          <w:iCs/>
        </w:rPr>
        <w:t xml:space="preserve">Essential </w:t>
      </w:r>
      <w:r w:rsidRPr="004A69C3">
        <w:rPr>
          <w:rFonts w:ascii="Times New Roman" w:hAnsi="Times New Roman" w:cs="Times New Roman"/>
          <w:i/>
          <w:iCs/>
        </w:rPr>
        <w:t>Research Methods</w:t>
      </w:r>
      <w:r w:rsidRPr="00F3453D">
        <w:rPr>
          <w:rFonts w:ascii="Times New Roman" w:hAnsi="Times New Roman" w:cs="Times New Roman"/>
        </w:rPr>
        <w:t>, p.54.</w:t>
      </w:r>
    </w:p>
  </w:footnote>
  <w:footnote w:id="26">
    <w:p w14:paraId="7F82D637" w14:textId="77777777" w:rsidR="002E6159" w:rsidRPr="004378F9" w:rsidRDefault="002E6159" w:rsidP="002E6159">
      <w:pPr>
        <w:pStyle w:val="FootnoteText"/>
        <w:rPr>
          <w:rFonts w:ascii="Times New Roman" w:hAnsi="Times New Roman" w:cs="Times New Roman"/>
        </w:rPr>
      </w:pPr>
      <w:r w:rsidRPr="004378F9">
        <w:rPr>
          <w:rStyle w:val="FootnoteReference"/>
          <w:rFonts w:ascii="Times New Roman" w:hAnsi="Times New Roman" w:cs="Times New Roman"/>
        </w:rPr>
        <w:footnoteRef/>
      </w:r>
      <w:r w:rsidRPr="004378F9">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4378F9">
        <w:rPr>
          <w:rFonts w:ascii="Times New Roman" w:hAnsi="Times New Roman" w:cs="Times New Roman"/>
        </w:rPr>
        <w:t>, p. 83.</w:t>
      </w:r>
    </w:p>
  </w:footnote>
  <w:footnote w:id="27">
    <w:p w14:paraId="596109D2" w14:textId="77777777" w:rsidR="002E6159" w:rsidRPr="00B74B18" w:rsidRDefault="002E6159" w:rsidP="002E6159">
      <w:pPr>
        <w:pStyle w:val="FootnoteText"/>
        <w:rPr>
          <w:rFonts w:ascii="Times New Roman" w:hAnsi="Times New Roman" w:cs="Times New Roman"/>
        </w:rPr>
      </w:pPr>
      <w:r w:rsidRPr="00B74B18">
        <w:rPr>
          <w:rStyle w:val="FootnoteReference"/>
          <w:rFonts w:ascii="Times New Roman" w:hAnsi="Times New Roman" w:cs="Times New Roman"/>
        </w:rPr>
        <w:footnoteRef/>
      </w:r>
      <w:r w:rsidRPr="00B74B18">
        <w:rPr>
          <w:rFonts w:ascii="Times New Roman" w:hAnsi="Times New Roman" w:cs="Times New Roman"/>
        </w:rPr>
        <w:t xml:space="preserve"> </w:t>
      </w:r>
      <w:bookmarkStart w:id="1" w:name="_Hlk67590427"/>
      <w:r w:rsidRPr="00B74B18">
        <w:rPr>
          <w:rFonts w:ascii="Times New Roman" w:hAnsi="Times New Roman" w:cs="Times New Roman"/>
        </w:rPr>
        <w:t xml:space="preserve">Frederick J. </w:t>
      </w:r>
      <w:proofErr w:type="spellStart"/>
      <w:r w:rsidRPr="00B74B18">
        <w:rPr>
          <w:rFonts w:ascii="Times New Roman" w:hAnsi="Times New Roman" w:cs="Times New Roman"/>
        </w:rPr>
        <w:t>Gravetter</w:t>
      </w:r>
      <w:proofErr w:type="spellEnd"/>
      <w:r w:rsidRPr="00B74B18">
        <w:rPr>
          <w:rFonts w:ascii="Times New Roman" w:hAnsi="Times New Roman" w:cs="Times New Roman"/>
        </w:rPr>
        <w:t xml:space="preserve"> and Larry B. </w:t>
      </w:r>
      <w:proofErr w:type="spellStart"/>
      <w:r w:rsidRPr="00B74B18">
        <w:rPr>
          <w:rFonts w:ascii="Times New Roman" w:hAnsi="Times New Roman" w:cs="Times New Roman"/>
        </w:rPr>
        <w:t>Wallnau</w:t>
      </w:r>
      <w:proofErr w:type="spellEnd"/>
      <w:r w:rsidRPr="00B74B18">
        <w:rPr>
          <w:rFonts w:ascii="Times New Roman" w:hAnsi="Times New Roman" w:cs="Times New Roman"/>
        </w:rPr>
        <w:t xml:space="preserve">, </w:t>
      </w:r>
      <w:r w:rsidRPr="00B74B18">
        <w:rPr>
          <w:rFonts w:ascii="Times New Roman" w:hAnsi="Times New Roman" w:cs="Times New Roman"/>
          <w:i/>
          <w:iCs/>
        </w:rPr>
        <w:t xml:space="preserve">Essentials </w:t>
      </w:r>
      <w:proofErr w:type="gramStart"/>
      <w:r>
        <w:rPr>
          <w:rFonts w:ascii="Times New Roman" w:hAnsi="Times New Roman" w:cs="Times New Roman"/>
          <w:i/>
          <w:iCs/>
        </w:rPr>
        <w:t>O</w:t>
      </w:r>
      <w:r w:rsidRPr="00B74B18">
        <w:rPr>
          <w:rFonts w:ascii="Times New Roman" w:hAnsi="Times New Roman" w:cs="Times New Roman"/>
          <w:i/>
          <w:iCs/>
        </w:rPr>
        <w:t>f</w:t>
      </w:r>
      <w:proofErr w:type="gramEnd"/>
      <w:r w:rsidRPr="00B74B18">
        <w:rPr>
          <w:rFonts w:ascii="Times New Roman" w:hAnsi="Times New Roman" w:cs="Times New Roman"/>
          <w:i/>
          <w:iCs/>
        </w:rPr>
        <w:t xml:space="preserve"> Statistics </w:t>
      </w:r>
      <w:r>
        <w:rPr>
          <w:rFonts w:ascii="Times New Roman" w:hAnsi="Times New Roman" w:cs="Times New Roman"/>
          <w:i/>
          <w:iCs/>
        </w:rPr>
        <w:t>F</w:t>
      </w:r>
      <w:r w:rsidRPr="00B74B18">
        <w:rPr>
          <w:rFonts w:ascii="Times New Roman" w:hAnsi="Times New Roman" w:cs="Times New Roman"/>
          <w:i/>
          <w:iCs/>
        </w:rPr>
        <w:t xml:space="preserve">or </w:t>
      </w:r>
      <w:r>
        <w:rPr>
          <w:rFonts w:ascii="Times New Roman" w:hAnsi="Times New Roman" w:cs="Times New Roman"/>
          <w:i/>
          <w:iCs/>
        </w:rPr>
        <w:t>T</w:t>
      </w:r>
      <w:r w:rsidRPr="00B74B18">
        <w:rPr>
          <w:rFonts w:ascii="Times New Roman" w:hAnsi="Times New Roman" w:cs="Times New Roman"/>
          <w:i/>
          <w:iCs/>
        </w:rPr>
        <w:t>he Behavioral Sciences</w:t>
      </w:r>
      <w:r w:rsidRPr="00B74B18">
        <w:rPr>
          <w:rFonts w:ascii="Times New Roman" w:hAnsi="Times New Roman" w:cs="Times New Roman"/>
        </w:rPr>
        <w:t>, 6</w:t>
      </w:r>
      <w:r w:rsidRPr="00B74B18">
        <w:rPr>
          <w:rFonts w:ascii="Times New Roman" w:hAnsi="Times New Roman" w:cs="Times New Roman"/>
          <w:vertAlign w:val="superscript"/>
        </w:rPr>
        <w:t>th</w:t>
      </w:r>
      <w:r w:rsidRPr="00B74B18">
        <w:rPr>
          <w:rFonts w:ascii="Times New Roman" w:hAnsi="Times New Roman" w:cs="Times New Roman"/>
        </w:rPr>
        <w:t xml:space="preserve"> </w:t>
      </w:r>
      <w:proofErr w:type="spellStart"/>
      <w:r w:rsidRPr="00B74B18">
        <w:rPr>
          <w:rFonts w:ascii="Times New Roman" w:hAnsi="Times New Roman" w:cs="Times New Roman"/>
        </w:rPr>
        <w:t>edn</w:t>
      </w:r>
      <w:proofErr w:type="spellEnd"/>
      <w:r w:rsidRPr="00B74B18">
        <w:rPr>
          <w:rFonts w:ascii="Times New Roman" w:hAnsi="Times New Roman" w:cs="Times New Roman"/>
        </w:rPr>
        <w:t>. (Belmont, CA: Thomson Learning, 2008)</w:t>
      </w:r>
      <w:bookmarkEnd w:id="1"/>
      <w:r w:rsidRPr="00B74B18">
        <w:rPr>
          <w:rFonts w:ascii="Times New Roman" w:hAnsi="Times New Roman" w:cs="Times New Roman"/>
        </w:rPr>
        <w:t>, p.482.</w:t>
      </w:r>
    </w:p>
  </w:footnote>
  <w:footnote w:id="28">
    <w:p w14:paraId="7AC29148" w14:textId="77777777" w:rsidR="002E6159" w:rsidRPr="00B74B18" w:rsidRDefault="002E6159" w:rsidP="002E6159">
      <w:pPr>
        <w:pStyle w:val="FootnoteText"/>
        <w:ind w:left="180" w:hanging="180"/>
        <w:rPr>
          <w:rFonts w:ascii="Times New Roman" w:hAnsi="Times New Roman" w:cs="Times New Roman"/>
        </w:rPr>
      </w:pPr>
      <w:r w:rsidRPr="00B74B18">
        <w:rPr>
          <w:rStyle w:val="FootnoteReference"/>
          <w:rFonts w:ascii="Times New Roman" w:hAnsi="Times New Roman" w:cs="Times New Roman"/>
        </w:rPr>
        <w:footnoteRef/>
      </w:r>
      <w:r w:rsidRPr="00B74B18">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B74B18">
        <w:rPr>
          <w:rFonts w:ascii="Times New Roman" w:hAnsi="Times New Roman" w:cs="Times New Roman"/>
        </w:rPr>
        <w:t>’, p. 82.</w:t>
      </w:r>
    </w:p>
  </w:footnote>
  <w:footnote w:id="29">
    <w:p w14:paraId="154C68C0" w14:textId="77777777" w:rsidR="002E6159" w:rsidRPr="00B74B18" w:rsidRDefault="002E6159" w:rsidP="002E6159">
      <w:pPr>
        <w:pStyle w:val="FootnoteText"/>
        <w:rPr>
          <w:rFonts w:ascii="Times New Roman" w:hAnsi="Times New Roman" w:cs="Times New Roman"/>
        </w:rPr>
      </w:pPr>
      <w:r w:rsidRPr="00B74B18">
        <w:rPr>
          <w:rStyle w:val="FootnoteReference"/>
          <w:rFonts w:ascii="Times New Roman" w:hAnsi="Times New Roman" w:cs="Times New Roman"/>
        </w:rPr>
        <w:footnoteRef/>
      </w:r>
      <w:r w:rsidRPr="00B74B18">
        <w:rPr>
          <w:rFonts w:ascii="Times New Roman" w:hAnsi="Times New Roman" w:cs="Times New Roman"/>
        </w:rPr>
        <w:t xml:space="preserve"> Alan Bryman, </w:t>
      </w:r>
      <w:r w:rsidRPr="00B74B18">
        <w:rPr>
          <w:rFonts w:ascii="Times New Roman" w:hAnsi="Times New Roman" w:cs="Times New Roman"/>
          <w:i/>
          <w:iCs/>
        </w:rPr>
        <w:t xml:space="preserve">Quantity </w:t>
      </w:r>
      <w:proofErr w:type="gramStart"/>
      <w:r>
        <w:rPr>
          <w:rFonts w:ascii="Times New Roman" w:hAnsi="Times New Roman" w:cs="Times New Roman"/>
          <w:i/>
          <w:iCs/>
        </w:rPr>
        <w:t>A</w:t>
      </w:r>
      <w:r w:rsidRPr="00B74B18">
        <w:rPr>
          <w:rFonts w:ascii="Times New Roman" w:hAnsi="Times New Roman" w:cs="Times New Roman"/>
          <w:i/>
          <w:iCs/>
        </w:rPr>
        <w:t>nd</w:t>
      </w:r>
      <w:proofErr w:type="gramEnd"/>
      <w:r w:rsidRPr="00B74B18">
        <w:rPr>
          <w:rFonts w:ascii="Times New Roman" w:hAnsi="Times New Roman" w:cs="Times New Roman"/>
          <w:i/>
          <w:iCs/>
        </w:rPr>
        <w:t xml:space="preserve"> Quality </w:t>
      </w:r>
      <w:r>
        <w:rPr>
          <w:rFonts w:ascii="Times New Roman" w:hAnsi="Times New Roman" w:cs="Times New Roman"/>
          <w:i/>
          <w:iCs/>
        </w:rPr>
        <w:t>I</w:t>
      </w:r>
      <w:r w:rsidRPr="00B74B18">
        <w:rPr>
          <w:rFonts w:ascii="Times New Roman" w:hAnsi="Times New Roman" w:cs="Times New Roman"/>
          <w:i/>
          <w:iCs/>
        </w:rPr>
        <w:t>n Social Research</w:t>
      </w:r>
      <w:r w:rsidRPr="00B74B18">
        <w:rPr>
          <w:rFonts w:ascii="Times New Roman" w:hAnsi="Times New Roman" w:cs="Times New Roman"/>
        </w:rPr>
        <w:t xml:space="preserve">, (London: Routledge/Taylor &amp; Francis, 1988), [hereafter Bryman, </w:t>
      </w:r>
      <w:r w:rsidRPr="00B74B18">
        <w:rPr>
          <w:rFonts w:ascii="Times New Roman" w:hAnsi="Times New Roman" w:cs="Times New Roman"/>
          <w:i/>
          <w:iCs/>
        </w:rPr>
        <w:t xml:space="preserve">Quantity </w:t>
      </w:r>
      <w:r>
        <w:rPr>
          <w:rFonts w:ascii="Times New Roman" w:hAnsi="Times New Roman" w:cs="Times New Roman"/>
          <w:i/>
          <w:iCs/>
        </w:rPr>
        <w:t>A</w:t>
      </w:r>
      <w:r w:rsidRPr="00B74B18">
        <w:rPr>
          <w:rFonts w:ascii="Times New Roman" w:hAnsi="Times New Roman" w:cs="Times New Roman"/>
          <w:i/>
          <w:iCs/>
        </w:rPr>
        <w:t>nd Quality</w:t>
      </w:r>
      <w:r w:rsidRPr="00B74B18">
        <w:rPr>
          <w:rFonts w:ascii="Times New Roman" w:hAnsi="Times New Roman" w:cs="Times New Roman"/>
        </w:rPr>
        <w:t>], p.94.</w:t>
      </w:r>
    </w:p>
  </w:footnote>
  <w:footnote w:id="30">
    <w:p w14:paraId="2F5B4F50" w14:textId="77777777" w:rsidR="002E6159" w:rsidRPr="00B74B18" w:rsidRDefault="002E6159" w:rsidP="002E6159">
      <w:pPr>
        <w:pStyle w:val="FootnoteText"/>
        <w:rPr>
          <w:rFonts w:ascii="Times New Roman" w:hAnsi="Times New Roman" w:cs="Times New Roman"/>
        </w:rPr>
      </w:pPr>
      <w:r w:rsidRPr="00B74B18">
        <w:rPr>
          <w:rStyle w:val="FootnoteReference"/>
          <w:rFonts w:ascii="Times New Roman" w:hAnsi="Times New Roman" w:cs="Times New Roman"/>
        </w:rPr>
        <w:footnoteRef/>
      </w:r>
      <w:r w:rsidRPr="00B74B18">
        <w:rPr>
          <w:rFonts w:ascii="Times New Roman" w:hAnsi="Times New Roman" w:cs="Times New Roman"/>
        </w:rPr>
        <w:t xml:space="preserve"> Bryman, </w:t>
      </w:r>
      <w:r w:rsidRPr="00B74B18">
        <w:rPr>
          <w:rFonts w:ascii="Times New Roman" w:hAnsi="Times New Roman" w:cs="Times New Roman"/>
          <w:i/>
          <w:iCs/>
        </w:rPr>
        <w:t xml:space="preserve">Quantity </w:t>
      </w:r>
      <w:proofErr w:type="gramStart"/>
      <w:r>
        <w:rPr>
          <w:rFonts w:ascii="Times New Roman" w:hAnsi="Times New Roman" w:cs="Times New Roman"/>
          <w:i/>
          <w:iCs/>
        </w:rPr>
        <w:t>A</w:t>
      </w:r>
      <w:r w:rsidRPr="00B74B18">
        <w:rPr>
          <w:rFonts w:ascii="Times New Roman" w:hAnsi="Times New Roman" w:cs="Times New Roman"/>
          <w:i/>
          <w:iCs/>
        </w:rPr>
        <w:t>nd</w:t>
      </w:r>
      <w:proofErr w:type="gramEnd"/>
      <w:r w:rsidRPr="00B74B18">
        <w:rPr>
          <w:rFonts w:ascii="Times New Roman" w:hAnsi="Times New Roman" w:cs="Times New Roman"/>
          <w:i/>
          <w:iCs/>
        </w:rPr>
        <w:t xml:space="preserve"> Quality</w:t>
      </w:r>
      <w:r w:rsidRPr="00B74B18">
        <w:rPr>
          <w:rFonts w:ascii="Times New Roman" w:hAnsi="Times New Roman" w:cs="Times New Roman"/>
        </w:rPr>
        <w:t>, p.94.</w:t>
      </w:r>
    </w:p>
  </w:footnote>
  <w:footnote w:id="31">
    <w:p w14:paraId="5CFE876D" w14:textId="77777777" w:rsidR="002E6159" w:rsidRPr="00B74B18" w:rsidRDefault="002E6159" w:rsidP="002E6159">
      <w:pPr>
        <w:pStyle w:val="FootnoteText"/>
        <w:rPr>
          <w:rFonts w:ascii="Times New Roman" w:hAnsi="Times New Roman" w:cs="Times New Roman"/>
        </w:rPr>
      </w:pPr>
      <w:r w:rsidRPr="00B74B18">
        <w:rPr>
          <w:rStyle w:val="FootnoteReference"/>
          <w:rFonts w:ascii="Times New Roman" w:hAnsi="Times New Roman" w:cs="Times New Roman"/>
        </w:rPr>
        <w:footnoteRef/>
      </w:r>
      <w:r w:rsidRPr="00B74B18">
        <w:rPr>
          <w:rFonts w:ascii="Times New Roman" w:hAnsi="Times New Roman" w:cs="Times New Roman"/>
        </w:rPr>
        <w:t xml:space="preserve"> </w:t>
      </w:r>
      <w:proofErr w:type="spellStart"/>
      <w:r w:rsidRPr="004378F9">
        <w:rPr>
          <w:rFonts w:ascii="Times New Roman" w:hAnsi="Times New Roman" w:cs="Times New Roman"/>
        </w:rPr>
        <w:t>Henninck</w:t>
      </w:r>
      <w:proofErr w:type="spellEnd"/>
      <w:r w:rsidRPr="004378F9">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Hutter</w:t>
      </w:r>
      <w:proofErr w:type="spellEnd"/>
      <w:r>
        <w:rPr>
          <w:rFonts w:ascii="Times New Roman" w:hAnsi="Times New Roman" w:cs="Times New Roman"/>
        </w:rPr>
        <w:t xml:space="preserve"> and Bailey</w:t>
      </w:r>
      <w:r w:rsidRPr="00B74B18">
        <w:rPr>
          <w:rFonts w:ascii="Times New Roman" w:hAnsi="Times New Roman" w:cs="Times New Roman"/>
        </w:rPr>
        <w:t xml:space="preserve">, </w:t>
      </w:r>
      <w:r w:rsidRPr="00B74B18">
        <w:rPr>
          <w:rFonts w:ascii="Times New Roman" w:hAnsi="Times New Roman" w:cs="Times New Roman"/>
          <w:i/>
          <w:iCs/>
        </w:rPr>
        <w:t>Qualitative Research Methods</w:t>
      </w:r>
      <w:r w:rsidRPr="00B74B18">
        <w:rPr>
          <w:rFonts w:ascii="Times New Roman" w:hAnsi="Times New Roman" w:cs="Times New Roman"/>
        </w:rPr>
        <w:t>, p.18.</w:t>
      </w:r>
    </w:p>
  </w:footnote>
  <w:footnote w:id="32">
    <w:p w14:paraId="2B9E58DC" w14:textId="77777777" w:rsidR="002E6159" w:rsidRPr="00B74B18" w:rsidRDefault="002E6159" w:rsidP="002E6159">
      <w:pPr>
        <w:pStyle w:val="FootnoteText"/>
        <w:rPr>
          <w:rFonts w:ascii="Times New Roman" w:hAnsi="Times New Roman" w:cs="Times New Roman"/>
          <w:b/>
          <w:bCs/>
        </w:rPr>
      </w:pPr>
      <w:r w:rsidRPr="00B74B18">
        <w:rPr>
          <w:rStyle w:val="FootnoteReference"/>
          <w:rFonts w:ascii="Times New Roman" w:hAnsi="Times New Roman" w:cs="Times New Roman"/>
        </w:rPr>
        <w:footnoteRef/>
      </w:r>
      <w:r w:rsidRPr="00B74B18">
        <w:rPr>
          <w:rFonts w:ascii="Times New Roman" w:hAnsi="Times New Roman" w:cs="Times New Roman"/>
        </w:rPr>
        <w:t xml:space="preserve"> Bryman, </w:t>
      </w:r>
      <w:r w:rsidRPr="00B74B18">
        <w:rPr>
          <w:rFonts w:ascii="Times New Roman" w:hAnsi="Times New Roman" w:cs="Times New Roman"/>
          <w:i/>
          <w:iCs/>
        </w:rPr>
        <w:t xml:space="preserve">Quantity </w:t>
      </w:r>
      <w:proofErr w:type="gramStart"/>
      <w:r>
        <w:rPr>
          <w:rFonts w:ascii="Times New Roman" w:hAnsi="Times New Roman" w:cs="Times New Roman"/>
          <w:i/>
          <w:iCs/>
        </w:rPr>
        <w:t>A</w:t>
      </w:r>
      <w:r w:rsidRPr="00B74B18">
        <w:rPr>
          <w:rFonts w:ascii="Times New Roman" w:hAnsi="Times New Roman" w:cs="Times New Roman"/>
          <w:i/>
          <w:iCs/>
        </w:rPr>
        <w:t>nd</w:t>
      </w:r>
      <w:proofErr w:type="gramEnd"/>
      <w:r w:rsidRPr="00B74B18">
        <w:rPr>
          <w:rFonts w:ascii="Times New Roman" w:hAnsi="Times New Roman" w:cs="Times New Roman"/>
          <w:i/>
          <w:iCs/>
        </w:rPr>
        <w:t xml:space="preserve"> Quality</w:t>
      </w:r>
      <w:r w:rsidRPr="00B74B18">
        <w:rPr>
          <w:rFonts w:ascii="Times New Roman" w:hAnsi="Times New Roman" w:cs="Times New Roman"/>
        </w:rPr>
        <w:t>, pp. 56-57.</w:t>
      </w:r>
    </w:p>
  </w:footnote>
  <w:footnote w:id="33">
    <w:p w14:paraId="74C3B7DA" w14:textId="77777777" w:rsidR="002E6159" w:rsidRPr="00B74B18" w:rsidRDefault="002E6159" w:rsidP="002E6159">
      <w:pPr>
        <w:pStyle w:val="FootnoteText"/>
        <w:rPr>
          <w:rFonts w:ascii="Times New Roman" w:hAnsi="Times New Roman" w:cs="Times New Roman"/>
        </w:rPr>
      </w:pPr>
      <w:r w:rsidRPr="00B74B18">
        <w:rPr>
          <w:rStyle w:val="FootnoteReference"/>
          <w:rFonts w:ascii="Times New Roman" w:hAnsi="Times New Roman" w:cs="Times New Roman"/>
        </w:rPr>
        <w:footnoteRef/>
      </w:r>
      <w:r w:rsidRPr="00B74B18">
        <w:rPr>
          <w:rFonts w:ascii="Times New Roman" w:hAnsi="Times New Roman" w:cs="Times New Roman"/>
        </w:rPr>
        <w:t xml:space="preserve"> </w:t>
      </w:r>
      <w:proofErr w:type="spellStart"/>
      <w:r w:rsidRPr="004378F9">
        <w:rPr>
          <w:rFonts w:ascii="Times New Roman" w:hAnsi="Times New Roman" w:cs="Times New Roman"/>
        </w:rPr>
        <w:t>Henninck</w:t>
      </w:r>
      <w:proofErr w:type="spellEnd"/>
      <w:r w:rsidRPr="004378F9">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Hutter</w:t>
      </w:r>
      <w:proofErr w:type="spellEnd"/>
      <w:r>
        <w:rPr>
          <w:rFonts w:ascii="Times New Roman" w:hAnsi="Times New Roman" w:cs="Times New Roman"/>
        </w:rPr>
        <w:t xml:space="preserve"> and Bailey,</w:t>
      </w:r>
      <w:r w:rsidRPr="00B74B18">
        <w:rPr>
          <w:rFonts w:ascii="Times New Roman" w:hAnsi="Times New Roman" w:cs="Times New Roman"/>
        </w:rPr>
        <w:t xml:space="preserve"> </w:t>
      </w:r>
      <w:r w:rsidRPr="00B74B18">
        <w:rPr>
          <w:rFonts w:ascii="Times New Roman" w:hAnsi="Times New Roman" w:cs="Times New Roman"/>
          <w:i/>
          <w:iCs/>
        </w:rPr>
        <w:t>Qualitative Research Methods</w:t>
      </w:r>
      <w:r w:rsidRPr="00B74B18">
        <w:rPr>
          <w:rFonts w:ascii="Times New Roman" w:hAnsi="Times New Roman" w:cs="Times New Roman"/>
        </w:rPr>
        <w:t>, p.19.</w:t>
      </w:r>
    </w:p>
  </w:footnote>
  <w:footnote w:id="34">
    <w:p w14:paraId="13710E6C" w14:textId="77777777" w:rsidR="002E6159" w:rsidRPr="00B74B18" w:rsidRDefault="002E6159" w:rsidP="002E6159">
      <w:pPr>
        <w:pStyle w:val="FootnoteText"/>
        <w:rPr>
          <w:rFonts w:ascii="Times New Roman" w:hAnsi="Times New Roman" w:cs="Times New Roman"/>
        </w:rPr>
      </w:pPr>
      <w:r w:rsidRPr="00B74B18">
        <w:rPr>
          <w:rStyle w:val="FootnoteReference"/>
          <w:rFonts w:ascii="Times New Roman" w:hAnsi="Times New Roman" w:cs="Times New Roman"/>
        </w:rPr>
        <w:footnoteRef/>
      </w:r>
      <w:r w:rsidRPr="00B74B18">
        <w:rPr>
          <w:rFonts w:ascii="Times New Roman" w:hAnsi="Times New Roman" w:cs="Times New Roman"/>
        </w:rPr>
        <w:t xml:space="preserve"> </w:t>
      </w:r>
      <w:proofErr w:type="spellStart"/>
      <w:r w:rsidRPr="004378F9">
        <w:rPr>
          <w:rFonts w:ascii="Times New Roman" w:hAnsi="Times New Roman" w:cs="Times New Roman"/>
        </w:rPr>
        <w:t>Henninck</w:t>
      </w:r>
      <w:proofErr w:type="spellEnd"/>
      <w:r w:rsidRPr="004378F9">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Hutter</w:t>
      </w:r>
      <w:proofErr w:type="spellEnd"/>
      <w:r>
        <w:rPr>
          <w:rFonts w:ascii="Times New Roman" w:hAnsi="Times New Roman" w:cs="Times New Roman"/>
        </w:rPr>
        <w:t xml:space="preserve"> and Bailey,</w:t>
      </w:r>
      <w:r w:rsidRPr="00B74B18">
        <w:rPr>
          <w:rFonts w:ascii="Times New Roman" w:hAnsi="Times New Roman" w:cs="Times New Roman"/>
        </w:rPr>
        <w:t xml:space="preserve"> </w:t>
      </w:r>
      <w:r w:rsidRPr="00B74B18">
        <w:rPr>
          <w:rFonts w:ascii="Times New Roman" w:hAnsi="Times New Roman" w:cs="Times New Roman"/>
          <w:i/>
          <w:iCs/>
        </w:rPr>
        <w:t>Qualitative Research Methods</w:t>
      </w:r>
      <w:r w:rsidRPr="00B74B18">
        <w:rPr>
          <w:rFonts w:ascii="Times New Roman" w:hAnsi="Times New Roman" w:cs="Times New Roman"/>
        </w:rPr>
        <w:t>, p.19.</w:t>
      </w:r>
    </w:p>
  </w:footnote>
  <w:footnote w:id="35">
    <w:p w14:paraId="7343122F" w14:textId="77777777" w:rsidR="002E6159" w:rsidRPr="00B74B18" w:rsidRDefault="002E6159" w:rsidP="002E6159">
      <w:pPr>
        <w:pStyle w:val="FootnoteText"/>
        <w:rPr>
          <w:rFonts w:ascii="Times New Roman" w:hAnsi="Times New Roman" w:cs="Times New Roman"/>
        </w:rPr>
      </w:pPr>
      <w:r w:rsidRPr="00B74B18">
        <w:rPr>
          <w:rStyle w:val="FootnoteReference"/>
          <w:rFonts w:ascii="Times New Roman" w:hAnsi="Times New Roman" w:cs="Times New Roman"/>
        </w:rPr>
        <w:footnoteRef/>
      </w:r>
      <w:r w:rsidRPr="00B74B18">
        <w:rPr>
          <w:rFonts w:ascii="Times New Roman" w:hAnsi="Times New Roman" w:cs="Times New Roman"/>
        </w:rPr>
        <w:t xml:space="preserve"> </w:t>
      </w:r>
      <w:proofErr w:type="spellStart"/>
      <w:r w:rsidRPr="00B74B18">
        <w:rPr>
          <w:rFonts w:ascii="Times New Roman" w:hAnsi="Times New Roman" w:cs="Times New Roman"/>
        </w:rPr>
        <w:t>Marilys</w:t>
      </w:r>
      <w:proofErr w:type="spellEnd"/>
      <w:r w:rsidRPr="00B74B18">
        <w:rPr>
          <w:rFonts w:ascii="Times New Roman" w:hAnsi="Times New Roman" w:cs="Times New Roman"/>
        </w:rPr>
        <w:t xml:space="preserve"> Guillemin and Lynn Gillam, ‘Ethics, Reflexivity, </w:t>
      </w:r>
      <w:r>
        <w:rPr>
          <w:rFonts w:ascii="Times New Roman" w:hAnsi="Times New Roman" w:cs="Times New Roman"/>
        </w:rPr>
        <w:t>A</w:t>
      </w:r>
      <w:r w:rsidRPr="00B74B18">
        <w:rPr>
          <w:rFonts w:ascii="Times New Roman" w:hAnsi="Times New Roman" w:cs="Times New Roman"/>
        </w:rPr>
        <w:t xml:space="preserve">nd “Ethically Important Moments” </w:t>
      </w:r>
      <w:r>
        <w:rPr>
          <w:rFonts w:ascii="Times New Roman" w:hAnsi="Times New Roman" w:cs="Times New Roman"/>
        </w:rPr>
        <w:t>I</w:t>
      </w:r>
      <w:r w:rsidRPr="00B74B18">
        <w:rPr>
          <w:rFonts w:ascii="Times New Roman" w:hAnsi="Times New Roman" w:cs="Times New Roman"/>
        </w:rPr>
        <w:t xml:space="preserve">n Research’, </w:t>
      </w:r>
      <w:r w:rsidRPr="00B74B18">
        <w:rPr>
          <w:rFonts w:ascii="Times New Roman" w:hAnsi="Times New Roman" w:cs="Times New Roman"/>
          <w:i/>
          <w:iCs/>
        </w:rPr>
        <w:t>Qualitative Inquiry</w:t>
      </w:r>
      <w:r w:rsidRPr="00B74B18">
        <w:rPr>
          <w:rFonts w:ascii="Times New Roman" w:hAnsi="Times New Roman" w:cs="Times New Roman"/>
        </w:rPr>
        <w:t>, 10.2 (2004), pp. 273-274.</w:t>
      </w:r>
    </w:p>
  </w:footnote>
  <w:footnote w:id="36">
    <w:p w14:paraId="6F1D83D1" w14:textId="77777777" w:rsidR="002E6159" w:rsidRPr="00B74B18" w:rsidRDefault="002E6159" w:rsidP="002E6159">
      <w:pPr>
        <w:pStyle w:val="FootnoteText"/>
        <w:rPr>
          <w:rFonts w:ascii="Times New Roman" w:hAnsi="Times New Roman" w:cs="Times New Roman"/>
        </w:rPr>
      </w:pPr>
      <w:r w:rsidRPr="00B74B18">
        <w:rPr>
          <w:rStyle w:val="FootnoteReference"/>
          <w:rFonts w:ascii="Times New Roman" w:hAnsi="Times New Roman" w:cs="Times New Roman"/>
        </w:rPr>
        <w:footnoteRef/>
      </w:r>
      <w:r w:rsidRPr="00B74B18">
        <w:rPr>
          <w:rFonts w:ascii="Times New Roman" w:hAnsi="Times New Roman" w:cs="Times New Roman"/>
        </w:rPr>
        <w:t xml:space="preserve"> Maria K.E. </w:t>
      </w:r>
      <w:proofErr w:type="spellStart"/>
      <w:r w:rsidRPr="00B74B18">
        <w:rPr>
          <w:rFonts w:ascii="Times New Roman" w:hAnsi="Times New Roman" w:cs="Times New Roman"/>
        </w:rPr>
        <w:t>Lahman</w:t>
      </w:r>
      <w:proofErr w:type="spellEnd"/>
      <w:r w:rsidRPr="00B74B18">
        <w:rPr>
          <w:rFonts w:ascii="Times New Roman" w:hAnsi="Times New Roman" w:cs="Times New Roman"/>
        </w:rPr>
        <w:t xml:space="preserve"> et al., ‘Culturally Responsive Relational Reflexive Ethics </w:t>
      </w:r>
      <w:proofErr w:type="gramStart"/>
      <w:r>
        <w:rPr>
          <w:rFonts w:ascii="Times New Roman" w:hAnsi="Times New Roman" w:cs="Times New Roman"/>
        </w:rPr>
        <w:t>I</w:t>
      </w:r>
      <w:r w:rsidRPr="00B74B18">
        <w:rPr>
          <w:rFonts w:ascii="Times New Roman" w:hAnsi="Times New Roman" w:cs="Times New Roman"/>
        </w:rPr>
        <w:t>n</w:t>
      </w:r>
      <w:proofErr w:type="gramEnd"/>
      <w:r w:rsidRPr="00B74B18">
        <w:rPr>
          <w:rFonts w:ascii="Times New Roman" w:hAnsi="Times New Roman" w:cs="Times New Roman"/>
        </w:rPr>
        <w:t xml:space="preserve"> Research: The Three Rs’, </w:t>
      </w:r>
      <w:r w:rsidRPr="00B74B18">
        <w:rPr>
          <w:rFonts w:ascii="Times New Roman" w:hAnsi="Times New Roman" w:cs="Times New Roman"/>
          <w:i/>
          <w:iCs/>
        </w:rPr>
        <w:t>Quality and Quantity</w:t>
      </w:r>
      <w:r w:rsidRPr="00B74B18">
        <w:rPr>
          <w:rFonts w:ascii="Times New Roman" w:hAnsi="Times New Roman" w:cs="Times New Roman"/>
        </w:rPr>
        <w:t>, 45 (2011), pp. 1397-1414.</w:t>
      </w:r>
    </w:p>
  </w:footnote>
  <w:footnote w:id="37">
    <w:p w14:paraId="5A56D4BF" w14:textId="77777777" w:rsidR="002E6159" w:rsidRPr="00A0077C" w:rsidRDefault="002E6159" w:rsidP="002E6159">
      <w:pPr>
        <w:pStyle w:val="FootnoteText"/>
        <w:ind w:left="180" w:hanging="180"/>
        <w:rPr>
          <w:rFonts w:ascii="Times New Roman" w:hAnsi="Times New Roman" w:cs="Times New Roman"/>
        </w:rPr>
      </w:pPr>
      <w:r w:rsidRPr="00A0077C">
        <w:rPr>
          <w:rStyle w:val="FootnoteReference"/>
          <w:rFonts w:ascii="Times New Roman" w:hAnsi="Times New Roman" w:cs="Times New Roman"/>
        </w:rPr>
        <w:footnoteRef/>
      </w:r>
      <w:r w:rsidRPr="00A0077C">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A0077C">
        <w:rPr>
          <w:rFonts w:ascii="Times New Roman" w:hAnsi="Times New Roman" w:cs="Times New Roman"/>
        </w:rPr>
        <w:t>’, pp. 187-188.</w:t>
      </w:r>
    </w:p>
  </w:footnote>
  <w:footnote w:id="38">
    <w:p w14:paraId="502C8BE9" w14:textId="77777777" w:rsidR="002E6159" w:rsidRPr="00A0077C" w:rsidRDefault="002E6159" w:rsidP="002E6159">
      <w:pPr>
        <w:pStyle w:val="FootnoteText"/>
        <w:ind w:left="180" w:hanging="180"/>
        <w:rPr>
          <w:rFonts w:ascii="Times New Roman" w:hAnsi="Times New Roman" w:cs="Times New Roman"/>
        </w:rPr>
      </w:pPr>
      <w:r w:rsidRPr="00A0077C">
        <w:rPr>
          <w:rStyle w:val="FootnoteReference"/>
          <w:rFonts w:ascii="Times New Roman" w:hAnsi="Times New Roman" w:cs="Times New Roman"/>
        </w:rPr>
        <w:footnoteRef/>
      </w:r>
      <w:r w:rsidRPr="00A0077C">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A0077C">
        <w:rPr>
          <w:rFonts w:ascii="Times New Roman" w:hAnsi="Times New Roman" w:cs="Times New Roman"/>
        </w:rPr>
        <w:t>’, p. 191.</w:t>
      </w:r>
    </w:p>
  </w:footnote>
  <w:footnote w:id="39">
    <w:p w14:paraId="58005265" w14:textId="77777777" w:rsidR="002E6159" w:rsidRPr="00A0077C" w:rsidRDefault="002E6159" w:rsidP="002E6159">
      <w:pPr>
        <w:pStyle w:val="FootnoteText"/>
        <w:ind w:left="180" w:hanging="180"/>
        <w:rPr>
          <w:rFonts w:ascii="Times New Roman" w:hAnsi="Times New Roman" w:cs="Times New Roman"/>
        </w:rPr>
      </w:pPr>
      <w:r w:rsidRPr="00A0077C">
        <w:rPr>
          <w:rStyle w:val="FootnoteReference"/>
          <w:rFonts w:ascii="Times New Roman" w:hAnsi="Times New Roman" w:cs="Times New Roman"/>
        </w:rPr>
        <w:footnoteRef/>
      </w:r>
      <w:r w:rsidRPr="00A0077C">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A0077C">
        <w:rPr>
          <w:rFonts w:ascii="Times New Roman" w:hAnsi="Times New Roman" w:cs="Times New Roman"/>
        </w:rPr>
        <w:t>’, p. 196.</w:t>
      </w:r>
    </w:p>
  </w:footnote>
  <w:footnote w:id="40">
    <w:p w14:paraId="1F65C3FC" w14:textId="77777777" w:rsidR="002E6159" w:rsidRPr="00A0077C" w:rsidRDefault="002E6159" w:rsidP="002E6159">
      <w:pPr>
        <w:pStyle w:val="FootnoteText"/>
        <w:ind w:left="180" w:hanging="180"/>
        <w:rPr>
          <w:rFonts w:ascii="Times New Roman" w:hAnsi="Times New Roman" w:cs="Times New Roman"/>
        </w:rPr>
      </w:pPr>
      <w:r w:rsidRPr="00A0077C">
        <w:rPr>
          <w:rStyle w:val="FootnoteReference"/>
          <w:rFonts w:ascii="Times New Roman" w:hAnsi="Times New Roman" w:cs="Times New Roman"/>
        </w:rPr>
        <w:footnoteRef/>
      </w:r>
      <w:r w:rsidRPr="00A0077C">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A0077C">
        <w:rPr>
          <w:rFonts w:ascii="Times New Roman" w:hAnsi="Times New Roman" w:cs="Times New Roman"/>
        </w:rPr>
        <w:t>’, p. 187.</w:t>
      </w:r>
    </w:p>
  </w:footnote>
  <w:footnote w:id="41">
    <w:p w14:paraId="1E1C657A" w14:textId="77777777" w:rsidR="002E6159" w:rsidRDefault="002E6159" w:rsidP="002E6159">
      <w:pPr>
        <w:pStyle w:val="FootnoteText"/>
      </w:pPr>
      <w:r w:rsidRPr="00A0077C">
        <w:rPr>
          <w:rStyle w:val="FootnoteReference"/>
          <w:rFonts w:ascii="Times New Roman" w:hAnsi="Times New Roman" w:cs="Times New Roman"/>
        </w:rPr>
        <w:footnoteRef/>
      </w:r>
      <w:r w:rsidRPr="00A0077C">
        <w:rPr>
          <w:rFonts w:ascii="Times New Roman" w:hAnsi="Times New Roman" w:cs="Times New Roman"/>
        </w:rPr>
        <w:t xml:space="preserve"> Brink, ‘</w:t>
      </w:r>
      <w:r>
        <w:rPr>
          <w:rFonts w:ascii="Times New Roman" w:hAnsi="Times New Roman" w:cs="Times New Roman"/>
        </w:rPr>
        <w:t xml:space="preserve">Inconsistency </w:t>
      </w:r>
      <w:proofErr w:type="gramStart"/>
      <w:r>
        <w:rPr>
          <w:rFonts w:ascii="Times New Roman" w:hAnsi="Times New Roman" w:cs="Times New Roman"/>
        </w:rPr>
        <w:t>Of</w:t>
      </w:r>
      <w:proofErr w:type="gramEnd"/>
      <w:r>
        <w:rPr>
          <w:rFonts w:ascii="Times New Roman" w:hAnsi="Times New Roman" w:cs="Times New Roman"/>
        </w:rPr>
        <w:t xml:space="preserve"> Belief</w:t>
      </w:r>
      <w:r w:rsidRPr="00A0077C">
        <w:rPr>
          <w:rFonts w:ascii="Times New Roman" w:hAnsi="Times New Roman" w:cs="Times New Roman"/>
        </w:rPr>
        <w:t>’, p. 82.</w:t>
      </w:r>
    </w:p>
  </w:footnote>
  <w:footnote w:id="42">
    <w:p w14:paraId="426DC55F" w14:textId="77777777" w:rsidR="002E6159" w:rsidRPr="005956AB" w:rsidRDefault="002E6159" w:rsidP="002E6159">
      <w:pPr>
        <w:pStyle w:val="FootnoteText"/>
        <w:rPr>
          <w:rFonts w:ascii="Times New Roman" w:hAnsi="Times New Roman" w:cs="Times New Roman"/>
        </w:rPr>
      </w:pPr>
      <w:r w:rsidRPr="005956AB">
        <w:rPr>
          <w:rStyle w:val="FootnoteReference"/>
          <w:rFonts w:ascii="Times New Roman" w:hAnsi="Times New Roman" w:cs="Times New Roman"/>
        </w:rPr>
        <w:footnoteRef/>
      </w:r>
      <w:r w:rsidRPr="005956AB">
        <w:rPr>
          <w:rFonts w:ascii="Times New Roman" w:hAnsi="Times New Roman" w:cs="Times New Roman"/>
        </w:rPr>
        <w:t xml:space="preserve"> Walter and Waterhouse, ‘</w:t>
      </w:r>
      <w:r>
        <w:rPr>
          <w:rFonts w:ascii="Times New Roman" w:hAnsi="Times New Roman" w:cs="Times New Roman"/>
        </w:rPr>
        <w:t xml:space="preserve">Reincarnation </w:t>
      </w:r>
      <w:proofErr w:type="gramStart"/>
      <w:r>
        <w:rPr>
          <w:rFonts w:ascii="Times New Roman" w:hAnsi="Times New Roman" w:cs="Times New Roman"/>
        </w:rPr>
        <w:t>In</w:t>
      </w:r>
      <w:proofErr w:type="gramEnd"/>
      <w:r>
        <w:rPr>
          <w:rFonts w:ascii="Times New Roman" w:hAnsi="Times New Roman" w:cs="Times New Roman"/>
        </w:rPr>
        <w:t xml:space="preserve"> England</w:t>
      </w:r>
      <w:r w:rsidRPr="005956AB">
        <w:rPr>
          <w:rFonts w:ascii="Times New Roman" w:hAnsi="Times New Roman" w:cs="Times New Roman"/>
        </w:rPr>
        <w:t>’, p.195.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8C11B8"/>
    <w:multiLevelType w:val="hybridMultilevel"/>
    <w:tmpl w:val="D4A0B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0B0F41"/>
    <w:multiLevelType w:val="hybridMultilevel"/>
    <w:tmpl w:val="A9AA8DAA"/>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2" w15:restartNumberingAfterBreak="0">
    <w:nsid w:val="46946AF2"/>
    <w:multiLevelType w:val="hybridMultilevel"/>
    <w:tmpl w:val="422E2D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2F06B7"/>
    <w:multiLevelType w:val="hybridMultilevel"/>
    <w:tmpl w:val="D3FAD5A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159"/>
    <w:rsid w:val="002E6159"/>
    <w:rsid w:val="00650F72"/>
    <w:rsid w:val="00A045A3"/>
    <w:rsid w:val="00A23909"/>
    <w:rsid w:val="00FB5E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C7E9E"/>
  <w15:chartTrackingRefBased/>
  <w15:docId w15:val="{55A39E2D-E6CA-4890-BD44-02C48440A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6159"/>
    <w:pPr>
      <w:ind w:left="720"/>
      <w:contextualSpacing/>
    </w:pPr>
  </w:style>
  <w:style w:type="paragraph" w:styleId="FootnoteText">
    <w:name w:val="footnote text"/>
    <w:basedOn w:val="Normal"/>
    <w:link w:val="FootnoteTextChar"/>
    <w:uiPriority w:val="99"/>
    <w:semiHidden/>
    <w:unhideWhenUsed/>
    <w:rsid w:val="002E61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6159"/>
    <w:rPr>
      <w:sz w:val="20"/>
      <w:szCs w:val="20"/>
    </w:rPr>
  </w:style>
  <w:style w:type="character" w:styleId="FootnoteReference">
    <w:name w:val="footnote reference"/>
    <w:basedOn w:val="DefaultParagraphFont"/>
    <w:uiPriority w:val="99"/>
    <w:semiHidden/>
    <w:unhideWhenUsed/>
    <w:rsid w:val="002E615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2554</Words>
  <Characters>14560</Characters>
  <Application>Microsoft Office Word</Application>
  <DocSecurity>0</DocSecurity>
  <Lines>121</Lines>
  <Paragraphs>34</Paragraphs>
  <ScaleCrop>false</ScaleCrop>
  <Company/>
  <LinksUpToDate>false</LinksUpToDate>
  <CharactersWithSpaces>17080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J. Hayton</dc:creator>
  <cp:keywords/>
  <dc:description/>
  <cp:lastModifiedBy>Christopher J. Hayton</cp:lastModifiedBy>
  <cp:revision>2</cp:revision>
  <dcterms:created xsi:type="dcterms:W3CDTF">2021-03-29T19:06:00Z</dcterms:created>
  <dcterms:modified xsi:type="dcterms:W3CDTF">2021-03-29T19:06:00Z</dcterms:modified>
</cp:coreProperties>
</file>