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1BD9" w:rsidRPr="00026415" w:rsidRDefault="002A1BD9" w:rsidP="002A1BD9">
      <w:pPr>
        <w:jc w:val="center"/>
        <w:rPr>
          <w:b/>
          <w:sz w:val="48"/>
        </w:rPr>
      </w:pPr>
      <w:r w:rsidRPr="00026415">
        <w:rPr>
          <w:b/>
          <w:sz w:val="48"/>
        </w:rPr>
        <w:t>GROUP PROJECT PORTOFOLIO</w:t>
      </w:r>
    </w:p>
    <w:p w:rsidR="002A1BD9" w:rsidRPr="00026415" w:rsidRDefault="002A1BD9" w:rsidP="002A1BD9">
      <w:pPr>
        <w:jc w:val="center"/>
        <w:rPr>
          <w:b/>
          <w:sz w:val="40"/>
        </w:rPr>
      </w:pPr>
      <w:r w:rsidRPr="00026415">
        <w:rPr>
          <w:b/>
          <w:sz w:val="40"/>
        </w:rPr>
        <w:t>William Noakes</w:t>
      </w:r>
    </w:p>
    <w:p w:rsidR="002A1BD9" w:rsidRPr="00026415" w:rsidRDefault="00876F70" w:rsidP="002A1BD9">
      <w:pPr>
        <w:rPr>
          <w:b/>
          <w:sz w:val="36"/>
        </w:rPr>
      </w:pPr>
      <w:r>
        <w:rPr>
          <w:b/>
          <w:sz w:val="36"/>
        </w:rPr>
        <w:t xml:space="preserve">1. </w:t>
      </w:r>
      <w:r w:rsidR="00026415" w:rsidRPr="00026415">
        <w:rPr>
          <w:b/>
          <w:sz w:val="36"/>
        </w:rPr>
        <w:t>INTRO</w:t>
      </w:r>
    </w:p>
    <w:p w:rsidR="002A1BD9" w:rsidRPr="005C0760" w:rsidRDefault="005C0760" w:rsidP="002A1BD9">
      <w:pPr>
        <w:rPr>
          <w:sz w:val="28"/>
        </w:rPr>
      </w:pPr>
      <w:r>
        <w:rPr>
          <w:sz w:val="28"/>
        </w:rPr>
        <w:t>The brief, provided by the ‘Project Brief’ given by Dave Holley, for the task was to redesign the Rapid Cratering Kit Mk.2 to enhance performance in hot climates and under thermal cycling, comply with insensitive munitions requirements under STANAG 3349, and to design trails and tests to relevant standards for qualification for transport and use.</w:t>
      </w:r>
      <w:r w:rsidR="004C7FDE">
        <w:rPr>
          <w:sz w:val="28"/>
        </w:rPr>
        <w:t xml:space="preserve"> Other parameter were also given and where used to guide to user requirements documents and manufacture to target disposal sequence (see Fig.4)</w:t>
      </w:r>
    </w:p>
    <w:p w:rsidR="00685E2D" w:rsidRDefault="00685E2D" w:rsidP="00685E2D">
      <w:pPr>
        <w:rPr>
          <w:sz w:val="28"/>
        </w:rPr>
      </w:pPr>
      <w:r>
        <w:rPr>
          <w:sz w:val="28"/>
        </w:rPr>
        <w:t>The members of the design team were as follows…</w:t>
      </w:r>
    </w:p>
    <w:p w:rsidR="00685E2D" w:rsidRPr="00E46989" w:rsidRDefault="00685E2D" w:rsidP="00685E2D">
      <w:pPr>
        <w:pStyle w:val="ListParagraph"/>
        <w:numPr>
          <w:ilvl w:val="0"/>
          <w:numId w:val="1"/>
        </w:numPr>
        <w:rPr>
          <w:sz w:val="28"/>
        </w:rPr>
      </w:pPr>
      <w:r>
        <w:rPr>
          <w:sz w:val="28"/>
        </w:rPr>
        <w:t>Will</w:t>
      </w:r>
      <w:r w:rsidRPr="00E46989">
        <w:rPr>
          <w:sz w:val="28"/>
        </w:rPr>
        <w:t xml:space="preserve"> Noakes – Illusion Pyrotechnics Ltd.</w:t>
      </w:r>
    </w:p>
    <w:p w:rsidR="00685E2D" w:rsidRDefault="00685E2D" w:rsidP="00685E2D">
      <w:pPr>
        <w:pStyle w:val="ListParagraph"/>
        <w:numPr>
          <w:ilvl w:val="0"/>
          <w:numId w:val="1"/>
        </w:numPr>
        <w:rPr>
          <w:sz w:val="28"/>
        </w:rPr>
      </w:pPr>
      <w:r>
        <w:rPr>
          <w:sz w:val="28"/>
        </w:rPr>
        <w:t>Ryan Garry – MoD</w:t>
      </w:r>
    </w:p>
    <w:p w:rsidR="00685E2D" w:rsidRDefault="00685E2D" w:rsidP="00685E2D">
      <w:pPr>
        <w:pStyle w:val="ListParagraph"/>
        <w:numPr>
          <w:ilvl w:val="0"/>
          <w:numId w:val="1"/>
        </w:numPr>
        <w:rPr>
          <w:sz w:val="28"/>
        </w:rPr>
      </w:pPr>
      <w:r>
        <w:rPr>
          <w:sz w:val="28"/>
        </w:rPr>
        <w:t>Jake Smith – MoD</w:t>
      </w:r>
    </w:p>
    <w:p w:rsidR="00685E2D" w:rsidRPr="00E46989" w:rsidRDefault="00685E2D" w:rsidP="00685E2D">
      <w:pPr>
        <w:pStyle w:val="ListParagraph"/>
        <w:numPr>
          <w:ilvl w:val="0"/>
          <w:numId w:val="1"/>
        </w:numPr>
        <w:rPr>
          <w:sz w:val="28"/>
        </w:rPr>
      </w:pPr>
      <w:r>
        <w:rPr>
          <w:sz w:val="28"/>
        </w:rPr>
        <w:t>Peter Down – Roxel UK</w:t>
      </w:r>
    </w:p>
    <w:p w:rsidR="002A1BD9" w:rsidRDefault="002A1BD9" w:rsidP="002A1BD9">
      <w:pPr>
        <w:rPr>
          <w:b/>
          <w:sz w:val="32"/>
        </w:rPr>
      </w:pPr>
    </w:p>
    <w:p w:rsidR="002A1BD9" w:rsidRDefault="002A1BD9" w:rsidP="002A1BD9">
      <w:pPr>
        <w:rPr>
          <w:b/>
          <w:sz w:val="32"/>
        </w:rPr>
      </w:pPr>
    </w:p>
    <w:p w:rsidR="002A1BD9" w:rsidRDefault="002A1BD9" w:rsidP="002A1BD9">
      <w:pPr>
        <w:rPr>
          <w:b/>
          <w:sz w:val="32"/>
        </w:rPr>
      </w:pPr>
    </w:p>
    <w:p w:rsidR="002A1BD9" w:rsidRDefault="002A1BD9" w:rsidP="002A1BD9">
      <w:pPr>
        <w:rPr>
          <w:b/>
          <w:sz w:val="32"/>
        </w:rPr>
      </w:pPr>
    </w:p>
    <w:p w:rsidR="002A1BD9" w:rsidRDefault="002A1BD9" w:rsidP="002A1BD9">
      <w:pPr>
        <w:rPr>
          <w:b/>
          <w:sz w:val="32"/>
        </w:rPr>
      </w:pPr>
    </w:p>
    <w:p w:rsidR="002A1BD9" w:rsidRDefault="002A1BD9" w:rsidP="002A1BD9">
      <w:pPr>
        <w:rPr>
          <w:b/>
          <w:sz w:val="32"/>
        </w:rPr>
      </w:pPr>
    </w:p>
    <w:p w:rsidR="002A1BD9" w:rsidRDefault="002A1BD9" w:rsidP="002A1BD9">
      <w:pPr>
        <w:rPr>
          <w:b/>
          <w:sz w:val="32"/>
        </w:rPr>
      </w:pPr>
    </w:p>
    <w:p w:rsidR="00F41412" w:rsidRDefault="00F41412" w:rsidP="002A1BD9">
      <w:pPr>
        <w:rPr>
          <w:b/>
          <w:sz w:val="36"/>
        </w:rPr>
      </w:pPr>
    </w:p>
    <w:p w:rsidR="00F41412" w:rsidRDefault="00F41412" w:rsidP="002A1BD9">
      <w:pPr>
        <w:rPr>
          <w:b/>
          <w:sz w:val="36"/>
        </w:rPr>
      </w:pPr>
    </w:p>
    <w:p w:rsidR="00F41412" w:rsidRDefault="00F41412" w:rsidP="002A1BD9">
      <w:pPr>
        <w:rPr>
          <w:b/>
          <w:sz w:val="36"/>
        </w:rPr>
      </w:pPr>
    </w:p>
    <w:p w:rsidR="00F41412" w:rsidRDefault="00F41412" w:rsidP="002A1BD9">
      <w:pPr>
        <w:rPr>
          <w:b/>
          <w:sz w:val="36"/>
        </w:rPr>
      </w:pPr>
    </w:p>
    <w:p w:rsidR="002A1BD9" w:rsidRPr="00026415" w:rsidRDefault="00876F70" w:rsidP="002A1BD9">
      <w:pPr>
        <w:rPr>
          <w:b/>
          <w:sz w:val="36"/>
        </w:rPr>
      </w:pPr>
      <w:r>
        <w:rPr>
          <w:b/>
          <w:sz w:val="36"/>
        </w:rPr>
        <w:lastRenderedPageBreak/>
        <w:t xml:space="preserve">2. </w:t>
      </w:r>
      <w:r w:rsidR="00026415" w:rsidRPr="00026415">
        <w:rPr>
          <w:b/>
          <w:sz w:val="36"/>
        </w:rPr>
        <w:t>PROJECT OVERVIEW &amp; TIMELINE OF MEETINGS</w:t>
      </w:r>
    </w:p>
    <w:p w:rsidR="002A1BD9" w:rsidRDefault="00F41412" w:rsidP="002A1BD9">
      <w:pPr>
        <w:rPr>
          <w:sz w:val="28"/>
        </w:rPr>
      </w:pPr>
      <w:r>
        <w:rPr>
          <w:b/>
          <w:sz w:val="28"/>
        </w:rPr>
        <w:t>Figure 1</w:t>
      </w:r>
      <w:r w:rsidR="00B53EBD">
        <w:rPr>
          <w:sz w:val="28"/>
        </w:rPr>
        <w:t>: B</w:t>
      </w:r>
      <w:r w:rsidR="002A1BD9">
        <w:rPr>
          <w:sz w:val="28"/>
        </w:rPr>
        <w:t>elow is a table showing a timeline of the meetings/design review conducted between the design team</w:t>
      </w:r>
    </w:p>
    <w:tbl>
      <w:tblPr>
        <w:tblStyle w:val="TableGrid"/>
        <w:tblW w:w="0" w:type="auto"/>
        <w:tblLook w:val="04A0" w:firstRow="1" w:lastRow="0" w:firstColumn="1" w:lastColumn="0" w:noHBand="0" w:noVBand="1"/>
      </w:tblPr>
      <w:tblGrid>
        <w:gridCol w:w="562"/>
        <w:gridCol w:w="2268"/>
        <w:gridCol w:w="1560"/>
        <w:gridCol w:w="4626"/>
      </w:tblGrid>
      <w:tr w:rsidR="002A1BD9" w:rsidTr="00EC6E7E">
        <w:tc>
          <w:tcPr>
            <w:tcW w:w="2830" w:type="dxa"/>
            <w:gridSpan w:val="2"/>
          </w:tcPr>
          <w:p w:rsidR="002A1BD9" w:rsidRPr="00E46989" w:rsidRDefault="002A1BD9" w:rsidP="00EC6E7E">
            <w:pPr>
              <w:rPr>
                <w:sz w:val="24"/>
              </w:rPr>
            </w:pPr>
            <w:r w:rsidRPr="00E46989">
              <w:rPr>
                <w:sz w:val="24"/>
              </w:rPr>
              <w:t>MEETING/EVENT</w:t>
            </w:r>
          </w:p>
        </w:tc>
        <w:tc>
          <w:tcPr>
            <w:tcW w:w="1560" w:type="dxa"/>
          </w:tcPr>
          <w:p w:rsidR="002A1BD9" w:rsidRPr="00E46989" w:rsidRDefault="002A1BD9" w:rsidP="00EC6E7E">
            <w:pPr>
              <w:rPr>
                <w:sz w:val="24"/>
              </w:rPr>
            </w:pPr>
            <w:r w:rsidRPr="00E46989">
              <w:rPr>
                <w:sz w:val="24"/>
              </w:rPr>
              <w:t>DATE</w:t>
            </w:r>
          </w:p>
        </w:tc>
        <w:tc>
          <w:tcPr>
            <w:tcW w:w="4626" w:type="dxa"/>
          </w:tcPr>
          <w:p w:rsidR="002A1BD9" w:rsidRPr="00E46989" w:rsidRDefault="002A1BD9" w:rsidP="00EC6E7E">
            <w:pPr>
              <w:rPr>
                <w:sz w:val="24"/>
              </w:rPr>
            </w:pPr>
            <w:r w:rsidRPr="00E46989">
              <w:rPr>
                <w:sz w:val="24"/>
              </w:rPr>
              <w:t>PURPOSE</w:t>
            </w:r>
          </w:p>
        </w:tc>
      </w:tr>
      <w:tr w:rsidR="002A1BD9" w:rsidTr="00EC6E7E">
        <w:tc>
          <w:tcPr>
            <w:tcW w:w="562" w:type="dxa"/>
          </w:tcPr>
          <w:p w:rsidR="002A1BD9" w:rsidRDefault="002A1BD9" w:rsidP="00EC6E7E">
            <w:r>
              <w:t>1</w:t>
            </w:r>
          </w:p>
        </w:tc>
        <w:tc>
          <w:tcPr>
            <w:tcW w:w="2268" w:type="dxa"/>
          </w:tcPr>
          <w:p w:rsidR="002A1BD9" w:rsidRPr="00E46989" w:rsidRDefault="002A1BD9" w:rsidP="00EC6E7E">
            <w:pPr>
              <w:rPr>
                <w:sz w:val="24"/>
              </w:rPr>
            </w:pPr>
            <w:r w:rsidRPr="00E46989">
              <w:rPr>
                <w:sz w:val="24"/>
              </w:rPr>
              <w:t>In person meeting</w:t>
            </w:r>
          </w:p>
        </w:tc>
        <w:tc>
          <w:tcPr>
            <w:tcW w:w="1560" w:type="dxa"/>
          </w:tcPr>
          <w:p w:rsidR="002A1BD9" w:rsidRPr="00E46989" w:rsidRDefault="002A1BD9" w:rsidP="00EC6E7E">
            <w:pPr>
              <w:rPr>
                <w:sz w:val="24"/>
              </w:rPr>
            </w:pPr>
            <w:r w:rsidRPr="00E46989">
              <w:rPr>
                <w:sz w:val="24"/>
              </w:rPr>
              <w:t>5</w:t>
            </w:r>
            <w:r w:rsidRPr="00E46989">
              <w:rPr>
                <w:sz w:val="24"/>
                <w:vertAlign w:val="superscript"/>
              </w:rPr>
              <w:t>th</w:t>
            </w:r>
            <w:r w:rsidRPr="00E46989">
              <w:rPr>
                <w:sz w:val="24"/>
              </w:rPr>
              <w:t xml:space="preserve"> Feb</w:t>
            </w:r>
          </w:p>
        </w:tc>
        <w:tc>
          <w:tcPr>
            <w:tcW w:w="4626" w:type="dxa"/>
          </w:tcPr>
          <w:p w:rsidR="002A1BD9" w:rsidRPr="00E46989" w:rsidRDefault="002A1BD9" w:rsidP="00AC07F2">
            <w:pPr>
              <w:rPr>
                <w:sz w:val="24"/>
              </w:rPr>
            </w:pPr>
            <w:r w:rsidRPr="00E46989">
              <w:rPr>
                <w:sz w:val="24"/>
              </w:rPr>
              <w:t xml:space="preserve">Discussed </w:t>
            </w:r>
            <w:r w:rsidR="00AC07F2">
              <w:rPr>
                <w:sz w:val="24"/>
              </w:rPr>
              <w:t xml:space="preserve">the brief, basic features and components of the product &amp; </w:t>
            </w:r>
            <w:r w:rsidRPr="00E46989">
              <w:rPr>
                <w:sz w:val="24"/>
              </w:rPr>
              <w:t>area</w:t>
            </w:r>
            <w:r w:rsidR="00AC07F2">
              <w:rPr>
                <w:sz w:val="24"/>
              </w:rPr>
              <w:t>s of expertise within the group. C</w:t>
            </w:r>
            <w:r w:rsidRPr="00E46989">
              <w:rPr>
                <w:sz w:val="24"/>
              </w:rPr>
              <w:t>reated a</w:t>
            </w:r>
            <w:r w:rsidR="00AC07F2">
              <w:rPr>
                <w:sz w:val="24"/>
              </w:rPr>
              <w:t>n itemised list of components &amp;</w:t>
            </w:r>
            <w:r w:rsidRPr="00E46989">
              <w:rPr>
                <w:sz w:val="24"/>
              </w:rPr>
              <w:t xml:space="preserve"> list of tasks </w:t>
            </w:r>
            <w:r w:rsidR="00AC07F2">
              <w:rPr>
                <w:sz w:val="24"/>
              </w:rPr>
              <w:t xml:space="preserve">&amp; responsibilities, organised into subject areas and </w:t>
            </w:r>
            <w:r w:rsidRPr="00E46989">
              <w:rPr>
                <w:sz w:val="24"/>
              </w:rPr>
              <w:t xml:space="preserve">split between the </w:t>
            </w:r>
            <w:r w:rsidR="00AC07F2" w:rsidRPr="00E46989">
              <w:rPr>
                <w:sz w:val="24"/>
              </w:rPr>
              <w:t>groups</w:t>
            </w:r>
            <w:r w:rsidR="00AC07F2">
              <w:rPr>
                <w:sz w:val="24"/>
              </w:rPr>
              <w:t>.</w:t>
            </w:r>
          </w:p>
        </w:tc>
      </w:tr>
      <w:tr w:rsidR="002A1BD9" w:rsidTr="00EC6E7E">
        <w:tc>
          <w:tcPr>
            <w:tcW w:w="562" w:type="dxa"/>
          </w:tcPr>
          <w:p w:rsidR="002A1BD9" w:rsidRDefault="002A1BD9" w:rsidP="00EC6E7E">
            <w:r>
              <w:t>2</w:t>
            </w:r>
          </w:p>
        </w:tc>
        <w:tc>
          <w:tcPr>
            <w:tcW w:w="2268" w:type="dxa"/>
          </w:tcPr>
          <w:p w:rsidR="002A1BD9" w:rsidRPr="00E46989" w:rsidRDefault="002A1BD9" w:rsidP="00EC6E7E">
            <w:pPr>
              <w:rPr>
                <w:sz w:val="24"/>
              </w:rPr>
            </w:pPr>
            <w:r w:rsidRPr="00E46989">
              <w:rPr>
                <w:sz w:val="24"/>
              </w:rPr>
              <w:t>In person meeting</w:t>
            </w:r>
          </w:p>
        </w:tc>
        <w:tc>
          <w:tcPr>
            <w:tcW w:w="1560" w:type="dxa"/>
          </w:tcPr>
          <w:p w:rsidR="002A1BD9" w:rsidRPr="00E46989" w:rsidRDefault="002A1BD9" w:rsidP="00EC6E7E">
            <w:pPr>
              <w:rPr>
                <w:sz w:val="24"/>
              </w:rPr>
            </w:pPr>
            <w:r w:rsidRPr="00E46989">
              <w:rPr>
                <w:sz w:val="24"/>
              </w:rPr>
              <w:t>6</w:t>
            </w:r>
            <w:r w:rsidRPr="00E46989">
              <w:rPr>
                <w:sz w:val="24"/>
                <w:vertAlign w:val="superscript"/>
              </w:rPr>
              <w:t>th</w:t>
            </w:r>
            <w:r w:rsidRPr="00E46989">
              <w:rPr>
                <w:sz w:val="24"/>
              </w:rPr>
              <w:t xml:space="preserve"> Feb </w:t>
            </w:r>
          </w:p>
        </w:tc>
        <w:tc>
          <w:tcPr>
            <w:tcW w:w="4626" w:type="dxa"/>
          </w:tcPr>
          <w:p w:rsidR="002A1BD9" w:rsidRPr="00E46989" w:rsidRDefault="00AC07F2" w:rsidP="00AC07F2">
            <w:pPr>
              <w:rPr>
                <w:sz w:val="24"/>
              </w:rPr>
            </w:pPr>
            <w:r>
              <w:rPr>
                <w:sz w:val="24"/>
              </w:rPr>
              <w:t>Created User Requirements &amp; MTDS document as a group. Reviewed</w:t>
            </w:r>
            <w:r w:rsidR="002A1BD9" w:rsidRPr="00E46989">
              <w:rPr>
                <w:sz w:val="24"/>
              </w:rPr>
              <w:t xml:space="preserve"> the list of tasks and responsibilities. Discussed basic ideas such as replacing the explosives/compositions within the RCK, but keeping a similar design</w:t>
            </w:r>
            <w:r>
              <w:rPr>
                <w:sz w:val="24"/>
              </w:rPr>
              <w:t>.</w:t>
            </w:r>
          </w:p>
        </w:tc>
      </w:tr>
      <w:tr w:rsidR="002A1BD9" w:rsidTr="00EC6E7E">
        <w:tc>
          <w:tcPr>
            <w:tcW w:w="562" w:type="dxa"/>
          </w:tcPr>
          <w:p w:rsidR="002A1BD9" w:rsidRDefault="002A1BD9" w:rsidP="00EC6E7E">
            <w:r>
              <w:t>3</w:t>
            </w:r>
          </w:p>
        </w:tc>
        <w:tc>
          <w:tcPr>
            <w:tcW w:w="2268" w:type="dxa"/>
          </w:tcPr>
          <w:p w:rsidR="002A1BD9" w:rsidRPr="00E46989" w:rsidRDefault="002A1BD9" w:rsidP="00EC6E7E">
            <w:pPr>
              <w:rPr>
                <w:sz w:val="24"/>
              </w:rPr>
            </w:pPr>
            <w:r w:rsidRPr="00E46989">
              <w:rPr>
                <w:sz w:val="24"/>
              </w:rPr>
              <w:t>Design Review</w:t>
            </w:r>
          </w:p>
        </w:tc>
        <w:tc>
          <w:tcPr>
            <w:tcW w:w="1560" w:type="dxa"/>
          </w:tcPr>
          <w:p w:rsidR="002A1BD9" w:rsidRPr="00E46989" w:rsidRDefault="002A1BD9" w:rsidP="00EC6E7E">
            <w:pPr>
              <w:rPr>
                <w:sz w:val="24"/>
              </w:rPr>
            </w:pPr>
            <w:r w:rsidRPr="00E46989">
              <w:rPr>
                <w:sz w:val="24"/>
              </w:rPr>
              <w:t>11</w:t>
            </w:r>
            <w:r w:rsidRPr="00E46989">
              <w:rPr>
                <w:sz w:val="24"/>
                <w:vertAlign w:val="superscript"/>
              </w:rPr>
              <w:t>th</w:t>
            </w:r>
            <w:r w:rsidRPr="00E46989">
              <w:rPr>
                <w:sz w:val="24"/>
              </w:rPr>
              <w:t xml:space="preserve"> March</w:t>
            </w:r>
          </w:p>
        </w:tc>
        <w:tc>
          <w:tcPr>
            <w:tcW w:w="4626" w:type="dxa"/>
          </w:tcPr>
          <w:p w:rsidR="002A1BD9" w:rsidRPr="00E46989" w:rsidRDefault="002A1BD9" w:rsidP="00AC07F2">
            <w:pPr>
              <w:rPr>
                <w:sz w:val="24"/>
              </w:rPr>
            </w:pPr>
            <w:r w:rsidRPr="00E46989">
              <w:rPr>
                <w:sz w:val="24"/>
              </w:rPr>
              <w:t xml:space="preserve">Group met with Dave Holley </w:t>
            </w:r>
            <w:r w:rsidR="00AC07F2">
              <w:rPr>
                <w:sz w:val="24"/>
              </w:rPr>
              <w:t>to discuss design ideas to date and division/subdivision of subject areas.</w:t>
            </w:r>
            <w:r w:rsidRPr="00E46989">
              <w:rPr>
                <w:sz w:val="24"/>
              </w:rPr>
              <w:t xml:space="preserve"> </w:t>
            </w:r>
            <w:r w:rsidR="00AC07F2">
              <w:rPr>
                <w:sz w:val="24"/>
              </w:rPr>
              <w:t>Good f</w:t>
            </w:r>
            <w:r w:rsidRPr="00E46989">
              <w:rPr>
                <w:sz w:val="24"/>
              </w:rPr>
              <w:t xml:space="preserve">eedback received on progress. </w:t>
            </w:r>
          </w:p>
        </w:tc>
      </w:tr>
      <w:tr w:rsidR="002A1BD9" w:rsidTr="00EC6E7E">
        <w:tc>
          <w:tcPr>
            <w:tcW w:w="2830" w:type="dxa"/>
            <w:gridSpan w:val="2"/>
          </w:tcPr>
          <w:p w:rsidR="002A1BD9" w:rsidRPr="00E46989" w:rsidRDefault="002A1BD9" w:rsidP="00EC6E7E">
            <w:pPr>
              <w:rPr>
                <w:sz w:val="24"/>
              </w:rPr>
            </w:pPr>
            <w:r w:rsidRPr="00E46989">
              <w:rPr>
                <w:sz w:val="24"/>
              </w:rPr>
              <w:t xml:space="preserve">Correspondence with previous designers/users  </w:t>
            </w:r>
          </w:p>
        </w:tc>
        <w:tc>
          <w:tcPr>
            <w:tcW w:w="1560" w:type="dxa"/>
          </w:tcPr>
          <w:p w:rsidR="002A1BD9" w:rsidRPr="00E46989" w:rsidRDefault="002A1BD9" w:rsidP="00EC6E7E">
            <w:pPr>
              <w:rPr>
                <w:sz w:val="24"/>
              </w:rPr>
            </w:pPr>
            <w:r w:rsidRPr="00E46989">
              <w:rPr>
                <w:sz w:val="24"/>
              </w:rPr>
              <w:t>11-19</w:t>
            </w:r>
            <w:r w:rsidRPr="00E46989">
              <w:rPr>
                <w:sz w:val="24"/>
                <w:vertAlign w:val="superscript"/>
              </w:rPr>
              <w:t>th</w:t>
            </w:r>
            <w:r w:rsidRPr="00E46989">
              <w:rPr>
                <w:sz w:val="24"/>
              </w:rPr>
              <w:t xml:space="preserve"> March</w:t>
            </w:r>
          </w:p>
        </w:tc>
        <w:tc>
          <w:tcPr>
            <w:tcW w:w="4626" w:type="dxa"/>
          </w:tcPr>
          <w:p w:rsidR="002A1BD9" w:rsidRPr="00E46989" w:rsidRDefault="002A1BD9" w:rsidP="00EC6E7E">
            <w:pPr>
              <w:rPr>
                <w:sz w:val="24"/>
              </w:rPr>
            </w:pPr>
            <w:r w:rsidRPr="00E46989">
              <w:rPr>
                <w:sz w:val="24"/>
              </w:rPr>
              <w:t>Correspondence carried out by Will Noakes with CBRN (a company involved in refining the design of the RCK Mk.2). Queried functionality of the product, choice of explosive compositions in the Mk.2 and whether any other improvements could be suggested by end users.</w:t>
            </w:r>
          </w:p>
          <w:p w:rsidR="002A1BD9" w:rsidRPr="00E46989" w:rsidRDefault="002A1BD9" w:rsidP="00EC6E7E">
            <w:pPr>
              <w:rPr>
                <w:sz w:val="24"/>
              </w:rPr>
            </w:pPr>
            <w:r w:rsidRPr="00E46989">
              <w:rPr>
                <w:sz w:val="24"/>
              </w:rPr>
              <w:t>Feedback received was brief but gave general pointers on the reasoning for use of specific explosive fills in the Mk.2</w:t>
            </w:r>
          </w:p>
        </w:tc>
      </w:tr>
      <w:tr w:rsidR="002A1BD9" w:rsidTr="00EC6E7E">
        <w:tc>
          <w:tcPr>
            <w:tcW w:w="562" w:type="dxa"/>
          </w:tcPr>
          <w:p w:rsidR="002A1BD9" w:rsidRDefault="002A1BD9" w:rsidP="00EC6E7E">
            <w:r>
              <w:t>4</w:t>
            </w:r>
          </w:p>
        </w:tc>
        <w:tc>
          <w:tcPr>
            <w:tcW w:w="2268" w:type="dxa"/>
          </w:tcPr>
          <w:p w:rsidR="002A1BD9" w:rsidRPr="00E46989" w:rsidRDefault="002A1BD9" w:rsidP="00EC6E7E">
            <w:pPr>
              <w:rPr>
                <w:sz w:val="24"/>
              </w:rPr>
            </w:pPr>
            <w:r w:rsidRPr="00E46989">
              <w:rPr>
                <w:sz w:val="24"/>
              </w:rPr>
              <w:t>Conference call on Discord</w:t>
            </w:r>
          </w:p>
        </w:tc>
        <w:tc>
          <w:tcPr>
            <w:tcW w:w="1560" w:type="dxa"/>
          </w:tcPr>
          <w:p w:rsidR="002A1BD9" w:rsidRPr="00E46989" w:rsidRDefault="002A1BD9" w:rsidP="00EC6E7E">
            <w:pPr>
              <w:rPr>
                <w:sz w:val="24"/>
              </w:rPr>
            </w:pPr>
            <w:r w:rsidRPr="00E46989">
              <w:rPr>
                <w:sz w:val="24"/>
              </w:rPr>
              <w:t>21</w:t>
            </w:r>
            <w:r w:rsidRPr="00E46989">
              <w:rPr>
                <w:sz w:val="24"/>
                <w:vertAlign w:val="superscript"/>
              </w:rPr>
              <w:t>st</w:t>
            </w:r>
            <w:r w:rsidRPr="00E46989">
              <w:rPr>
                <w:sz w:val="24"/>
              </w:rPr>
              <w:t xml:space="preserve"> May</w:t>
            </w:r>
          </w:p>
        </w:tc>
        <w:tc>
          <w:tcPr>
            <w:tcW w:w="4626" w:type="dxa"/>
          </w:tcPr>
          <w:p w:rsidR="002A1BD9" w:rsidRPr="00E46989" w:rsidRDefault="002A1BD9" w:rsidP="00EC6E7E">
            <w:pPr>
              <w:rPr>
                <w:sz w:val="24"/>
              </w:rPr>
            </w:pPr>
            <w:r w:rsidRPr="00E46989">
              <w:rPr>
                <w:sz w:val="24"/>
              </w:rPr>
              <w:t>Discussions on the developments and progress of each team member’s respective tasks/responsibilities. Feedback between team members to inform on next steps in personal tasks and to ensure coherence in overall design between the sections.</w:t>
            </w:r>
          </w:p>
        </w:tc>
      </w:tr>
      <w:tr w:rsidR="002A1BD9" w:rsidTr="00EC6E7E">
        <w:tc>
          <w:tcPr>
            <w:tcW w:w="562" w:type="dxa"/>
          </w:tcPr>
          <w:p w:rsidR="002A1BD9" w:rsidRDefault="002A1BD9" w:rsidP="00EC6E7E">
            <w:r>
              <w:t>5</w:t>
            </w:r>
          </w:p>
        </w:tc>
        <w:tc>
          <w:tcPr>
            <w:tcW w:w="2268" w:type="dxa"/>
          </w:tcPr>
          <w:p w:rsidR="002A1BD9" w:rsidRPr="00E46989" w:rsidRDefault="002A1BD9" w:rsidP="00EC6E7E">
            <w:pPr>
              <w:rPr>
                <w:sz w:val="24"/>
              </w:rPr>
            </w:pPr>
            <w:r w:rsidRPr="00E46989">
              <w:rPr>
                <w:sz w:val="24"/>
              </w:rPr>
              <w:t>Group work sessions on campus</w:t>
            </w:r>
          </w:p>
        </w:tc>
        <w:tc>
          <w:tcPr>
            <w:tcW w:w="1560" w:type="dxa"/>
          </w:tcPr>
          <w:p w:rsidR="002A1BD9" w:rsidRPr="00E46989" w:rsidRDefault="002A1BD9" w:rsidP="00EC6E7E">
            <w:pPr>
              <w:rPr>
                <w:sz w:val="24"/>
              </w:rPr>
            </w:pPr>
            <w:r w:rsidRPr="00E46989">
              <w:rPr>
                <w:sz w:val="24"/>
              </w:rPr>
              <w:t>3-5</w:t>
            </w:r>
            <w:r w:rsidRPr="00E46989">
              <w:rPr>
                <w:sz w:val="24"/>
                <w:vertAlign w:val="superscript"/>
              </w:rPr>
              <w:t>th</w:t>
            </w:r>
            <w:r w:rsidRPr="00E46989">
              <w:rPr>
                <w:sz w:val="24"/>
              </w:rPr>
              <w:t xml:space="preserve"> June</w:t>
            </w:r>
          </w:p>
        </w:tc>
        <w:tc>
          <w:tcPr>
            <w:tcW w:w="4626" w:type="dxa"/>
          </w:tcPr>
          <w:p w:rsidR="002A1BD9" w:rsidRPr="00E46989" w:rsidRDefault="002A1BD9" w:rsidP="00EC6E7E">
            <w:pPr>
              <w:rPr>
                <w:sz w:val="24"/>
              </w:rPr>
            </w:pPr>
            <w:r w:rsidRPr="00E46989">
              <w:rPr>
                <w:sz w:val="24"/>
              </w:rPr>
              <w:t>Meeting to discuss final ideas/design from each team member’s tasks and responsibilities. R&amp;D on explosive compositions analysed and final composition chosen for design and to ensure suitability for manufacturing. Begin to create the presentation.</w:t>
            </w:r>
          </w:p>
        </w:tc>
      </w:tr>
      <w:tr w:rsidR="002A1BD9" w:rsidTr="00EC6E7E">
        <w:tc>
          <w:tcPr>
            <w:tcW w:w="562" w:type="dxa"/>
          </w:tcPr>
          <w:p w:rsidR="002A1BD9" w:rsidRDefault="002A1BD9" w:rsidP="00EC6E7E">
            <w:r>
              <w:t>6</w:t>
            </w:r>
          </w:p>
        </w:tc>
        <w:tc>
          <w:tcPr>
            <w:tcW w:w="2268" w:type="dxa"/>
          </w:tcPr>
          <w:p w:rsidR="002A1BD9" w:rsidRPr="00E46989" w:rsidRDefault="002A1BD9" w:rsidP="00EC6E7E">
            <w:pPr>
              <w:rPr>
                <w:sz w:val="24"/>
              </w:rPr>
            </w:pPr>
            <w:r w:rsidRPr="00E46989">
              <w:rPr>
                <w:sz w:val="24"/>
              </w:rPr>
              <w:t>Group work sessions on campus</w:t>
            </w:r>
          </w:p>
        </w:tc>
        <w:tc>
          <w:tcPr>
            <w:tcW w:w="1560" w:type="dxa"/>
          </w:tcPr>
          <w:p w:rsidR="002A1BD9" w:rsidRPr="00E46989" w:rsidRDefault="002A1BD9" w:rsidP="00EC6E7E">
            <w:pPr>
              <w:rPr>
                <w:sz w:val="24"/>
              </w:rPr>
            </w:pPr>
            <w:r w:rsidRPr="00E46989">
              <w:rPr>
                <w:sz w:val="24"/>
              </w:rPr>
              <w:t>5-7</w:t>
            </w:r>
            <w:r w:rsidRPr="00E46989">
              <w:rPr>
                <w:sz w:val="24"/>
                <w:vertAlign w:val="superscript"/>
              </w:rPr>
              <w:t>th</w:t>
            </w:r>
            <w:r w:rsidRPr="00E46989">
              <w:rPr>
                <w:sz w:val="24"/>
              </w:rPr>
              <w:t xml:space="preserve"> June</w:t>
            </w:r>
          </w:p>
        </w:tc>
        <w:tc>
          <w:tcPr>
            <w:tcW w:w="4626" w:type="dxa"/>
          </w:tcPr>
          <w:p w:rsidR="002A1BD9" w:rsidRPr="00E46989" w:rsidRDefault="002A1BD9" w:rsidP="00EC6E7E">
            <w:pPr>
              <w:rPr>
                <w:sz w:val="24"/>
              </w:rPr>
            </w:pPr>
            <w:r w:rsidRPr="00E46989">
              <w:rPr>
                <w:sz w:val="24"/>
              </w:rPr>
              <w:t>Team members working both individually and together to finalise presentation.</w:t>
            </w:r>
          </w:p>
        </w:tc>
      </w:tr>
    </w:tbl>
    <w:p w:rsidR="00026415" w:rsidRPr="00026415" w:rsidRDefault="00876F70" w:rsidP="002A1BD9">
      <w:pPr>
        <w:rPr>
          <w:b/>
          <w:sz w:val="36"/>
        </w:rPr>
      </w:pPr>
      <w:r>
        <w:rPr>
          <w:b/>
          <w:sz w:val="36"/>
        </w:rPr>
        <w:lastRenderedPageBreak/>
        <w:t xml:space="preserve">3. </w:t>
      </w:r>
      <w:r w:rsidR="00026415" w:rsidRPr="00026415">
        <w:rPr>
          <w:b/>
          <w:sz w:val="36"/>
        </w:rPr>
        <w:t>GROUP WORK &amp; DESIGN TEAM SPECIALISATION</w:t>
      </w:r>
    </w:p>
    <w:p w:rsidR="00E46989" w:rsidRDefault="00876F70" w:rsidP="002A1BD9">
      <w:pPr>
        <w:rPr>
          <w:b/>
          <w:sz w:val="32"/>
        </w:rPr>
      </w:pPr>
      <w:r>
        <w:rPr>
          <w:b/>
          <w:sz w:val="32"/>
        </w:rPr>
        <w:t xml:space="preserve">3.1. </w:t>
      </w:r>
      <w:r w:rsidR="00E46989">
        <w:rPr>
          <w:b/>
          <w:sz w:val="32"/>
        </w:rPr>
        <w:t>Design Team &amp; Subject Areas</w:t>
      </w:r>
    </w:p>
    <w:p w:rsidR="00E46989" w:rsidRDefault="00E46989" w:rsidP="002A1BD9">
      <w:pPr>
        <w:rPr>
          <w:sz w:val="28"/>
        </w:rPr>
      </w:pPr>
      <w:r>
        <w:rPr>
          <w:sz w:val="28"/>
        </w:rPr>
        <w:t>The initial meeting of the design team was held on 5</w:t>
      </w:r>
      <w:r w:rsidRPr="00E46989">
        <w:rPr>
          <w:sz w:val="28"/>
          <w:vertAlign w:val="superscript"/>
        </w:rPr>
        <w:t>th</w:t>
      </w:r>
      <w:r>
        <w:rPr>
          <w:sz w:val="28"/>
        </w:rPr>
        <w:t xml:space="preserve"> February, and the purpose of the meeting was to develop an outline plan of the various tasks and responsibilities that would </w:t>
      </w:r>
      <w:r w:rsidR="00876F70">
        <w:rPr>
          <w:sz w:val="28"/>
        </w:rPr>
        <w:t xml:space="preserve">likely </w:t>
      </w:r>
      <w:r>
        <w:rPr>
          <w:sz w:val="28"/>
        </w:rPr>
        <w:t xml:space="preserve">be required to complete the </w:t>
      </w:r>
      <w:r w:rsidR="00876F70">
        <w:rPr>
          <w:sz w:val="28"/>
        </w:rPr>
        <w:t>whole design project, and to group these into larger ‘subject areas’. The development of this list was guided by the project brief</w:t>
      </w:r>
      <w:r w:rsidR="002367D8">
        <w:rPr>
          <w:sz w:val="28"/>
        </w:rPr>
        <w:t xml:space="preserve"> and an ‘itemised components list’ </w:t>
      </w:r>
      <w:r w:rsidR="00F41412">
        <w:rPr>
          <w:sz w:val="28"/>
        </w:rPr>
        <w:t xml:space="preserve">(see Fig.2) </w:t>
      </w:r>
      <w:r w:rsidR="002367D8">
        <w:rPr>
          <w:sz w:val="28"/>
        </w:rPr>
        <w:t>of the kit, which was collated by Will during the meeting and based on</w:t>
      </w:r>
      <w:r w:rsidR="00685E2D">
        <w:rPr>
          <w:sz w:val="28"/>
        </w:rPr>
        <w:t xml:space="preserve"> the project brief together with</w:t>
      </w:r>
      <w:r w:rsidR="002367D8">
        <w:rPr>
          <w:sz w:val="28"/>
        </w:rPr>
        <w:t xml:space="preserve"> initial research from websites listing the product </w:t>
      </w:r>
      <w:sdt>
        <w:sdtPr>
          <w:rPr>
            <w:sz w:val="28"/>
          </w:rPr>
          <w:id w:val="-695934318"/>
          <w:citation/>
        </w:sdtPr>
        <w:sdtEndPr/>
        <w:sdtContent>
          <w:r w:rsidR="002367D8">
            <w:rPr>
              <w:sz w:val="28"/>
            </w:rPr>
            <w:fldChar w:fldCharType="begin"/>
          </w:r>
          <w:r w:rsidR="002367D8">
            <w:rPr>
              <w:sz w:val="28"/>
            </w:rPr>
            <w:instrText xml:space="preserve"> CITATION Arm24 \l 2057 </w:instrText>
          </w:r>
          <w:r w:rsidR="002367D8">
            <w:rPr>
              <w:sz w:val="28"/>
            </w:rPr>
            <w:fldChar w:fldCharType="separate"/>
          </w:r>
          <w:r w:rsidR="00995821" w:rsidRPr="00995821">
            <w:rPr>
              <w:noProof/>
              <w:sz w:val="28"/>
            </w:rPr>
            <w:t>[1]</w:t>
          </w:r>
          <w:r w:rsidR="002367D8">
            <w:rPr>
              <w:sz w:val="28"/>
            </w:rPr>
            <w:fldChar w:fldCharType="end"/>
          </w:r>
        </w:sdtContent>
      </w:sdt>
      <w:sdt>
        <w:sdtPr>
          <w:rPr>
            <w:sz w:val="28"/>
          </w:rPr>
          <w:id w:val="1267574423"/>
          <w:citation/>
        </w:sdtPr>
        <w:sdtEndPr/>
        <w:sdtContent>
          <w:r w:rsidR="002367D8">
            <w:rPr>
              <w:sz w:val="28"/>
            </w:rPr>
            <w:fldChar w:fldCharType="begin"/>
          </w:r>
          <w:r w:rsidR="002367D8">
            <w:rPr>
              <w:sz w:val="28"/>
            </w:rPr>
            <w:instrText xml:space="preserve"> CITATION Def24 \l 2057 </w:instrText>
          </w:r>
          <w:r w:rsidR="002367D8">
            <w:rPr>
              <w:sz w:val="28"/>
            </w:rPr>
            <w:fldChar w:fldCharType="separate"/>
          </w:r>
          <w:r w:rsidR="00995821">
            <w:rPr>
              <w:noProof/>
              <w:sz w:val="28"/>
            </w:rPr>
            <w:t xml:space="preserve"> </w:t>
          </w:r>
          <w:r w:rsidR="00995821" w:rsidRPr="00995821">
            <w:rPr>
              <w:noProof/>
              <w:sz w:val="28"/>
            </w:rPr>
            <w:t>[2]</w:t>
          </w:r>
          <w:r w:rsidR="002367D8">
            <w:rPr>
              <w:sz w:val="28"/>
            </w:rPr>
            <w:fldChar w:fldCharType="end"/>
          </w:r>
        </w:sdtContent>
      </w:sdt>
      <w:r w:rsidR="002367D8">
        <w:rPr>
          <w:sz w:val="28"/>
        </w:rPr>
        <w:t>. These</w:t>
      </w:r>
      <w:r w:rsidR="00876F70">
        <w:rPr>
          <w:sz w:val="28"/>
        </w:rPr>
        <w:t xml:space="preserve"> provided some initial information on the Rapid Cratering Kit Mk.2 as to allow a basic understanding of the user requi</w:t>
      </w:r>
      <w:r w:rsidR="002367D8">
        <w:rPr>
          <w:sz w:val="28"/>
        </w:rPr>
        <w:t>rements and features of the kit.</w:t>
      </w:r>
    </w:p>
    <w:p w:rsidR="00685E2D" w:rsidRDefault="00685E2D" w:rsidP="002A1BD9">
      <w:pPr>
        <w:rPr>
          <w:b/>
          <w:sz w:val="28"/>
        </w:rPr>
      </w:pPr>
    </w:p>
    <w:p w:rsidR="00685E2D" w:rsidRDefault="00685E2D" w:rsidP="002A1BD9">
      <w:pPr>
        <w:rPr>
          <w:b/>
          <w:sz w:val="28"/>
        </w:rPr>
      </w:pPr>
    </w:p>
    <w:p w:rsidR="00685E2D" w:rsidRDefault="00685E2D" w:rsidP="002A1BD9">
      <w:pPr>
        <w:rPr>
          <w:b/>
          <w:sz w:val="28"/>
        </w:rPr>
      </w:pPr>
    </w:p>
    <w:p w:rsidR="00685E2D" w:rsidRDefault="00685E2D" w:rsidP="002A1BD9">
      <w:pPr>
        <w:rPr>
          <w:b/>
          <w:sz w:val="28"/>
        </w:rPr>
      </w:pPr>
    </w:p>
    <w:p w:rsidR="00685E2D" w:rsidRDefault="00685E2D" w:rsidP="002A1BD9">
      <w:pPr>
        <w:rPr>
          <w:b/>
          <w:sz w:val="28"/>
        </w:rPr>
      </w:pPr>
    </w:p>
    <w:p w:rsidR="00685E2D" w:rsidRDefault="00685E2D" w:rsidP="002A1BD9">
      <w:pPr>
        <w:rPr>
          <w:b/>
          <w:sz w:val="28"/>
        </w:rPr>
      </w:pPr>
    </w:p>
    <w:p w:rsidR="00685E2D" w:rsidRDefault="00685E2D" w:rsidP="002A1BD9">
      <w:pPr>
        <w:rPr>
          <w:b/>
          <w:sz w:val="28"/>
        </w:rPr>
      </w:pPr>
    </w:p>
    <w:p w:rsidR="00685E2D" w:rsidRDefault="00685E2D" w:rsidP="002A1BD9">
      <w:pPr>
        <w:rPr>
          <w:b/>
          <w:sz w:val="28"/>
        </w:rPr>
      </w:pPr>
    </w:p>
    <w:p w:rsidR="00685E2D" w:rsidRDefault="00685E2D" w:rsidP="002A1BD9">
      <w:pPr>
        <w:rPr>
          <w:b/>
          <w:sz w:val="28"/>
        </w:rPr>
      </w:pPr>
    </w:p>
    <w:p w:rsidR="00685E2D" w:rsidRDefault="00685E2D" w:rsidP="002A1BD9">
      <w:pPr>
        <w:rPr>
          <w:b/>
          <w:sz w:val="28"/>
        </w:rPr>
      </w:pPr>
    </w:p>
    <w:p w:rsidR="00685E2D" w:rsidRDefault="00685E2D" w:rsidP="002A1BD9">
      <w:pPr>
        <w:rPr>
          <w:b/>
          <w:sz w:val="28"/>
        </w:rPr>
      </w:pPr>
    </w:p>
    <w:p w:rsidR="00685E2D" w:rsidRDefault="00685E2D" w:rsidP="002A1BD9">
      <w:pPr>
        <w:rPr>
          <w:b/>
          <w:sz w:val="28"/>
        </w:rPr>
      </w:pPr>
    </w:p>
    <w:p w:rsidR="00685E2D" w:rsidRDefault="00685E2D" w:rsidP="002A1BD9">
      <w:pPr>
        <w:rPr>
          <w:b/>
          <w:sz w:val="28"/>
        </w:rPr>
      </w:pPr>
    </w:p>
    <w:p w:rsidR="00685E2D" w:rsidRDefault="00685E2D" w:rsidP="002A1BD9">
      <w:pPr>
        <w:rPr>
          <w:b/>
          <w:sz w:val="28"/>
        </w:rPr>
      </w:pPr>
    </w:p>
    <w:p w:rsidR="00685E2D" w:rsidRDefault="00685E2D" w:rsidP="002A1BD9">
      <w:pPr>
        <w:rPr>
          <w:b/>
          <w:sz w:val="28"/>
        </w:rPr>
      </w:pPr>
    </w:p>
    <w:p w:rsidR="00685E2D" w:rsidRDefault="00685E2D" w:rsidP="002A1BD9">
      <w:pPr>
        <w:rPr>
          <w:b/>
          <w:sz w:val="28"/>
        </w:rPr>
      </w:pPr>
    </w:p>
    <w:p w:rsidR="00685E2D" w:rsidRDefault="00685E2D" w:rsidP="002A1BD9">
      <w:pPr>
        <w:rPr>
          <w:b/>
          <w:sz w:val="28"/>
        </w:rPr>
      </w:pPr>
    </w:p>
    <w:p w:rsidR="00685E2D" w:rsidRDefault="00F41412" w:rsidP="002A1BD9">
      <w:pPr>
        <w:rPr>
          <w:sz w:val="28"/>
        </w:rPr>
      </w:pPr>
      <w:r>
        <w:rPr>
          <w:b/>
          <w:sz w:val="28"/>
        </w:rPr>
        <w:lastRenderedPageBreak/>
        <w:t>Figure 2</w:t>
      </w:r>
      <w:r w:rsidR="00685E2D" w:rsidRPr="00685E2D">
        <w:rPr>
          <w:b/>
          <w:sz w:val="28"/>
        </w:rPr>
        <w:t xml:space="preserve">: </w:t>
      </w:r>
      <w:r w:rsidR="00685E2D">
        <w:rPr>
          <w:b/>
          <w:sz w:val="28"/>
        </w:rPr>
        <w:t>‘</w:t>
      </w:r>
      <w:r w:rsidR="00685E2D">
        <w:rPr>
          <w:sz w:val="28"/>
        </w:rPr>
        <w:t>Itemised Component List’</w:t>
      </w:r>
    </w:p>
    <w:p w:rsidR="00685E2D" w:rsidRPr="0037634E" w:rsidRDefault="00685E2D" w:rsidP="00685E2D">
      <w:pPr>
        <w:jc w:val="center"/>
        <w:rPr>
          <w:rFonts w:ascii="Arial" w:hAnsi="Arial" w:cs="Arial"/>
          <w:b/>
          <w:i/>
          <w:sz w:val="24"/>
          <w:szCs w:val="24"/>
        </w:rPr>
      </w:pPr>
      <w:r w:rsidRPr="0037634E">
        <w:rPr>
          <w:rFonts w:ascii="Arial" w:hAnsi="Arial" w:cs="Arial"/>
          <w:b/>
          <w:i/>
          <w:sz w:val="32"/>
          <w:szCs w:val="24"/>
        </w:rPr>
        <w:t>RAPID CRATERING KIT COMPONENTS LIST</w:t>
      </w:r>
    </w:p>
    <w:p w:rsidR="00685E2D" w:rsidRPr="0037634E" w:rsidRDefault="00685E2D" w:rsidP="00685E2D">
      <w:pPr>
        <w:rPr>
          <w:rFonts w:ascii="Arial" w:hAnsi="Arial" w:cs="Arial"/>
          <w:b/>
          <w:i/>
          <w:sz w:val="28"/>
          <w:szCs w:val="24"/>
        </w:rPr>
      </w:pPr>
      <w:r w:rsidRPr="0037634E">
        <w:rPr>
          <w:rFonts w:ascii="Arial" w:hAnsi="Arial" w:cs="Arial"/>
          <w:b/>
          <w:i/>
          <w:sz w:val="26"/>
          <w:szCs w:val="24"/>
        </w:rPr>
        <w:t>Shaped Charge NR50</w:t>
      </w:r>
    </w:p>
    <w:p w:rsidR="00685E2D" w:rsidRPr="0037634E" w:rsidRDefault="00685E2D" w:rsidP="00685E2D">
      <w:pPr>
        <w:pStyle w:val="ListParagraph"/>
        <w:numPr>
          <w:ilvl w:val="0"/>
          <w:numId w:val="6"/>
        </w:numPr>
        <w:rPr>
          <w:rFonts w:ascii="Arial" w:hAnsi="Arial" w:cs="Arial"/>
          <w:i/>
          <w:sz w:val="24"/>
          <w:szCs w:val="24"/>
        </w:rPr>
      </w:pPr>
      <w:r w:rsidRPr="0037634E">
        <w:rPr>
          <w:rFonts w:ascii="Arial" w:hAnsi="Arial" w:cs="Arial"/>
          <w:i/>
          <w:sz w:val="24"/>
          <w:szCs w:val="24"/>
        </w:rPr>
        <w:t>Electric or none-electric detonator</w:t>
      </w:r>
    </w:p>
    <w:p w:rsidR="00685E2D" w:rsidRPr="0037634E" w:rsidRDefault="00685E2D" w:rsidP="00685E2D">
      <w:pPr>
        <w:pStyle w:val="ListParagraph"/>
        <w:numPr>
          <w:ilvl w:val="0"/>
          <w:numId w:val="6"/>
        </w:numPr>
        <w:rPr>
          <w:rFonts w:ascii="Arial" w:hAnsi="Arial" w:cs="Arial"/>
          <w:i/>
          <w:sz w:val="24"/>
          <w:szCs w:val="24"/>
        </w:rPr>
      </w:pPr>
      <w:r w:rsidRPr="0037634E">
        <w:rPr>
          <w:rFonts w:ascii="Arial" w:hAnsi="Arial" w:cs="Arial"/>
          <w:i/>
          <w:sz w:val="24"/>
          <w:szCs w:val="24"/>
        </w:rPr>
        <w:t>Charge Materials: RDX/TNT 60/40</w:t>
      </w:r>
    </w:p>
    <w:p w:rsidR="00685E2D" w:rsidRPr="0037634E" w:rsidRDefault="00685E2D" w:rsidP="00685E2D">
      <w:pPr>
        <w:rPr>
          <w:rFonts w:ascii="Arial" w:hAnsi="Arial" w:cs="Arial"/>
          <w:i/>
          <w:sz w:val="24"/>
          <w:szCs w:val="24"/>
        </w:rPr>
      </w:pPr>
      <w:r w:rsidRPr="0037634E">
        <w:rPr>
          <w:rFonts w:ascii="Arial" w:hAnsi="Arial" w:cs="Arial"/>
          <w:i/>
          <w:sz w:val="24"/>
          <w:szCs w:val="24"/>
        </w:rPr>
        <w:t>Penetration Performance:</w:t>
      </w:r>
    </w:p>
    <w:p w:rsidR="00685E2D" w:rsidRPr="0037634E" w:rsidRDefault="00685E2D" w:rsidP="00685E2D">
      <w:pPr>
        <w:rPr>
          <w:rFonts w:ascii="Arial" w:hAnsi="Arial" w:cs="Arial"/>
          <w:i/>
          <w:sz w:val="24"/>
          <w:szCs w:val="24"/>
        </w:rPr>
      </w:pPr>
      <w:r w:rsidRPr="0037634E">
        <w:rPr>
          <w:rFonts w:ascii="Arial" w:hAnsi="Arial" w:cs="Arial"/>
          <w:i/>
          <w:noProof/>
          <w:sz w:val="24"/>
          <w:szCs w:val="24"/>
          <w:lang w:eastAsia="en-GB"/>
        </w:rPr>
        <w:drawing>
          <wp:inline distT="0" distB="0" distL="0" distR="0" wp14:anchorId="403DDC87" wp14:editId="20420FA5">
            <wp:extent cx="4191363" cy="343691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191363" cy="3436918"/>
                    </a:xfrm>
                    <a:prstGeom prst="rect">
                      <a:avLst/>
                    </a:prstGeom>
                  </pic:spPr>
                </pic:pic>
              </a:graphicData>
            </a:graphic>
          </wp:inline>
        </w:drawing>
      </w:r>
    </w:p>
    <w:p w:rsidR="00685E2D" w:rsidRPr="0037634E" w:rsidRDefault="00E61111" w:rsidP="00685E2D">
      <w:pPr>
        <w:rPr>
          <w:rFonts w:ascii="Arial" w:hAnsi="Arial" w:cs="Arial"/>
          <w:i/>
          <w:sz w:val="24"/>
          <w:szCs w:val="24"/>
        </w:rPr>
      </w:pPr>
      <w:hyperlink r:id="rId7" w:history="1">
        <w:r w:rsidR="00685E2D" w:rsidRPr="0037634E">
          <w:rPr>
            <w:rStyle w:val="Hyperlink"/>
            <w:rFonts w:ascii="Arial" w:hAnsi="Arial" w:cs="Arial"/>
            <w:i/>
            <w:sz w:val="24"/>
            <w:szCs w:val="24"/>
          </w:rPr>
          <w:t>https://www.stvgroup.cz/en/product/shaped-charge-nr-50</w:t>
        </w:r>
      </w:hyperlink>
    </w:p>
    <w:p w:rsidR="00685E2D" w:rsidRPr="0037634E" w:rsidRDefault="00685E2D" w:rsidP="00685E2D">
      <w:pPr>
        <w:rPr>
          <w:rFonts w:ascii="Arial" w:hAnsi="Arial" w:cs="Arial"/>
          <w:i/>
          <w:sz w:val="24"/>
          <w:szCs w:val="24"/>
        </w:rPr>
      </w:pPr>
      <w:r w:rsidRPr="0037634E">
        <w:rPr>
          <w:rFonts w:ascii="Arial" w:hAnsi="Arial" w:cs="Arial"/>
          <w:i/>
          <w:sz w:val="24"/>
          <w:szCs w:val="24"/>
        </w:rPr>
        <w:t xml:space="preserve">Legs provided to ensure optimal stand-off distance </w:t>
      </w:r>
    </w:p>
    <w:p w:rsidR="00685E2D" w:rsidRPr="0037634E" w:rsidRDefault="00685E2D" w:rsidP="00685E2D">
      <w:pPr>
        <w:rPr>
          <w:rFonts w:ascii="Arial" w:hAnsi="Arial" w:cs="Arial"/>
          <w:i/>
          <w:sz w:val="24"/>
          <w:szCs w:val="24"/>
        </w:rPr>
      </w:pPr>
      <w:r w:rsidRPr="0037634E">
        <w:rPr>
          <w:rFonts w:ascii="Arial" w:hAnsi="Arial" w:cs="Arial"/>
          <w:i/>
          <w:sz w:val="24"/>
          <w:szCs w:val="24"/>
        </w:rPr>
        <w:t>Shaped charge creates cylindrical openings in various materials (steel, reinforced concrete)</w:t>
      </w:r>
    </w:p>
    <w:p w:rsidR="00685E2D" w:rsidRPr="0037634E" w:rsidRDefault="00685E2D" w:rsidP="00685E2D">
      <w:pPr>
        <w:rPr>
          <w:rFonts w:ascii="Arial" w:hAnsi="Arial" w:cs="Arial"/>
          <w:i/>
          <w:sz w:val="24"/>
          <w:szCs w:val="24"/>
        </w:rPr>
      </w:pPr>
      <w:r w:rsidRPr="0037634E">
        <w:rPr>
          <w:rFonts w:ascii="Arial" w:hAnsi="Arial" w:cs="Arial"/>
          <w:i/>
          <w:sz w:val="24"/>
          <w:szCs w:val="24"/>
        </w:rPr>
        <w:t>Opening can then be filled with explosives for subsequent material destruction</w:t>
      </w:r>
    </w:p>
    <w:p w:rsidR="00685E2D" w:rsidRPr="0037634E" w:rsidRDefault="00685E2D" w:rsidP="00685E2D">
      <w:pPr>
        <w:rPr>
          <w:rFonts w:ascii="Arial" w:hAnsi="Arial" w:cs="Arial"/>
          <w:b/>
          <w:i/>
          <w:sz w:val="26"/>
          <w:szCs w:val="24"/>
        </w:rPr>
      </w:pPr>
      <w:r w:rsidRPr="0037634E">
        <w:rPr>
          <w:rFonts w:ascii="Arial" w:hAnsi="Arial" w:cs="Arial"/>
          <w:b/>
          <w:i/>
          <w:sz w:val="26"/>
          <w:szCs w:val="24"/>
        </w:rPr>
        <w:t>Crater Charge NR51 (Hexatonal, 15Kg)</w:t>
      </w:r>
    </w:p>
    <w:p w:rsidR="00685E2D" w:rsidRPr="0037634E" w:rsidRDefault="00685E2D" w:rsidP="00685E2D">
      <w:pPr>
        <w:rPr>
          <w:rFonts w:ascii="Arial" w:hAnsi="Arial" w:cs="Arial"/>
          <w:i/>
          <w:sz w:val="24"/>
          <w:szCs w:val="24"/>
        </w:rPr>
      </w:pPr>
      <w:r w:rsidRPr="0037634E">
        <w:rPr>
          <w:rFonts w:ascii="Arial" w:hAnsi="Arial" w:cs="Arial"/>
          <w:i/>
          <w:sz w:val="24"/>
          <w:szCs w:val="24"/>
        </w:rPr>
        <w:t xml:space="preserve">Pack supplied with x2 15kg NR51 crater charges </w:t>
      </w:r>
    </w:p>
    <w:p w:rsidR="00685E2D" w:rsidRPr="0037634E" w:rsidRDefault="00685E2D" w:rsidP="00685E2D">
      <w:pPr>
        <w:rPr>
          <w:rFonts w:ascii="Arial" w:hAnsi="Arial" w:cs="Arial"/>
          <w:i/>
          <w:sz w:val="24"/>
          <w:szCs w:val="24"/>
        </w:rPr>
      </w:pPr>
      <w:r w:rsidRPr="0037634E">
        <w:rPr>
          <w:rFonts w:ascii="Arial" w:hAnsi="Arial" w:cs="Arial"/>
          <w:i/>
          <w:sz w:val="24"/>
          <w:szCs w:val="24"/>
        </w:rPr>
        <w:t>These are roughly rectangular bags</w:t>
      </w:r>
    </w:p>
    <w:p w:rsidR="00685E2D" w:rsidRPr="0037634E" w:rsidRDefault="00685E2D" w:rsidP="00685E2D">
      <w:pPr>
        <w:rPr>
          <w:rFonts w:ascii="Arial" w:hAnsi="Arial" w:cs="Arial"/>
          <w:i/>
          <w:sz w:val="24"/>
          <w:szCs w:val="24"/>
        </w:rPr>
      </w:pPr>
      <w:r w:rsidRPr="0037634E">
        <w:rPr>
          <w:rFonts w:ascii="Arial" w:hAnsi="Arial" w:cs="Arial"/>
          <w:i/>
          <w:sz w:val="24"/>
          <w:szCs w:val="24"/>
        </w:rPr>
        <w:t>Assumed to also be composed to TNT/RDX 60/40</w:t>
      </w:r>
    </w:p>
    <w:p w:rsidR="00685E2D" w:rsidRPr="0037634E" w:rsidRDefault="00685E2D" w:rsidP="00685E2D">
      <w:pPr>
        <w:rPr>
          <w:rFonts w:ascii="Arial" w:hAnsi="Arial" w:cs="Arial"/>
          <w:b/>
          <w:i/>
          <w:sz w:val="26"/>
          <w:szCs w:val="24"/>
        </w:rPr>
      </w:pPr>
      <w:r w:rsidRPr="0037634E">
        <w:rPr>
          <w:rFonts w:ascii="Arial" w:hAnsi="Arial" w:cs="Arial"/>
          <w:b/>
          <w:i/>
          <w:sz w:val="26"/>
          <w:szCs w:val="24"/>
        </w:rPr>
        <w:t>Primary Charge 13/28A</w:t>
      </w:r>
    </w:p>
    <w:p w:rsidR="00685E2D" w:rsidRPr="0037634E" w:rsidRDefault="00685E2D" w:rsidP="00685E2D">
      <w:pPr>
        <w:rPr>
          <w:rFonts w:ascii="Arial" w:hAnsi="Arial" w:cs="Arial"/>
          <w:b/>
          <w:i/>
          <w:sz w:val="26"/>
          <w:szCs w:val="24"/>
        </w:rPr>
      </w:pPr>
      <w:r w:rsidRPr="0037634E">
        <w:rPr>
          <w:rFonts w:ascii="Arial" w:hAnsi="Arial" w:cs="Arial"/>
          <w:b/>
          <w:i/>
          <w:sz w:val="26"/>
          <w:szCs w:val="24"/>
        </w:rPr>
        <w:t>Reel of Shock Tube</w:t>
      </w:r>
    </w:p>
    <w:p w:rsidR="002A1BD9" w:rsidRDefault="00E46989" w:rsidP="002A1BD9">
      <w:pPr>
        <w:rPr>
          <w:sz w:val="28"/>
        </w:rPr>
      </w:pPr>
      <w:r>
        <w:rPr>
          <w:sz w:val="28"/>
        </w:rPr>
        <w:lastRenderedPageBreak/>
        <w:t>Given the necessity to work efficiently on the project as a design team, it was determined that specialised roles would need to be created for each member, such that they had a main focus whilst also ensuring that determination of user requirements, and critical and inter-displcinary decisions were completed as a group</w:t>
      </w:r>
      <w:r w:rsidR="002367D8">
        <w:rPr>
          <w:sz w:val="28"/>
        </w:rPr>
        <w:t xml:space="preserve"> and based on feedback from within each subject area.</w:t>
      </w:r>
    </w:p>
    <w:p w:rsidR="00E46989" w:rsidRDefault="00E46989" w:rsidP="002A1BD9">
      <w:pPr>
        <w:rPr>
          <w:sz w:val="28"/>
        </w:rPr>
      </w:pPr>
      <w:r>
        <w:rPr>
          <w:sz w:val="28"/>
        </w:rPr>
        <w:t>Since there was a diverse range of specialisms among the design team members, each working within a different subject area at their respective company, the subject areas were allocated as to play to the relative strengths of each team member.</w:t>
      </w:r>
      <w:r w:rsidR="00876F70">
        <w:rPr>
          <w:sz w:val="28"/>
        </w:rPr>
        <w:t xml:space="preserve"> Alongside this certain parts of the required work where allocated as ‘group focus’.</w:t>
      </w:r>
    </w:p>
    <w:p w:rsidR="00EA778C" w:rsidRDefault="00685E2D" w:rsidP="005A07AA">
      <w:pPr>
        <w:rPr>
          <w:sz w:val="28"/>
        </w:rPr>
      </w:pPr>
      <w:r>
        <w:rPr>
          <w:sz w:val="28"/>
        </w:rPr>
        <w:t>The list</w:t>
      </w:r>
      <w:r w:rsidR="00026415">
        <w:rPr>
          <w:sz w:val="28"/>
        </w:rPr>
        <w:t>,</w:t>
      </w:r>
      <w:r w:rsidR="005A07AA">
        <w:rPr>
          <w:sz w:val="28"/>
        </w:rPr>
        <w:t xml:space="preserve"> </w:t>
      </w:r>
      <w:r w:rsidR="00F41412">
        <w:rPr>
          <w:sz w:val="28"/>
        </w:rPr>
        <w:t>in Figure 3</w:t>
      </w:r>
      <w:r>
        <w:rPr>
          <w:sz w:val="28"/>
        </w:rPr>
        <w:t xml:space="preserve"> overleaf, </w:t>
      </w:r>
      <w:r w:rsidR="005A07AA">
        <w:rPr>
          <w:sz w:val="28"/>
        </w:rPr>
        <w:t>shows the main subject areas, and the underlying tasks and responsibilities within them, which were divided between the design team members</w:t>
      </w:r>
    </w:p>
    <w:p w:rsidR="00685E2D" w:rsidRDefault="00685E2D" w:rsidP="005A07AA">
      <w:pPr>
        <w:rPr>
          <w:b/>
          <w:sz w:val="28"/>
        </w:rPr>
      </w:pPr>
    </w:p>
    <w:p w:rsidR="00685E2D" w:rsidRDefault="00685E2D" w:rsidP="005A07AA">
      <w:pPr>
        <w:rPr>
          <w:b/>
          <w:sz w:val="28"/>
        </w:rPr>
      </w:pPr>
    </w:p>
    <w:p w:rsidR="00685E2D" w:rsidRDefault="00685E2D" w:rsidP="005A07AA">
      <w:pPr>
        <w:rPr>
          <w:b/>
          <w:sz w:val="28"/>
        </w:rPr>
      </w:pPr>
    </w:p>
    <w:p w:rsidR="00685E2D" w:rsidRDefault="00685E2D" w:rsidP="005A07AA">
      <w:pPr>
        <w:rPr>
          <w:b/>
          <w:sz w:val="28"/>
        </w:rPr>
      </w:pPr>
    </w:p>
    <w:p w:rsidR="00685E2D" w:rsidRDefault="00685E2D" w:rsidP="005A07AA">
      <w:pPr>
        <w:rPr>
          <w:b/>
          <w:sz w:val="28"/>
        </w:rPr>
      </w:pPr>
    </w:p>
    <w:p w:rsidR="00685E2D" w:rsidRDefault="00685E2D" w:rsidP="005A07AA">
      <w:pPr>
        <w:rPr>
          <w:b/>
          <w:sz w:val="28"/>
        </w:rPr>
      </w:pPr>
    </w:p>
    <w:p w:rsidR="00685E2D" w:rsidRDefault="00685E2D" w:rsidP="005A07AA">
      <w:pPr>
        <w:rPr>
          <w:b/>
          <w:sz w:val="28"/>
        </w:rPr>
      </w:pPr>
    </w:p>
    <w:p w:rsidR="00685E2D" w:rsidRDefault="00685E2D" w:rsidP="005A07AA">
      <w:pPr>
        <w:rPr>
          <w:b/>
          <w:sz w:val="28"/>
        </w:rPr>
      </w:pPr>
    </w:p>
    <w:p w:rsidR="00685E2D" w:rsidRDefault="00685E2D" w:rsidP="005A07AA">
      <w:pPr>
        <w:rPr>
          <w:b/>
          <w:sz w:val="28"/>
        </w:rPr>
      </w:pPr>
    </w:p>
    <w:p w:rsidR="00685E2D" w:rsidRDefault="00685E2D" w:rsidP="005A07AA">
      <w:pPr>
        <w:rPr>
          <w:b/>
          <w:sz w:val="28"/>
        </w:rPr>
      </w:pPr>
    </w:p>
    <w:p w:rsidR="00685E2D" w:rsidRDefault="00685E2D" w:rsidP="005A07AA">
      <w:pPr>
        <w:rPr>
          <w:b/>
          <w:sz w:val="28"/>
        </w:rPr>
      </w:pPr>
    </w:p>
    <w:p w:rsidR="00685E2D" w:rsidRDefault="00685E2D" w:rsidP="005A07AA">
      <w:pPr>
        <w:rPr>
          <w:b/>
          <w:sz w:val="28"/>
        </w:rPr>
      </w:pPr>
    </w:p>
    <w:p w:rsidR="00685E2D" w:rsidRDefault="00685E2D" w:rsidP="005A07AA">
      <w:pPr>
        <w:rPr>
          <w:b/>
          <w:sz w:val="28"/>
        </w:rPr>
      </w:pPr>
    </w:p>
    <w:p w:rsidR="00685E2D" w:rsidRDefault="00685E2D" w:rsidP="005A07AA">
      <w:pPr>
        <w:rPr>
          <w:b/>
          <w:sz w:val="28"/>
        </w:rPr>
      </w:pPr>
    </w:p>
    <w:p w:rsidR="00685E2D" w:rsidRDefault="00685E2D" w:rsidP="005A07AA">
      <w:pPr>
        <w:rPr>
          <w:b/>
          <w:sz w:val="28"/>
        </w:rPr>
      </w:pPr>
    </w:p>
    <w:p w:rsidR="00685E2D" w:rsidRDefault="00685E2D" w:rsidP="005A07AA">
      <w:pPr>
        <w:rPr>
          <w:b/>
          <w:sz w:val="28"/>
        </w:rPr>
      </w:pPr>
    </w:p>
    <w:p w:rsidR="00575EF2" w:rsidRPr="00575EF2" w:rsidRDefault="00685E2D" w:rsidP="005A07AA">
      <w:pPr>
        <w:rPr>
          <w:b/>
          <w:sz w:val="28"/>
        </w:rPr>
      </w:pPr>
      <w:r>
        <w:rPr>
          <w:b/>
          <w:sz w:val="28"/>
        </w:rPr>
        <w:lastRenderedPageBreak/>
        <w:t>F</w:t>
      </w:r>
      <w:r w:rsidR="00F41412">
        <w:rPr>
          <w:b/>
          <w:sz w:val="28"/>
        </w:rPr>
        <w:t>igure 3</w:t>
      </w:r>
      <w:r>
        <w:rPr>
          <w:b/>
          <w:sz w:val="28"/>
        </w:rPr>
        <w:t>:</w:t>
      </w:r>
    </w:p>
    <w:p w:rsidR="005A07AA" w:rsidRPr="005A07AA" w:rsidRDefault="005A07AA" w:rsidP="005A07AA">
      <w:pPr>
        <w:rPr>
          <w:rFonts w:ascii="Arial" w:eastAsia="Century Gothic" w:hAnsi="Arial" w:cs="Arial"/>
          <w:b/>
          <w:bCs/>
          <w:kern w:val="2"/>
          <w14:ligatures w14:val="standardContextual"/>
        </w:rPr>
      </w:pPr>
      <w:r w:rsidRPr="005A07AA">
        <w:rPr>
          <w:rFonts w:ascii="Arial" w:eastAsia="Century Gothic" w:hAnsi="Arial" w:cs="Arial"/>
          <w:b/>
          <w:bCs/>
          <w:kern w:val="2"/>
          <w14:ligatures w14:val="standardContextual"/>
        </w:rPr>
        <w:t>Key</w:t>
      </w:r>
      <w:r w:rsidRPr="0037634E">
        <w:rPr>
          <w:rFonts w:ascii="Arial" w:eastAsia="Century Gothic" w:hAnsi="Arial" w:cs="Arial"/>
          <w:b/>
          <w:bCs/>
          <w:kern w:val="2"/>
          <w14:ligatures w14:val="standardContextual"/>
        </w:rPr>
        <w:t xml:space="preserve"> to Colour Coding</w:t>
      </w:r>
    </w:p>
    <w:p w:rsidR="005A07AA" w:rsidRPr="0037634E" w:rsidRDefault="005A07AA" w:rsidP="005A07AA">
      <w:pPr>
        <w:rPr>
          <w:rFonts w:ascii="Arial" w:eastAsia="Century Gothic" w:hAnsi="Arial" w:cs="Arial"/>
          <w:color w:val="B01513"/>
          <w:kern w:val="2"/>
          <w14:ligatures w14:val="standardContextual"/>
        </w:rPr>
        <w:sectPr w:rsidR="005A07AA" w:rsidRPr="0037634E">
          <w:pgSz w:w="11906" w:h="16838"/>
          <w:pgMar w:top="1440" w:right="1440" w:bottom="1440" w:left="1440" w:header="708" w:footer="708" w:gutter="0"/>
          <w:cols w:space="708"/>
          <w:docGrid w:linePitch="360"/>
        </w:sectPr>
      </w:pPr>
    </w:p>
    <w:p w:rsidR="005A07AA" w:rsidRPr="005A07AA" w:rsidRDefault="005A07AA" w:rsidP="005A07AA">
      <w:pPr>
        <w:rPr>
          <w:rFonts w:ascii="Arial" w:eastAsia="Century Gothic" w:hAnsi="Arial" w:cs="Arial"/>
          <w:i/>
          <w:color w:val="B01513"/>
          <w:kern w:val="2"/>
          <w14:ligatures w14:val="standardContextual"/>
        </w:rPr>
      </w:pPr>
      <w:r w:rsidRPr="005A07AA">
        <w:rPr>
          <w:rFonts w:ascii="Arial" w:eastAsia="Century Gothic" w:hAnsi="Arial" w:cs="Arial"/>
          <w:i/>
          <w:color w:val="B01513"/>
          <w:kern w:val="2"/>
          <w14:ligatures w14:val="standardContextual"/>
        </w:rPr>
        <w:t>Group</w:t>
      </w:r>
    </w:p>
    <w:p w:rsidR="005A07AA" w:rsidRPr="005A07AA" w:rsidRDefault="005A07AA" w:rsidP="005A07AA">
      <w:pPr>
        <w:rPr>
          <w:rFonts w:ascii="Arial" w:eastAsia="Century Gothic" w:hAnsi="Arial" w:cs="Arial"/>
          <w:i/>
          <w:color w:val="0070C0"/>
          <w:kern w:val="2"/>
          <w14:ligatures w14:val="standardContextual"/>
        </w:rPr>
      </w:pPr>
      <w:r w:rsidRPr="005A07AA">
        <w:rPr>
          <w:rFonts w:ascii="Arial" w:eastAsia="Century Gothic" w:hAnsi="Arial" w:cs="Arial"/>
          <w:i/>
          <w:color w:val="0070C0"/>
          <w:kern w:val="2"/>
          <w14:ligatures w14:val="standardContextual"/>
        </w:rPr>
        <w:t>Jake</w:t>
      </w:r>
    </w:p>
    <w:p w:rsidR="005A07AA" w:rsidRPr="005A07AA" w:rsidRDefault="005A07AA" w:rsidP="005A07AA">
      <w:pPr>
        <w:rPr>
          <w:rFonts w:ascii="Arial" w:eastAsia="Century Gothic" w:hAnsi="Arial" w:cs="Arial"/>
          <w:i/>
          <w:color w:val="9E5E9B"/>
          <w:kern w:val="2"/>
          <w14:ligatures w14:val="standardContextual"/>
        </w:rPr>
      </w:pPr>
      <w:r w:rsidRPr="005A07AA">
        <w:rPr>
          <w:rFonts w:ascii="Arial" w:eastAsia="Century Gothic" w:hAnsi="Arial" w:cs="Arial"/>
          <w:i/>
          <w:color w:val="9E5E9B"/>
          <w:kern w:val="2"/>
          <w14:ligatures w14:val="standardContextual"/>
        </w:rPr>
        <w:t>Pete</w:t>
      </w:r>
    </w:p>
    <w:p w:rsidR="005A07AA" w:rsidRPr="005A07AA" w:rsidRDefault="005A07AA" w:rsidP="005A07AA">
      <w:pPr>
        <w:rPr>
          <w:rFonts w:ascii="Arial" w:eastAsia="Century Gothic" w:hAnsi="Arial" w:cs="Arial"/>
          <w:i/>
          <w:color w:val="6AAC90"/>
          <w:kern w:val="2"/>
          <w14:ligatures w14:val="standardContextual"/>
        </w:rPr>
      </w:pPr>
      <w:r w:rsidRPr="005A07AA">
        <w:rPr>
          <w:rFonts w:ascii="Arial" w:eastAsia="Century Gothic" w:hAnsi="Arial" w:cs="Arial"/>
          <w:i/>
          <w:color w:val="6AAC90"/>
          <w:kern w:val="2"/>
          <w14:ligatures w14:val="standardContextual"/>
        </w:rPr>
        <w:t>Will</w:t>
      </w:r>
    </w:p>
    <w:p w:rsidR="005A07AA" w:rsidRPr="0037634E" w:rsidRDefault="005A07AA" w:rsidP="005A07AA">
      <w:pPr>
        <w:rPr>
          <w:rFonts w:ascii="Arial" w:eastAsia="Century Gothic" w:hAnsi="Arial" w:cs="Arial"/>
          <w:i/>
          <w:color w:val="E6B729"/>
          <w:kern w:val="2"/>
          <w14:ligatures w14:val="standardContextual"/>
        </w:rPr>
        <w:sectPr w:rsidR="005A07AA" w:rsidRPr="0037634E" w:rsidSect="005A07AA">
          <w:type w:val="continuous"/>
          <w:pgSz w:w="11906" w:h="16838"/>
          <w:pgMar w:top="1440" w:right="1440" w:bottom="1440" w:left="1440" w:header="708" w:footer="708" w:gutter="0"/>
          <w:cols w:num="5" w:space="720"/>
          <w:docGrid w:linePitch="360"/>
        </w:sectPr>
      </w:pPr>
      <w:r w:rsidRPr="005A07AA">
        <w:rPr>
          <w:rFonts w:ascii="Arial" w:eastAsia="Century Gothic" w:hAnsi="Arial" w:cs="Arial"/>
          <w:i/>
          <w:color w:val="E6B729"/>
          <w:kern w:val="2"/>
          <w14:ligatures w14:val="standardContextual"/>
        </w:rPr>
        <w:t>Ryan</w:t>
      </w:r>
    </w:p>
    <w:p w:rsidR="005A07AA" w:rsidRPr="0037634E" w:rsidRDefault="005A07AA" w:rsidP="005A07AA">
      <w:pPr>
        <w:rPr>
          <w:rFonts w:ascii="Arial" w:hAnsi="Arial" w:cs="Arial"/>
          <w:i/>
          <w:sz w:val="28"/>
        </w:rPr>
        <w:sectPr w:rsidR="005A07AA" w:rsidRPr="0037634E" w:rsidSect="005A07AA">
          <w:type w:val="continuous"/>
          <w:pgSz w:w="11906" w:h="16838"/>
          <w:pgMar w:top="1440" w:right="1440" w:bottom="1440" w:left="1440" w:header="708" w:footer="708" w:gutter="0"/>
          <w:cols w:space="708"/>
          <w:docGrid w:linePitch="360"/>
        </w:sectPr>
      </w:pPr>
    </w:p>
    <w:p w:rsidR="005A07AA" w:rsidRPr="005A07AA" w:rsidRDefault="005A07AA" w:rsidP="005A07AA">
      <w:pPr>
        <w:numPr>
          <w:ilvl w:val="0"/>
          <w:numId w:val="2"/>
        </w:numPr>
        <w:contextualSpacing/>
        <w:rPr>
          <w:rFonts w:ascii="Arial" w:eastAsia="Century Gothic" w:hAnsi="Arial" w:cs="Arial"/>
          <w:i/>
          <w:color w:val="B01513"/>
          <w:kern w:val="2"/>
          <w14:ligatures w14:val="standardContextual"/>
        </w:rPr>
      </w:pPr>
      <w:r w:rsidRPr="005A07AA">
        <w:rPr>
          <w:rFonts w:ascii="Arial" w:eastAsia="Century Gothic" w:hAnsi="Arial" w:cs="Arial"/>
          <w:i/>
          <w:color w:val="B01513"/>
          <w:kern w:val="2"/>
          <w14:ligatures w14:val="standardContextual"/>
        </w:rPr>
        <w:t>Introduction and background</w:t>
      </w:r>
    </w:p>
    <w:p w:rsidR="005A07AA" w:rsidRPr="005A07AA" w:rsidRDefault="005A07AA" w:rsidP="005A07AA">
      <w:pPr>
        <w:numPr>
          <w:ilvl w:val="0"/>
          <w:numId w:val="2"/>
        </w:numPr>
        <w:contextualSpacing/>
        <w:rPr>
          <w:rFonts w:ascii="Arial" w:eastAsia="Century Gothic" w:hAnsi="Arial" w:cs="Arial"/>
          <w:i/>
          <w:color w:val="B01513"/>
          <w:kern w:val="2"/>
          <w14:ligatures w14:val="standardContextual"/>
        </w:rPr>
      </w:pPr>
      <w:r w:rsidRPr="005A07AA">
        <w:rPr>
          <w:rFonts w:ascii="Arial" w:eastAsia="Century Gothic" w:hAnsi="Arial" w:cs="Arial"/>
          <w:i/>
          <w:color w:val="B01513"/>
          <w:kern w:val="2"/>
          <w14:ligatures w14:val="standardContextual"/>
        </w:rPr>
        <w:t>User requirements document (URD)</w:t>
      </w:r>
    </w:p>
    <w:p w:rsidR="005A07AA" w:rsidRPr="005A07AA" w:rsidRDefault="005A07AA" w:rsidP="005A07AA">
      <w:pPr>
        <w:numPr>
          <w:ilvl w:val="0"/>
          <w:numId w:val="2"/>
        </w:numPr>
        <w:contextualSpacing/>
        <w:rPr>
          <w:rFonts w:ascii="Arial" w:eastAsia="Century Gothic" w:hAnsi="Arial" w:cs="Arial"/>
          <w:i/>
          <w:color w:val="6AAC90"/>
          <w:kern w:val="2"/>
          <w14:ligatures w14:val="standardContextual"/>
        </w:rPr>
      </w:pPr>
      <w:r w:rsidRPr="005A07AA">
        <w:rPr>
          <w:rFonts w:ascii="Arial" w:eastAsia="Century Gothic" w:hAnsi="Arial" w:cs="Arial"/>
          <w:i/>
          <w:color w:val="6AAC90"/>
          <w:kern w:val="2"/>
          <w14:ligatures w14:val="standardContextual"/>
        </w:rPr>
        <w:t>Overview of current composition (TNT/RDX)</w:t>
      </w:r>
    </w:p>
    <w:p w:rsidR="005A07AA" w:rsidRPr="005A07AA" w:rsidRDefault="005A07AA" w:rsidP="005A07AA">
      <w:pPr>
        <w:numPr>
          <w:ilvl w:val="0"/>
          <w:numId w:val="2"/>
        </w:numPr>
        <w:contextualSpacing/>
        <w:rPr>
          <w:rFonts w:ascii="Arial" w:eastAsia="Century Gothic" w:hAnsi="Arial" w:cs="Arial"/>
          <w:i/>
          <w:color w:val="6AAC90"/>
          <w:kern w:val="2"/>
          <w14:ligatures w14:val="standardContextual"/>
        </w:rPr>
      </w:pPr>
      <w:r w:rsidRPr="005A07AA">
        <w:rPr>
          <w:rFonts w:ascii="Arial" w:eastAsia="Century Gothic" w:hAnsi="Arial" w:cs="Arial"/>
          <w:i/>
          <w:color w:val="6AAC90"/>
          <w:kern w:val="2"/>
          <w14:ligatures w14:val="standardContextual"/>
        </w:rPr>
        <w:t>Explosive qualification</w:t>
      </w:r>
    </w:p>
    <w:p w:rsidR="005A07AA" w:rsidRPr="005A07AA" w:rsidRDefault="005A07AA" w:rsidP="005A07AA">
      <w:pPr>
        <w:numPr>
          <w:ilvl w:val="1"/>
          <w:numId w:val="2"/>
        </w:numPr>
        <w:contextualSpacing/>
        <w:rPr>
          <w:rFonts w:ascii="Arial" w:eastAsia="Century Gothic" w:hAnsi="Arial" w:cs="Arial"/>
          <w:i/>
          <w:color w:val="6AAC90"/>
          <w:kern w:val="2"/>
          <w14:ligatures w14:val="standardContextual"/>
        </w:rPr>
      </w:pPr>
      <w:r w:rsidRPr="005A07AA">
        <w:rPr>
          <w:rFonts w:ascii="Arial" w:eastAsia="Century Gothic" w:hAnsi="Arial" w:cs="Arial"/>
          <w:i/>
          <w:color w:val="6AAC90"/>
          <w:kern w:val="2"/>
          <w14:ligatures w14:val="standardContextual"/>
        </w:rPr>
        <w:t>Chemical testing (STANAG)</w:t>
      </w:r>
    </w:p>
    <w:p w:rsidR="005A07AA" w:rsidRPr="005A07AA" w:rsidRDefault="005A07AA" w:rsidP="005A07AA">
      <w:pPr>
        <w:numPr>
          <w:ilvl w:val="1"/>
          <w:numId w:val="2"/>
        </w:numPr>
        <w:contextualSpacing/>
        <w:rPr>
          <w:rFonts w:ascii="Arial" w:eastAsia="Century Gothic" w:hAnsi="Arial" w:cs="Arial"/>
          <w:i/>
          <w:color w:val="6AAC90"/>
          <w:kern w:val="2"/>
          <w14:ligatures w14:val="standardContextual"/>
        </w:rPr>
      </w:pPr>
      <w:r w:rsidRPr="005A07AA">
        <w:rPr>
          <w:rFonts w:ascii="Arial" w:eastAsia="Century Gothic" w:hAnsi="Arial" w:cs="Arial"/>
          <w:i/>
          <w:color w:val="6AAC90"/>
          <w:kern w:val="2"/>
          <w14:ligatures w14:val="standardContextual"/>
        </w:rPr>
        <w:t>Hazard testing (EMTAP)</w:t>
      </w:r>
    </w:p>
    <w:p w:rsidR="005A07AA" w:rsidRPr="005A07AA" w:rsidRDefault="005A07AA" w:rsidP="005A07AA">
      <w:pPr>
        <w:numPr>
          <w:ilvl w:val="1"/>
          <w:numId w:val="2"/>
        </w:numPr>
        <w:contextualSpacing/>
        <w:rPr>
          <w:rFonts w:ascii="Arial" w:eastAsia="Century Gothic" w:hAnsi="Arial" w:cs="Arial"/>
          <w:i/>
          <w:color w:val="6AAC90"/>
          <w:kern w:val="2"/>
          <w14:ligatures w14:val="standardContextual"/>
        </w:rPr>
      </w:pPr>
      <w:r w:rsidRPr="005A07AA">
        <w:rPr>
          <w:rFonts w:ascii="Arial" w:eastAsia="Century Gothic" w:hAnsi="Arial" w:cs="Arial"/>
          <w:i/>
          <w:color w:val="6AAC90"/>
          <w:kern w:val="2"/>
          <w14:ligatures w14:val="standardContextual"/>
        </w:rPr>
        <w:t>IM testing (small scale)</w:t>
      </w:r>
    </w:p>
    <w:p w:rsidR="005A07AA" w:rsidRPr="005A07AA" w:rsidRDefault="005A07AA" w:rsidP="005A07AA">
      <w:pPr>
        <w:numPr>
          <w:ilvl w:val="1"/>
          <w:numId w:val="2"/>
        </w:numPr>
        <w:contextualSpacing/>
        <w:rPr>
          <w:rFonts w:ascii="Arial" w:eastAsia="Century Gothic" w:hAnsi="Arial" w:cs="Arial"/>
          <w:i/>
          <w:color w:val="6AAC90"/>
          <w:kern w:val="2"/>
          <w14:ligatures w14:val="standardContextual"/>
        </w:rPr>
      </w:pPr>
      <w:r w:rsidRPr="005A07AA">
        <w:rPr>
          <w:rFonts w:ascii="Arial" w:eastAsia="Century Gothic" w:hAnsi="Arial" w:cs="Arial"/>
          <w:i/>
          <w:color w:val="6AAC90"/>
          <w:kern w:val="2"/>
          <w14:ligatures w14:val="standardContextual"/>
        </w:rPr>
        <w:t>Artificial aging</w:t>
      </w:r>
    </w:p>
    <w:p w:rsidR="005A07AA" w:rsidRPr="005A07AA" w:rsidRDefault="005A07AA" w:rsidP="005A07AA">
      <w:pPr>
        <w:numPr>
          <w:ilvl w:val="0"/>
          <w:numId w:val="2"/>
        </w:numPr>
        <w:contextualSpacing/>
        <w:rPr>
          <w:rFonts w:ascii="Arial" w:eastAsia="Century Gothic" w:hAnsi="Arial" w:cs="Arial"/>
          <w:i/>
          <w:color w:val="6AAC90"/>
          <w:kern w:val="2"/>
          <w14:ligatures w14:val="standardContextual"/>
        </w:rPr>
      </w:pPr>
      <w:r w:rsidRPr="005A07AA">
        <w:rPr>
          <w:rFonts w:ascii="Arial" w:eastAsia="Century Gothic" w:hAnsi="Arial" w:cs="Arial"/>
          <w:i/>
          <w:color w:val="6AAC90"/>
          <w:kern w:val="2"/>
          <w14:ligatures w14:val="standardContextual"/>
        </w:rPr>
        <w:t>Comparison between new and old compositions</w:t>
      </w:r>
    </w:p>
    <w:p w:rsidR="005A07AA" w:rsidRPr="005A07AA" w:rsidRDefault="005A07AA" w:rsidP="005A07AA">
      <w:pPr>
        <w:numPr>
          <w:ilvl w:val="0"/>
          <w:numId w:val="2"/>
        </w:numPr>
        <w:contextualSpacing/>
        <w:rPr>
          <w:rFonts w:ascii="Arial" w:eastAsia="Century Gothic" w:hAnsi="Arial" w:cs="Arial"/>
          <w:i/>
          <w:color w:val="B01513"/>
          <w:kern w:val="2"/>
          <w14:ligatures w14:val="standardContextual"/>
        </w:rPr>
      </w:pPr>
      <w:r w:rsidRPr="005A07AA">
        <w:rPr>
          <w:rFonts w:ascii="Arial" w:eastAsia="Century Gothic" w:hAnsi="Arial" w:cs="Arial"/>
          <w:i/>
          <w:color w:val="B01513"/>
          <w:kern w:val="2"/>
          <w14:ligatures w14:val="standardContextual"/>
        </w:rPr>
        <w:t>Redesign (if performance is not adequate) or retain design depending on performance of new composition.</w:t>
      </w:r>
    </w:p>
    <w:p w:rsidR="005A07AA" w:rsidRPr="005A07AA" w:rsidRDefault="005A07AA" w:rsidP="005A07AA">
      <w:pPr>
        <w:numPr>
          <w:ilvl w:val="0"/>
          <w:numId w:val="2"/>
        </w:numPr>
        <w:contextualSpacing/>
        <w:rPr>
          <w:rFonts w:ascii="Arial" w:eastAsia="Century Gothic" w:hAnsi="Arial" w:cs="Arial"/>
          <w:i/>
          <w:color w:val="0070C0"/>
          <w:kern w:val="2"/>
          <w14:ligatures w14:val="standardContextual"/>
        </w:rPr>
      </w:pPr>
      <w:r w:rsidRPr="005A07AA">
        <w:rPr>
          <w:rFonts w:ascii="Arial" w:eastAsia="Century Gothic" w:hAnsi="Arial" w:cs="Arial"/>
          <w:i/>
          <w:color w:val="0070C0"/>
          <w:kern w:val="2"/>
          <w14:ligatures w14:val="standardContextual"/>
        </w:rPr>
        <w:t>System qualification: assign groups for different testing.</w:t>
      </w:r>
    </w:p>
    <w:p w:rsidR="005A07AA" w:rsidRPr="005A07AA" w:rsidRDefault="005A07AA" w:rsidP="005A07AA">
      <w:pPr>
        <w:numPr>
          <w:ilvl w:val="1"/>
          <w:numId w:val="2"/>
        </w:numPr>
        <w:contextualSpacing/>
        <w:rPr>
          <w:rFonts w:ascii="Arial" w:eastAsia="Century Gothic" w:hAnsi="Arial" w:cs="Arial"/>
          <w:i/>
          <w:color w:val="0070C0"/>
          <w:kern w:val="2"/>
          <w14:ligatures w14:val="standardContextual"/>
        </w:rPr>
      </w:pPr>
      <w:r w:rsidRPr="005A07AA">
        <w:rPr>
          <w:rFonts w:ascii="Arial" w:eastAsia="Century Gothic" w:hAnsi="Arial" w:cs="Arial"/>
          <w:i/>
          <w:color w:val="0070C0"/>
          <w:kern w:val="2"/>
          <w14:ligatures w14:val="standardContextual"/>
        </w:rPr>
        <w:t>Artificial aging</w:t>
      </w:r>
    </w:p>
    <w:p w:rsidR="005A07AA" w:rsidRPr="005A07AA" w:rsidRDefault="005A07AA" w:rsidP="005A07AA">
      <w:pPr>
        <w:numPr>
          <w:ilvl w:val="1"/>
          <w:numId w:val="2"/>
        </w:numPr>
        <w:contextualSpacing/>
        <w:rPr>
          <w:rFonts w:ascii="Arial" w:eastAsia="Century Gothic" w:hAnsi="Arial" w:cs="Arial"/>
          <w:i/>
          <w:color w:val="0070C0"/>
          <w:kern w:val="2"/>
          <w14:ligatures w14:val="standardContextual"/>
        </w:rPr>
      </w:pPr>
      <w:r w:rsidRPr="005A07AA">
        <w:rPr>
          <w:rFonts w:ascii="Arial" w:eastAsia="Century Gothic" w:hAnsi="Arial" w:cs="Arial"/>
          <w:i/>
          <w:color w:val="0070C0"/>
          <w:kern w:val="2"/>
          <w14:ligatures w14:val="standardContextual"/>
        </w:rPr>
        <w:t>Vibration</w:t>
      </w:r>
    </w:p>
    <w:p w:rsidR="005A07AA" w:rsidRPr="005A07AA" w:rsidRDefault="005A07AA" w:rsidP="005A07AA">
      <w:pPr>
        <w:numPr>
          <w:ilvl w:val="1"/>
          <w:numId w:val="2"/>
        </w:numPr>
        <w:contextualSpacing/>
        <w:rPr>
          <w:rFonts w:ascii="Arial" w:eastAsia="Century Gothic" w:hAnsi="Arial" w:cs="Arial"/>
          <w:i/>
          <w:color w:val="0070C0"/>
          <w:kern w:val="2"/>
          <w14:ligatures w14:val="standardContextual"/>
        </w:rPr>
      </w:pPr>
      <w:r w:rsidRPr="005A07AA">
        <w:rPr>
          <w:rFonts w:ascii="Arial" w:eastAsia="Century Gothic" w:hAnsi="Arial" w:cs="Arial"/>
          <w:i/>
          <w:color w:val="0070C0"/>
          <w:kern w:val="2"/>
          <w14:ligatures w14:val="standardContextual"/>
        </w:rPr>
        <w:t>Diurnal cycling</w:t>
      </w:r>
    </w:p>
    <w:p w:rsidR="005A07AA" w:rsidRPr="005A07AA" w:rsidRDefault="005A07AA" w:rsidP="005A07AA">
      <w:pPr>
        <w:numPr>
          <w:ilvl w:val="1"/>
          <w:numId w:val="2"/>
        </w:numPr>
        <w:contextualSpacing/>
        <w:rPr>
          <w:rFonts w:ascii="Arial" w:eastAsia="Century Gothic" w:hAnsi="Arial" w:cs="Arial"/>
          <w:i/>
          <w:color w:val="0070C0"/>
          <w:kern w:val="2"/>
          <w14:ligatures w14:val="standardContextual"/>
        </w:rPr>
      </w:pPr>
      <w:r w:rsidRPr="005A07AA">
        <w:rPr>
          <w:rFonts w:ascii="Arial" w:eastAsia="Century Gothic" w:hAnsi="Arial" w:cs="Arial"/>
          <w:i/>
          <w:color w:val="0070C0"/>
          <w:kern w:val="2"/>
          <w14:ligatures w14:val="standardContextual"/>
        </w:rPr>
        <w:t>Thermal shocks</w:t>
      </w:r>
    </w:p>
    <w:p w:rsidR="005A07AA" w:rsidRPr="005A07AA" w:rsidRDefault="005A07AA" w:rsidP="005A07AA">
      <w:pPr>
        <w:numPr>
          <w:ilvl w:val="1"/>
          <w:numId w:val="2"/>
        </w:numPr>
        <w:contextualSpacing/>
        <w:rPr>
          <w:rFonts w:ascii="Arial" w:eastAsia="Century Gothic" w:hAnsi="Arial" w:cs="Arial"/>
          <w:i/>
          <w:color w:val="0070C0"/>
          <w:kern w:val="2"/>
          <w14:ligatures w14:val="standardContextual"/>
        </w:rPr>
      </w:pPr>
      <w:r w:rsidRPr="005A07AA">
        <w:rPr>
          <w:rFonts w:ascii="Arial" w:eastAsia="Century Gothic" w:hAnsi="Arial" w:cs="Arial"/>
          <w:i/>
          <w:color w:val="0070C0"/>
          <w:kern w:val="2"/>
          <w14:ligatures w14:val="standardContextual"/>
        </w:rPr>
        <w:t>Environmental testing (e.g. water ingress, salt spray)</w:t>
      </w:r>
    </w:p>
    <w:p w:rsidR="005A07AA" w:rsidRPr="005A07AA" w:rsidRDefault="005A07AA" w:rsidP="005A07AA">
      <w:pPr>
        <w:numPr>
          <w:ilvl w:val="1"/>
          <w:numId w:val="2"/>
        </w:numPr>
        <w:contextualSpacing/>
        <w:rPr>
          <w:rFonts w:ascii="Arial" w:eastAsia="Century Gothic" w:hAnsi="Arial" w:cs="Arial"/>
          <w:i/>
          <w:color w:val="0070C0"/>
          <w:kern w:val="2"/>
          <w14:ligatures w14:val="standardContextual"/>
        </w:rPr>
      </w:pPr>
      <w:r w:rsidRPr="005A07AA">
        <w:rPr>
          <w:rFonts w:ascii="Arial" w:eastAsia="Century Gothic" w:hAnsi="Arial" w:cs="Arial"/>
          <w:i/>
          <w:color w:val="0070C0"/>
          <w:kern w:val="2"/>
          <w14:ligatures w14:val="standardContextual"/>
        </w:rPr>
        <w:t>Electromagnetic charge (EMC) tests</w:t>
      </w:r>
    </w:p>
    <w:p w:rsidR="005A07AA" w:rsidRPr="005A07AA" w:rsidRDefault="005A07AA" w:rsidP="005A07AA">
      <w:pPr>
        <w:numPr>
          <w:ilvl w:val="1"/>
          <w:numId w:val="2"/>
        </w:numPr>
        <w:contextualSpacing/>
        <w:rPr>
          <w:rFonts w:ascii="Arial" w:eastAsia="Century Gothic" w:hAnsi="Arial" w:cs="Arial"/>
          <w:i/>
          <w:color w:val="0070C0"/>
          <w:kern w:val="2"/>
          <w14:ligatures w14:val="standardContextual"/>
        </w:rPr>
      </w:pPr>
      <w:r w:rsidRPr="005A07AA">
        <w:rPr>
          <w:rFonts w:ascii="Arial" w:eastAsia="Century Gothic" w:hAnsi="Arial" w:cs="Arial"/>
          <w:i/>
          <w:color w:val="0070C0"/>
          <w:kern w:val="2"/>
          <w14:ligatures w14:val="standardContextual"/>
        </w:rPr>
        <w:t>IM (full suite)</w:t>
      </w:r>
    </w:p>
    <w:p w:rsidR="005A07AA" w:rsidRPr="005A07AA" w:rsidRDefault="005A07AA" w:rsidP="005A07AA">
      <w:pPr>
        <w:numPr>
          <w:ilvl w:val="0"/>
          <w:numId w:val="2"/>
        </w:numPr>
        <w:contextualSpacing/>
        <w:rPr>
          <w:rFonts w:ascii="Arial" w:eastAsia="Century Gothic" w:hAnsi="Arial" w:cs="Arial"/>
          <w:i/>
          <w:color w:val="E6B729"/>
          <w:kern w:val="2"/>
          <w14:ligatures w14:val="standardContextual"/>
        </w:rPr>
      </w:pPr>
      <w:r w:rsidRPr="005A07AA">
        <w:rPr>
          <w:rFonts w:ascii="Arial" w:eastAsia="Century Gothic" w:hAnsi="Arial" w:cs="Arial"/>
          <w:i/>
          <w:color w:val="E6B729"/>
          <w:kern w:val="2"/>
          <w14:ligatures w14:val="standardContextual"/>
        </w:rPr>
        <w:t>Packaging redesign – Not needed if munition doesn’t require redesign.</w:t>
      </w:r>
    </w:p>
    <w:p w:rsidR="005A07AA" w:rsidRPr="005A07AA" w:rsidRDefault="005A07AA" w:rsidP="005A07AA">
      <w:pPr>
        <w:numPr>
          <w:ilvl w:val="1"/>
          <w:numId w:val="2"/>
        </w:numPr>
        <w:contextualSpacing/>
        <w:rPr>
          <w:rFonts w:ascii="Arial" w:eastAsia="Century Gothic" w:hAnsi="Arial" w:cs="Arial"/>
          <w:i/>
          <w:color w:val="E6B729"/>
          <w:kern w:val="2"/>
          <w14:ligatures w14:val="standardContextual"/>
        </w:rPr>
      </w:pPr>
      <w:r w:rsidRPr="005A07AA">
        <w:rPr>
          <w:rFonts w:ascii="Arial" w:eastAsia="Century Gothic" w:hAnsi="Arial" w:cs="Arial"/>
          <w:i/>
          <w:color w:val="E6B729"/>
          <w:kern w:val="2"/>
          <w14:ligatures w14:val="standardContextual"/>
        </w:rPr>
        <w:t>Vibration</w:t>
      </w:r>
    </w:p>
    <w:p w:rsidR="005A07AA" w:rsidRPr="005A07AA" w:rsidRDefault="005A07AA" w:rsidP="005A07AA">
      <w:pPr>
        <w:numPr>
          <w:ilvl w:val="1"/>
          <w:numId w:val="2"/>
        </w:numPr>
        <w:contextualSpacing/>
        <w:rPr>
          <w:rFonts w:ascii="Arial" w:eastAsia="Century Gothic" w:hAnsi="Arial" w:cs="Arial"/>
          <w:i/>
          <w:color w:val="E6B729"/>
          <w:kern w:val="2"/>
          <w14:ligatures w14:val="standardContextual"/>
        </w:rPr>
      </w:pPr>
      <w:r w:rsidRPr="005A07AA">
        <w:rPr>
          <w:rFonts w:ascii="Arial" w:eastAsia="Century Gothic" w:hAnsi="Arial" w:cs="Arial"/>
          <w:i/>
          <w:color w:val="E6B729"/>
          <w:kern w:val="2"/>
          <w14:ligatures w14:val="standardContextual"/>
        </w:rPr>
        <w:t>Diurnal cycling</w:t>
      </w:r>
    </w:p>
    <w:p w:rsidR="005A07AA" w:rsidRPr="005A07AA" w:rsidRDefault="005A07AA" w:rsidP="005A07AA">
      <w:pPr>
        <w:numPr>
          <w:ilvl w:val="1"/>
          <w:numId w:val="2"/>
        </w:numPr>
        <w:contextualSpacing/>
        <w:rPr>
          <w:rFonts w:ascii="Arial" w:eastAsia="Century Gothic" w:hAnsi="Arial" w:cs="Arial"/>
          <w:i/>
          <w:color w:val="E6B729"/>
          <w:kern w:val="2"/>
          <w14:ligatures w14:val="standardContextual"/>
        </w:rPr>
      </w:pPr>
      <w:r w:rsidRPr="005A07AA">
        <w:rPr>
          <w:rFonts w:ascii="Arial" w:eastAsia="Century Gothic" w:hAnsi="Arial" w:cs="Arial"/>
          <w:i/>
          <w:color w:val="E6B729"/>
          <w:kern w:val="2"/>
          <w14:ligatures w14:val="standardContextual"/>
        </w:rPr>
        <w:t>Environmental testing</w:t>
      </w:r>
    </w:p>
    <w:p w:rsidR="005A07AA" w:rsidRPr="005A07AA" w:rsidRDefault="005A07AA" w:rsidP="005A07AA">
      <w:pPr>
        <w:numPr>
          <w:ilvl w:val="1"/>
          <w:numId w:val="2"/>
        </w:numPr>
        <w:contextualSpacing/>
        <w:rPr>
          <w:rFonts w:ascii="Arial" w:eastAsia="Century Gothic" w:hAnsi="Arial" w:cs="Arial"/>
          <w:i/>
          <w:color w:val="E6B729"/>
          <w:kern w:val="2"/>
          <w14:ligatures w14:val="standardContextual"/>
        </w:rPr>
      </w:pPr>
      <w:r w:rsidRPr="005A07AA">
        <w:rPr>
          <w:rFonts w:ascii="Arial" w:eastAsia="Century Gothic" w:hAnsi="Arial" w:cs="Arial"/>
          <w:i/>
          <w:color w:val="E6B729"/>
          <w:kern w:val="2"/>
          <w14:ligatures w14:val="standardContextual"/>
        </w:rPr>
        <w:t>Drop test.</w:t>
      </w:r>
    </w:p>
    <w:p w:rsidR="005A07AA" w:rsidRPr="005A07AA" w:rsidRDefault="005A07AA" w:rsidP="005A07AA">
      <w:pPr>
        <w:numPr>
          <w:ilvl w:val="1"/>
          <w:numId w:val="2"/>
        </w:numPr>
        <w:contextualSpacing/>
        <w:rPr>
          <w:rFonts w:ascii="Arial" w:eastAsia="Century Gothic" w:hAnsi="Arial" w:cs="Arial"/>
          <w:i/>
          <w:color w:val="E6B729"/>
          <w:kern w:val="2"/>
          <w14:ligatures w14:val="standardContextual"/>
        </w:rPr>
      </w:pPr>
      <w:r w:rsidRPr="005A07AA">
        <w:rPr>
          <w:rFonts w:ascii="Arial" w:eastAsia="Century Gothic" w:hAnsi="Arial" w:cs="Arial"/>
          <w:i/>
          <w:color w:val="E6B729"/>
          <w:kern w:val="2"/>
          <w14:ligatures w14:val="standardContextual"/>
        </w:rPr>
        <w:t>Bonfire test</w:t>
      </w:r>
    </w:p>
    <w:p w:rsidR="005A07AA" w:rsidRPr="005A07AA" w:rsidRDefault="005A07AA" w:rsidP="005A07AA">
      <w:pPr>
        <w:numPr>
          <w:ilvl w:val="1"/>
          <w:numId w:val="2"/>
        </w:numPr>
        <w:contextualSpacing/>
        <w:rPr>
          <w:rFonts w:ascii="Arial" w:eastAsia="Century Gothic" w:hAnsi="Arial" w:cs="Arial"/>
          <w:i/>
          <w:color w:val="E6B729"/>
          <w:kern w:val="2"/>
          <w14:ligatures w14:val="standardContextual"/>
        </w:rPr>
      </w:pPr>
      <w:r w:rsidRPr="005A07AA">
        <w:rPr>
          <w:rFonts w:ascii="Arial" w:eastAsia="Century Gothic" w:hAnsi="Arial" w:cs="Arial"/>
          <w:i/>
          <w:color w:val="E6B729"/>
          <w:kern w:val="2"/>
          <w14:ligatures w14:val="standardContextual"/>
        </w:rPr>
        <w:t>Spigot.</w:t>
      </w:r>
    </w:p>
    <w:p w:rsidR="005A07AA" w:rsidRPr="005A07AA" w:rsidRDefault="005A07AA" w:rsidP="005A07AA">
      <w:pPr>
        <w:numPr>
          <w:ilvl w:val="0"/>
          <w:numId w:val="2"/>
        </w:numPr>
        <w:contextualSpacing/>
        <w:rPr>
          <w:rFonts w:ascii="Arial" w:eastAsia="Century Gothic" w:hAnsi="Arial" w:cs="Arial"/>
          <w:i/>
          <w:color w:val="9E5E9B"/>
          <w:kern w:val="2"/>
          <w14:ligatures w14:val="standardContextual"/>
        </w:rPr>
      </w:pPr>
      <w:r w:rsidRPr="005A07AA">
        <w:rPr>
          <w:rFonts w:ascii="Arial" w:eastAsia="Century Gothic" w:hAnsi="Arial" w:cs="Arial"/>
          <w:i/>
          <w:color w:val="9E5E9B"/>
          <w:kern w:val="2"/>
          <w14:ligatures w14:val="standardContextual"/>
        </w:rPr>
        <w:t>Manufacturing</w:t>
      </w:r>
    </w:p>
    <w:p w:rsidR="005A07AA" w:rsidRPr="005A07AA" w:rsidRDefault="005A07AA" w:rsidP="005A07AA">
      <w:pPr>
        <w:numPr>
          <w:ilvl w:val="1"/>
          <w:numId w:val="2"/>
        </w:numPr>
        <w:contextualSpacing/>
        <w:rPr>
          <w:rFonts w:ascii="Arial" w:eastAsia="Century Gothic" w:hAnsi="Arial" w:cs="Arial"/>
          <w:i/>
          <w:color w:val="9E5E9B"/>
          <w:kern w:val="2"/>
          <w14:ligatures w14:val="standardContextual"/>
        </w:rPr>
      </w:pPr>
      <w:r w:rsidRPr="005A07AA">
        <w:rPr>
          <w:rFonts w:ascii="Arial" w:eastAsia="Century Gothic" w:hAnsi="Arial" w:cs="Arial"/>
          <w:i/>
          <w:color w:val="9E5E9B"/>
          <w:kern w:val="2"/>
          <w14:ligatures w14:val="standardContextual"/>
        </w:rPr>
        <w:t>RAM mixing</w:t>
      </w:r>
    </w:p>
    <w:p w:rsidR="005A07AA" w:rsidRPr="005A07AA" w:rsidRDefault="005A07AA" w:rsidP="005A07AA">
      <w:pPr>
        <w:numPr>
          <w:ilvl w:val="1"/>
          <w:numId w:val="2"/>
        </w:numPr>
        <w:contextualSpacing/>
        <w:rPr>
          <w:rFonts w:ascii="Arial" w:eastAsia="Century Gothic" w:hAnsi="Arial" w:cs="Arial"/>
          <w:i/>
          <w:color w:val="9E5E9B"/>
          <w:kern w:val="2"/>
          <w14:ligatures w14:val="standardContextual"/>
        </w:rPr>
      </w:pPr>
      <w:r w:rsidRPr="005A07AA">
        <w:rPr>
          <w:rFonts w:ascii="Arial" w:eastAsia="Century Gothic" w:hAnsi="Arial" w:cs="Arial"/>
          <w:i/>
          <w:color w:val="9E5E9B"/>
          <w:kern w:val="2"/>
          <w14:ligatures w14:val="standardContextual"/>
        </w:rPr>
        <w:t>General process overview including hardware.</w:t>
      </w:r>
    </w:p>
    <w:p w:rsidR="005A07AA" w:rsidRPr="005A07AA" w:rsidRDefault="005A07AA" w:rsidP="005A07AA">
      <w:pPr>
        <w:numPr>
          <w:ilvl w:val="0"/>
          <w:numId w:val="2"/>
        </w:numPr>
        <w:contextualSpacing/>
        <w:rPr>
          <w:rFonts w:ascii="Arial" w:eastAsia="Century Gothic" w:hAnsi="Arial" w:cs="Arial"/>
          <w:i/>
          <w:color w:val="9E5E9B"/>
          <w:kern w:val="2"/>
          <w14:ligatures w14:val="standardContextual"/>
        </w:rPr>
      </w:pPr>
      <w:r w:rsidRPr="005A07AA">
        <w:rPr>
          <w:rFonts w:ascii="Arial" w:eastAsia="Century Gothic" w:hAnsi="Arial" w:cs="Arial"/>
          <w:i/>
          <w:color w:val="9E5E9B"/>
          <w:kern w:val="2"/>
          <w14:ligatures w14:val="standardContextual"/>
        </w:rPr>
        <w:t>Disposal (approved method is open detonation)</w:t>
      </w:r>
    </w:p>
    <w:p w:rsidR="005A07AA" w:rsidRPr="005A07AA" w:rsidRDefault="005A07AA" w:rsidP="005A07AA">
      <w:pPr>
        <w:numPr>
          <w:ilvl w:val="1"/>
          <w:numId w:val="2"/>
        </w:numPr>
        <w:contextualSpacing/>
        <w:rPr>
          <w:rFonts w:ascii="Arial" w:eastAsia="Century Gothic" w:hAnsi="Arial" w:cs="Arial"/>
          <w:i/>
          <w:color w:val="9E5E9B"/>
          <w:kern w:val="2"/>
          <w14:ligatures w14:val="standardContextual"/>
        </w:rPr>
      </w:pPr>
      <w:r w:rsidRPr="005A07AA">
        <w:rPr>
          <w:rFonts w:ascii="Arial" w:eastAsia="Century Gothic" w:hAnsi="Arial" w:cs="Arial"/>
          <w:i/>
          <w:color w:val="9E5E9B"/>
          <w:kern w:val="2"/>
          <w14:ligatures w14:val="standardContextual"/>
        </w:rPr>
        <w:t>Briefly mention other disposal methods (be careful of scope creep!!)</w:t>
      </w:r>
    </w:p>
    <w:p w:rsidR="005A07AA" w:rsidRPr="005A07AA" w:rsidRDefault="005A07AA" w:rsidP="005A07AA">
      <w:pPr>
        <w:numPr>
          <w:ilvl w:val="0"/>
          <w:numId w:val="2"/>
        </w:numPr>
        <w:contextualSpacing/>
        <w:rPr>
          <w:rFonts w:ascii="Arial" w:eastAsia="Century Gothic" w:hAnsi="Arial" w:cs="Arial"/>
          <w:i/>
          <w:color w:val="B01513"/>
          <w:kern w:val="2"/>
          <w14:ligatures w14:val="standardContextual"/>
        </w:rPr>
      </w:pPr>
      <w:r w:rsidRPr="005A07AA">
        <w:rPr>
          <w:rFonts w:ascii="Arial" w:eastAsia="Century Gothic" w:hAnsi="Arial" w:cs="Arial"/>
          <w:i/>
          <w:color w:val="B01513"/>
          <w:kern w:val="2"/>
          <w14:ligatures w14:val="standardContextual"/>
        </w:rPr>
        <w:t>Summary, recap, and conclusion</w:t>
      </w:r>
    </w:p>
    <w:p w:rsidR="005A07AA" w:rsidRPr="0037634E" w:rsidRDefault="005A07AA" w:rsidP="002A1BD9">
      <w:pPr>
        <w:rPr>
          <w:rFonts w:ascii="Arial" w:hAnsi="Arial" w:cs="Arial"/>
          <w:sz w:val="28"/>
        </w:rPr>
      </w:pPr>
    </w:p>
    <w:p w:rsidR="00EA778C" w:rsidRDefault="00EA778C" w:rsidP="002A1BD9">
      <w:pPr>
        <w:rPr>
          <w:b/>
          <w:sz w:val="32"/>
        </w:rPr>
      </w:pPr>
    </w:p>
    <w:p w:rsidR="00EA778C" w:rsidRDefault="00EA778C" w:rsidP="002A1BD9">
      <w:pPr>
        <w:rPr>
          <w:b/>
          <w:sz w:val="32"/>
        </w:rPr>
      </w:pPr>
    </w:p>
    <w:p w:rsidR="0037634E" w:rsidRDefault="0037634E" w:rsidP="002A1BD9">
      <w:pPr>
        <w:rPr>
          <w:b/>
          <w:sz w:val="32"/>
        </w:rPr>
      </w:pPr>
    </w:p>
    <w:p w:rsidR="0037634E" w:rsidRDefault="0037634E" w:rsidP="002A1BD9">
      <w:pPr>
        <w:rPr>
          <w:b/>
          <w:sz w:val="32"/>
        </w:rPr>
      </w:pPr>
    </w:p>
    <w:p w:rsidR="0037634E" w:rsidRDefault="0037634E" w:rsidP="002A1BD9">
      <w:pPr>
        <w:rPr>
          <w:b/>
          <w:sz w:val="32"/>
        </w:rPr>
      </w:pPr>
    </w:p>
    <w:p w:rsidR="002A1BD9" w:rsidRDefault="00876F70" w:rsidP="002A1BD9">
      <w:pPr>
        <w:rPr>
          <w:b/>
          <w:sz w:val="32"/>
        </w:rPr>
      </w:pPr>
      <w:r>
        <w:rPr>
          <w:b/>
          <w:sz w:val="32"/>
        </w:rPr>
        <w:lastRenderedPageBreak/>
        <w:t xml:space="preserve">3.2. </w:t>
      </w:r>
      <w:r w:rsidR="00AC07F2">
        <w:rPr>
          <w:b/>
          <w:sz w:val="32"/>
        </w:rPr>
        <w:t xml:space="preserve">User &amp; </w:t>
      </w:r>
      <w:r w:rsidR="002A1BD9">
        <w:rPr>
          <w:b/>
          <w:sz w:val="32"/>
        </w:rPr>
        <w:t>Design Requirements</w:t>
      </w:r>
      <w:r w:rsidR="00AC07F2">
        <w:rPr>
          <w:b/>
          <w:sz w:val="32"/>
        </w:rPr>
        <w:t xml:space="preserve"> &amp; MTDS</w:t>
      </w:r>
    </w:p>
    <w:p w:rsidR="00F34757" w:rsidRDefault="00B53EBD" w:rsidP="002A1BD9">
      <w:pPr>
        <w:rPr>
          <w:sz w:val="28"/>
        </w:rPr>
      </w:pPr>
      <w:r>
        <w:rPr>
          <w:sz w:val="28"/>
        </w:rPr>
        <w:t>A second meeting was held on the 6</w:t>
      </w:r>
      <w:r w:rsidRPr="00B53EBD">
        <w:rPr>
          <w:sz w:val="28"/>
          <w:vertAlign w:val="superscript"/>
        </w:rPr>
        <w:t>th</w:t>
      </w:r>
      <w:r>
        <w:rPr>
          <w:sz w:val="28"/>
        </w:rPr>
        <w:t xml:space="preserve"> February to </w:t>
      </w:r>
      <w:r w:rsidR="00F34757">
        <w:rPr>
          <w:sz w:val="28"/>
        </w:rPr>
        <w:t xml:space="preserve">develop </w:t>
      </w:r>
      <w:r>
        <w:rPr>
          <w:sz w:val="28"/>
        </w:rPr>
        <w:t>a more comprehensive list of user</w:t>
      </w:r>
      <w:r w:rsidR="00AC07F2">
        <w:rPr>
          <w:sz w:val="28"/>
        </w:rPr>
        <w:t xml:space="preserve"> &amp; design</w:t>
      </w:r>
      <w:r>
        <w:rPr>
          <w:sz w:val="28"/>
        </w:rPr>
        <w:t xml:space="preserve"> requirements, and from this a manufacturing to target disposal sequence.</w:t>
      </w:r>
    </w:p>
    <w:p w:rsidR="00B53EBD" w:rsidRPr="00F34757" w:rsidRDefault="00F41412" w:rsidP="002A1BD9">
      <w:pPr>
        <w:rPr>
          <w:sz w:val="28"/>
        </w:rPr>
      </w:pPr>
      <w:r>
        <w:rPr>
          <w:sz w:val="28"/>
        </w:rPr>
        <w:t>Figure 4</w:t>
      </w:r>
      <w:r w:rsidR="00B53EBD" w:rsidRPr="00F34757">
        <w:rPr>
          <w:sz w:val="28"/>
        </w:rPr>
        <w:t>, below, is the embedded ‘User Requirements Document and Manufacturing to Target Disposal Sequence’ as created by the group during the meeting</w:t>
      </w:r>
    </w:p>
    <w:p w:rsidR="00B53EBD" w:rsidRPr="00F34757" w:rsidRDefault="00F41412" w:rsidP="002A1BD9">
      <w:pPr>
        <w:rPr>
          <w:b/>
          <w:sz w:val="28"/>
        </w:rPr>
      </w:pPr>
      <w:r>
        <w:rPr>
          <w:b/>
          <w:sz w:val="28"/>
        </w:rPr>
        <w:t>Figure 4</w:t>
      </w:r>
      <w:r w:rsidR="00F34757" w:rsidRPr="00F34757">
        <w:rPr>
          <w:b/>
          <w:sz w:val="28"/>
        </w:rPr>
        <w:t>:</w:t>
      </w:r>
    </w:p>
    <w:p w:rsidR="00F34757" w:rsidRPr="0037634E" w:rsidRDefault="00F34757" w:rsidP="00F34757">
      <w:pPr>
        <w:rPr>
          <w:rFonts w:ascii="Arial" w:hAnsi="Arial" w:cs="Arial"/>
          <w:i/>
        </w:rPr>
      </w:pPr>
      <w:r w:rsidRPr="0037634E">
        <w:rPr>
          <w:rFonts w:ascii="Arial" w:hAnsi="Arial" w:cs="Arial"/>
          <w:i/>
        </w:rPr>
        <w:t>USER REQUIREMENTS &amp; MANUFACTURING TO TARGET DISPOSAL SEQUENCE</w:t>
      </w:r>
    </w:p>
    <w:p w:rsidR="00F34757" w:rsidRPr="0037634E" w:rsidRDefault="00F34757" w:rsidP="00F34757">
      <w:pPr>
        <w:rPr>
          <w:rFonts w:ascii="Arial" w:hAnsi="Arial" w:cs="Arial"/>
          <w:b/>
          <w:bCs/>
          <w:i/>
        </w:rPr>
      </w:pPr>
      <w:r w:rsidRPr="0037634E">
        <w:rPr>
          <w:rFonts w:ascii="Arial" w:hAnsi="Arial" w:cs="Arial"/>
          <w:b/>
          <w:bCs/>
          <w:i/>
        </w:rPr>
        <w:t>User Requirements:</w:t>
      </w:r>
    </w:p>
    <w:p w:rsidR="00F34757" w:rsidRPr="0037634E" w:rsidRDefault="00F34757" w:rsidP="00F34757">
      <w:pPr>
        <w:pStyle w:val="ListParagraph"/>
        <w:numPr>
          <w:ilvl w:val="0"/>
          <w:numId w:val="3"/>
        </w:numPr>
        <w:rPr>
          <w:rFonts w:ascii="Arial" w:hAnsi="Arial" w:cs="Arial"/>
          <w:i/>
        </w:rPr>
      </w:pPr>
      <w:r w:rsidRPr="0037634E">
        <w:rPr>
          <w:rFonts w:ascii="Arial" w:hAnsi="Arial" w:cs="Arial"/>
          <w:i/>
        </w:rPr>
        <w:t>Same external dimensions as previous kit for ease of storage/transport for use.</w:t>
      </w:r>
    </w:p>
    <w:p w:rsidR="00F34757" w:rsidRPr="0037634E" w:rsidRDefault="00F34757" w:rsidP="00F34757">
      <w:pPr>
        <w:pStyle w:val="ListParagraph"/>
        <w:numPr>
          <w:ilvl w:val="1"/>
          <w:numId w:val="3"/>
        </w:numPr>
        <w:rPr>
          <w:rFonts w:ascii="Arial" w:hAnsi="Arial" w:cs="Arial"/>
          <w:i/>
        </w:rPr>
      </w:pPr>
      <w:r w:rsidRPr="0037634E">
        <w:rPr>
          <w:rFonts w:ascii="Arial" w:hAnsi="Arial" w:cs="Arial"/>
          <w:i/>
        </w:rPr>
        <w:t>Previously: Shaped charge, separate electrical detonator, firing cable and initiator, and separate follow through charges.</w:t>
      </w:r>
    </w:p>
    <w:p w:rsidR="00F34757" w:rsidRPr="0037634E" w:rsidRDefault="00F34757" w:rsidP="00F34757">
      <w:pPr>
        <w:pStyle w:val="ListParagraph"/>
        <w:numPr>
          <w:ilvl w:val="1"/>
          <w:numId w:val="3"/>
        </w:numPr>
        <w:rPr>
          <w:rFonts w:ascii="Arial" w:hAnsi="Arial" w:cs="Arial"/>
          <w:i/>
        </w:rPr>
      </w:pPr>
      <w:r w:rsidRPr="0037634E">
        <w:rPr>
          <w:rFonts w:ascii="Arial" w:hAnsi="Arial" w:cs="Arial"/>
          <w:i/>
        </w:rPr>
        <w:t>Similar Weight or lighter for same reasons.</w:t>
      </w:r>
    </w:p>
    <w:p w:rsidR="00F34757" w:rsidRPr="0037634E" w:rsidRDefault="00F34757" w:rsidP="00F34757">
      <w:pPr>
        <w:pStyle w:val="ListParagraph"/>
        <w:numPr>
          <w:ilvl w:val="0"/>
          <w:numId w:val="3"/>
        </w:numPr>
        <w:rPr>
          <w:rFonts w:ascii="Arial" w:hAnsi="Arial" w:cs="Arial"/>
          <w:i/>
        </w:rPr>
      </w:pPr>
      <w:r w:rsidRPr="0037634E">
        <w:rPr>
          <w:rFonts w:ascii="Arial" w:hAnsi="Arial" w:cs="Arial"/>
          <w:i/>
        </w:rPr>
        <w:t>IM response – Exhibit Type V or better for Fast Heating, Slow Heating, Bullet Impact and Fragment Impact and Type III reaction or better for Sympathetic Reaction. Response to Shaped charge preferably II or better.</w:t>
      </w:r>
    </w:p>
    <w:p w:rsidR="00F34757" w:rsidRPr="0037634E" w:rsidRDefault="00F34757" w:rsidP="00F34757">
      <w:pPr>
        <w:pStyle w:val="ListParagraph"/>
        <w:numPr>
          <w:ilvl w:val="0"/>
          <w:numId w:val="3"/>
        </w:numPr>
        <w:rPr>
          <w:rFonts w:ascii="Arial" w:hAnsi="Arial" w:cs="Arial"/>
          <w:i/>
        </w:rPr>
      </w:pPr>
      <w:r w:rsidRPr="0037634E">
        <w:rPr>
          <w:rFonts w:ascii="Arial" w:hAnsi="Arial" w:cs="Arial"/>
          <w:i/>
        </w:rPr>
        <w:t>Operable in any climate, but focus is on Desert/Hot Climates.</w:t>
      </w:r>
    </w:p>
    <w:p w:rsidR="00F34757" w:rsidRPr="0037634E" w:rsidRDefault="00F34757" w:rsidP="00F34757">
      <w:pPr>
        <w:pStyle w:val="ListParagraph"/>
        <w:numPr>
          <w:ilvl w:val="1"/>
          <w:numId w:val="3"/>
        </w:numPr>
        <w:rPr>
          <w:rFonts w:ascii="Arial" w:hAnsi="Arial" w:cs="Arial"/>
          <w:i/>
        </w:rPr>
      </w:pPr>
      <w:r w:rsidRPr="0037634E">
        <w:rPr>
          <w:rFonts w:ascii="Arial" w:hAnsi="Arial" w:cs="Arial"/>
          <w:i/>
        </w:rPr>
        <w:t>Unlikely to be used in Arctic environments but cold environments may feature</w:t>
      </w:r>
    </w:p>
    <w:p w:rsidR="00F34757" w:rsidRPr="0037634E" w:rsidRDefault="00F34757" w:rsidP="00F34757">
      <w:pPr>
        <w:pStyle w:val="ListParagraph"/>
        <w:numPr>
          <w:ilvl w:val="1"/>
          <w:numId w:val="3"/>
        </w:numPr>
        <w:rPr>
          <w:rFonts w:ascii="Arial" w:hAnsi="Arial" w:cs="Arial"/>
          <w:i/>
        </w:rPr>
      </w:pPr>
      <w:r w:rsidRPr="0037634E">
        <w:rPr>
          <w:rFonts w:ascii="Arial" w:hAnsi="Arial" w:cs="Arial"/>
          <w:i/>
        </w:rPr>
        <w:t>List climatic categories (A1-C3 seems optimistic)</w:t>
      </w:r>
    </w:p>
    <w:p w:rsidR="00F34757" w:rsidRPr="0037634E" w:rsidRDefault="00F34757" w:rsidP="00F34757">
      <w:pPr>
        <w:pStyle w:val="ListParagraph"/>
        <w:numPr>
          <w:ilvl w:val="0"/>
          <w:numId w:val="3"/>
        </w:numPr>
        <w:rPr>
          <w:rFonts w:ascii="Arial" w:hAnsi="Arial" w:cs="Arial"/>
          <w:i/>
        </w:rPr>
      </w:pPr>
      <w:r w:rsidRPr="0037634E">
        <w:rPr>
          <w:rFonts w:ascii="Arial" w:hAnsi="Arial" w:cs="Arial"/>
          <w:i/>
        </w:rPr>
        <w:t>Must remain safe to transport by fixed and rotary wing transport (all platforms) as well as by tracked and wheeled transport.</w:t>
      </w:r>
    </w:p>
    <w:p w:rsidR="00F34757" w:rsidRPr="0037634E" w:rsidRDefault="00F34757" w:rsidP="00F34757">
      <w:pPr>
        <w:pStyle w:val="ListParagraph"/>
        <w:numPr>
          <w:ilvl w:val="1"/>
          <w:numId w:val="3"/>
        </w:numPr>
        <w:rPr>
          <w:rFonts w:ascii="Arial" w:hAnsi="Arial" w:cs="Arial"/>
          <w:i/>
        </w:rPr>
      </w:pPr>
      <w:r w:rsidRPr="0037634E">
        <w:rPr>
          <w:rFonts w:ascii="Arial" w:hAnsi="Arial" w:cs="Arial"/>
          <w:i/>
        </w:rPr>
        <w:t>Requires tests for Vibration</w:t>
      </w:r>
    </w:p>
    <w:p w:rsidR="00F34757" w:rsidRPr="0037634E" w:rsidRDefault="00F34757" w:rsidP="00F34757">
      <w:pPr>
        <w:pStyle w:val="ListParagraph"/>
        <w:numPr>
          <w:ilvl w:val="1"/>
          <w:numId w:val="3"/>
        </w:numPr>
        <w:rPr>
          <w:rFonts w:ascii="Arial" w:hAnsi="Arial" w:cs="Arial"/>
          <w:i/>
        </w:rPr>
      </w:pPr>
      <w:r w:rsidRPr="0037634E">
        <w:rPr>
          <w:rFonts w:ascii="Arial" w:hAnsi="Arial" w:cs="Arial"/>
          <w:i/>
        </w:rPr>
        <w:t>ESD important for rotary wing deployment (potentially 10 KW exposure)</w:t>
      </w:r>
    </w:p>
    <w:p w:rsidR="00F34757" w:rsidRPr="0037634E" w:rsidRDefault="00F34757" w:rsidP="00F34757">
      <w:pPr>
        <w:pStyle w:val="ListParagraph"/>
        <w:numPr>
          <w:ilvl w:val="0"/>
          <w:numId w:val="3"/>
        </w:numPr>
        <w:rPr>
          <w:rFonts w:ascii="Arial" w:hAnsi="Arial" w:cs="Arial"/>
          <w:i/>
        </w:rPr>
      </w:pPr>
      <w:r w:rsidRPr="0037634E">
        <w:rPr>
          <w:rFonts w:ascii="Arial" w:hAnsi="Arial" w:cs="Arial"/>
          <w:i/>
        </w:rPr>
        <w:t>Can be rapidly deployed to “dig” a hole in the ground.</w:t>
      </w:r>
    </w:p>
    <w:p w:rsidR="00F34757" w:rsidRPr="0037634E" w:rsidRDefault="00F34757" w:rsidP="00F34757">
      <w:pPr>
        <w:pStyle w:val="ListParagraph"/>
        <w:numPr>
          <w:ilvl w:val="0"/>
          <w:numId w:val="3"/>
        </w:numPr>
        <w:rPr>
          <w:rFonts w:ascii="Arial" w:hAnsi="Arial" w:cs="Arial"/>
          <w:i/>
        </w:rPr>
      </w:pPr>
      <w:r w:rsidRPr="0037634E">
        <w:rPr>
          <w:rFonts w:ascii="Arial" w:hAnsi="Arial" w:cs="Arial"/>
          <w:i/>
        </w:rPr>
        <w:t>Ease of use – for use by trained service personnel.</w:t>
      </w:r>
    </w:p>
    <w:p w:rsidR="00F34757" w:rsidRPr="0037634E" w:rsidRDefault="00F34757" w:rsidP="00F34757">
      <w:pPr>
        <w:pStyle w:val="ListParagraph"/>
        <w:numPr>
          <w:ilvl w:val="0"/>
          <w:numId w:val="3"/>
        </w:numPr>
        <w:rPr>
          <w:rFonts w:ascii="Arial" w:hAnsi="Arial" w:cs="Arial"/>
          <w:i/>
        </w:rPr>
      </w:pPr>
      <w:r w:rsidRPr="0037634E">
        <w:rPr>
          <w:rFonts w:ascii="Arial" w:hAnsi="Arial" w:cs="Arial"/>
          <w:i/>
        </w:rPr>
        <w:t>Similar price.</w:t>
      </w:r>
    </w:p>
    <w:p w:rsidR="00F34757" w:rsidRPr="0037634E" w:rsidRDefault="00F34757" w:rsidP="00F34757">
      <w:pPr>
        <w:rPr>
          <w:rFonts w:ascii="Arial" w:hAnsi="Arial" w:cs="Arial"/>
          <w:i/>
        </w:rPr>
      </w:pPr>
    </w:p>
    <w:p w:rsidR="00F34757" w:rsidRPr="0037634E" w:rsidRDefault="00F34757" w:rsidP="00F34757">
      <w:pPr>
        <w:rPr>
          <w:rFonts w:ascii="Arial" w:hAnsi="Arial" w:cs="Arial"/>
          <w:b/>
          <w:bCs/>
          <w:i/>
        </w:rPr>
      </w:pPr>
      <w:r w:rsidRPr="0037634E">
        <w:rPr>
          <w:rFonts w:ascii="Arial" w:hAnsi="Arial" w:cs="Arial"/>
          <w:b/>
          <w:bCs/>
          <w:i/>
        </w:rPr>
        <w:t>Manufacture to Disposal Sequence and associated Test Requirements:</w:t>
      </w:r>
    </w:p>
    <w:p w:rsidR="00F34757" w:rsidRPr="0037634E" w:rsidRDefault="00F34757" w:rsidP="00F34757">
      <w:pPr>
        <w:pStyle w:val="ListParagraph"/>
        <w:numPr>
          <w:ilvl w:val="0"/>
          <w:numId w:val="4"/>
        </w:numPr>
        <w:rPr>
          <w:rFonts w:ascii="Arial" w:hAnsi="Arial" w:cs="Arial"/>
          <w:i/>
        </w:rPr>
      </w:pPr>
      <w:r w:rsidRPr="0037634E">
        <w:rPr>
          <w:rFonts w:ascii="Arial" w:hAnsi="Arial" w:cs="Arial"/>
          <w:i/>
        </w:rPr>
        <w:t>Manufacture</w:t>
      </w:r>
    </w:p>
    <w:p w:rsidR="00F34757" w:rsidRPr="0037634E" w:rsidRDefault="00F34757" w:rsidP="00F34757">
      <w:pPr>
        <w:pStyle w:val="ListParagraph"/>
        <w:numPr>
          <w:ilvl w:val="1"/>
          <w:numId w:val="4"/>
        </w:numPr>
        <w:rPr>
          <w:rFonts w:ascii="Arial" w:hAnsi="Arial" w:cs="Arial"/>
          <w:i/>
        </w:rPr>
      </w:pPr>
      <w:r w:rsidRPr="0037634E">
        <w:rPr>
          <w:rFonts w:ascii="Arial" w:hAnsi="Arial" w:cs="Arial"/>
          <w:i/>
        </w:rPr>
        <w:t>EMTAP Testing</w:t>
      </w:r>
    </w:p>
    <w:p w:rsidR="00F34757" w:rsidRPr="0037634E" w:rsidRDefault="00F34757" w:rsidP="00F34757">
      <w:pPr>
        <w:pStyle w:val="ListParagraph"/>
        <w:numPr>
          <w:ilvl w:val="0"/>
          <w:numId w:val="4"/>
        </w:numPr>
        <w:rPr>
          <w:rFonts w:ascii="Arial" w:hAnsi="Arial" w:cs="Arial"/>
          <w:i/>
        </w:rPr>
      </w:pPr>
      <w:r w:rsidRPr="0037634E">
        <w:rPr>
          <w:rFonts w:ascii="Arial" w:hAnsi="Arial" w:cs="Arial"/>
          <w:i/>
        </w:rPr>
        <w:t>Transport by road transport to Defence Munitions Depot</w:t>
      </w:r>
    </w:p>
    <w:p w:rsidR="00F34757" w:rsidRPr="0037634E" w:rsidRDefault="00F34757" w:rsidP="00F34757">
      <w:pPr>
        <w:pStyle w:val="ListParagraph"/>
        <w:numPr>
          <w:ilvl w:val="1"/>
          <w:numId w:val="4"/>
        </w:numPr>
        <w:rPr>
          <w:rFonts w:ascii="Arial" w:hAnsi="Arial" w:cs="Arial"/>
          <w:i/>
        </w:rPr>
      </w:pPr>
      <w:r w:rsidRPr="0037634E">
        <w:rPr>
          <w:rFonts w:ascii="Arial" w:hAnsi="Arial" w:cs="Arial"/>
          <w:i/>
        </w:rPr>
        <w:t>UN Tests – 1m Drop , (Fast and) Slow Heating, Shock</w:t>
      </w:r>
    </w:p>
    <w:p w:rsidR="00F34757" w:rsidRPr="0037634E" w:rsidRDefault="00F34757" w:rsidP="00F34757">
      <w:pPr>
        <w:pStyle w:val="ListParagraph"/>
        <w:numPr>
          <w:ilvl w:val="0"/>
          <w:numId w:val="4"/>
        </w:numPr>
        <w:rPr>
          <w:rFonts w:ascii="Arial" w:hAnsi="Arial" w:cs="Arial"/>
          <w:i/>
        </w:rPr>
      </w:pPr>
      <w:r w:rsidRPr="0037634E">
        <w:rPr>
          <w:rFonts w:ascii="Arial" w:hAnsi="Arial" w:cs="Arial"/>
          <w:i/>
        </w:rPr>
        <w:t>Processed for storage at DM Depot</w:t>
      </w:r>
    </w:p>
    <w:p w:rsidR="00F34757" w:rsidRPr="0037634E" w:rsidRDefault="00F34757" w:rsidP="00F34757">
      <w:pPr>
        <w:pStyle w:val="ListParagraph"/>
        <w:numPr>
          <w:ilvl w:val="1"/>
          <w:numId w:val="4"/>
        </w:numPr>
        <w:rPr>
          <w:rFonts w:ascii="Arial" w:hAnsi="Arial" w:cs="Arial"/>
          <w:i/>
        </w:rPr>
      </w:pPr>
      <w:r w:rsidRPr="0037634E">
        <w:rPr>
          <w:rFonts w:ascii="Arial" w:hAnsi="Arial" w:cs="Arial"/>
          <w:i/>
        </w:rPr>
        <w:t>Spigot intrusion test</w:t>
      </w:r>
    </w:p>
    <w:p w:rsidR="00F34757" w:rsidRPr="0037634E" w:rsidRDefault="00F34757" w:rsidP="00F34757">
      <w:pPr>
        <w:pStyle w:val="ListParagraph"/>
        <w:numPr>
          <w:ilvl w:val="1"/>
          <w:numId w:val="4"/>
        </w:numPr>
        <w:rPr>
          <w:rFonts w:ascii="Arial" w:hAnsi="Arial" w:cs="Arial"/>
          <w:i/>
        </w:rPr>
      </w:pPr>
      <w:r w:rsidRPr="0037634E">
        <w:rPr>
          <w:rFonts w:ascii="Arial" w:hAnsi="Arial" w:cs="Arial"/>
          <w:i/>
        </w:rPr>
        <w:t xml:space="preserve">IM Testing Sympathetic Reaction </w:t>
      </w:r>
    </w:p>
    <w:p w:rsidR="00F34757" w:rsidRPr="0037634E" w:rsidRDefault="00F34757" w:rsidP="00F34757">
      <w:pPr>
        <w:pStyle w:val="ListParagraph"/>
        <w:numPr>
          <w:ilvl w:val="1"/>
          <w:numId w:val="4"/>
        </w:numPr>
        <w:rPr>
          <w:rFonts w:ascii="Arial" w:hAnsi="Arial" w:cs="Arial"/>
          <w:i/>
        </w:rPr>
      </w:pPr>
      <w:r w:rsidRPr="0037634E">
        <w:rPr>
          <w:rFonts w:ascii="Arial" w:hAnsi="Arial" w:cs="Arial"/>
          <w:i/>
        </w:rPr>
        <w:t>UN Hazard Classification and Grouping</w:t>
      </w:r>
    </w:p>
    <w:p w:rsidR="00F34757" w:rsidRPr="0037634E" w:rsidRDefault="00F34757" w:rsidP="00F34757">
      <w:pPr>
        <w:pStyle w:val="ListParagraph"/>
        <w:numPr>
          <w:ilvl w:val="0"/>
          <w:numId w:val="4"/>
        </w:numPr>
        <w:rPr>
          <w:rFonts w:ascii="Arial" w:hAnsi="Arial" w:cs="Arial"/>
          <w:i/>
        </w:rPr>
      </w:pPr>
      <w:r w:rsidRPr="0037634E">
        <w:rPr>
          <w:rFonts w:ascii="Arial" w:hAnsi="Arial" w:cs="Arial"/>
          <w:i/>
        </w:rPr>
        <w:t>Storage (including any maintenance requirements in DM depot) – Non temp controlled but UK Climate.</w:t>
      </w:r>
    </w:p>
    <w:p w:rsidR="00F34757" w:rsidRPr="0037634E" w:rsidRDefault="00F34757" w:rsidP="00F34757">
      <w:pPr>
        <w:pStyle w:val="ListParagraph"/>
        <w:numPr>
          <w:ilvl w:val="1"/>
          <w:numId w:val="4"/>
        </w:numPr>
        <w:rPr>
          <w:rFonts w:ascii="Arial" w:hAnsi="Arial" w:cs="Arial"/>
          <w:i/>
        </w:rPr>
      </w:pPr>
      <w:r w:rsidRPr="0037634E">
        <w:rPr>
          <w:rFonts w:ascii="Arial" w:hAnsi="Arial" w:cs="Arial"/>
          <w:i/>
        </w:rPr>
        <w:t>Sequential Diurnal Tests (accelerated Aging)</w:t>
      </w:r>
    </w:p>
    <w:p w:rsidR="00F34757" w:rsidRPr="0037634E" w:rsidRDefault="00F34757" w:rsidP="00F34757">
      <w:pPr>
        <w:pStyle w:val="ListParagraph"/>
        <w:numPr>
          <w:ilvl w:val="0"/>
          <w:numId w:val="4"/>
        </w:numPr>
        <w:rPr>
          <w:rFonts w:ascii="Arial" w:hAnsi="Arial" w:cs="Arial"/>
          <w:i/>
        </w:rPr>
      </w:pPr>
      <w:r w:rsidRPr="0037634E">
        <w:rPr>
          <w:rFonts w:ascii="Arial" w:hAnsi="Arial" w:cs="Arial"/>
          <w:i/>
        </w:rPr>
        <w:t>Processing for Transport</w:t>
      </w:r>
    </w:p>
    <w:p w:rsidR="00F34757" w:rsidRPr="0037634E" w:rsidRDefault="00F34757" w:rsidP="00F34757">
      <w:pPr>
        <w:pStyle w:val="ListParagraph"/>
        <w:numPr>
          <w:ilvl w:val="1"/>
          <w:numId w:val="4"/>
        </w:numPr>
        <w:rPr>
          <w:rFonts w:ascii="Arial" w:hAnsi="Arial" w:cs="Arial"/>
          <w:i/>
        </w:rPr>
      </w:pPr>
      <w:r w:rsidRPr="0037634E">
        <w:rPr>
          <w:rFonts w:ascii="Arial" w:hAnsi="Arial" w:cs="Arial"/>
          <w:i/>
        </w:rPr>
        <w:lastRenderedPageBreak/>
        <w:t>UN Number (Hazard classification, UN packaging mark and packaging requirements)</w:t>
      </w:r>
    </w:p>
    <w:p w:rsidR="00F34757" w:rsidRPr="0037634E" w:rsidRDefault="00F34757" w:rsidP="00F34757">
      <w:pPr>
        <w:pStyle w:val="ListParagraph"/>
        <w:numPr>
          <w:ilvl w:val="0"/>
          <w:numId w:val="4"/>
        </w:numPr>
        <w:rPr>
          <w:rFonts w:ascii="Arial" w:hAnsi="Arial" w:cs="Arial"/>
          <w:i/>
        </w:rPr>
      </w:pPr>
      <w:r w:rsidRPr="0037634E">
        <w:rPr>
          <w:rFonts w:ascii="Arial" w:hAnsi="Arial" w:cs="Arial"/>
          <w:i/>
        </w:rPr>
        <w:t>Road Transport from DM Depot</w:t>
      </w:r>
    </w:p>
    <w:p w:rsidR="00F34757" w:rsidRPr="0037634E" w:rsidRDefault="00F34757" w:rsidP="00F34757">
      <w:pPr>
        <w:pStyle w:val="ListParagraph"/>
        <w:numPr>
          <w:ilvl w:val="0"/>
          <w:numId w:val="4"/>
        </w:numPr>
        <w:rPr>
          <w:rFonts w:ascii="Arial" w:hAnsi="Arial" w:cs="Arial"/>
          <w:i/>
        </w:rPr>
      </w:pPr>
      <w:r w:rsidRPr="0037634E">
        <w:rPr>
          <w:rFonts w:ascii="Arial" w:hAnsi="Arial" w:cs="Arial"/>
          <w:i/>
        </w:rPr>
        <w:t>Sea and/or Air transport to theatre</w:t>
      </w:r>
    </w:p>
    <w:p w:rsidR="00F34757" w:rsidRPr="0037634E" w:rsidRDefault="00F34757" w:rsidP="00F34757">
      <w:pPr>
        <w:pStyle w:val="ListParagraph"/>
        <w:numPr>
          <w:ilvl w:val="1"/>
          <w:numId w:val="4"/>
        </w:numPr>
        <w:rPr>
          <w:rFonts w:ascii="Arial" w:hAnsi="Arial" w:cs="Arial"/>
          <w:i/>
        </w:rPr>
      </w:pPr>
      <w:r w:rsidRPr="0037634E">
        <w:rPr>
          <w:rFonts w:ascii="Arial" w:hAnsi="Arial" w:cs="Arial"/>
          <w:i/>
        </w:rPr>
        <w:t>12m drop testing for craning onto ship</w:t>
      </w:r>
    </w:p>
    <w:p w:rsidR="00F34757" w:rsidRPr="0037634E" w:rsidRDefault="00F34757" w:rsidP="00F34757">
      <w:pPr>
        <w:pStyle w:val="ListParagraph"/>
        <w:numPr>
          <w:ilvl w:val="1"/>
          <w:numId w:val="4"/>
        </w:numPr>
        <w:rPr>
          <w:rFonts w:ascii="Arial" w:hAnsi="Arial" w:cs="Arial"/>
          <w:i/>
        </w:rPr>
      </w:pPr>
      <w:r w:rsidRPr="0037634E">
        <w:rPr>
          <w:rFonts w:ascii="Arial" w:hAnsi="Arial" w:cs="Arial"/>
          <w:i/>
        </w:rPr>
        <w:t>Transport Vibration for Air – All types required (in this case fixed and rotary wing)</w:t>
      </w:r>
    </w:p>
    <w:p w:rsidR="00F34757" w:rsidRPr="0037634E" w:rsidRDefault="00F34757" w:rsidP="00F34757">
      <w:pPr>
        <w:pStyle w:val="ListParagraph"/>
        <w:numPr>
          <w:ilvl w:val="1"/>
          <w:numId w:val="4"/>
        </w:numPr>
        <w:rPr>
          <w:rFonts w:ascii="Arial" w:hAnsi="Arial" w:cs="Arial"/>
          <w:i/>
        </w:rPr>
      </w:pPr>
      <w:r w:rsidRPr="0037634E">
        <w:rPr>
          <w:rFonts w:ascii="Arial" w:hAnsi="Arial" w:cs="Arial"/>
          <w:i/>
        </w:rPr>
        <w:t>Restrictions to be listed – I.E. A400 Cargo area outside of requirement (say).</w:t>
      </w:r>
    </w:p>
    <w:p w:rsidR="00F34757" w:rsidRPr="0037634E" w:rsidRDefault="00F34757" w:rsidP="00F34757">
      <w:pPr>
        <w:pStyle w:val="ListParagraph"/>
        <w:numPr>
          <w:ilvl w:val="1"/>
          <w:numId w:val="4"/>
        </w:numPr>
        <w:rPr>
          <w:rFonts w:ascii="Arial" w:hAnsi="Arial" w:cs="Arial"/>
          <w:i/>
        </w:rPr>
      </w:pPr>
      <w:r w:rsidRPr="0037634E">
        <w:rPr>
          <w:rFonts w:ascii="Arial" w:hAnsi="Arial" w:cs="Arial"/>
          <w:i/>
        </w:rPr>
        <w:t>ESD Testing for Rotary Wing Deployment</w:t>
      </w:r>
    </w:p>
    <w:p w:rsidR="00F34757" w:rsidRPr="0037634E" w:rsidRDefault="00F34757" w:rsidP="00F34757">
      <w:pPr>
        <w:pStyle w:val="ListParagraph"/>
        <w:numPr>
          <w:ilvl w:val="0"/>
          <w:numId w:val="4"/>
        </w:numPr>
        <w:rPr>
          <w:rFonts w:ascii="Arial" w:hAnsi="Arial" w:cs="Arial"/>
          <w:i/>
        </w:rPr>
      </w:pPr>
      <w:r w:rsidRPr="0037634E">
        <w:rPr>
          <w:rFonts w:ascii="Arial" w:hAnsi="Arial" w:cs="Arial"/>
          <w:i/>
        </w:rPr>
        <w:t>Temporary storage potentially</w:t>
      </w:r>
    </w:p>
    <w:p w:rsidR="00F34757" w:rsidRPr="0037634E" w:rsidRDefault="00F34757" w:rsidP="00F34757">
      <w:pPr>
        <w:pStyle w:val="ListParagraph"/>
        <w:numPr>
          <w:ilvl w:val="1"/>
          <w:numId w:val="4"/>
        </w:numPr>
        <w:rPr>
          <w:rFonts w:ascii="Arial" w:hAnsi="Arial" w:cs="Arial"/>
          <w:i/>
        </w:rPr>
      </w:pPr>
      <w:r w:rsidRPr="0037634E">
        <w:rPr>
          <w:rFonts w:ascii="Arial" w:hAnsi="Arial" w:cs="Arial"/>
          <w:i/>
        </w:rPr>
        <w:t>Sequential Diurnal cycling – High temp/low temps</w:t>
      </w:r>
    </w:p>
    <w:p w:rsidR="00F34757" w:rsidRPr="0037634E" w:rsidRDefault="00F34757" w:rsidP="00F34757">
      <w:pPr>
        <w:pStyle w:val="ListParagraph"/>
        <w:numPr>
          <w:ilvl w:val="0"/>
          <w:numId w:val="4"/>
        </w:numPr>
        <w:rPr>
          <w:rFonts w:ascii="Arial" w:hAnsi="Arial" w:cs="Arial"/>
          <w:i/>
        </w:rPr>
      </w:pPr>
      <w:r w:rsidRPr="0037634E">
        <w:rPr>
          <w:rFonts w:ascii="Arial" w:hAnsi="Arial" w:cs="Arial"/>
          <w:i/>
        </w:rPr>
        <w:t>Allocated for operational use – Carried in wheeled/Tracked Transport or Carried Individually?    And Use/Or:</w:t>
      </w:r>
    </w:p>
    <w:p w:rsidR="00F34757" w:rsidRPr="0037634E" w:rsidRDefault="00F34757" w:rsidP="00F34757">
      <w:pPr>
        <w:pStyle w:val="ListParagraph"/>
        <w:numPr>
          <w:ilvl w:val="1"/>
          <w:numId w:val="4"/>
        </w:numPr>
        <w:rPr>
          <w:rFonts w:ascii="Arial" w:hAnsi="Arial" w:cs="Arial"/>
          <w:i/>
        </w:rPr>
      </w:pPr>
      <w:r w:rsidRPr="0037634E">
        <w:rPr>
          <w:rFonts w:ascii="Arial" w:hAnsi="Arial" w:cs="Arial"/>
          <w:i/>
        </w:rPr>
        <w:t>Book-keeping and control of stock – difficult to track when issued to individuals – Print dates on articles?</w:t>
      </w:r>
    </w:p>
    <w:p w:rsidR="00F34757" w:rsidRPr="0037634E" w:rsidRDefault="00F34757" w:rsidP="00F34757">
      <w:pPr>
        <w:pStyle w:val="ListParagraph"/>
        <w:numPr>
          <w:ilvl w:val="0"/>
          <w:numId w:val="4"/>
        </w:numPr>
        <w:rPr>
          <w:rFonts w:ascii="Arial" w:hAnsi="Arial" w:cs="Arial"/>
          <w:i/>
        </w:rPr>
      </w:pPr>
      <w:r w:rsidRPr="0037634E">
        <w:rPr>
          <w:rFonts w:ascii="Arial" w:hAnsi="Arial" w:cs="Arial"/>
          <w:i/>
        </w:rPr>
        <w:t>Transport for disposal – to include similar amount of distance, vibration etc.</w:t>
      </w:r>
    </w:p>
    <w:p w:rsidR="00F34757" w:rsidRPr="0037634E" w:rsidRDefault="00F34757" w:rsidP="00F34757">
      <w:pPr>
        <w:pStyle w:val="ListParagraph"/>
        <w:numPr>
          <w:ilvl w:val="0"/>
          <w:numId w:val="4"/>
        </w:numPr>
        <w:rPr>
          <w:rFonts w:ascii="Arial" w:hAnsi="Arial" w:cs="Arial"/>
          <w:i/>
        </w:rPr>
      </w:pPr>
      <w:r w:rsidRPr="0037634E">
        <w:rPr>
          <w:rFonts w:ascii="Arial" w:hAnsi="Arial" w:cs="Arial"/>
          <w:i/>
        </w:rPr>
        <w:t>Disposal Licensed/Approved premises</w:t>
      </w:r>
    </w:p>
    <w:p w:rsidR="00F34757" w:rsidRPr="0037634E" w:rsidRDefault="00F34757" w:rsidP="00F34757">
      <w:pPr>
        <w:ind w:left="360"/>
        <w:rPr>
          <w:rFonts w:ascii="Arial" w:hAnsi="Arial" w:cs="Arial"/>
          <w:i/>
        </w:rPr>
      </w:pPr>
    </w:p>
    <w:p w:rsidR="00F34757" w:rsidRPr="0037634E" w:rsidRDefault="00F34757" w:rsidP="00F34757">
      <w:pPr>
        <w:ind w:left="360"/>
        <w:rPr>
          <w:rFonts w:ascii="Arial" w:hAnsi="Arial" w:cs="Arial"/>
          <w:b/>
          <w:bCs/>
          <w:i/>
        </w:rPr>
      </w:pPr>
      <w:r w:rsidRPr="0037634E">
        <w:rPr>
          <w:rFonts w:ascii="Arial" w:hAnsi="Arial" w:cs="Arial"/>
          <w:b/>
          <w:bCs/>
          <w:i/>
        </w:rPr>
        <w:t>Other Considerations:</w:t>
      </w:r>
    </w:p>
    <w:p w:rsidR="00F34757" w:rsidRPr="0037634E" w:rsidRDefault="00F34757" w:rsidP="00F34757">
      <w:pPr>
        <w:pStyle w:val="ListParagraph"/>
        <w:numPr>
          <w:ilvl w:val="0"/>
          <w:numId w:val="5"/>
        </w:numPr>
        <w:rPr>
          <w:rFonts w:ascii="Arial" w:hAnsi="Arial" w:cs="Arial"/>
          <w:i/>
        </w:rPr>
      </w:pPr>
      <w:r w:rsidRPr="0037634E">
        <w:rPr>
          <w:rFonts w:ascii="Arial" w:hAnsi="Arial" w:cs="Arial"/>
          <w:i/>
        </w:rPr>
        <w:t>Different Classifications/Tests if Separated components</w:t>
      </w:r>
    </w:p>
    <w:p w:rsidR="00F34757" w:rsidRPr="0037634E" w:rsidRDefault="00F34757" w:rsidP="00F34757">
      <w:pPr>
        <w:pStyle w:val="ListParagraph"/>
        <w:numPr>
          <w:ilvl w:val="1"/>
          <w:numId w:val="5"/>
        </w:numPr>
        <w:rPr>
          <w:rFonts w:ascii="Arial" w:hAnsi="Arial" w:cs="Arial"/>
          <w:i/>
        </w:rPr>
      </w:pPr>
      <w:r w:rsidRPr="0037634E">
        <w:rPr>
          <w:rFonts w:ascii="Arial" w:hAnsi="Arial" w:cs="Arial"/>
          <w:i/>
        </w:rPr>
        <w:t>Packaging and Transport for each component</w:t>
      </w:r>
    </w:p>
    <w:p w:rsidR="00F34757" w:rsidRPr="0037634E" w:rsidRDefault="00F34757" w:rsidP="00F34757">
      <w:pPr>
        <w:pStyle w:val="ListParagraph"/>
        <w:numPr>
          <w:ilvl w:val="0"/>
          <w:numId w:val="5"/>
        </w:numPr>
        <w:rPr>
          <w:rFonts w:ascii="Arial" w:hAnsi="Arial" w:cs="Arial"/>
          <w:i/>
        </w:rPr>
      </w:pPr>
      <w:r w:rsidRPr="0037634E">
        <w:rPr>
          <w:rFonts w:ascii="Arial" w:hAnsi="Arial" w:cs="Arial"/>
          <w:i/>
        </w:rPr>
        <w:t>Can we use common use components (i.e Initiator) or in current service-use items.</w:t>
      </w:r>
    </w:p>
    <w:p w:rsidR="00F34757" w:rsidRPr="0037634E" w:rsidRDefault="00F34757" w:rsidP="00F34757">
      <w:pPr>
        <w:pStyle w:val="ListParagraph"/>
        <w:numPr>
          <w:ilvl w:val="0"/>
          <w:numId w:val="5"/>
        </w:numPr>
        <w:rPr>
          <w:rFonts w:ascii="Arial" w:hAnsi="Arial" w:cs="Arial"/>
          <w:i/>
        </w:rPr>
      </w:pPr>
      <w:r w:rsidRPr="0037634E">
        <w:rPr>
          <w:rFonts w:ascii="Arial" w:hAnsi="Arial" w:cs="Arial"/>
          <w:i/>
        </w:rPr>
        <w:t>Stacking in Storage – is this required? – seems beneficial.</w:t>
      </w:r>
    </w:p>
    <w:p w:rsidR="00F34757" w:rsidRPr="0037634E" w:rsidRDefault="00F34757" w:rsidP="00F34757">
      <w:pPr>
        <w:pStyle w:val="ListParagraph"/>
        <w:numPr>
          <w:ilvl w:val="0"/>
          <w:numId w:val="5"/>
        </w:numPr>
        <w:rPr>
          <w:rFonts w:ascii="Arial" w:hAnsi="Arial" w:cs="Arial"/>
          <w:i/>
        </w:rPr>
      </w:pPr>
      <w:r w:rsidRPr="0037634E">
        <w:rPr>
          <w:rFonts w:ascii="Arial" w:hAnsi="Arial" w:cs="Arial"/>
          <w:i/>
        </w:rPr>
        <w:t>Constraints/Limitations/Non-Conformances and Justifications for same (i.e. Operational Use in Arctic conditions potentially less feasible due to difficulty of digging through solid ice ground)</w:t>
      </w:r>
    </w:p>
    <w:p w:rsidR="00F34757" w:rsidRPr="0037634E" w:rsidRDefault="00F34757" w:rsidP="00F34757">
      <w:pPr>
        <w:pStyle w:val="ListParagraph"/>
        <w:numPr>
          <w:ilvl w:val="0"/>
          <w:numId w:val="5"/>
        </w:numPr>
        <w:rPr>
          <w:rFonts w:ascii="Arial" w:hAnsi="Arial" w:cs="Arial"/>
          <w:i/>
        </w:rPr>
      </w:pPr>
      <w:r w:rsidRPr="0037634E">
        <w:rPr>
          <w:rFonts w:ascii="Arial" w:hAnsi="Arial" w:cs="Arial"/>
          <w:i/>
        </w:rPr>
        <w:t>Means of initiation – Novel means/EEDs will need to be proven/qualified/characterised, increasing cost to user.</w:t>
      </w:r>
    </w:p>
    <w:p w:rsidR="00F34757" w:rsidRPr="0037634E" w:rsidRDefault="00F34757" w:rsidP="00F34757">
      <w:pPr>
        <w:pStyle w:val="ListParagraph"/>
        <w:numPr>
          <w:ilvl w:val="0"/>
          <w:numId w:val="5"/>
        </w:numPr>
        <w:rPr>
          <w:rFonts w:ascii="Arial" w:hAnsi="Arial" w:cs="Arial"/>
          <w:i/>
        </w:rPr>
      </w:pPr>
      <w:r w:rsidRPr="0037634E">
        <w:rPr>
          <w:rFonts w:ascii="Arial" w:hAnsi="Arial" w:cs="Arial"/>
          <w:i/>
        </w:rPr>
        <w:t>Safety Case?</w:t>
      </w:r>
    </w:p>
    <w:p w:rsidR="00026415" w:rsidRDefault="00026415" w:rsidP="002A1BD9">
      <w:pPr>
        <w:rPr>
          <w:sz w:val="28"/>
        </w:rPr>
      </w:pPr>
    </w:p>
    <w:p w:rsidR="00026415" w:rsidRDefault="00685E2D" w:rsidP="002A1BD9">
      <w:pPr>
        <w:rPr>
          <w:sz w:val="28"/>
        </w:rPr>
      </w:pPr>
      <w:r>
        <w:rPr>
          <w:sz w:val="28"/>
        </w:rPr>
        <w:t>Following the creation of the ‘User Requirements Document &amp; Manufacture to Target Disposal Sequence, it was determined that the responsibilities and tasks set out in Figure X were appropriate to the requirements of conducting the task and that their division provided a roughly equal weighting of work for each team member.</w:t>
      </w:r>
      <w:r w:rsidR="00AC07F2">
        <w:rPr>
          <w:sz w:val="28"/>
        </w:rPr>
        <w:t xml:space="preserve"> It was also determined that one of the most effective ways to meet the requirements for improvement as given in the ‘Project Brief’ was to change the explosive compositions used in the shaped charge and cratering bags. Another major point was that maintaining the physical/structural components and weights of the kits’ components would help to reduce cost, maintain compatibility with current transport and storage capabilities and facilities and reduce cost of re-design and manufacture.</w:t>
      </w:r>
    </w:p>
    <w:p w:rsidR="002A1BD9" w:rsidRDefault="00876F70" w:rsidP="002A1BD9">
      <w:pPr>
        <w:rPr>
          <w:b/>
          <w:sz w:val="36"/>
        </w:rPr>
      </w:pPr>
      <w:r>
        <w:rPr>
          <w:b/>
          <w:sz w:val="36"/>
        </w:rPr>
        <w:lastRenderedPageBreak/>
        <w:t xml:space="preserve">4. </w:t>
      </w:r>
      <w:r w:rsidR="005A07AA" w:rsidRPr="00026415">
        <w:rPr>
          <w:b/>
          <w:sz w:val="36"/>
        </w:rPr>
        <w:t>SU</w:t>
      </w:r>
      <w:r>
        <w:rPr>
          <w:b/>
          <w:sz w:val="36"/>
        </w:rPr>
        <w:t xml:space="preserve">BJECT AREA: </w:t>
      </w:r>
      <w:r w:rsidR="005A07AA" w:rsidRPr="00026415">
        <w:rPr>
          <w:b/>
          <w:sz w:val="36"/>
        </w:rPr>
        <w:t>EXPLOSIVE COMPOSITIONS – Pt.1</w:t>
      </w:r>
    </w:p>
    <w:p w:rsidR="00AC07F2" w:rsidRPr="00AC07F2" w:rsidRDefault="00AC07F2" w:rsidP="002A1BD9">
      <w:pPr>
        <w:rPr>
          <w:sz w:val="28"/>
        </w:rPr>
      </w:pPr>
      <w:r>
        <w:rPr>
          <w:sz w:val="28"/>
        </w:rPr>
        <w:t>Will Noakes (author) was allocated the subject area of research and design of the explosive compositions in the product.</w:t>
      </w:r>
      <w:r w:rsidR="0037634E">
        <w:rPr>
          <w:sz w:val="28"/>
        </w:rPr>
        <w:t xml:space="preserve"> This section details the steps carried out during the first half of the re-design for this subject area.</w:t>
      </w:r>
    </w:p>
    <w:p w:rsidR="002A1BD9" w:rsidRDefault="00876F70" w:rsidP="002A1BD9">
      <w:pPr>
        <w:rPr>
          <w:b/>
          <w:sz w:val="32"/>
        </w:rPr>
      </w:pPr>
      <w:r>
        <w:rPr>
          <w:b/>
          <w:sz w:val="32"/>
        </w:rPr>
        <w:t>4.1. Understanding</w:t>
      </w:r>
      <w:r w:rsidR="002A1BD9">
        <w:rPr>
          <w:b/>
          <w:sz w:val="32"/>
        </w:rPr>
        <w:t xml:space="preserve"> Mk.2 </w:t>
      </w:r>
      <w:r>
        <w:rPr>
          <w:b/>
          <w:sz w:val="32"/>
        </w:rPr>
        <w:t>Explosive Compositions</w:t>
      </w:r>
      <w:r w:rsidR="002A1BD9">
        <w:rPr>
          <w:b/>
          <w:sz w:val="32"/>
        </w:rPr>
        <w:t xml:space="preserve"> and Function</w:t>
      </w:r>
    </w:p>
    <w:p w:rsidR="0037634E" w:rsidRDefault="0037634E" w:rsidP="00AC07F2">
      <w:pPr>
        <w:rPr>
          <w:sz w:val="28"/>
        </w:rPr>
      </w:pPr>
      <w:r>
        <w:rPr>
          <w:sz w:val="28"/>
        </w:rPr>
        <w:t>Initially the current detail of explosive compositions utilised in the components in the Rapid Cratering Kit Mk.2 and their relative function and performance needed to be identified, in order to firstly assess their suitability to the user requirements, and secondly, develop a comparable baseline from which to improve the product through the re-design.</w:t>
      </w:r>
    </w:p>
    <w:p w:rsidR="0037634E" w:rsidRDefault="0037634E" w:rsidP="00AC07F2">
      <w:pPr>
        <w:rPr>
          <w:sz w:val="28"/>
        </w:rPr>
      </w:pPr>
      <w:r>
        <w:rPr>
          <w:sz w:val="28"/>
        </w:rPr>
        <w:t xml:space="preserve">Whilst the ‘Project Brief’ provided extensive information on the composition of the main Charge (Shaped Charge NR50), information on the compositions of the cratering bags and other components was limited. </w:t>
      </w:r>
    </w:p>
    <w:p w:rsidR="0037634E" w:rsidRDefault="0037634E" w:rsidP="00AC07F2">
      <w:pPr>
        <w:rPr>
          <w:sz w:val="28"/>
        </w:rPr>
      </w:pPr>
      <w:r>
        <w:rPr>
          <w:sz w:val="28"/>
        </w:rPr>
        <w:t>Will contacted an employee of CBRN, a company which had worked on refining the design of the Mk.2 product and was a distributor for it. This correspondence provided further more extensive information on the chemical compositions utilised and the reasoning behind their specific use in the NR50 Shaped Charge and NR51 Crater Charge bags.</w:t>
      </w:r>
    </w:p>
    <w:p w:rsidR="0037634E" w:rsidRDefault="00C65912" w:rsidP="00AC07F2">
      <w:pPr>
        <w:rPr>
          <w:sz w:val="28"/>
        </w:rPr>
      </w:pPr>
      <w:r>
        <w:rPr>
          <w:sz w:val="28"/>
        </w:rPr>
        <w:t xml:space="preserve">An outline of this correspondence is provided in </w:t>
      </w:r>
      <w:r w:rsidR="00EC6E7E" w:rsidRPr="00EC6E7E">
        <w:rPr>
          <w:b/>
          <w:sz w:val="28"/>
        </w:rPr>
        <w:t xml:space="preserve">Figures </w:t>
      </w:r>
      <w:r w:rsidR="00F41412">
        <w:rPr>
          <w:b/>
          <w:sz w:val="28"/>
        </w:rPr>
        <w:t>5</w:t>
      </w:r>
      <w:r w:rsidRPr="00EC6E7E">
        <w:rPr>
          <w:b/>
          <w:sz w:val="28"/>
        </w:rPr>
        <w:t xml:space="preserve"> </w:t>
      </w:r>
      <w:r w:rsidR="00F41412">
        <w:rPr>
          <w:b/>
          <w:sz w:val="28"/>
        </w:rPr>
        <w:t>&amp; 6</w:t>
      </w:r>
      <w:r w:rsidR="00EC6E7E">
        <w:rPr>
          <w:sz w:val="28"/>
        </w:rPr>
        <w:t xml:space="preserve"> </w:t>
      </w:r>
      <w:r w:rsidR="00EB768A">
        <w:rPr>
          <w:sz w:val="28"/>
        </w:rPr>
        <w:t>below</w:t>
      </w:r>
      <w:r>
        <w:rPr>
          <w:sz w:val="28"/>
        </w:rPr>
        <w:t>…</w:t>
      </w:r>
    </w:p>
    <w:p w:rsidR="00C65912" w:rsidRPr="00C65912" w:rsidRDefault="00F41412" w:rsidP="00AC07F2">
      <w:pPr>
        <w:rPr>
          <w:b/>
          <w:i/>
          <w:sz w:val="28"/>
        </w:rPr>
      </w:pPr>
      <w:r>
        <w:rPr>
          <w:b/>
          <w:sz w:val="28"/>
        </w:rPr>
        <w:t>Figure 5</w:t>
      </w:r>
      <w:r w:rsidR="00C65912" w:rsidRPr="00C65912">
        <w:rPr>
          <w:b/>
          <w:sz w:val="28"/>
        </w:rPr>
        <w:t xml:space="preserve">: </w:t>
      </w:r>
    </w:p>
    <w:p w:rsidR="0037634E" w:rsidRPr="00C65912" w:rsidRDefault="00C65912" w:rsidP="00AC07F2">
      <w:pPr>
        <w:rPr>
          <w:rFonts w:ascii="Arial" w:hAnsi="Arial" w:cs="Arial"/>
          <w:b/>
          <w:i/>
          <w:sz w:val="28"/>
        </w:rPr>
      </w:pPr>
      <w:r w:rsidRPr="00C65912">
        <w:rPr>
          <w:rFonts w:ascii="Arial" w:hAnsi="Arial" w:cs="Arial"/>
          <w:b/>
          <w:i/>
          <w:sz w:val="28"/>
        </w:rPr>
        <w:t>Questions asked:</w:t>
      </w:r>
    </w:p>
    <w:p w:rsidR="00C65912" w:rsidRPr="00C65912" w:rsidRDefault="00C65912" w:rsidP="00C65912">
      <w:pPr>
        <w:pStyle w:val="ListParagraph"/>
        <w:numPr>
          <w:ilvl w:val="0"/>
          <w:numId w:val="1"/>
        </w:numPr>
        <w:rPr>
          <w:rFonts w:ascii="Arial" w:hAnsi="Arial" w:cs="Arial"/>
          <w:i/>
          <w:sz w:val="28"/>
        </w:rPr>
      </w:pPr>
      <w:r w:rsidRPr="00C65912">
        <w:rPr>
          <w:rFonts w:ascii="Arial" w:hAnsi="Arial" w:cs="Arial"/>
          <w:i/>
          <w:sz w:val="28"/>
        </w:rPr>
        <w:t>What is the basic functionality of the product</w:t>
      </w:r>
    </w:p>
    <w:p w:rsidR="00C65912" w:rsidRPr="00C65912" w:rsidRDefault="00C65912" w:rsidP="00C65912">
      <w:pPr>
        <w:pStyle w:val="ListParagraph"/>
        <w:numPr>
          <w:ilvl w:val="0"/>
          <w:numId w:val="1"/>
        </w:numPr>
        <w:rPr>
          <w:rFonts w:ascii="Arial" w:hAnsi="Arial" w:cs="Arial"/>
          <w:i/>
          <w:sz w:val="28"/>
        </w:rPr>
      </w:pPr>
      <w:r w:rsidRPr="00C65912">
        <w:rPr>
          <w:rFonts w:ascii="Arial" w:hAnsi="Arial" w:cs="Arial"/>
          <w:i/>
          <w:sz w:val="28"/>
        </w:rPr>
        <w:t>As a developer/seller/user of the product, could any improvements &amp; design changes be suggested</w:t>
      </w:r>
    </w:p>
    <w:p w:rsidR="00C65912" w:rsidRPr="00C65912" w:rsidRDefault="00C65912" w:rsidP="00C65912">
      <w:pPr>
        <w:pStyle w:val="ListParagraph"/>
        <w:numPr>
          <w:ilvl w:val="0"/>
          <w:numId w:val="1"/>
        </w:numPr>
        <w:rPr>
          <w:rFonts w:ascii="Arial" w:hAnsi="Arial" w:cs="Arial"/>
          <w:i/>
          <w:sz w:val="28"/>
        </w:rPr>
      </w:pPr>
      <w:r w:rsidRPr="00C65912">
        <w:rPr>
          <w:rFonts w:ascii="Arial" w:hAnsi="Arial" w:cs="Arial"/>
          <w:i/>
          <w:sz w:val="28"/>
        </w:rPr>
        <w:t>What is the specific function and reasoning behind the use of the explosive compositions in the Mk.2 design (particularly in terms of performance, reliability, cost)</w:t>
      </w:r>
    </w:p>
    <w:p w:rsidR="00C65912" w:rsidRPr="00C65912" w:rsidRDefault="00C65912" w:rsidP="00C65912">
      <w:pPr>
        <w:rPr>
          <w:rFonts w:ascii="Arial" w:hAnsi="Arial" w:cs="Arial"/>
          <w:b/>
          <w:i/>
          <w:sz w:val="28"/>
        </w:rPr>
      </w:pPr>
      <w:r w:rsidRPr="00C65912">
        <w:rPr>
          <w:rFonts w:ascii="Arial" w:hAnsi="Arial" w:cs="Arial"/>
          <w:b/>
          <w:i/>
          <w:sz w:val="28"/>
        </w:rPr>
        <w:t>Responses received:</w:t>
      </w:r>
    </w:p>
    <w:p w:rsidR="00C65912" w:rsidRPr="00C65912" w:rsidRDefault="00C65912" w:rsidP="00C65912">
      <w:pPr>
        <w:pStyle w:val="ListParagraph"/>
        <w:numPr>
          <w:ilvl w:val="0"/>
          <w:numId w:val="1"/>
        </w:numPr>
        <w:rPr>
          <w:b/>
          <w:sz w:val="32"/>
        </w:rPr>
      </w:pPr>
      <w:r>
        <w:rPr>
          <w:i/>
          <w:sz w:val="28"/>
        </w:rPr>
        <w:t>The Comp B fill (Shaped Charge NR50), alongside the RDX/Wax Booster (Primary Charge 13/28A) were optimised to maximum effect/performance</w:t>
      </w:r>
    </w:p>
    <w:p w:rsidR="00C65912" w:rsidRPr="00EC6E7E" w:rsidRDefault="00C65912" w:rsidP="00C65912">
      <w:pPr>
        <w:pStyle w:val="ListParagraph"/>
        <w:numPr>
          <w:ilvl w:val="0"/>
          <w:numId w:val="1"/>
        </w:numPr>
        <w:rPr>
          <w:b/>
          <w:sz w:val="32"/>
        </w:rPr>
      </w:pPr>
      <w:r>
        <w:rPr>
          <w:i/>
          <w:sz w:val="28"/>
        </w:rPr>
        <w:lastRenderedPageBreak/>
        <w:t xml:space="preserve">Other mixes/compositions were trialled but did not produce the strong penetration of the Pilot Charge (Shaped Charge NR50) </w:t>
      </w:r>
    </w:p>
    <w:p w:rsidR="00EC6E7E" w:rsidRPr="00EC6E7E" w:rsidRDefault="00EC6E7E" w:rsidP="00C65912">
      <w:pPr>
        <w:pStyle w:val="ListParagraph"/>
        <w:numPr>
          <w:ilvl w:val="0"/>
          <w:numId w:val="1"/>
        </w:numPr>
        <w:rPr>
          <w:b/>
          <w:sz w:val="32"/>
        </w:rPr>
      </w:pPr>
      <w:r>
        <w:rPr>
          <w:i/>
          <w:sz w:val="28"/>
        </w:rPr>
        <w:t>The selected Mk.2 design was 11kg of Composition B charge positioned over a copper cone with angle = 60</w:t>
      </w:r>
      <w:r>
        <w:rPr>
          <w:i/>
          <w:sz w:val="28"/>
          <w:vertAlign w:val="superscript"/>
        </w:rPr>
        <w:t>O</w:t>
      </w:r>
    </w:p>
    <w:p w:rsidR="00EC6E7E" w:rsidRPr="00C65912" w:rsidRDefault="00EC6E7E" w:rsidP="00C65912">
      <w:pPr>
        <w:pStyle w:val="ListParagraph"/>
        <w:numPr>
          <w:ilvl w:val="0"/>
          <w:numId w:val="1"/>
        </w:numPr>
        <w:rPr>
          <w:b/>
          <w:sz w:val="32"/>
        </w:rPr>
      </w:pPr>
      <w:r>
        <w:rPr>
          <w:i/>
          <w:sz w:val="28"/>
        </w:rPr>
        <w:t>Performance of this design would be hard to beat in affordable terms</w:t>
      </w:r>
    </w:p>
    <w:p w:rsidR="00C65912" w:rsidRPr="00C65912" w:rsidRDefault="00C65912" w:rsidP="00C65912">
      <w:pPr>
        <w:pStyle w:val="ListParagraph"/>
        <w:numPr>
          <w:ilvl w:val="0"/>
          <w:numId w:val="1"/>
        </w:numPr>
        <w:rPr>
          <w:b/>
          <w:sz w:val="32"/>
        </w:rPr>
      </w:pPr>
      <w:r>
        <w:rPr>
          <w:i/>
          <w:sz w:val="28"/>
        </w:rPr>
        <w:t>Crater bags (Crater Charge NR51) of ‘Hexatonal’ flake were also optimised to maximum effect/performance, providing the slow cratering effect required</w:t>
      </w:r>
    </w:p>
    <w:p w:rsidR="00C65912" w:rsidRPr="00EC6E7E" w:rsidRDefault="00C65912" w:rsidP="00C65912">
      <w:pPr>
        <w:pStyle w:val="ListParagraph"/>
        <w:numPr>
          <w:ilvl w:val="0"/>
          <w:numId w:val="1"/>
        </w:numPr>
        <w:rPr>
          <w:b/>
          <w:sz w:val="32"/>
        </w:rPr>
      </w:pPr>
      <w:r>
        <w:rPr>
          <w:i/>
          <w:sz w:val="28"/>
        </w:rPr>
        <w:t xml:space="preserve">Optimisation of the Crater Charge NR51 required </w:t>
      </w:r>
      <w:r w:rsidR="00EC6E7E">
        <w:rPr>
          <w:i/>
          <w:sz w:val="28"/>
        </w:rPr>
        <w:t xml:space="preserve">additions of further (not specified) chemicals when in wet form </w:t>
      </w:r>
    </w:p>
    <w:p w:rsidR="00EC6E7E" w:rsidRPr="00EC6E7E" w:rsidRDefault="00EC6E7E" w:rsidP="00C65912">
      <w:pPr>
        <w:pStyle w:val="ListParagraph"/>
        <w:numPr>
          <w:ilvl w:val="0"/>
          <w:numId w:val="1"/>
        </w:numPr>
        <w:rPr>
          <w:b/>
          <w:sz w:val="32"/>
        </w:rPr>
      </w:pPr>
      <w:r>
        <w:rPr>
          <w:i/>
          <w:sz w:val="28"/>
        </w:rPr>
        <w:t>Overall product is easily transportable, meets the current user requirements, and is in service with NATO</w:t>
      </w:r>
    </w:p>
    <w:p w:rsidR="00EC6E7E" w:rsidRPr="00691208" w:rsidRDefault="00EC6E7E" w:rsidP="00EC6E7E">
      <w:r>
        <w:rPr>
          <w:sz w:val="28"/>
        </w:rPr>
        <w:t>Online research conducted on ‘Hexatonal flake’ failed to yield any significantly detailed results, other than to imply that the composition’s function was likely similar to Torpex in terms of an implied ‘long impulse’ performance and therefore possibly similar in terms of chemical composition also</w:t>
      </w:r>
      <w:r w:rsidR="00691208">
        <w:rPr>
          <w:sz w:val="28"/>
        </w:rPr>
        <w:t xml:space="preserve"> </w:t>
      </w:r>
      <w:sdt>
        <w:sdtPr>
          <w:rPr>
            <w:sz w:val="28"/>
          </w:rPr>
          <w:id w:val="1796173136"/>
          <w:citation/>
        </w:sdtPr>
        <w:sdtEndPr/>
        <w:sdtContent>
          <w:r w:rsidR="00691208" w:rsidRPr="00691208">
            <w:rPr>
              <w:sz w:val="28"/>
            </w:rPr>
            <w:fldChar w:fldCharType="begin"/>
          </w:r>
          <w:r w:rsidR="00691208" w:rsidRPr="00691208">
            <w:rPr>
              <w:sz w:val="28"/>
            </w:rPr>
            <w:instrText xml:space="preserve">CITATION HuD14 \l 2057 </w:instrText>
          </w:r>
          <w:r w:rsidR="00691208" w:rsidRPr="00691208">
            <w:rPr>
              <w:sz w:val="28"/>
            </w:rPr>
            <w:fldChar w:fldCharType="separate"/>
          </w:r>
          <w:r w:rsidR="00995821" w:rsidRPr="00995821">
            <w:rPr>
              <w:noProof/>
              <w:sz w:val="28"/>
            </w:rPr>
            <w:t>[3]</w:t>
          </w:r>
          <w:r w:rsidR="00691208" w:rsidRPr="00691208">
            <w:rPr>
              <w:sz w:val="28"/>
            </w:rPr>
            <w:fldChar w:fldCharType="end"/>
          </w:r>
        </w:sdtContent>
      </w:sdt>
      <w:r>
        <w:rPr>
          <w:sz w:val="28"/>
        </w:rPr>
        <w:t xml:space="preserve">. Given this, further correspondence queried to make up of ‘Hexatonal flake’. The initial response from CBRN also did not state the IM compatibility of the NR50 Shaped Charge or NR51 Cratering Charge with IM (insensitive munition) requirements, so further correspondence also queried whether any experimentation with IM-compatible materials had been carried out. </w:t>
      </w:r>
    </w:p>
    <w:p w:rsidR="00EC6E7E" w:rsidRDefault="00EB768A" w:rsidP="00EC6E7E">
      <w:pPr>
        <w:rPr>
          <w:sz w:val="28"/>
        </w:rPr>
      </w:pPr>
      <w:r>
        <w:rPr>
          <w:sz w:val="28"/>
        </w:rPr>
        <w:t>An outline of the</w:t>
      </w:r>
      <w:r w:rsidR="00EC6E7E">
        <w:rPr>
          <w:sz w:val="28"/>
        </w:rPr>
        <w:t xml:space="preserve"> further cor</w:t>
      </w:r>
      <w:r w:rsidR="00F41412">
        <w:rPr>
          <w:sz w:val="28"/>
        </w:rPr>
        <w:t xml:space="preserve">respondence is given in Figure 6, </w:t>
      </w:r>
      <w:r w:rsidR="00EC6E7E">
        <w:rPr>
          <w:sz w:val="28"/>
        </w:rPr>
        <w:t>below…</w:t>
      </w:r>
    </w:p>
    <w:p w:rsidR="00EC6E7E" w:rsidRPr="00F41412" w:rsidRDefault="00F41412" w:rsidP="00EC6E7E">
      <w:pPr>
        <w:rPr>
          <w:b/>
          <w:sz w:val="28"/>
        </w:rPr>
      </w:pPr>
      <w:r w:rsidRPr="00F41412">
        <w:rPr>
          <w:b/>
          <w:sz w:val="28"/>
        </w:rPr>
        <w:t>Figure 6</w:t>
      </w:r>
      <w:r w:rsidR="00EC6E7E" w:rsidRPr="00F41412">
        <w:rPr>
          <w:b/>
          <w:sz w:val="28"/>
        </w:rPr>
        <w:t>:</w:t>
      </w:r>
    </w:p>
    <w:p w:rsidR="00EB768A" w:rsidRDefault="00EB768A" w:rsidP="00EC6E7E">
      <w:pPr>
        <w:rPr>
          <w:rFonts w:ascii="Arial" w:hAnsi="Arial" w:cs="Arial"/>
          <w:b/>
          <w:i/>
          <w:sz w:val="28"/>
        </w:rPr>
      </w:pPr>
      <w:r w:rsidRPr="00EB768A">
        <w:rPr>
          <w:rFonts w:ascii="Arial" w:hAnsi="Arial" w:cs="Arial"/>
          <w:b/>
          <w:i/>
          <w:sz w:val="28"/>
        </w:rPr>
        <w:t>Questions asked:</w:t>
      </w:r>
    </w:p>
    <w:p w:rsidR="00EB768A" w:rsidRPr="00EB768A" w:rsidRDefault="00EB768A" w:rsidP="00EB768A">
      <w:pPr>
        <w:pStyle w:val="ListParagraph"/>
        <w:numPr>
          <w:ilvl w:val="0"/>
          <w:numId w:val="1"/>
        </w:numPr>
        <w:rPr>
          <w:rFonts w:ascii="Arial" w:hAnsi="Arial" w:cs="Arial"/>
          <w:i/>
          <w:sz w:val="28"/>
        </w:rPr>
      </w:pPr>
      <w:r w:rsidRPr="00EB768A">
        <w:rPr>
          <w:rFonts w:ascii="Arial" w:hAnsi="Arial" w:cs="Arial"/>
          <w:i/>
          <w:sz w:val="28"/>
        </w:rPr>
        <w:t>What is the basic chemical composition comprising ‘Hexatonal flake’ – is it alike to Torpex; does it contain RDX/TNT/Aluminium?</w:t>
      </w:r>
    </w:p>
    <w:p w:rsidR="00EB768A" w:rsidRPr="00EB768A" w:rsidRDefault="00EB768A" w:rsidP="00EB768A">
      <w:pPr>
        <w:pStyle w:val="ListParagraph"/>
        <w:numPr>
          <w:ilvl w:val="0"/>
          <w:numId w:val="1"/>
        </w:numPr>
        <w:rPr>
          <w:rFonts w:ascii="Arial" w:hAnsi="Arial" w:cs="Arial"/>
          <w:i/>
          <w:sz w:val="28"/>
        </w:rPr>
      </w:pPr>
      <w:r w:rsidRPr="00EB768A">
        <w:rPr>
          <w:rFonts w:ascii="Arial" w:hAnsi="Arial" w:cs="Arial"/>
          <w:i/>
          <w:sz w:val="28"/>
        </w:rPr>
        <w:t>Do either components (NR50 &amp; NR51) satisfy insensitive munition requirements?</w:t>
      </w:r>
    </w:p>
    <w:p w:rsidR="00EB768A" w:rsidRPr="00EB768A" w:rsidRDefault="00EB768A" w:rsidP="00EC6E7E">
      <w:pPr>
        <w:rPr>
          <w:rFonts w:ascii="Arial" w:hAnsi="Arial" w:cs="Arial"/>
          <w:b/>
          <w:i/>
          <w:sz w:val="28"/>
        </w:rPr>
      </w:pPr>
      <w:r w:rsidRPr="00EB768A">
        <w:rPr>
          <w:rFonts w:ascii="Arial" w:hAnsi="Arial" w:cs="Arial"/>
          <w:b/>
          <w:i/>
          <w:sz w:val="28"/>
        </w:rPr>
        <w:t>Responses received:</w:t>
      </w:r>
    </w:p>
    <w:p w:rsidR="00EC6E7E" w:rsidRDefault="00EB768A" w:rsidP="00EB768A">
      <w:pPr>
        <w:pStyle w:val="ListParagraph"/>
        <w:numPr>
          <w:ilvl w:val="0"/>
          <w:numId w:val="1"/>
        </w:numPr>
        <w:rPr>
          <w:i/>
          <w:sz w:val="28"/>
        </w:rPr>
      </w:pPr>
      <w:r w:rsidRPr="00EB768A">
        <w:rPr>
          <w:i/>
          <w:sz w:val="28"/>
        </w:rPr>
        <w:t>Mk.1 Rapid Cratering Kit used ‘cast Hx (Hexatonal flake)</w:t>
      </w:r>
      <w:r>
        <w:rPr>
          <w:i/>
          <w:sz w:val="28"/>
        </w:rPr>
        <w:t>’</w:t>
      </w:r>
      <w:r w:rsidRPr="00EB768A">
        <w:rPr>
          <w:i/>
          <w:sz w:val="28"/>
        </w:rPr>
        <w:t xml:space="preserve"> in the NR51 cratering charge</w:t>
      </w:r>
    </w:p>
    <w:p w:rsidR="00EB768A" w:rsidRDefault="00EB768A" w:rsidP="00EB768A">
      <w:pPr>
        <w:pStyle w:val="ListParagraph"/>
        <w:numPr>
          <w:ilvl w:val="0"/>
          <w:numId w:val="1"/>
        </w:numPr>
        <w:rPr>
          <w:i/>
          <w:sz w:val="28"/>
        </w:rPr>
      </w:pPr>
      <w:r>
        <w:rPr>
          <w:i/>
          <w:sz w:val="28"/>
        </w:rPr>
        <w:t>This was concluded to be sub-optimal in trials, and further trials were carried out over a long gestation period to identify a better composition</w:t>
      </w:r>
    </w:p>
    <w:p w:rsidR="00EB768A" w:rsidRDefault="00EB768A" w:rsidP="00EB768A">
      <w:pPr>
        <w:pStyle w:val="ListParagraph"/>
        <w:numPr>
          <w:ilvl w:val="0"/>
          <w:numId w:val="1"/>
        </w:numPr>
        <w:rPr>
          <w:i/>
          <w:sz w:val="28"/>
        </w:rPr>
      </w:pPr>
      <w:r>
        <w:rPr>
          <w:i/>
          <w:sz w:val="28"/>
        </w:rPr>
        <w:lastRenderedPageBreak/>
        <w:t>Optimum performance was achieved using ‘hexatonal flake’, made up of RDX/TNT/Aluminium (+ additions in wet form)</w:t>
      </w:r>
      <w:r w:rsidR="00802F8B">
        <w:rPr>
          <w:i/>
          <w:sz w:val="28"/>
        </w:rPr>
        <w:t xml:space="preserve"> as this provided long impulse and high heat</w:t>
      </w:r>
    </w:p>
    <w:p w:rsidR="00802F8B" w:rsidRDefault="00802F8B" w:rsidP="00EB768A">
      <w:pPr>
        <w:pStyle w:val="ListParagraph"/>
        <w:numPr>
          <w:ilvl w:val="0"/>
          <w:numId w:val="1"/>
        </w:numPr>
        <w:rPr>
          <w:i/>
          <w:sz w:val="28"/>
        </w:rPr>
      </w:pPr>
      <w:r>
        <w:rPr>
          <w:i/>
          <w:sz w:val="28"/>
        </w:rPr>
        <w:t>Beyond chemical composition, grain/particle size and high homogeneity of mixture (in order to ensure intimate contact) were critical in the optimisation</w:t>
      </w:r>
    </w:p>
    <w:p w:rsidR="00EB768A" w:rsidRDefault="00EB768A" w:rsidP="00EB768A">
      <w:pPr>
        <w:pStyle w:val="ListParagraph"/>
        <w:numPr>
          <w:ilvl w:val="0"/>
          <w:numId w:val="1"/>
        </w:numPr>
        <w:rPr>
          <w:i/>
          <w:sz w:val="28"/>
        </w:rPr>
      </w:pPr>
      <w:r>
        <w:rPr>
          <w:i/>
          <w:sz w:val="28"/>
        </w:rPr>
        <w:t>IM-compatible materials satisfactory to the performance of this application were not identified</w:t>
      </w:r>
    </w:p>
    <w:p w:rsidR="00EB768A" w:rsidRDefault="00EB768A" w:rsidP="00EB768A">
      <w:pPr>
        <w:rPr>
          <w:sz w:val="28"/>
        </w:rPr>
      </w:pPr>
    </w:p>
    <w:p w:rsidR="006D0B40" w:rsidRPr="00C229A8" w:rsidRDefault="006D0B40" w:rsidP="00691208">
      <w:r w:rsidRPr="006D0B40">
        <w:rPr>
          <w:sz w:val="28"/>
        </w:rPr>
        <w:t xml:space="preserve">Based on detail on specific performance and compositions for the NR50 and NR51 charges </w:t>
      </w:r>
      <w:r w:rsidR="00C229A8">
        <w:rPr>
          <w:sz w:val="28"/>
        </w:rPr>
        <w:t xml:space="preserve">- </w:t>
      </w:r>
      <w:r w:rsidRPr="006D0B40">
        <w:rPr>
          <w:sz w:val="28"/>
        </w:rPr>
        <w:t>derived from the above correspon</w:t>
      </w:r>
      <w:r w:rsidR="00C229A8">
        <w:rPr>
          <w:sz w:val="28"/>
        </w:rPr>
        <w:t xml:space="preserve">dence and </w:t>
      </w:r>
      <w:r w:rsidRPr="006D0B40">
        <w:rPr>
          <w:sz w:val="28"/>
        </w:rPr>
        <w:t xml:space="preserve">general research </w:t>
      </w:r>
      <w:sdt>
        <w:sdtPr>
          <w:rPr>
            <w:sz w:val="28"/>
            <w:szCs w:val="28"/>
          </w:rPr>
          <w:id w:val="-707329356"/>
          <w:citation/>
        </w:sdtPr>
        <w:sdtEndPr/>
        <w:sdtContent>
          <w:r w:rsidR="00C229A8" w:rsidRPr="00691208">
            <w:rPr>
              <w:sz w:val="28"/>
              <w:szCs w:val="28"/>
            </w:rPr>
            <w:fldChar w:fldCharType="begin"/>
          </w:r>
          <w:r w:rsidR="00C229A8" w:rsidRPr="00691208">
            <w:rPr>
              <w:sz w:val="28"/>
              <w:szCs w:val="28"/>
            </w:rPr>
            <w:instrText xml:space="preserve"> CITATION Kra22 \l 2057 </w:instrText>
          </w:r>
          <w:r w:rsidR="00C229A8" w:rsidRPr="00691208">
            <w:rPr>
              <w:sz w:val="28"/>
              <w:szCs w:val="28"/>
            </w:rPr>
            <w:fldChar w:fldCharType="separate"/>
          </w:r>
          <w:r w:rsidR="00995821" w:rsidRPr="00995821">
            <w:rPr>
              <w:noProof/>
              <w:sz w:val="28"/>
              <w:szCs w:val="28"/>
            </w:rPr>
            <w:t>[4]</w:t>
          </w:r>
          <w:r w:rsidR="00C229A8" w:rsidRPr="00691208">
            <w:rPr>
              <w:sz w:val="28"/>
              <w:szCs w:val="28"/>
            </w:rPr>
            <w:fldChar w:fldCharType="end"/>
          </w:r>
        </w:sdtContent>
      </w:sdt>
      <w:r w:rsidR="00C229A8" w:rsidRPr="00691208">
        <w:rPr>
          <w:sz w:val="28"/>
          <w:szCs w:val="28"/>
        </w:rPr>
        <w:t xml:space="preserve"> </w:t>
      </w:r>
      <w:sdt>
        <w:sdtPr>
          <w:rPr>
            <w:sz w:val="28"/>
            <w:szCs w:val="28"/>
          </w:rPr>
          <w:id w:val="-1071270412"/>
          <w:citation/>
        </w:sdtPr>
        <w:sdtEndPr/>
        <w:sdtContent>
          <w:r w:rsidR="00691208" w:rsidRPr="00691208">
            <w:rPr>
              <w:sz w:val="28"/>
              <w:szCs w:val="28"/>
            </w:rPr>
            <w:fldChar w:fldCharType="begin"/>
          </w:r>
          <w:r w:rsidR="00691208" w:rsidRPr="00691208">
            <w:rPr>
              <w:sz w:val="28"/>
              <w:szCs w:val="28"/>
            </w:rPr>
            <w:instrText xml:space="preserve"> CITATION Yea15 \l 2057 </w:instrText>
          </w:r>
          <w:r w:rsidR="00691208" w:rsidRPr="00691208">
            <w:rPr>
              <w:sz w:val="28"/>
              <w:szCs w:val="28"/>
            </w:rPr>
            <w:fldChar w:fldCharType="separate"/>
          </w:r>
          <w:r w:rsidR="00995821" w:rsidRPr="00995821">
            <w:rPr>
              <w:noProof/>
              <w:sz w:val="28"/>
              <w:szCs w:val="28"/>
            </w:rPr>
            <w:t>[5]</w:t>
          </w:r>
          <w:r w:rsidR="00691208" w:rsidRPr="00691208">
            <w:rPr>
              <w:sz w:val="28"/>
              <w:szCs w:val="28"/>
            </w:rPr>
            <w:fldChar w:fldCharType="end"/>
          </w:r>
        </w:sdtContent>
      </w:sdt>
      <w:r w:rsidR="00691208">
        <w:t xml:space="preserve"> </w:t>
      </w:r>
      <w:r w:rsidRPr="006D0B40">
        <w:rPr>
          <w:sz w:val="28"/>
        </w:rPr>
        <w:t xml:space="preserve">on the explosive properties of the Mk.2 compositions </w:t>
      </w:r>
      <w:r w:rsidR="00C229A8">
        <w:rPr>
          <w:sz w:val="28"/>
        </w:rPr>
        <w:t xml:space="preserve">- </w:t>
      </w:r>
      <w:r w:rsidRPr="006D0B40">
        <w:rPr>
          <w:sz w:val="28"/>
        </w:rPr>
        <w:t>guide</w:t>
      </w:r>
      <w:r w:rsidR="00C229A8">
        <w:rPr>
          <w:sz w:val="28"/>
        </w:rPr>
        <w:t>d</w:t>
      </w:r>
      <w:r w:rsidRPr="006D0B40">
        <w:rPr>
          <w:sz w:val="28"/>
        </w:rPr>
        <w:t xml:space="preserve"> further research for the re-designing of explosive compositions. </w:t>
      </w:r>
    </w:p>
    <w:p w:rsidR="002A1BD9" w:rsidRDefault="00876F70" w:rsidP="002A1BD9">
      <w:pPr>
        <w:rPr>
          <w:b/>
          <w:sz w:val="32"/>
        </w:rPr>
      </w:pPr>
      <w:r>
        <w:rPr>
          <w:b/>
          <w:sz w:val="32"/>
        </w:rPr>
        <w:t xml:space="preserve">4.2. </w:t>
      </w:r>
      <w:r w:rsidR="002A1BD9">
        <w:rPr>
          <w:b/>
          <w:sz w:val="32"/>
        </w:rPr>
        <w:t>General Research</w:t>
      </w:r>
      <w:r w:rsidR="006D0B40">
        <w:rPr>
          <w:b/>
          <w:sz w:val="32"/>
        </w:rPr>
        <w:t xml:space="preserve"> </w:t>
      </w:r>
      <w:r w:rsidR="000B6056">
        <w:rPr>
          <w:b/>
          <w:sz w:val="32"/>
        </w:rPr>
        <w:t>on</w:t>
      </w:r>
      <w:r w:rsidR="006D0B40">
        <w:rPr>
          <w:b/>
          <w:sz w:val="32"/>
        </w:rPr>
        <w:t xml:space="preserve"> </w:t>
      </w:r>
      <w:r w:rsidR="000B6056">
        <w:rPr>
          <w:b/>
          <w:sz w:val="32"/>
        </w:rPr>
        <w:t>candidate m</w:t>
      </w:r>
      <w:r w:rsidR="006D0B40">
        <w:rPr>
          <w:b/>
          <w:sz w:val="32"/>
        </w:rPr>
        <w:t>aterials</w:t>
      </w:r>
      <w:r w:rsidR="000B6056">
        <w:rPr>
          <w:b/>
          <w:sz w:val="32"/>
        </w:rPr>
        <w:t xml:space="preserve"> for Shaped Charge</w:t>
      </w:r>
      <w:r w:rsidR="002A1BD9">
        <w:rPr>
          <w:b/>
          <w:sz w:val="32"/>
        </w:rPr>
        <w:t xml:space="preserve"> </w:t>
      </w:r>
    </w:p>
    <w:p w:rsidR="000B6056" w:rsidRPr="00691208" w:rsidRDefault="006D0B40" w:rsidP="006D0B40">
      <w:r w:rsidRPr="006D0B40">
        <w:rPr>
          <w:sz w:val="28"/>
        </w:rPr>
        <w:t>Research was conducted to identify high brisance, energy dense/high performance compositions</w:t>
      </w:r>
      <w:r w:rsidR="00691208">
        <w:rPr>
          <w:sz w:val="28"/>
        </w:rPr>
        <w:t xml:space="preserve"> </w:t>
      </w:r>
      <w:sdt>
        <w:sdtPr>
          <w:rPr>
            <w:sz w:val="28"/>
          </w:rPr>
          <w:id w:val="-2071642204"/>
          <w:citation/>
        </w:sdtPr>
        <w:sdtEndPr/>
        <w:sdtContent>
          <w:r w:rsidR="00691208" w:rsidRPr="00691208">
            <w:rPr>
              <w:sz w:val="28"/>
            </w:rPr>
            <w:fldChar w:fldCharType="begin"/>
          </w:r>
          <w:r w:rsidR="00691208" w:rsidRPr="00691208">
            <w:rPr>
              <w:sz w:val="28"/>
            </w:rPr>
            <w:instrText xml:space="preserve"> CITATION Kra22 \l 2057 </w:instrText>
          </w:r>
          <w:r w:rsidR="00691208" w:rsidRPr="00691208">
            <w:rPr>
              <w:sz w:val="28"/>
            </w:rPr>
            <w:fldChar w:fldCharType="separate"/>
          </w:r>
          <w:r w:rsidR="00995821" w:rsidRPr="00995821">
            <w:rPr>
              <w:noProof/>
              <w:sz w:val="28"/>
            </w:rPr>
            <w:t>[4]</w:t>
          </w:r>
          <w:r w:rsidR="00691208" w:rsidRPr="00691208">
            <w:rPr>
              <w:sz w:val="28"/>
            </w:rPr>
            <w:fldChar w:fldCharType="end"/>
          </w:r>
        </w:sdtContent>
      </w:sdt>
      <w:r w:rsidRPr="006D0B40">
        <w:rPr>
          <w:sz w:val="28"/>
        </w:rPr>
        <w:t>, with IM-compatibility</w:t>
      </w:r>
      <w:r w:rsidR="00691208">
        <w:rPr>
          <w:sz w:val="28"/>
        </w:rPr>
        <w:t xml:space="preserve"> </w:t>
      </w:r>
      <w:sdt>
        <w:sdtPr>
          <w:rPr>
            <w:sz w:val="28"/>
          </w:rPr>
          <w:id w:val="-542913522"/>
          <w:citation/>
        </w:sdtPr>
        <w:sdtEndPr/>
        <w:sdtContent>
          <w:r w:rsidR="00691208" w:rsidRPr="00691208">
            <w:rPr>
              <w:sz w:val="28"/>
            </w:rPr>
            <w:fldChar w:fldCharType="begin"/>
          </w:r>
          <w:r w:rsidR="00691208" w:rsidRPr="00691208">
            <w:rPr>
              <w:sz w:val="28"/>
            </w:rPr>
            <w:instrText xml:space="preserve"> CITATION Nyh09 \l 2057 </w:instrText>
          </w:r>
          <w:r w:rsidR="00691208" w:rsidRPr="00691208">
            <w:rPr>
              <w:sz w:val="28"/>
            </w:rPr>
            <w:fldChar w:fldCharType="separate"/>
          </w:r>
          <w:r w:rsidR="00995821" w:rsidRPr="00995821">
            <w:rPr>
              <w:noProof/>
              <w:sz w:val="28"/>
            </w:rPr>
            <w:t>[6]</w:t>
          </w:r>
          <w:r w:rsidR="00691208" w:rsidRPr="00691208">
            <w:rPr>
              <w:sz w:val="28"/>
            </w:rPr>
            <w:fldChar w:fldCharType="end"/>
          </w:r>
        </w:sdtContent>
      </w:sdt>
      <w:r w:rsidR="00691208">
        <w:rPr>
          <w:sz w:val="28"/>
        </w:rPr>
        <w:t>,</w:t>
      </w:r>
      <w:r w:rsidRPr="006D0B40">
        <w:rPr>
          <w:sz w:val="28"/>
        </w:rPr>
        <w:t xml:space="preserve"> as candidate materials to replace the ‘Comp. B’ fill in the</w:t>
      </w:r>
      <w:r w:rsidR="000B6056">
        <w:rPr>
          <w:sz w:val="28"/>
        </w:rPr>
        <w:t xml:space="preserve"> Mk.2 product</w:t>
      </w:r>
      <w:r w:rsidRPr="006D0B40">
        <w:rPr>
          <w:sz w:val="28"/>
        </w:rPr>
        <w:t xml:space="preserve"> </w:t>
      </w:r>
      <w:r w:rsidR="000B6056">
        <w:rPr>
          <w:sz w:val="28"/>
        </w:rPr>
        <w:t>(</w:t>
      </w:r>
      <w:r w:rsidRPr="006D0B40">
        <w:rPr>
          <w:sz w:val="28"/>
        </w:rPr>
        <w:t>which did not meet IM criteria</w:t>
      </w:r>
      <w:r w:rsidR="000B6056">
        <w:rPr>
          <w:sz w:val="28"/>
        </w:rPr>
        <w:t>). Other factors to consider for selected candidate materials were…</w:t>
      </w:r>
    </w:p>
    <w:p w:rsidR="000B6056" w:rsidRDefault="006D0B40" w:rsidP="000B6056">
      <w:pPr>
        <w:pStyle w:val="ListParagraph"/>
        <w:numPr>
          <w:ilvl w:val="0"/>
          <w:numId w:val="7"/>
        </w:numPr>
        <w:rPr>
          <w:sz w:val="28"/>
        </w:rPr>
      </w:pPr>
      <w:r w:rsidRPr="000B6056">
        <w:rPr>
          <w:sz w:val="28"/>
        </w:rPr>
        <w:t>Rough c</w:t>
      </w:r>
      <w:r w:rsidR="000B6056" w:rsidRPr="000B6056">
        <w:rPr>
          <w:sz w:val="28"/>
        </w:rPr>
        <w:t>ost and availability</w:t>
      </w:r>
      <w:r w:rsidR="000B6056">
        <w:rPr>
          <w:sz w:val="28"/>
        </w:rPr>
        <w:t>, and overall ability to keep the product in supply and affordable</w:t>
      </w:r>
    </w:p>
    <w:p w:rsidR="00802F8B" w:rsidRPr="000B6056" w:rsidRDefault="00802F8B" w:rsidP="000B6056">
      <w:pPr>
        <w:pStyle w:val="ListParagraph"/>
        <w:numPr>
          <w:ilvl w:val="0"/>
          <w:numId w:val="7"/>
        </w:numPr>
        <w:rPr>
          <w:sz w:val="28"/>
        </w:rPr>
      </w:pPr>
      <w:r>
        <w:rPr>
          <w:sz w:val="28"/>
        </w:rPr>
        <w:t xml:space="preserve">Melting points and critical temperatures, with respect to maintaining or enhancing performance under thermal cycling and for manufacturability </w:t>
      </w:r>
    </w:p>
    <w:p w:rsidR="006D0B40" w:rsidRPr="000B6056" w:rsidRDefault="000B6056" w:rsidP="000B6056">
      <w:pPr>
        <w:pStyle w:val="ListParagraph"/>
        <w:numPr>
          <w:ilvl w:val="0"/>
          <w:numId w:val="7"/>
        </w:numPr>
        <w:rPr>
          <w:sz w:val="28"/>
        </w:rPr>
      </w:pPr>
      <w:r w:rsidRPr="000B6056">
        <w:rPr>
          <w:sz w:val="28"/>
        </w:rPr>
        <w:t>W</w:t>
      </w:r>
      <w:r w:rsidR="006D0B40" w:rsidRPr="000B6056">
        <w:rPr>
          <w:sz w:val="28"/>
        </w:rPr>
        <w:t>hether their relative masses &amp; volumes, and compatibility with common structural materials for encasement, would allow their integration into the current (Mk.2) physical/structural design of the product; aiding in the goal of reducing experimentation and cost for the overall product re-design.</w:t>
      </w:r>
    </w:p>
    <w:p w:rsidR="006D0B40" w:rsidRPr="006D0B40" w:rsidRDefault="006D0B40" w:rsidP="006D0B40">
      <w:pPr>
        <w:rPr>
          <w:b/>
          <w:sz w:val="32"/>
        </w:rPr>
      </w:pPr>
      <w:r>
        <w:rPr>
          <w:b/>
          <w:sz w:val="32"/>
        </w:rPr>
        <w:t xml:space="preserve">4.3. Selected Candidate Materials for </w:t>
      </w:r>
      <w:r w:rsidR="000B6056">
        <w:rPr>
          <w:b/>
          <w:sz w:val="32"/>
        </w:rPr>
        <w:t>Shaped</w:t>
      </w:r>
      <w:r>
        <w:rPr>
          <w:b/>
          <w:sz w:val="32"/>
        </w:rPr>
        <w:t xml:space="preserve"> Charge</w:t>
      </w:r>
    </w:p>
    <w:p w:rsidR="00EE116B" w:rsidRPr="00EE116B" w:rsidRDefault="00EE116B" w:rsidP="00EE116B">
      <w:pPr>
        <w:rPr>
          <w:sz w:val="28"/>
        </w:rPr>
      </w:pPr>
      <w:r w:rsidRPr="00EE116B">
        <w:rPr>
          <w:sz w:val="28"/>
        </w:rPr>
        <w:t>A brief overview showing the key points from the comparison conducted between the original and identified/proposed candidate materials for replacement is given below…</w:t>
      </w:r>
    </w:p>
    <w:p w:rsidR="000B6056" w:rsidRPr="000B6056" w:rsidRDefault="000B6056" w:rsidP="000B6056">
      <w:pPr>
        <w:rPr>
          <w:b/>
          <w:sz w:val="28"/>
        </w:rPr>
      </w:pPr>
      <w:r w:rsidRPr="000B6056">
        <w:rPr>
          <w:b/>
          <w:sz w:val="28"/>
        </w:rPr>
        <w:t xml:space="preserve">Original Material: </w:t>
      </w:r>
    </w:p>
    <w:p w:rsidR="000B6056" w:rsidRDefault="000B6056" w:rsidP="000B6056">
      <w:pPr>
        <w:rPr>
          <w:sz w:val="28"/>
        </w:rPr>
      </w:pPr>
      <w:r>
        <w:rPr>
          <w:sz w:val="28"/>
        </w:rPr>
        <w:t>60/40 RDX/TNT</w:t>
      </w:r>
    </w:p>
    <w:p w:rsidR="00EE116B" w:rsidRDefault="00EE116B" w:rsidP="000B6056">
      <w:pPr>
        <w:pStyle w:val="ListParagraph"/>
        <w:numPr>
          <w:ilvl w:val="0"/>
          <w:numId w:val="1"/>
        </w:numPr>
        <w:rPr>
          <w:sz w:val="28"/>
        </w:rPr>
      </w:pPr>
      <w:r>
        <w:rPr>
          <w:sz w:val="28"/>
        </w:rPr>
        <w:lastRenderedPageBreak/>
        <w:t>11kg charge, with 60</w:t>
      </w:r>
      <w:r>
        <w:rPr>
          <w:sz w:val="28"/>
          <w:vertAlign w:val="superscript"/>
        </w:rPr>
        <w:t>O</w:t>
      </w:r>
      <w:r>
        <w:rPr>
          <w:sz w:val="28"/>
        </w:rPr>
        <w:t xml:space="preserve"> copper liner</w:t>
      </w:r>
    </w:p>
    <w:p w:rsidR="000B6056" w:rsidRDefault="000B6056" w:rsidP="000B6056">
      <w:pPr>
        <w:pStyle w:val="ListParagraph"/>
        <w:numPr>
          <w:ilvl w:val="0"/>
          <w:numId w:val="1"/>
        </w:numPr>
        <w:rPr>
          <w:sz w:val="28"/>
        </w:rPr>
      </w:pPr>
      <w:r>
        <w:rPr>
          <w:sz w:val="28"/>
        </w:rPr>
        <w:t>Derived from run-off/unused composition from shell filling lines</w:t>
      </w:r>
    </w:p>
    <w:p w:rsidR="00EE116B" w:rsidRDefault="00EE116B" w:rsidP="00EE116B">
      <w:pPr>
        <w:pStyle w:val="ListParagraph"/>
        <w:numPr>
          <w:ilvl w:val="0"/>
          <w:numId w:val="1"/>
        </w:numPr>
        <w:rPr>
          <w:sz w:val="28"/>
        </w:rPr>
      </w:pPr>
      <w:r>
        <w:rPr>
          <w:sz w:val="28"/>
        </w:rPr>
        <w:t>Optimised high performance against</w:t>
      </w:r>
      <w:r w:rsidR="000B6056">
        <w:rPr>
          <w:sz w:val="28"/>
        </w:rPr>
        <w:t xml:space="preserve"> availability </w:t>
      </w:r>
      <w:r>
        <w:rPr>
          <w:sz w:val="28"/>
        </w:rPr>
        <w:t>and affordability (low cost)</w:t>
      </w:r>
    </w:p>
    <w:p w:rsidR="00802F8B" w:rsidRDefault="00802F8B" w:rsidP="00EE116B">
      <w:pPr>
        <w:pStyle w:val="ListParagraph"/>
        <w:numPr>
          <w:ilvl w:val="0"/>
          <w:numId w:val="1"/>
        </w:numPr>
        <w:rPr>
          <w:sz w:val="28"/>
        </w:rPr>
      </w:pPr>
      <w:r>
        <w:rPr>
          <w:sz w:val="28"/>
        </w:rPr>
        <w:t xml:space="preserve">Not </w:t>
      </w:r>
      <w:r w:rsidR="0075643E">
        <w:rPr>
          <w:sz w:val="28"/>
        </w:rPr>
        <w:t>compatible with IM requirements; undergoing cook-off as melting temperature range of RDX within Comp B (127-187</w:t>
      </w:r>
      <w:r w:rsidR="0075643E">
        <w:rPr>
          <w:sz w:val="28"/>
          <w:vertAlign w:val="superscript"/>
        </w:rPr>
        <w:t>O</w:t>
      </w:r>
      <w:r w:rsidR="0075643E">
        <w:rPr>
          <w:sz w:val="28"/>
        </w:rPr>
        <w:t>C) is reached</w:t>
      </w:r>
    </w:p>
    <w:p w:rsidR="00802F8B" w:rsidRDefault="00802F8B" w:rsidP="00EE116B">
      <w:pPr>
        <w:pStyle w:val="ListParagraph"/>
        <w:numPr>
          <w:ilvl w:val="0"/>
          <w:numId w:val="1"/>
        </w:numPr>
        <w:rPr>
          <w:sz w:val="28"/>
        </w:rPr>
      </w:pPr>
      <w:r>
        <w:rPr>
          <w:sz w:val="28"/>
        </w:rPr>
        <w:t>Contains TNT with low m</w:t>
      </w:r>
      <w:r w:rsidR="0075643E">
        <w:rPr>
          <w:sz w:val="28"/>
        </w:rPr>
        <w:t>elting point of 81</w:t>
      </w:r>
      <w:r>
        <w:rPr>
          <w:sz w:val="28"/>
          <w:vertAlign w:val="superscript"/>
        </w:rPr>
        <w:t>O</w:t>
      </w:r>
      <w:r>
        <w:rPr>
          <w:sz w:val="28"/>
        </w:rPr>
        <w:t>C</w:t>
      </w:r>
      <w:r w:rsidR="0075643E">
        <w:rPr>
          <w:sz w:val="28"/>
        </w:rPr>
        <w:t xml:space="preserve"> when in Comp B</w:t>
      </w:r>
      <w:r>
        <w:rPr>
          <w:sz w:val="28"/>
        </w:rPr>
        <w:t xml:space="preserve">, which can lead to </w:t>
      </w:r>
      <w:r w:rsidR="0075643E">
        <w:rPr>
          <w:sz w:val="28"/>
        </w:rPr>
        <w:t>separation of TNT and RDX components in the charge, and therefore reduced performance, due to anisotropic detonation, under hot firing and thermal cycling</w:t>
      </w:r>
    </w:p>
    <w:p w:rsidR="00691208" w:rsidRPr="00691208" w:rsidRDefault="00E61111" w:rsidP="00691208">
      <w:pPr>
        <w:rPr>
          <w:sz w:val="28"/>
          <w:szCs w:val="28"/>
        </w:rPr>
      </w:pPr>
      <w:sdt>
        <w:sdtPr>
          <w:rPr>
            <w:sz w:val="28"/>
            <w:szCs w:val="28"/>
          </w:rPr>
          <w:id w:val="-1444524440"/>
          <w:citation/>
        </w:sdtPr>
        <w:sdtEndPr/>
        <w:sdtContent>
          <w:r w:rsidR="00691208" w:rsidRPr="00691208">
            <w:rPr>
              <w:sz w:val="28"/>
              <w:szCs w:val="28"/>
            </w:rPr>
            <w:fldChar w:fldCharType="begin"/>
          </w:r>
          <w:r w:rsidR="00691208" w:rsidRPr="00691208">
            <w:rPr>
              <w:sz w:val="28"/>
              <w:szCs w:val="28"/>
            </w:rPr>
            <w:instrText xml:space="preserve"> CITATION Yea15 \l 2057 </w:instrText>
          </w:r>
          <w:r w:rsidR="00691208" w:rsidRPr="00691208">
            <w:rPr>
              <w:sz w:val="28"/>
              <w:szCs w:val="28"/>
            </w:rPr>
            <w:fldChar w:fldCharType="separate"/>
          </w:r>
          <w:r w:rsidR="00995821" w:rsidRPr="00995821">
            <w:rPr>
              <w:noProof/>
              <w:sz w:val="28"/>
              <w:szCs w:val="28"/>
            </w:rPr>
            <w:t>[5]</w:t>
          </w:r>
          <w:r w:rsidR="00691208" w:rsidRPr="00691208">
            <w:rPr>
              <w:sz w:val="28"/>
              <w:szCs w:val="28"/>
            </w:rPr>
            <w:fldChar w:fldCharType="end"/>
          </w:r>
        </w:sdtContent>
      </w:sdt>
      <w:r w:rsidR="00691208" w:rsidRPr="00691208">
        <w:rPr>
          <w:sz w:val="28"/>
          <w:szCs w:val="28"/>
        </w:rPr>
        <w:t xml:space="preserve"> </w:t>
      </w:r>
      <w:sdt>
        <w:sdtPr>
          <w:rPr>
            <w:sz w:val="28"/>
            <w:szCs w:val="28"/>
          </w:rPr>
          <w:id w:val="-112056557"/>
          <w:citation/>
        </w:sdtPr>
        <w:sdtEndPr/>
        <w:sdtContent>
          <w:r w:rsidR="00691208" w:rsidRPr="00691208">
            <w:rPr>
              <w:sz w:val="28"/>
              <w:szCs w:val="28"/>
            </w:rPr>
            <w:fldChar w:fldCharType="begin"/>
          </w:r>
          <w:r w:rsidR="00691208" w:rsidRPr="00691208">
            <w:rPr>
              <w:sz w:val="28"/>
              <w:szCs w:val="28"/>
            </w:rPr>
            <w:instrText xml:space="preserve"> CITATION Kra22 \l 2057 </w:instrText>
          </w:r>
          <w:r w:rsidR="00691208" w:rsidRPr="00691208">
            <w:rPr>
              <w:sz w:val="28"/>
              <w:szCs w:val="28"/>
            </w:rPr>
            <w:fldChar w:fldCharType="separate"/>
          </w:r>
          <w:r w:rsidR="00995821" w:rsidRPr="00995821">
            <w:rPr>
              <w:noProof/>
              <w:sz w:val="28"/>
              <w:szCs w:val="28"/>
            </w:rPr>
            <w:t>[4]</w:t>
          </w:r>
          <w:r w:rsidR="00691208" w:rsidRPr="00691208">
            <w:rPr>
              <w:sz w:val="28"/>
              <w:szCs w:val="28"/>
            </w:rPr>
            <w:fldChar w:fldCharType="end"/>
          </w:r>
        </w:sdtContent>
      </w:sdt>
      <w:r w:rsidR="00691208" w:rsidRPr="00691208">
        <w:rPr>
          <w:sz w:val="28"/>
          <w:szCs w:val="28"/>
        </w:rPr>
        <w:t xml:space="preserve"> </w:t>
      </w:r>
      <w:sdt>
        <w:sdtPr>
          <w:rPr>
            <w:sz w:val="28"/>
            <w:szCs w:val="28"/>
          </w:rPr>
          <w:id w:val="-801686845"/>
          <w:citation/>
        </w:sdtPr>
        <w:sdtEndPr/>
        <w:sdtContent>
          <w:r w:rsidR="00691208" w:rsidRPr="00691208">
            <w:rPr>
              <w:sz w:val="28"/>
              <w:szCs w:val="28"/>
            </w:rPr>
            <w:fldChar w:fldCharType="begin"/>
          </w:r>
          <w:r w:rsidR="00691208" w:rsidRPr="00691208">
            <w:rPr>
              <w:sz w:val="28"/>
              <w:szCs w:val="28"/>
            </w:rPr>
            <w:instrText xml:space="preserve"> CITATION Tri24 \l 2057 </w:instrText>
          </w:r>
          <w:r w:rsidR="00691208" w:rsidRPr="00691208">
            <w:rPr>
              <w:sz w:val="28"/>
              <w:szCs w:val="28"/>
            </w:rPr>
            <w:fldChar w:fldCharType="separate"/>
          </w:r>
          <w:r w:rsidR="00995821" w:rsidRPr="00995821">
            <w:rPr>
              <w:noProof/>
              <w:sz w:val="28"/>
              <w:szCs w:val="28"/>
            </w:rPr>
            <w:t>[7]</w:t>
          </w:r>
          <w:r w:rsidR="00691208" w:rsidRPr="00691208">
            <w:rPr>
              <w:sz w:val="28"/>
              <w:szCs w:val="28"/>
            </w:rPr>
            <w:fldChar w:fldCharType="end"/>
          </w:r>
        </w:sdtContent>
      </w:sdt>
    </w:p>
    <w:p w:rsidR="00EE116B" w:rsidRDefault="000B6056" w:rsidP="00EE116B">
      <w:pPr>
        <w:rPr>
          <w:b/>
          <w:sz w:val="28"/>
        </w:rPr>
      </w:pPr>
      <w:r w:rsidRPr="000B6056">
        <w:rPr>
          <w:b/>
          <w:sz w:val="28"/>
        </w:rPr>
        <w:t>Selected candidate materials:</w:t>
      </w:r>
    </w:p>
    <w:p w:rsidR="00EE116B" w:rsidRDefault="000B6056" w:rsidP="00EE116B">
      <w:pPr>
        <w:rPr>
          <w:sz w:val="28"/>
        </w:rPr>
      </w:pPr>
      <w:r>
        <w:rPr>
          <w:sz w:val="28"/>
        </w:rPr>
        <w:t>IMX 101</w:t>
      </w:r>
      <w:r w:rsidR="00691208">
        <w:rPr>
          <w:sz w:val="28"/>
        </w:rPr>
        <w:t xml:space="preserve"> </w:t>
      </w:r>
    </w:p>
    <w:p w:rsidR="00EE116B" w:rsidRDefault="00EE116B" w:rsidP="00EE116B">
      <w:pPr>
        <w:pStyle w:val="ListParagraph"/>
        <w:numPr>
          <w:ilvl w:val="0"/>
          <w:numId w:val="1"/>
        </w:numPr>
        <w:rPr>
          <w:sz w:val="28"/>
        </w:rPr>
      </w:pPr>
      <w:r>
        <w:rPr>
          <w:sz w:val="28"/>
        </w:rPr>
        <w:t>Already developed and qualified (EMTAP, chemical compatibility) as a replacement for TNT or RDX charges in shell filling</w:t>
      </w:r>
    </w:p>
    <w:p w:rsidR="0075643E" w:rsidRDefault="0075643E" w:rsidP="00EE116B">
      <w:pPr>
        <w:pStyle w:val="ListParagraph"/>
        <w:numPr>
          <w:ilvl w:val="0"/>
          <w:numId w:val="1"/>
        </w:numPr>
        <w:rPr>
          <w:sz w:val="28"/>
        </w:rPr>
      </w:pPr>
      <w:r>
        <w:rPr>
          <w:sz w:val="28"/>
        </w:rPr>
        <w:t>Use by BAE in shell filling presents possibility of using run-off/waste from shell filling lines as with the original composition, providing similar high (and increasing) availability and lower cost</w:t>
      </w:r>
    </w:p>
    <w:p w:rsidR="00802F8B" w:rsidRDefault="00EE116B" w:rsidP="003546C1">
      <w:pPr>
        <w:pStyle w:val="ListParagraph"/>
        <w:numPr>
          <w:ilvl w:val="0"/>
          <w:numId w:val="1"/>
        </w:numPr>
        <w:rPr>
          <w:sz w:val="28"/>
        </w:rPr>
      </w:pPr>
      <w:r w:rsidRPr="00802F8B">
        <w:rPr>
          <w:sz w:val="28"/>
        </w:rPr>
        <w:t>Qualified against IM criteria (far lower friction, impact, ESD sensitivity than Comp B or TNT &amp; far less likely to undergo deflagration-detonation transition</w:t>
      </w:r>
      <w:r w:rsidR="00802F8B">
        <w:rPr>
          <w:sz w:val="28"/>
        </w:rPr>
        <w:t>), as set out in STANAG 4439</w:t>
      </w:r>
    </w:p>
    <w:p w:rsidR="00EE116B" w:rsidRPr="00802F8B" w:rsidRDefault="00EE116B" w:rsidP="003546C1">
      <w:pPr>
        <w:pStyle w:val="ListParagraph"/>
        <w:numPr>
          <w:ilvl w:val="0"/>
          <w:numId w:val="1"/>
        </w:numPr>
        <w:rPr>
          <w:sz w:val="28"/>
        </w:rPr>
      </w:pPr>
      <w:r w:rsidRPr="00802F8B">
        <w:rPr>
          <w:sz w:val="28"/>
        </w:rPr>
        <w:t>More brisant than TNT, and at density = 1.64g/cm3 exhibits the same VoD (ve</w:t>
      </w:r>
      <w:r w:rsidR="0075643E">
        <w:rPr>
          <w:sz w:val="28"/>
        </w:rPr>
        <w:t>locity of detonation) of 6900m/s.</w:t>
      </w:r>
    </w:p>
    <w:p w:rsidR="00EE116B" w:rsidRDefault="00EE116B" w:rsidP="00EE116B">
      <w:pPr>
        <w:pStyle w:val="ListParagraph"/>
        <w:numPr>
          <w:ilvl w:val="0"/>
          <w:numId w:val="1"/>
        </w:numPr>
        <w:rPr>
          <w:sz w:val="28"/>
        </w:rPr>
      </w:pPr>
      <w:r>
        <w:rPr>
          <w:sz w:val="28"/>
        </w:rPr>
        <w:t>Much larger critical diameter (64-66mm) than TNT (around 30x greater). Testing would be required to ascertain whether this poses a design-problem in terms of successful detonation when shaped into an 11kg charge</w:t>
      </w:r>
    </w:p>
    <w:p w:rsidR="00691208" w:rsidRPr="00691208" w:rsidRDefault="00E61111" w:rsidP="00691208">
      <w:pPr>
        <w:rPr>
          <w:sz w:val="28"/>
          <w:szCs w:val="28"/>
        </w:rPr>
      </w:pPr>
      <w:sdt>
        <w:sdtPr>
          <w:rPr>
            <w:sz w:val="28"/>
            <w:szCs w:val="28"/>
          </w:rPr>
          <w:id w:val="786004901"/>
          <w:citation/>
        </w:sdtPr>
        <w:sdtEndPr/>
        <w:sdtContent>
          <w:r w:rsidR="00691208" w:rsidRPr="00691208">
            <w:rPr>
              <w:sz w:val="28"/>
              <w:szCs w:val="28"/>
            </w:rPr>
            <w:fldChar w:fldCharType="begin"/>
          </w:r>
          <w:r w:rsidR="00691208" w:rsidRPr="00691208">
            <w:rPr>
              <w:sz w:val="28"/>
              <w:szCs w:val="28"/>
            </w:rPr>
            <w:instrText xml:space="preserve"> CITATION Pat \l 2057 </w:instrText>
          </w:r>
          <w:r w:rsidR="00691208" w:rsidRPr="00691208">
            <w:rPr>
              <w:sz w:val="28"/>
              <w:szCs w:val="28"/>
            </w:rPr>
            <w:fldChar w:fldCharType="separate"/>
          </w:r>
          <w:r w:rsidR="00995821" w:rsidRPr="00995821">
            <w:rPr>
              <w:noProof/>
              <w:sz w:val="28"/>
              <w:szCs w:val="28"/>
            </w:rPr>
            <w:t>[8]</w:t>
          </w:r>
          <w:r w:rsidR="00691208" w:rsidRPr="00691208">
            <w:rPr>
              <w:sz w:val="28"/>
              <w:szCs w:val="28"/>
            </w:rPr>
            <w:fldChar w:fldCharType="end"/>
          </w:r>
        </w:sdtContent>
      </w:sdt>
      <w:r w:rsidR="00691208" w:rsidRPr="00691208">
        <w:rPr>
          <w:sz w:val="28"/>
          <w:szCs w:val="28"/>
        </w:rPr>
        <w:t xml:space="preserve"> </w:t>
      </w:r>
      <w:sdt>
        <w:sdtPr>
          <w:rPr>
            <w:sz w:val="28"/>
            <w:szCs w:val="28"/>
          </w:rPr>
          <w:id w:val="-1319878447"/>
          <w:citation/>
        </w:sdtPr>
        <w:sdtEndPr/>
        <w:sdtContent>
          <w:r w:rsidR="00691208" w:rsidRPr="00691208">
            <w:rPr>
              <w:sz w:val="28"/>
              <w:szCs w:val="28"/>
            </w:rPr>
            <w:fldChar w:fldCharType="begin"/>
          </w:r>
          <w:r w:rsidR="00691208" w:rsidRPr="00691208">
            <w:rPr>
              <w:sz w:val="28"/>
              <w:szCs w:val="28"/>
            </w:rPr>
            <w:instrText xml:space="preserve"> CITATION Fre22 \l 2057 </w:instrText>
          </w:r>
          <w:r w:rsidR="00691208" w:rsidRPr="00691208">
            <w:rPr>
              <w:sz w:val="28"/>
              <w:szCs w:val="28"/>
            </w:rPr>
            <w:fldChar w:fldCharType="separate"/>
          </w:r>
          <w:r w:rsidR="00995821" w:rsidRPr="00995821">
            <w:rPr>
              <w:noProof/>
              <w:sz w:val="28"/>
              <w:szCs w:val="28"/>
            </w:rPr>
            <w:t>[9]</w:t>
          </w:r>
          <w:r w:rsidR="00691208" w:rsidRPr="00691208">
            <w:rPr>
              <w:sz w:val="28"/>
              <w:szCs w:val="28"/>
            </w:rPr>
            <w:fldChar w:fldCharType="end"/>
          </w:r>
        </w:sdtContent>
      </w:sdt>
      <w:r w:rsidR="00691208" w:rsidRPr="00691208">
        <w:rPr>
          <w:sz w:val="28"/>
          <w:szCs w:val="28"/>
        </w:rPr>
        <w:t xml:space="preserve"> </w:t>
      </w:r>
      <w:sdt>
        <w:sdtPr>
          <w:rPr>
            <w:sz w:val="28"/>
            <w:szCs w:val="28"/>
          </w:rPr>
          <w:id w:val="-669171117"/>
          <w:citation/>
        </w:sdtPr>
        <w:sdtEndPr/>
        <w:sdtContent>
          <w:r w:rsidR="00691208" w:rsidRPr="00691208">
            <w:rPr>
              <w:sz w:val="28"/>
              <w:szCs w:val="28"/>
            </w:rPr>
            <w:fldChar w:fldCharType="begin"/>
          </w:r>
          <w:r w:rsidR="00691208" w:rsidRPr="00691208">
            <w:rPr>
              <w:sz w:val="28"/>
              <w:szCs w:val="28"/>
            </w:rPr>
            <w:instrText xml:space="preserve"> CITATION Smi99 \l 2057 </w:instrText>
          </w:r>
          <w:r w:rsidR="00691208" w:rsidRPr="00691208">
            <w:rPr>
              <w:sz w:val="28"/>
              <w:szCs w:val="28"/>
            </w:rPr>
            <w:fldChar w:fldCharType="separate"/>
          </w:r>
          <w:r w:rsidR="00995821" w:rsidRPr="00995821">
            <w:rPr>
              <w:noProof/>
              <w:sz w:val="28"/>
              <w:szCs w:val="28"/>
            </w:rPr>
            <w:t>[10]</w:t>
          </w:r>
          <w:r w:rsidR="00691208" w:rsidRPr="00691208">
            <w:rPr>
              <w:sz w:val="28"/>
              <w:szCs w:val="28"/>
            </w:rPr>
            <w:fldChar w:fldCharType="end"/>
          </w:r>
        </w:sdtContent>
      </w:sdt>
      <w:r w:rsidR="00691208" w:rsidRPr="00691208">
        <w:rPr>
          <w:sz w:val="28"/>
          <w:szCs w:val="28"/>
        </w:rPr>
        <w:t xml:space="preserve"> </w:t>
      </w:r>
      <w:sdt>
        <w:sdtPr>
          <w:rPr>
            <w:sz w:val="28"/>
            <w:szCs w:val="28"/>
          </w:rPr>
          <w:id w:val="-1784573056"/>
          <w:citation/>
        </w:sdtPr>
        <w:sdtEndPr/>
        <w:sdtContent>
          <w:r w:rsidR="00691208" w:rsidRPr="00691208">
            <w:rPr>
              <w:sz w:val="28"/>
              <w:szCs w:val="28"/>
            </w:rPr>
            <w:fldChar w:fldCharType="begin"/>
          </w:r>
          <w:r w:rsidR="00691208" w:rsidRPr="00691208">
            <w:rPr>
              <w:sz w:val="28"/>
              <w:szCs w:val="28"/>
            </w:rPr>
            <w:instrText xml:space="preserve"> CITATION Nyh09 \l 2057 </w:instrText>
          </w:r>
          <w:r w:rsidR="00691208" w:rsidRPr="00691208">
            <w:rPr>
              <w:sz w:val="28"/>
              <w:szCs w:val="28"/>
            </w:rPr>
            <w:fldChar w:fldCharType="separate"/>
          </w:r>
          <w:r w:rsidR="00995821" w:rsidRPr="00995821">
            <w:rPr>
              <w:noProof/>
              <w:sz w:val="28"/>
              <w:szCs w:val="28"/>
            </w:rPr>
            <w:t>[6]</w:t>
          </w:r>
          <w:r w:rsidR="00691208" w:rsidRPr="00691208">
            <w:rPr>
              <w:sz w:val="28"/>
              <w:szCs w:val="28"/>
            </w:rPr>
            <w:fldChar w:fldCharType="end"/>
          </w:r>
        </w:sdtContent>
      </w:sdt>
    </w:p>
    <w:p w:rsidR="00EE116B" w:rsidRDefault="000B6056" w:rsidP="00EE116B">
      <w:pPr>
        <w:rPr>
          <w:sz w:val="28"/>
        </w:rPr>
      </w:pPr>
      <w:r w:rsidRPr="00EE116B">
        <w:rPr>
          <w:sz w:val="28"/>
        </w:rPr>
        <w:t>IMX 104</w:t>
      </w:r>
    </w:p>
    <w:p w:rsidR="00EE116B" w:rsidRDefault="00EE116B" w:rsidP="00EE116B">
      <w:pPr>
        <w:pStyle w:val="ListParagraph"/>
        <w:numPr>
          <w:ilvl w:val="0"/>
          <w:numId w:val="1"/>
        </w:numPr>
        <w:rPr>
          <w:sz w:val="28"/>
        </w:rPr>
      </w:pPr>
      <w:r>
        <w:rPr>
          <w:sz w:val="28"/>
        </w:rPr>
        <w:t>Already developed and qualified (EMTAP, chemical compatibility) as a replacement for Comp. B based charges in shell filling</w:t>
      </w:r>
    </w:p>
    <w:p w:rsidR="0075643E" w:rsidRPr="0075643E" w:rsidRDefault="0075643E" w:rsidP="0075643E">
      <w:pPr>
        <w:pStyle w:val="ListParagraph"/>
        <w:numPr>
          <w:ilvl w:val="0"/>
          <w:numId w:val="1"/>
        </w:numPr>
        <w:rPr>
          <w:sz w:val="28"/>
        </w:rPr>
      </w:pPr>
      <w:r>
        <w:rPr>
          <w:sz w:val="28"/>
        </w:rPr>
        <w:t>Use by BAE in shell filling presents possibility of using run-off/waste from shell filling lines as with the original composition, providing similar high (and increasing) availability and lower cost</w:t>
      </w:r>
    </w:p>
    <w:p w:rsidR="00EE116B" w:rsidRPr="00EE116B" w:rsidRDefault="00EE116B" w:rsidP="00EE116B">
      <w:pPr>
        <w:pStyle w:val="ListParagraph"/>
        <w:numPr>
          <w:ilvl w:val="0"/>
          <w:numId w:val="1"/>
        </w:numPr>
        <w:rPr>
          <w:sz w:val="28"/>
        </w:rPr>
      </w:pPr>
      <w:r>
        <w:rPr>
          <w:sz w:val="28"/>
        </w:rPr>
        <w:lastRenderedPageBreak/>
        <w:t>Qualified against IM criteria (far lower friction, impact, ESD sensitivity than Comp B or TNT &amp; far less likely to undergo deflagration-detonation transition)</w:t>
      </w:r>
      <w:r w:rsidR="00802F8B">
        <w:rPr>
          <w:sz w:val="28"/>
        </w:rPr>
        <w:t>, as set out in STANAG 4439</w:t>
      </w:r>
    </w:p>
    <w:p w:rsidR="00EE116B" w:rsidRDefault="00EE116B" w:rsidP="00EE116B">
      <w:pPr>
        <w:pStyle w:val="ListParagraph"/>
        <w:numPr>
          <w:ilvl w:val="0"/>
          <w:numId w:val="1"/>
        </w:numPr>
        <w:rPr>
          <w:sz w:val="28"/>
        </w:rPr>
      </w:pPr>
      <w:r>
        <w:rPr>
          <w:sz w:val="28"/>
        </w:rPr>
        <w:t>Similar brisance</w:t>
      </w:r>
      <w:r w:rsidR="00802F8B">
        <w:rPr>
          <w:sz w:val="28"/>
        </w:rPr>
        <w:t>, detonation pressure</w:t>
      </w:r>
      <w:r>
        <w:rPr>
          <w:sz w:val="28"/>
        </w:rPr>
        <w:t xml:space="preserve"> and VoD (relative to density) to TNT, Comp B and IMX 101</w:t>
      </w:r>
    </w:p>
    <w:p w:rsidR="00802F8B" w:rsidRDefault="00802F8B" w:rsidP="00EE116B">
      <w:pPr>
        <w:pStyle w:val="ListParagraph"/>
        <w:numPr>
          <w:ilvl w:val="0"/>
          <w:numId w:val="1"/>
        </w:numPr>
        <w:rPr>
          <w:sz w:val="28"/>
        </w:rPr>
      </w:pPr>
      <w:r>
        <w:rPr>
          <w:sz w:val="28"/>
        </w:rPr>
        <w:t>Critical temperatures (as calculated with respect to IM performance) of 137.8</w:t>
      </w:r>
      <w:r>
        <w:rPr>
          <w:sz w:val="28"/>
          <w:vertAlign w:val="superscript"/>
        </w:rPr>
        <w:t>O</w:t>
      </w:r>
      <w:r>
        <w:rPr>
          <w:sz w:val="28"/>
        </w:rPr>
        <w:t>C and 164.33</w:t>
      </w:r>
      <w:r>
        <w:rPr>
          <w:sz w:val="28"/>
          <w:vertAlign w:val="superscript"/>
        </w:rPr>
        <w:t>O</w:t>
      </w:r>
      <w:r>
        <w:rPr>
          <w:sz w:val="28"/>
        </w:rPr>
        <w:t>C when in granular and flake forms respectively</w:t>
      </w:r>
    </w:p>
    <w:p w:rsidR="00EE116B" w:rsidRDefault="00EE116B" w:rsidP="00EE116B">
      <w:pPr>
        <w:pStyle w:val="ListParagraph"/>
        <w:numPr>
          <w:ilvl w:val="0"/>
          <w:numId w:val="1"/>
        </w:numPr>
        <w:rPr>
          <w:sz w:val="28"/>
        </w:rPr>
      </w:pPr>
      <w:r>
        <w:rPr>
          <w:sz w:val="28"/>
        </w:rPr>
        <w:t xml:space="preserve">Much smaller critical diameter than IMX-101 at 20mm, likely rendering it very suitable for casting into 11kg shaped charge composition, without risk of </w:t>
      </w:r>
      <w:r w:rsidR="00802F8B">
        <w:rPr>
          <w:sz w:val="28"/>
        </w:rPr>
        <w:t>failure</w:t>
      </w:r>
      <w:r>
        <w:rPr>
          <w:sz w:val="28"/>
        </w:rPr>
        <w:t xml:space="preserve"> to detonate (including when used in explosive train with the Mk.2 (current) Primary Charge 13/28A)</w:t>
      </w:r>
    </w:p>
    <w:p w:rsidR="00691208" w:rsidRPr="00691208" w:rsidRDefault="00E61111" w:rsidP="00691208">
      <w:pPr>
        <w:rPr>
          <w:sz w:val="28"/>
          <w:szCs w:val="28"/>
        </w:rPr>
      </w:pPr>
      <w:sdt>
        <w:sdtPr>
          <w:rPr>
            <w:sz w:val="28"/>
            <w:szCs w:val="28"/>
          </w:rPr>
          <w:id w:val="-1269461656"/>
          <w:citation/>
        </w:sdtPr>
        <w:sdtEndPr/>
        <w:sdtContent>
          <w:r w:rsidR="00691208" w:rsidRPr="00691208">
            <w:rPr>
              <w:sz w:val="28"/>
              <w:szCs w:val="28"/>
            </w:rPr>
            <w:fldChar w:fldCharType="begin"/>
          </w:r>
          <w:r w:rsidR="00691208" w:rsidRPr="00691208">
            <w:rPr>
              <w:sz w:val="28"/>
              <w:szCs w:val="28"/>
            </w:rPr>
            <w:instrText xml:space="preserve"> CITATION Fre22 \l 2057 </w:instrText>
          </w:r>
          <w:r w:rsidR="00691208" w:rsidRPr="00691208">
            <w:rPr>
              <w:sz w:val="28"/>
              <w:szCs w:val="28"/>
            </w:rPr>
            <w:fldChar w:fldCharType="separate"/>
          </w:r>
          <w:r w:rsidR="00995821" w:rsidRPr="00995821">
            <w:rPr>
              <w:noProof/>
              <w:sz w:val="28"/>
              <w:szCs w:val="28"/>
            </w:rPr>
            <w:t>[9]</w:t>
          </w:r>
          <w:r w:rsidR="00691208" w:rsidRPr="00691208">
            <w:rPr>
              <w:sz w:val="28"/>
              <w:szCs w:val="28"/>
            </w:rPr>
            <w:fldChar w:fldCharType="end"/>
          </w:r>
        </w:sdtContent>
      </w:sdt>
      <w:r w:rsidR="00691208" w:rsidRPr="00691208">
        <w:rPr>
          <w:sz w:val="28"/>
          <w:szCs w:val="28"/>
        </w:rPr>
        <w:t xml:space="preserve"> </w:t>
      </w:r>
      <w:sdt>
        <w:sdtPr>
          <w:rPr>
            <w:sz w:val="28"/>
            <w:szCs w:val="28"/>
          </w:rPr>
          <w:id w:val="381303800"/>
          <w:citation/>
        </w:sdtPr>
        <w:sdtEndPr/>
        <w:sdtContent>
          <w:r w:rsidR="00691208" w:rsidRPr="00691208">
            <w:rPr>
              <w:sz w:val="28"/>
              <w:szCs w:val="28"/>
            </w:rPr>
            <w:fldChar w:fldCharType="begin"/>
          </w:r>
          <w:r w:rsidR="00691208" w:rsidRPr="00691208">
            <w:rPr>
              <w:sz w:val="28"/>
              <w:szCs w:val="28"/>
            </w:rPr>
            <w:instrText xml:space="preserve"> CITATION Smi99 \l 2057 </w:instrText>
          </w:r>
          <w:r w:rsidR="00691208" w:rsidRPr="00691208">
            <w:rPr>
              <w:sz w:val="28"/>
              <w:szCs w:val="28"/>
            </w:rPr>
            <w:fldChar w:fldCharType="separate"/>
          </w:r>
          <w:r w:rsidR="00995821" w:rsidRPr="00995821">
            <w:rPr>
              <w:noProof/>
              <w:sz w:val="28"/>
              <w:szCs w:val="28"/>
            </w:rPr>
            <w:t>[10]</w:t>
          </w:r>
          <w:r w:rsidR="00691208" w:rsidRPr="00691208">
            <w:rPr>
              <w:sz w:val="28"/>
              <w:szCs w:val="28"/>
            </w:rPr>
            <w:fldChar w:fldCharType="end"/>
          </w:r>
        </w:sdtContent>
      </w:sdt>
      <w:r w:rsidR="00691208" w:rsidRPr="00691208">
        <w:rPr>
          <w:sz w:val="28"/>
          <w:szCs w:val="28"/>
        </w:rPr>
        <w:t xml:space="preserve"> </w:t>
      </w:r>
      <w:sdt>
        <w:sdtPr>
          <w:rPr>
            <w:sz w:val="28"/>
            <w:szCs w:val="28"/>
          </w:rPr>
          <w:id w:val="766347012"/>
          <w:citation/>
        </w:sdtPr>
        <w:sdtEndPr/>
        <w:sdtContent>
          <w:r w:rsidR="00691208" w:rsidRPr="00691208">
            <w:rPr>
              <w:sz w:val="28"/>
              <w:szCs w:val="28"/>
            </w:rPr>
            <w:fldChar w:fldCharType="begin"/>
          </w:r>
          <w:r w:rsidR="00691208" w:rsidRPr="00691208">
            <w:rPr>
              <w:sz w:val="28"/>
              <w:szCs w:val="28"/>
            </w:rPr>
            <w:instrText xml:space="preserve"> CITATION Nyh09 \l 2057 </w:instrText>
          </w:r>
          <w:r w:rsidR="00691208" w:rsidRPr="00691208">
            <w:rPr>
              <w:sz w:val="28"/>
              <w:szCs w:val="28"/>
            </w:rPr>
            <w:fldChar w:fldCharType="separate"/>
          </w:r>
          <w:r w:rsidR="00995821" w:rsidRPr="00995821">
            <w:rPr>
              <w:noProof/>
              <w:sz w:val="28"/>
              <w:szCs w:val="28"/>
            </w:rPr>
            <w:t>[6]</w:t>
          </w:r>
          <w:r w:rsidR="00691208" w:rsidRPr="00691208">
            <w:rPr>
              <w:sz w:val="28"/>
              <w:szCs w:val="28"/>
            </w:rPr>
            <w:fldChar w:fldCharType="end"/>
          </w:r>
        </w:sdtContent>
      </w:sdt>
    </w:p>
    <w:p w:rsidR="00691208" w:rsidRPr="00691208" w:rsidRDefault="00691208" w:rsidP="00691208">
      <w:pPr>
        <w:rPr>
          <w:sz w:val="28"/>
        </w:rPr>
      </w:pPr>
    </w:p>
    <w:p w:rsidR="000B6056" w:rsidRDefault="000B6056" w:rsidP="00EE116B">
      <w:pPr>
        <w:rPr>
          <w:sz w:val="28"/>
        </w:rPr>
      </w:pPr>
      <w:r>
        <w:rPr>
          <w:sz w:val="28"/>
        </w:rPr>
        <w:t>TAW-EX-2022</w:t>
      </w:r>
    </w:p>
    <w:p w:rsidR="000B6056" w:rsidRDefault="00802F8B" w:rsidP="00802F8B">
      <w:pPr>
        <w:pStyle w:val="ListParagraph"/>
        <w:numPr>
          <w:ilvl w:val="0"/>
          <w:numId w:val="9"/>
        </w:numPr>
        <w:rPr>
          <w:sz w:val="28"/>
        </w:rPr>
      </w:pPr>
      <w:r>
        <w:rPr>
          <w:sz w:val="28"/>
        </w:rPr>
        <w:t>Proposed material suggested in ‘Project Brief’ by Dave Holley</w:t>
      </w:r>
    </w:p>
    <w:p w:rsidR="00802F8B" w:rsidRDefault="0075643E" w:rsidP="00802F8B">
      <w:pPr>
        <w:pStyle w:val="ListParagraph"/>
        <w:numPr>
          <w:ilvl w:val="0"/>
          <w:numId w:val="9"/>
        </w:numPr>
        <w:rPr>
          <w:sz w:val="28"/>
        </w:rPr>
      </w:pPr>
      <w:r>
        <w:rPr>
          <w:sz w:val="28"/>
        </w:rPr>
        <w:t>Further details on material could not be ascertained through online research and were instead provided, on request, by Dave Holley</w:t>
      </w:r>
    </w:p>
    <w:p w:rsidR="0075643E" w:rsidRDefault="0075643E" w:rsidP="00802F8B">
      <w:pPr>
        <w:pStyle w:val="ListParagraph"/>
        <w:numPr>
          <w:ilvl w:val="0"/>
          <w:numId w:val="9"/>
        </w:numPr>
        <w:rPr>
          <w:sz w:val="28"/>
        </w:rPr>
      </w:pPr>
      <w:r>
        <w:rPr>
          <w:sz w:val="28"/>
        </w:rPr>
        <w:t>VoD of 8.8m/s at 1.8g/cm density suggests potential for achieving greater penetration performance than all other candidate materials identified</w:t>
      </w:r>
    </w:p>
    <w:p w:rsidR="00D309C7" w:rsidRDefault="00D309C7" w:rsidP="00802F8B">
      <w:pPr>
        <w:pStyle w:val="ListParagraph"/>
        <w:numPr>
          <w:ilvl w:val="0"/>
          <w:numId w:val="9"/>
        </w:numPr>
        <w:rPr>
          <w:sz w:val="28"/>
        </w:rPr>
      </w:pPr>
      <w:r>
        <w:rPr>
          <w:sz w:val="28"/>
        </w:rPr>
        <w:t>Temperature of ignition of 220</w:t>
      </w:r>
      <w:r>
        <w:rPr>
          <w:sz w:val="28"/>
          <w:vertAlign w:val="superscript"/>
        </w:rPr>
        <w:t>o</w:t>
      </w:r>
      <w:r>
        <w:rPr>
          <w:sz w:val="28"/>
        </w:rPr>
        <w:t>C</w:t>
      </w:r>
      <w:r w:rsidR="003420B2">
        <w:rPr>
          <w:sz w:val="28"/>
        </w:rPr>
        <w:t xml:space="preserve"> and further detail on thermal stability from online research </w:t>
      </w:r>
      <w:sdt>
        <w:sdtPr>
          <w:rPr>
            <w:sz w:val="28"/>
          </w:rPr>
          <w:id w:val="2039079662"/>
          <w:citation/>
        </w:sdtPr>
        <w:sdtEndPr/>
        <w:sdtContent>
          <w:r w:rsidR="003420B2">
            <w:rPr>
              <w:sz w:val="28"/>
            </w:rPr>
            <w:fldChar w:fldCharType="begin"/>
          </w:r>
          <w:r w:rsidR="003420B2">
            <w:rPr>
              <w:sz w:val="28"/>
            </w:rPr>
            <w:instrText xml:space="preserve"> CITATION Rao19 \l 2057 </w:instrText>
          </w:r>
          <w:r w:rsidR="003420B2">
            <w:rPr>
              <w:sz w:val="28"/>
            </w:rPr>
            <w:fldChar w:fldCharType="separate"/>
          </w:r>
          <w:r w:rsidR="00995821" w:rsidRPr="00995821">
            <w:rPr>
              <w:noProof/>
              <w:sz w:val="28"/>
            </w:rPr>
            <w:t>[11]</w:t>
          </w:r>
          <w:r w:rsidR="003420B2">
            <w:rPr>
              <w:sz w:val="28"/>
            </w:rPr>
            <w:fldChar w:fldCharType="end"/>
          </w:r>
        </w:sdtContent>
      </w:sdt>
    </w:p>
    <w:p w:rsidR="004608AE" w:rsidRDefault="004608AE" w:rsidP="00802F8B">
      <w:pPr>
        <w:pStyle w:val="ListParagraph"/>
        <w:numPr>
          <w:ilvl w:val="0"/>
          <w:numId w:val="9"/>
        </w:numPr>
        <w:rPr>
          <w:sz w:val="28"/>
        </w:rPr>
      </w:pPr>
      <w:r>
        <w:rPr>
          <w:sz w:val="28"/>
        </w:rPr>
        <w:t>90-93% energetic filler (50/50 HMX/RDX) and 7-10% insert materials (HTPE-binder system, anti-oxidising agents, surfactants, catalysts and isocyanate curing agent)</w:t>
      </w:r>
    </w:p>
    <w:p w:rsidR="004608AE" w:rsidRDefault="004608AE" w:rsidP="00802F8B">
      <w:pPr>
        <w:pStyle w:val="ListParagraph"/>
        <w:numPr>
          <w:ilvl w:val="0"/>
          <w:numId w:val="9"/>
        </w:numPr>
        <w:rPr>
          <w:sz w:val="28"/>
        </w:rPr>
      </w:pPr>
      <w:r>
        <w:rPr>
          <w:sz w:val="28"/>
        </w:rPr>
        <w:t>Future possibility for 10% of energetic fill to be replaced with CL-20 (hexanitrohexaazaisowurtizane)</w:t>
      </w:r>
    </w:p>
    <w:p w:rsidR="0075643E" w:rsidRDefault="0075643E" w:rsidP="00802F8B">
      <w:pPr>
        <w:pStyle w:val="ListParagraph"/>
        <w:numPr>
          <w:ilvl w:val="0"/>
          <w:numId w:val="9"/>
        </w:numPr>
        <w:rPr>
          <w:sz w:val="28"/>
        </w:rPr>
      </w:pPr>
      <w:r>
        <w:rPr>
          <w:sz w:val="28"/>
        </w:rPr>
        <w:t>Figure of insensitivity of 60 (rotor) and 2.2 (friction) as compared t</w:t>
      </w:r>
      <w:r w:rsidR="00D309C7">
        <w:rPr>
          <w:sz w:val="28"/>
        </w:rPr>
        <w:t>o 80 and 3 respectively for RDX, suggests marginally lower sensitivity than the original Comp B-like composition (would require testing)</w:t>
      </w:r>
    </w:p>
    <w:p w:rsidR="00D309C7" w:rsidRDefault="00D309C7" w:rsidP="00802F8B">
      <w:pPr>
        <w:pStyle w:val="ListParagraph"/>
        <w:numPr>
          <w:ilvl w:val="0"/>
          <w:numId w:val="9"/>
        </w:numPr>
        <w:rPr>
          <w:sz w:val="28"/>
        </w:rPr>
      </w:pPr>
      <w:r>
        <w:rPr>
          <w:sz w:val="28"/>
        </w:rPr>
        <w:t>The above, in combination with the result of ‘detachment of septum and up to 20% of explosive consumed’ during small-scale fragment test, gives the potential for the composition to achieve IM-qualification based on charge size, shape and encasement</w:t>
      </w:r>
    </w:p>
    <w:p w:rsidR="00D309C7" w:rsidRDefault="00D309C7" w:rsidP="00802F8B">
      <w:pPr>
        <w:pStyle w:val="ListParagraph"/>
        <w:numPr>
          <w:ilvl w:val="0"/>
          <w:numId w:val="9"/>
        </w:numPr>
        <w:rPr>
          <w:sz w:val="28"/>
        </w:rPr>
      </w:pPr>
      <w:r>
        <w:rPr>
          <w:sz w:val="28"/>
        </w:rPr>
        <w:t xml:space="preserve">Full EMTAP data would need to be generated through extensive trials </w:t>
      </w:r>
    </w:p>
    <w:p w:rsidR="00D309C7" w:rsidRPr="004608AE" w:rsidRDefault="00D309C7" w:rsidP="004608AE">
      <w:pPr>
        <w:pStyle w:val="ListParagraph"/>
        <w:numPr>
          <w:ilvl w:val="0"/>
          <w:numId w:val="9"/>
        </w:numPr>
        <w:rPr>
          <w:sz w:val="28"/>
        </w:rPr>
      </w:pPr>
      <w:r>
        <w:rPr>
          <w:sz w:val="28"/>
        </w:rPr>
        <w:lastRenderedPageBreak/>
        <w:t>IM-compatibility would need to qualified through extensive trials (STANAG 4439)</w:t>
      </w:r>
    </w:p>
    <w:p w:rsidR="002A1BD9" w:rsidRDefault="00876F70" w:rsidP="002A1BD9">
      <w:pPr>
        <w:rPr>
          <w:b/>
          <w:sz w:val="32"/>
        </w:rPr>
      </w:pPr>
      <w:r>
        <w:rPr>
          <w:b/>
          <w:sz w:val="32"/>
        </w:rPr>
        <w:t xml:space="preserve">4.4. </w:t>
      </w:r>
      <w:r w:rsidR="002A1BD9">
        <w:rPr>
          <w:b/>
          <w:sz w:val="32"/>
        </w:rPr>
        <w:t xml:space="preserve">General Research </w:t>
      </w:r>
      <w:r w:rsidR="006D0B40">
        <w:rPr>
          <w:b/>
          <w:sz w:val="32"/>
        </w:rPr>
        <w:t>&amp; Candidate Materials for Cratering Bag</w:t>
      </w:r>
    </w:p>
    <w:p w:rsidR="00026415" w:rsidRPr="00691208" w:rsidRDefault="004608AE" w:rsidP="00026415">
      <w:r>
        <w:rPr>
          <w:sz w:val="28"/>
        </w:rPr>
        <w:t>Only one suitable candidate material for replacement of the Hexatonal flake composition, which was IM qualified, was identified due to the limited literature avail</w:t>
      </w:r>
      <w:r w:rsidR="00691208">
        <w:rPr>
          <w:sz w:val="28"/>
        </w:rPr>
        <w:t xml:space="preserve">able on aluminized formulations </w:t>
      </w:r>
      <w:sdt>
        <w:sdtPr>
          <w:rPr>
            <w:sz w:val="28"/>
          </w:rPr>
          <w:id w:val="1238285626"/>
          <w:citation/>
        </w:sdtPr>
        <w:sdtEndPr/>
        <w:sdtContent>
          <w:r w:rsidR="00691208" w:rsidRPr="00691208">
            <w:rPr>
              <w:sz w:val="28"/>
            </w:rPr>
            <w:fldChar w:fldCharType="begin"/>
          </w:r>
          <w:r w:rsidR="00691208" w:rsidRPr="00691208">
            <w:rPr>
              <w:sz w:val="28"/>
            </w:rPr>
            <w:instrText xml:space="preserve">CITATION HuD14 \l 2057 </w:instrText>
          </w:r>
          <w:r w:rsidR="00691208" w:rsidRPr="00691208">
            <w:rPr>
              <w:sz w:val="28"/>
            </w:rPr>
            <w:fldChar w:fldCharType="separate"/>
          </w:r>
          <w:r w:rsidR="00995821" w:rsidRPr="00995821">
            <w:rPr>
              <w:noProof/>
              <w:sz w:val="28"/>
            </w:rPr>
            <w:t>[3]</w:t>
          </w:r>
          <w:r w:rsidR="00691208" w:rsidRPr="00691208">
            <w:rPr>
              <w:sz w:val="28"/>
            </w:rPr>
            <w:fldChar w:fldCharType="end"/>
          </w:r>
        </w:sdtContent>
      </w:sdt>
    </w:p>
    <w:p w:rsidR="004608AE" w:rsidRDefault="004608AE" w:rsidP="00026415">
      <w:pPr>
        <w:rPr>
          <w:b/>
          <w:sz w:val="28"/>
        </w:rPr>
      </w:pPr>
      <w:r>
        <w:rPr>
          <w:b/>
          <w:sz w:val="28"/>
        </w:rPr>
        <w:t>Original Material:</w:t>
      </w:r>
    </w:p>
    <w:p w:rsidR="004608AE" w:rsidRDefault="004608AE" w:rsidP="00026415">
      <w:pPr>
        <w:rPr>
          <w:sz w:val="28"/>
        </w:rPr>
      </w:pPr>
      <w:r>
        <w:rPr>
          <w:sz w:val="28"/>
        </w:rPr>
        <w:t>Hexatonal flake (of proprietary composition and properties)</w:t>
      </w:r>
    </w:p>
    <w:p w:rsidR="004608AE" w:rsidRDefault="004608AE" w:rsidP="004608AE">
      <w:pPr>
        <w:pStyle w:val="ListParagraph"/>
        <w:numPr>
          <w:ilvl w:val="0"/>
          <w:numId w:val="1"/>
        </w:numPr>
        <w:rPr>
          <w:sz w:val="28"/>
        </w:rPr>
      </w:pPr>
      <w:r>
        <w:rPr>
          <w:sz w:val="28"/>
        </w:rPr>
        <w:t>Not IM-qualified</w:t>
      </w:r>
    </w:p>
    <w:p w:rsidR="004608AE" w:rsidRDefault="004608AE" w:rsidP="004608AE">
      <w:pPr>
        <w:pStyle w:val="ListParagraph"/>
        <w:numPr>
          <w:ilvl w:val="0"/>
          <w:numId w:val="1"/>
        </w:numPr>
        <w:rPr>
          <w:sz w:val="28"/>
        </w:rPr>
      </w:pPr>
      <w:r>
        <w:rPr>
          <w:sz w:val="28"/>
        </w:rPr>
        <w:t>Long impulse and high heat for cratering effect</w:t>
      </w:r>
    </w:p>
    <w:p w:rsidR="004608AE" w:rsidRPr="004608AE" w:rsidRDefault="004608AE" w:rsidP="004608AE">
      <w:pPr>
        <w:pStyle w:val="ListParagraph"/>
        <w:numPr>
          <w:ilvl w:val="0"/>
          <w:numId w:val="1"/>
        </w:numPr>
        <w:rPr>
          <w:sz w:val="28"/>
        </w:rPr>
      </w:pPr>
      <w:r>
        <w:rPr>
          <w:sz w:val="28"/>
        </w:rPr>
        <w:t>EMTAP and chemical compatibility data not available</w:t>
      </w:r>
    </w:p>
    <w:p w:rsidR="00026415" w:rsidRPr="004608AE" w:rsidRDefault="004608AE" w:rsidP="00026415">
      <w:pPr>
        <w:rPr>
          <w:b/>
          <w:sz w:val="30"/>
        </w:rPr>
      </w:pPr>
      <w:r w:rsidRPr="004608AE">
        <w:rPr>
          <w:b/>
          <w:sz w:val="30"/>
        </w:rPr>
        <w:t>Candidate Material</w:t>
      </w:r>
    </w:p>
    <w:p w:rsidR="004608AE" w:rsidRDefault="004608AE" w:rsidP="00026415">
      <w:pPr>
        <w:rPr>
          <w:sz w:val="30"/>
        </w:rPr>
      </w:pPr>
      <w:r>
        <w:rPr>
          <w:sz w:val="30"/>
        </w:rPr>
        <w:t>TB I-200</w:t>
      </w:r>
    </w:p>
    <w:p w:rsidR="004608AE" w:rsidRDefault="004608AE" w:rsidP="004608AE">
      <w:pPr>
        <w:pStyle w:val="ListParagraph"/>
        <w:numPr>
          <w:ilvl w:val="0"/>
          <w:numId w:val="10"/>
        </w:numPr>
        <w:rPr>
          <w:sz w:val="30"/>
        </w:rPr>
      </w:pPr>
      <w:r>
        <w:rPr>
          <w:sz w:val="30"/>
        </w:rPr>
        <w:t>‘Tritonal’ (aluminized TNT) with the addition of the soluble desensitiser ‘2-napthol)</w:t>
      </w:r>
    </w:p>
    <w:p w:rsidR="004608AE" w:rsidRDefault="004608AE" w:rsidP="004608AE">
      <w:pPr>
        <w:pStyle w:val="ListParagraph"/>
        <w:numPr>
          <w:ilvl w:val="0"/>
          <w:numId w:val="10"/>
        </w:numPr>
        <w:rPr>
          <w:sz w:val="30"/>
        </w:rPr>
      </w:pPr>
      <w:r>
        <w:rPr>
          <w:sz w:val="30"/>
        </w:rPr>
        <w:t>80-85% TNT, 2-6% 2-napthol, 15-20% aluminium, providing optimised compromise between IM-response and</w:t>
      </w:r>
      <w:r w:rsidR="00691208">
        <w:rPr>
          <w:sz w:val="30"/>
        </w:rPr>
        <w:t xml:space="preserve"> long-impulse, high heat-of-detonation</w:t>
      </w:r>
      <w:r>
        <w:rPr>
          <w:sz w:val="30"/>
        </w:rPr>
        <w:t xml:space="preserve"> performance</w:t>
      </w:r>
    </w:p>
    <w:p w:rsidR="0035280D" w:rsidRDefault="0035280D" w:rsidP="004608AE">
      <w:pPr>
        <w:pStyle w:val="ListParagraph"/>
        <w:numPr>
          <w:ilvl w:val="0"/>
          <w:numId w:val="10"/>
        </w:numPr>
        <w:rPr>
          <w:sz w:val="30"/>
        </w:rPr>
      </w:pPr>
      <w:r>
        <w:rPr>
          <w:sz w:val="30"/>
        </w:rPr>
        <w:t>IM-qualified an being commercialised in 2024 by Thales</w:t>
      </w:r>
    </w:p>
    <w:p w:rsidR="004608AE" w:rsidRDefault="004608AE" w:rsidP="004608AE">
      <w:pPr>
        <w:pStyle w:val="ListParagraph"/>
        <w:numPr>
          <w:ilvl w:val="0"/>
          <w:numId w:val="10"/>
        </w:numPr>
        <w:rPr>
          <w:sz w:val="30"/>
        </w:rPr>
      </w:pPr>
      <w:r>
        <w:rPr>
          <w:sz w:val="30"/>
        </w:rPr>
        <w:t>Critical diameter of 10mm suggests potential for use in flake form and possibly without needing booster charge (testing required)</w:t>
      </w:r>
    </w:p>
    <w:p w:rsidR="00691208" w:rsidRDefault="004608AE" w:rsidP="00691208">
      <w:pPr>
        <w:pStyle w:val="ListParagraph"/>
        <w:numPr>
          <w:ilvl w:val="0"/>
          <w:numId w:val="10"/>
        </w:numPr>
        <w:rPr>
          <w:sz w:val="30"/>
        </w:rPr>
      </w:pPr>
      <w:r>
        <w:rPr>
          <w:sz w:val="30"/>
        </w:rPr>
        <w:t>Affordable due to high usage of low-cost, high-availability TNT</w:t>
      </w:r>
    </w:p>
    <w:p w:rsidR="00691208" w:rsidRPr="00691208" w:rsidRDefault="00E61111" w:rsidP="00691208">
      <w:pPr>
        <w:rPr>
          <w:sz w:val="28"/>
        </w:rPr>
      </w:pPr>
      <w:sdt>
        <w:sdtPr>
          <w:id w:val="684170232"/>
          <w:citation/>
        </w:sdtPr>
        <w:sdtEndPr/>
        <w:sdtContent>
          <w:r w:rsidR="00691208" w:rsidRPr="00691208">
            <w:rPr>
              <w:sz w:val="28"/>
            </w:rPr>
            <w:fldChar w:fldCharType="begin"/>
          </w:r>
          <w:r w:rsidR="00691208" w:rsidRPr="00691208">
            <w:rPr>
              <w:sz w:val="28"/>
            </w:rPr>
            <w:instrText xml:space="preserve"> CITATION Gil24 \l 2057 </w:instrText>
          </w:r>
          <w:r w:rsidR="00691208" w:rsidRPr="00691208">
            <w:rPr>
              <w:sz w:val="28"/>
            </w:rPr>
            <w:fldChar w:fldCharType="separate"/>
          </w:r>
          <w:r w:rsidR="00995821" w:rsidRPr="00995821">
            <w:rPr>
              <w:noProof/>
              <w:sz w:val="28"/>
            </w:rPr>
            <w:t>[12]</w:t>
          </w:r>
          <w:r w:rsidR="00691208" w:rsidRPr="00691208">
            <w:rPr>
              <w:sz w:val="28"/>
            </w:rPr>
            <w:fldChar w:fldCharType="end"/>
          </w:r>
        </w:sdtContent>
      </w:sdt>
    </w:p>
    <w:p w:rsidR="0035280D" w:rsidRDefault="00876F70" w:rsidP="0035280D">
      <w:pPr>
        <w:rPr>
          <w:b/>
          <w:sz w:val="36"/>
        </w:rPr>
      </w:pPr>
      <w:r>
        <w:rPr>
          <w:b/>
          <w:sz w:val="36"/>
        </w:rPr>
        <w:t xml:space="preserve">5. </w:t>
      </w:r>
      <w:r w:rsidR="005A07AA" w:rsidRPr="00026415">
        <w:rPr>
          <w:b/>
          <w:sz w:val="36"/>
        </w:rPr>
        <w:t>GROUP DECISION ON STRUCTURAL DESIGN</w:t>
      </w:r>
    </w:p>
    <w:p w:rsidR="0035280D" w:rsidRDefault="0035280D" w:rsidP="0035280D">
      <w:pPr>
        <w:rPr>
          <w:sz w:val="28"/>
        </w:rPr>
      </w:pPr>
      <w:r>
        <w:rPr>
          <w:sz w:val="28"/>
        </w:rPr>
        <w:t>Following a review of the candidate materials for re-design of the shaped ad cratering charges, and their relative compatibility with the other components, a g</w:t>
      </w:r>
      <w:r w:rsidR="002A1BD9">
        <w:rPr>
          <w:sz w:val="28"/>
        </w:rPr>
        <w:t>roup decision made to not redesign physical dimensions or s</w:t>
      </w:r>
      <w:r>
        <w:rPr>
          <w:sz w:val="28"/>
        </w:rPr>
        <w:t>tructural materials of product, and instead replace only the explosive fill compositions.</w:t>
      </w:r>
    </w:p>
    <w:p w:rsidR="002A1BD9" w:rsidRPr="0035280D" w:rsidRDefault="0035280D" w:rsidP="0035280D">
      <w:pPr>
        <w:rPr>
          <w:b/>
          <w:sz w:val="36"/>
        </w:rPr>
      </w:pPr>
      <w:r>
        <w:rPr>
          <w:sz w:val="28"/>
        </w:rPr>
        <w:t xml:space="preserve">This was given the </w:t>
      </w:r>
      <w:r w:rsidR="002A1BD9">
        <w:rPr>
          <w:sz w:val="28"/>
        </w:rPr>
        <w:t xml:space="preserve">indication that enhancing/maintaining </w:t>
      </w:r>
      <w:r>
        <w:rPr>
          <w:sz w:val="28"/>
        </w:rPr>
        <w:t>IM-</w:t>
      </w:r>
      <w:r w:rsidR="002A1BD9">
        <w:rPr>
          <w:sz w:val="28"/>
        </w:rPr>
        <w:t>performance</w:t>
      </w:r>
      <w:r>
        <w:rPr>
          <w:sz w:val="28"/>
        </w:rPr>
        <w:t>, explosive performance, and marginal enhancement of suitability for thermal cycling and hot climates</w:t>
      </w:r>
      <w:r w:rsidR="002A1BD9">
        <w:rPr>
          <w:sz w:val="28"/>
        </w:rPr>
        <w:t xml:space="preserve"> of the device through use of selected candidate </w:t>
      </w:r>
      <w:r w:rsidR="002A1BD9">
        <w:rPr>
          <w:sz w:val="28"/>
        </w:rPr>
        <w:lastRenderedPageBreak/>
        <w:t xml:space="preserve">materials </w:t>
      </w:r>
      <w:r>
        <w:rPr>
          <w:sz w:val="28"/>
        </w:rPr>
        <w:t>would not require this, since similar volumes and masses of the new explosive fills would be used.</w:t>
      </w:r>
    </w:p>
    <w:p w:rsidR="002A1BD9" w:rsidRPr="00026415" w:rsidRDefault="00876F70" w:rsidP="002A1BD9">
      <w:pPr>
        <w:rPr>
          <w:b/>
          <w:sz w:val="36"/>
        </w:rPr>
      </w:pPr>
      <w:r>
        <w:rPr>
          <w:b/>
          <w:sz w:val="36"/>
        </w:rPr>
        <w:t xml:space="preserve">6. </w:t>
      </w:r>
      <w:r w:rsidR="005A07AA" w:rsidRPr="00026415">
        <w:rPr>
          <w:b/>
          <w:sz w:val="36"/>
        </w:rPr>
        <w:t>FEEDBACK AND REVIEW FOR MANUFACTURING</w:t>
      </w:r>
    </w:p>
    <w:p w:rsidR="0035280D" w:rsidRPr="0035280D" w:rsidRDefault="0035280D" w:rsidP="005A07AA">
      <w:pPr>
        <w:rPr>
          <w:sz w:val="28"/>
        </w:rPr>
      </w:pPr>
      <w:r>
        <w:rPr>
          <w:sz w:val="28"/>
        </w:rPr>
        <w:t xml:space="preserve">A discussion between Pete Down and Will Noakes took place to review manufacturing and manufacturing safety research for candidate explosive fill materials and determined that the ease and of manufacturability of IMX-104 and IMX-101 was greater than TAW-EX-2022, and that they were likely significantly lower-cost options. </w:t>
      </w:r>
    </w:p>
    <w:p w:rsidR="005A07AA" w:rsidRPr="00026415" w:rsidRDefault="00876F70" w:rsidP="005A07AA">
      <w:pPr>
        <w:rPr>
          <w:b/>
          <w:sz w:val="36"/>
        </w:rPr>
      </w:pPr>
      <w:r>
        <w:rPr>
          <w:b/>
          <w:sz w:val="36"/>
        </w:rPr>
        <w:t xml:space="preserve">7. </w:t>
      </w:r>
      <w:r w:rsidR="005A07AA" w:rsidRPr="00026415">
        <w:rPr>
          <w:b/>
          <w:sz w:val="36"/>
        </w:rPr>
        <w:t>SUBJ</w:t>
      </w:r>
      <w:r>
        <w:rPr>
          <w:b/>
          <w:sz w:val="36"/>
        </w:rPr>
        <w:t xml:space="preserve">ECT </w:t>
      </w:r>
      <w:r w:rsidR="005A07AA" w:rsidRPr="00026415">
        <w:rPr>
          <w:b/>
          <w:sz w:val="36"/>
        </w:rPr>
        <w:t>A</w:t>
      </w:r>
      <w:r>
        <w:rPr>
          <w:b/>
          <w:sz w:val="36"/>
        </w:rPr>
        <w:t xml:space="preserve">REA: </w:t>
      </w:r>
      <w:r w:rsidR="005A07AA" w:rsidRPr="00026415">
        <w:rPr>
          <w:b/>
          <w:sz w:val="36"/>
        </w:rPr>
        <w:t>EXPLOSIVE COMPOSITION</w:t>
      </w:r>
      <w:r>
        <w:rPr>
          <w:b/>
          <w:sz w:val="36"/>
        </w:rPr>
        <w:t>S</w:t>
      </w:r>
      <w:r w:rsidR="005A07AA" w:rsidRPr="00026415">
        <w:rPr>
          <w:b/>
          <w:sz w:val="36"/>
        </w:rPr>
        <w:t xml:space="preserve"> –</w:t>
      </w:r>
      <w:r w:rsidR="00026415" w:rsidRPr="00026415">
        <w:rPr>
          <w:b/>
          <w:sz w:val="36"/>
        </w:rPr>
        <w:t xml:space="preserve"> Pt.2</w:t>
      </w:r>
    </w:p>
    <w:p w:rsidR="00D309C7" w:rsidRDefault="002A1BD9" w:rsidP="002A1BD9">
      <w:pPr>
        <w:rPr>
          <w:b/>
          <w:sz w:val="32"/>
        </w:rPr>
      </w:pPr>
      <w:r>
        <w:rPr>
          <w:b/>
          <w:sz w:val="32"/>
        </w:rPr>
        <w:t>Final</w:t>
      </w:r>
      <w:r w:rsidR="00D309C7">
        <w:rPr>
          <w:b/>
          <w:sz w:val="32"/>
        </w:rPr>
        <w:t xml:space="preserve"> Selection </w:t>
      </w:r>
      <w:r w:rsidR="00935616">
        <w:rPr>
          <w:b/>
          <w:sz w:val="32"/>
        </w:rPr>
        <w:t>of Replacement</w:t>
      </w:r>
      <w:r w:rsidR="00D309C7">
        <w:rPr>
          <w:b/>
          <w:sz w:val="32"/>
        </w:rPr>
        <w:t xml:space="preserve"> </w:t>
      </w:r>
      <w:r w:rsidR="00935616">
        <w:rPr>
          <w:b/>
          <w:sz w:val="32"/>
        </w:rPr>
        <w:t>Explosive Fills</w:t>
      </w:r>
      <w:r w:rsidR="00D309C7">
        <w:rPr>
          <w:b/>
          <w:sz w:val="32"/>
        </w:rPr>
        <w:t xml:space="preserve"> </w:t>
      </w:r>
      <w:r w:rsidR="0035280D">
        <w:rPr>
          <w:b/>
          <w:sz w:val="32"/>
        </w:rPr>
        <w:t xml:space="preserve"> </w:t>
      </w:r>
    </w:p>
    <w:p w:rsidR="0035280D" w:rsidRPr="0035280D" w:rsidRDefault="0035280D" w:rsidP="002A1BD9">
      <w:pPr>
        <w:rPr>
          <w:sz w:val="28"/>
        </w:rPr>
      </w:pPr>
      <w:r>
        <w:rPr>
          <w:sz w:val="28"/>
        </w:rPr>
        <w:t xml:space="preserve">Final selection of replacement </w:t>
      </w:r>
      <w:r w:rsidR="00935616">
        <w:rPr>
          <w:sz w:val="28"/>
        </w:rPr>
        <w:t>explosive fills for the shaped charge and cratering bags was determined through discussion be</w:t>
      </w:r>
      <w:r w:rsidR="002758A4">
        <w:rPr>
          <w:sz w:val="28"/>
        </w:rPr>
        <w:t>tween Will Noakes and Pete Down whilst reviewing the information gathered by Will Noakes in Section 4 and by Pete Down on manufacturing.</w:t>
      </w:r>
    </w:p>
    <w:p w:rsidR="0035280D" w:rsidRDefault="0035280D" w:rsidP="0035280D">
      <w:pPr>
        <w:rPr>
          <w:sz w:val="28"/>
        </w:rPr>
      </w:pPr>
      <w:r>
        <w:rPr>
          <w:sz w:val="28"/>
        </w:rPr>
        <w:t xml:space="preserve">Shaped Charge: IMX-104 </w:t>
      </w:r>
    </w:p>
    <w:p w:rsidR="00935616" w:rsidRDefault="0035280D" w:rsidP="0035280D">
      <w:pPr>
        <w:pStyle w:val="ListParagraph"/>
        <w:numPr>
          <w:ilvl w:val="0"/>
          <w:numId w:val="12"/>
        </w:numPr>
        <w:rPr>
          <w:sz w:val="28"/>
        </w:rPr>
      </w:pPr>
      <w:r>
        <w:rPr>
          <w:sz w:val="28"/>
        </w:rPr>
        <w:t>C</w:t>
      </w:r>
      <w:r w:rsidRPr="0035280D">
        <w:rPr>
          <w:sz w:val="28"/>
        </w:rPr>
        <w:t>hosen over IMX-101 on account of better suitability</w:t>
      </w:r>
      <w:r>
        <w:rPr>
          <w:sz w:val="28"/>
        </w:rPr>
        <w:t xml:space="preserve"> in terms of critical di</w:t>
      </w:r>
      <w:r w:rsidR="00935616">
        <w:rPr>
          <w:sz w:val="28"/>
        </w:rPr>
        <w:t>ameter</w:t>
      </w:r>
    </w:p>
    <w:p w:rsidR="0035280D" w:rsidRPr="0035280D" w:rsidRDefault="00935616" w:rsidP="0035280D">
      <w:pPr>
        <w:pStyle w:val="ListParagraph"/>
        <w:numPr>
          <w:ilvl w:val="0"/>
          <w:numId w:val="12"/>
        </w:numPr>
        <w:rPr>
          <w:sz w:val="28"/>
        </w:rPr>
      </w:pPr>
      <w:r>
        <w:rPr>
          <w:sz w:val="28"/>
        </w:rPr>
        <w:t xml:space="preserve">Chosen over TAW-EX-2022 on account of </w:t>
      </w:r>
      <w:r w:rsidR="0035280D">
        <w:rPr>
          <w:sz w:val="28"/>
        </w:rPr>
        <w:t>lower-cost, quicker development time (already EMTAP and IM qualified) and greater ease of manufacture</w:t>
      </w:r>
      <w:r>
        <w:rPr>
          <w:sz w:val="28"/>
        </w:rPr>
        <w:t>, despite superior implied performance and suitability to thermal cycling and high temperatures was improved in the latter</w:t>
      </w:r>
    </w:p>
    <w:p w:rsidR="0035280D" w:rsidRDefault="00935616" w:rsidP="002A1BD9">
      <w:pPr>
        <w:rPr>
          <w:sz w:val="28"/>
        </w:rPr>
      </w:pPr>
      <w:r>
        <w:rPr>
          <w:sz w:val="28"/>
        </w:rPr>
        <w:t>Cratering Charge: TB I-200</w:t>
      </w:r>
    </w:p>
    <w:p w:rsidR="00935616" w:rsidRDefault="00935616" w:rsidP="00935616">
      <w:pPr>
        <w:pStyle w:val="ListParagraph"/>
        <w:numPr>
          <w:ilvl w:val="0"/>
          <w:numId w:val="14"/>
        </w:numPr>
        <w:rPr>
          <w:sz w:val="28"/>
        </w:rPr>
      </w:pPr>
      <w:r>
        <w:rPr>
          <w:sz w:val="28"/>
        </w:rPr>
        <w:t>Chosen on account of being the only IM-qualified material with suitable long impulse and high heat of detonation, and due to implied commercialisation and production within the near future</w:t>
      </w:r>
    </w:p>
    <w:p w:rsidR="00935616" w:rsidRPr="00935616" w:rsidRDefault="00935616" w:rsidP="00935616">
      <w:pPr>
        <w:rPr>
          <w:sz w:val="28"/>
        </w:rPr>
      </w:pPr>
      <w:r>
        <w:rPr>
          <w:sz w:val="28"/>
        </w:rPr>
        <w:t>It was determined that the use of the primary charge (13/28A) and shock tube system as a user-friendly detonation train, as in the Mk.2 product, would remain unchanged on account of keeping cost low and implied high compatibility with selected new explosive fills.</w:t>
      </w:r>
    </w:p>
    <w:p w:rsidR="00BF7963" w:rsidRDefault="00BF7963" w:rsidP="00092CB7">
      <w:pPr>
        <w:rPr>
          <w:b/>
          <w:sz w:val="36"/>
        </w:rPr>
      </w:pPr>
    </w:p>
    <w:p w:rsidR="00BF7963" w:rsidRDefault="00BF7963" w:rsidP="00092CB7">
      <w:pPr>
        <w:rPr>
          <w:b/>
          <w:sz w:val="36"/>
        </w:rPr>
      </w:pPr>
    </w:p>
    <w:p w:rsidR="00092CB7" w:rsidRDefault="00876F70" w:rsidP="00092CB7">
      <w:pPr>
        <w:rPr>
          <w:b/>
          <w:sz w:val="36"/>
        </w:rPr>
      </w:pPr>
      <w:r>
        <w:rPr>
          <w:b/>
          <w:sz w:val="36"/>
        </w:rPr>
        <w:lastRenderedPageBreak/>
        <w:t xml:space="preserve">8. </w:t>
      </w:r>
      <w:r w:rsidRPr="00876F70">
        <w:rPr>
          <w:b/>
          <w:sz w:val="36"/>
        </w:rPr>
        <w:t>DESIGN PRESENTATION</w:t>
      </w:r>
    </w:p>
    <w:p w:rsidR="00092CB7" w:rsidRDefault="00092CB7" w:rsidP="00092CB7">
      <w:pPr>
        <w:rPr>
          <w:sz w:val="28"/>
        </w:rPr>
      </w:pPr>
      <w:r>
        <w:rPr>
          <w:sz w:val="28"/>
        </w:rPr>
        <w:t xml:space="preserve">The design team chose to present the design with the use of a PowerPoint slide show to illustrate key points, figures and relevant references. This PowerPoint, with each segment created by the design team member corresponding to the subject area, is shown below </w:t>
      </w:r>
      <w:r>
        <w:rPr>
          <w:b/>
          <w:sz w:val="28"/>
        </w:rPr>
        <w:t>Figure 7</w:t>
      </w:r>
      <w:r>
        <w:rPr>
          <w:sz w:val="28"/>
        </w:rPr>
        <w:t xml:space="preserve"> overleaf.</w:t>
      </w:r>
      <w:r w:rsidR="00E61111">
        <w:rPr>
          <w:sz w:val="28"/>
        </w:rPr>
        <w:t xml:space="preserve"> </w:t>
      </w:r>
    </w:p>
    <w:p w:rsidR="00E61111" w:rsidRPr="00E61111" w:rsidRDefault="00E61111" w:rsidP="00092CB7">
      <w:pPr>
        <w:rPr>
          <w:color w:val="FF0000"/>
          <w:sz w:val="28"/>
        </w:rPr>
      </w:pPr>
      <w:r w:rsidRPr="00E61111">
        <w:rPr>
          <w:color w:val="FF0000"/>
          <w:sz w:val="28"/>
        </w:rPr>
        <w:t>FILE WAS TOO LARGE TO UPLOAD WITH POWERPOINT EMBEDDED… PLEASE SEE POWERPOINT SUBMITTED FOR PRESENTATION.</w:t>
      </w:r>
    </w:p>
    <w:p w:rsidR="00092CB7" w:rsidRDefault="00092CB7" w:rsidP="00092CB7">
      <w:pPr>
        <w:rPr>
          <w:sz w:val="28"/>
        </w:rPr>
      </w:pPr>
    </w:p>
    <w:p w:rsidR="00092CB7" w:rsidRDefault="00092CB7" w:rsidP="00092CB7">
      <w:pPr>
        <w:rPr>
          <w:sz w:val="28"/>
        </w:rPr>
      </w:pPr>
      <w:bookmarkStart w:id="0" w:name="_GoBack"/>
      <w:bookmarkEnd w:id="0"/>
    </w:p>
    <w:p w:rsidR="00092CB7" w:rsidRDefault="00092CB7" w:rsidP="00092CB7">
      <w:pPr>
        <w:rPr>
          <w:sz w:val="28"/>
        </w:rPr>
      </w:pPr>
    </w:p>
    <w:p w:rsidR="00092CB7" w:rsidRDefault="00092CB7" w:rsidP="00092CB7">
      <w:pPr>
        <w:rPr>
          <w:sz w:val="28"/>
        </w:rPr>
      </w:pPr>
    </w:p>
    <w:p w:rsidR="00092CB7" w:rsidRDefault="00092CB7" w:rsidP="00092CB7">
      <w:pPr>
        <w:rPr>
          <w:sz w:val="28"/>
        </w:rPr>
      </w:pPr>
    </w:p>
    <w:p w:rsidR="00092CB7" w:rsidRDefault="00092CB7" w:rsidP="00092CB7">
      <w:pPr>
        <w:rPr>
          <w:sz w:val="28"/>
        </w:rPr>
      </w:pPr>
    </w:p>
    <w:p w:rsidR="00092CB7" w:rsidRDefault="00092CB7" w:rsidP="00092CB7">
      <w:pPr>
        <w:rPr>
          <w:sz w:val="28"/>
        </w:rPr>
      </w:pPr>
    </w:p>
    <w:p w:rsidR="00092CB7" w:rsidRDefault="00092CB7" w:rsidP="00092CB7">
      <w:pPr>
        <w:rPr>
          <w:sz w:val="28"/>
        </w:rPr>
      </w:pPr>
    </w:p>
    <w:p w:rsidR="00092CB7" w:rsidRDefault="00092CB7" w:rsidP="00092CB7">
      <w:pPr>
        <w:rPr>
          <w:sz w:val="28"/>
        </w:rPr>
      </w:pPr>
    </w:p>
    <w:p w:rsidR="00092CB7" w:rsidRDefault="00092CB7" w:rsidP="00092CB7">
      <w:pPr>
        <w:rPr>
          <w:sz w:val="28"/>
        </w:rPr>
      </w:pPr>
    </w:p>
    <w:p w:rsidR="00092CB7" w:rsidRDefault="00092CB7" w:rsidP="00092CB7">
      <w:pPr>
        <w:rPr>
          <w:sz w:val="28"/>
        </w:rPr>
      </w:pPr>
    </w:p>
    <w:p w:rsidR="00092CB7" w:rsidRDefault="00092CB7" w:rsidP="00092CB7">
      <w:pPr>
        <w:rPr>
          <w:sz w:val="28"/>
        </w:rPr>
      </w:pPr>
    </w:p>
    <w:p w:rsidR="00092CB7" w:rsidRDefault="00092CB7" w:rsidP="00092CB7">
      <w:pPr>
        <w:rPr>
          <w:sz w:val="28"/>
        </w:rPr>
      </w:pPr>
    </w:p>
    <w:p w:rsidR="00092CB7" w:rsidRDefault="00092CB7" w:rsidP="00092CB7">
      <w:pPr>
        <w:rPr>
          <w:sz w:val="28"/>
        </w:rPr>
      </w:pPr>
    </w:p>
    <w:p w:rsidR="00092CB7" w:rsidRDefault="00092CB7" w:rsidP="00092CB7">
      <w:pPr>
        <w:rPr>
          <w:sz w:val="28"/>
        </w:rPr>
      </w:pPr>
    </w:p>
    <w:p w:rsidR="00092CB7" w:rsidRDefault="00092CB7" w:rsidP="00092CB7">
      <w:pPr>
        <w:rPr>
          <w:sz w:val="28"/>
        </w:rPr>
      </w:pPr>
    </w:p>
    <w:p w:rsidR="00092CB7" w:rsidRDefault="00092CB7" w:rsidP="00092CB7">
      <w:pPr>
        <w:rPr>
          <w:sz w:val="28"/>
        </w:rPr>
      </w:pPr>
    </w:p>
    <w:p w:rsidR="00092CB7" w:rsidRDefault="00092CB7" w:rsidP="00092CB7">
      <w:pPr>
        <w:rPr>
          <w:sz w:val="28"/>
        </w:rPr>
      </w:pPr>
    </w:p>
    <w:p w:rsidR="00092CB7" w:rsidRDefault="00092CB7" w:rsidP="00092CB7">
      <w:pPr>
        <w:rPr>
          <w:sz w:val="28"/>
        </w:rPr>
      </w:pPr>
    </w:p>
    <w:p w:rsidR="00092CB7" w:rsidRDefault="00092CB7" w:rsidP="00092CB7">
      <w:pPr>
        <w:rPr>
          <w:sz w:val="28"/>
        </w:rPr>
      </w:pPr>
    </w:p>
    <w:p w:rsidR="00F41412" w:rsidRDefault="00F41412">
      <w:pPr>
        <w:rPr>
          <w:b/>
          <w:sz w:val="36"/>
        </w:rPr>
      </w:pPr>
      <w:r>
        <w:rPr>
          <w:b/>
          <w:sz w:val="36"/>
        </w:rPr>
        <w:lastRenderedPageBreak/>
        <w:t>9. CONCLUSION</w:t>
      </w:r>
    </w:p>
    <w:p w:rsidR="00F41412" w:rsidRDefault="00F41412">
      <w:pPr>
        <w:rPr>
          <w:sz w:val="28"/>
        </w:rPr>
      </w:pPr>
      <w:r>
        <w:rPr>
          <w:sz w:val="28"/>
        </w:rPr>
        <w:t>A new design to replace the Rapid Cratering Kit Mk.2 has been developed, with some significant improvements and some marginal improvements in terms of the main areas of focus given in the ‘Project Brief’. This has mainly been achieved through the replacement of the original explosive fills in the shaped charge and cratering bags with newer, qualification-ready, explosive fills IMX-104 and TB I-200, as according to the work carried out on explosive fills by Will Noakes. Plans for appropriate trials to qualify the product and its components, packaging design, and manufacturing processes have been carried out by the other members of the design team.</w:t>
      </w:r>
    </w:p>
    <w:p w:rsidR="00092CB7" w:rsidRDefault="00092CB7">
      <w:pPr>
        <w:rPr>
          <w:b/>
          <w:sz w:val="36"/>
        </w:rPr>
      </w:pPr>
    </w:p>
    <w:p w:rsidR="00092CB7" w:rsidRDefault="00092CB7">
      <w:pPr>
        <w:rPr>
          <w:b/>
          <w:sz w:val="36"/>
        </w:rPr>
      </w:pPr>
    </w:p>
    <w:p w:rsidR="00092CB7" w:rsidRDefault="00092CB7">
      <w:pPr>
        <w:rPr>
          <w:b/>
          <w:sz w:val="36"/>
        </w:rPr>
      </w:pPr>
    </w:p>
    <w:p w:rsidR="00092CB7" w:rsidRDefault="00092CB7">
      <w:pPr>
        <w:rPr>
          <w:b/>
          <w:sz w:val="36"/>
        </w:rPr>
      </w:pPr>
    </w:p>
    <w:p w:rsidR="00092CB7" w:rsidRDefault="00092CB7">
      <w:pPr>
        <w:rPr>
          <w:b/>
          <w:sz w:val="36"/>
        </w:rPr>
      </w:pPr>
    </w:p>
    <w:p w:rsidR="00092CB7" w:rsidRDefault="00092CB7">
      <w:pPr>
        <w:rPr>
          <w:b/>
          <w:sz w:val="36"/>
        </w:rPr>
      </w:pPr>
    </w:p>
    <w:p w:rsidR="00092CB7" w:rsidRDefault="00092CB7">
      <w:pPr>
        <w:rPr>
          <w:b/>
          <w:sz w:val="36"/>
        </w:rPr>
      </w:pPr>
    </w:p>
    <w:p w:rsidR="00092CB7" w:rsidRDefault="00092CB7">
      <w:pPr>
        <w:rPr>
          <w:b/>
          <w:sz w:val="36"/>
        </w:rPr>
      </w:pPr>
    </w:p>
    <w:p w:rsidR="00092CB7" w:rsidRDefault="00092CB7">
      <w:pPr>
        <w:rPr>
          <w:b/>
          <w:sz w:val="36"/>
        </w:rPr>
      </w:pPr>
    </w:p>
    <w:p w:rsidR="00092CB7" w:rsidRDefault="00092CB7">
      <w:pPr>
        <w:rPr>
          <w:b/>
          <w:sz w:val="36"/>
        </w:rPr>
      </w:pPr>
    </w:p>
    <w:p w:rsidR="00092CB7" w:rsidRDefault="00092CB7">
      <w:pPr>
        <w:rPr>
          <w:b/>
          <w:sz w:val="36"/>
        </w:rPr>
      </w:pPr>
    </w:p>
    <w:p w:rsidR="00092CB7" w:rsidRDefault="00092CB7">
      <w:pPr>
        <w:rPr>
          <w:b/>
          <w:sz w:val="36"/>
        </w:rPr>
      </w:pPr>
    </w:p>
    <w:p w:rsidR="00092CB7" w:rsidRDefault="00092CB7">
      <w:pPr>
        <w:rPr>
          <w:b/>
          <w:sz w:val="36"/>
        </w:rPr>
      </w:pPr>
    </w:p>
    <w:p w:rsidR="00092CB7" w:rsidRDefault="00092CB7">
      <w:pPr>
        <w:rPr>
          <w:b/>
          <w:sz w:val="36"/>
        </w:rPr>
      </w:pPr>
    </w:p>
    <w:p w:rsidR="00092CB7" w:rsidRDefault="00092CB7">
      <w:pPr>
        <w:rPr>
          <w:b/>
          <w:sz w:val="36"/>
        </w:rPr>
      </w:pPr>
    </w:p>
    <w:p w:rsidR="002B276B" w:rsidRDefault="00F41412">
      <w:pPr>
        <w:rPr>
          <w:b/>
          <w:sz w:val="36"/>
        </w:rPr>
      </w:pPr>
      <w:r>
        <w:rPr>
          <w:b/>
          <w:sz w:val="36"/>
        </w:rPr>
        <w:lastRenderedPageBreak/>
        <w:t>10</w:t>
      </w:r>
      <w:r w:rsidR="004A714A">
        <w:rPr>
          <w:b/>
          <w:sz w:val="36"/>
        </w:rPr>
        <w:t>. REFERENCES</w:t>
      </w:r>
    </w:p>
    <w:p w:rsidR="00F41412" w:rsidRDefault="00F41412">
      <w:pPr>
        <w:rPr>
          <w:noProof/>
        </w:rPr>
      </w:pPr>
      <w:r>
        <w:rPr>
          <w:b/>
          <w:sz w:val="36"/>
        </w:rPr>
        <w:fldChar w:fldCharType="begin"/>
      </w:r>
      <w:r>
        <w:rPr>
          <w:b/>
          <w:sz w:val="36"/>
        </w:rPr>
        <w:instrText xml:space="preserve"> BIBLIOGRAPHY  \l 2057 </w:instrText>
      </w:r>
      <w:r>
        <w:rPr>
          <w:b/>
          <w:sz w:val="36"/>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F41412">
        <w:trPr>
          <w:divId w:val="278684997"/>
          <w:tblCellSpacing w:w="15" w:type="dxa"/>
        </w:trPr>
        <w:tc>
          <w:tcPr>
            <w:tcW w:w="50" w:type="pct"/>
            <w:hideMark/>
          </w:tcPr>
          <w:p w:rsidR="00F41412" w:rsidRDefault="00F41412">
            <w:pPr>
              <w:pStyle w:val="Bibliography"/>
              <w:rPr>
                <w:noProof/>
                <w:sz w:val="24"/>
                <w:szCs w:val="24"/>
              </w:rPr>
            </w:pPr>
            <w:r>
              <w:rPr>
                <w:noProof/>
              </w:rPr>
              <w:t xml:space="preserve">[1] </w:t>
            </w:r>
          </w:p>
        </w:tc>
        <w:tc>
          <w:tcPr>
            <w:tcW w:w="0" w:type="auto"/>
            <w:hideMark/>
          </w:tcPr>
          <w:p w:rsidR="00F41412" w:rsidRDefault="00F41412">
            <w:pPr>
              <w:pStyle w:val="Bibliography"/>
              <w:rPr>
                <w:noProof/>
              </w:rPr>
            </w:pPr>
            <w:r>
              <w:rPr>
                <w:noProof/>
              </w:rPr>
              <w:t>Army Technology, “Shaped Charges - Rapid Cratering Kits,” [Online]. Available: https://www.army-technology.com/contractors/mines/cbrnergetics/pressreleases/medical-trauma-kits-prevent-injury/. [Accessed 05 02 2024].</w:t>
            </w:r>
          </w:p>
        </w:tc>
      </w:tr>
      <w:tr w:rsidR="00F41412">
        <w:trPr>
          <w:divId w:val="278684997"/>
          <w:tblCellSpacing w:w="15" w:type="dxa"/>
        </w:trPr>
        <w:tc>
          <w:tcPr>
            <w:tcW w:w="50" w:type="pct"/>
            <w:hideMark/>
          </w:tcPr>
          <w:p w:rsidR="00F41412" w:rsidRDefault="00F41412">
            <w:pPr>
              <w:pStyle w:val="Bibliography"/>
              <w:rPr>
                <w:noProof/>
              </w:rPr>
            </w:pPr>
            <w:r>
              <w:rPr>
                <w:noProof/>
              </w:rPr>
              <w:t xml:space="preserve">[2] </w:t>
            </w:r>
          </w:p>
        </w:tc>
        <w:tc>
          <w:tcPr>
            <w:tcW w:w="0" w:type="auto"/>
            <w:hideMark/>
          </w:tcPr>
          <w:p w:rsidR="00F41412" w:rsidRDefault="00F41412">
            <w:pPr>
              <w:pStyle w:val="Bibliography"/>
              <w:rPr>
                <w:noProof/>
              </w:rPr>
            </w:pPr>
            <w:r>
              <w:rPr>
                <w:noProof/>
              </w:rPr>
              <w:t>Defence &amp; Security Systems International, “Shaped Charges - Rapid Cratering Kits,” [Online]. Available: https://www.defence-and-security.com/news/shaped-charges-rapid-crater-kits-8866488/. [Accessed 05 01 2024].</w:t>
            </w:r>
          </w:p>
        </w:tc>
      </w:tr>
      <w:tr w:rsidR="00F41412">
        <w:trPr>
          <w:divId w:val="278684997"/>
          <w:tblCellSpacing w:w="15" w:type="dxa"/>
        </w:trPr>
        <w:tc>
          <w:tcPr>
            <w:tcW w:w="50" w:type="pct"/>
            <w:hideMark/>
          </w:tcPr>
          <w:p w:rsidR="00F41412" w:rsidRDefault="00F41412">
            <w:pPr>
              <w:pStyle w:val="Bibliography"/>
              <w:rPr>
                <w:noProof/>
              </w:rPr>
            </w:pPr>
            <w:r>
              <w:rPr>
                <w:noProof/>
              </w:rPr>
              <w:t xml:space="preserve">[3] </w:t>
            </w:r>
          </w:p>
        </w:tc>
        <w:tc>
          <w:tcPr>
            <w:tcW w:w="0" w:type="auto"/>
            <w:hideMark/>
          </w:tcPr>
          <w:p w:rsidR="00F41412" w:rsidRDefault="00F41412">
            <w:pPr>
              <w:pStyle w:val="Bibliography"/>
              <w:rPr>
                <w:noProof/>
              </w:rPr>
            </w:pPr>
            <w:r>
              <w:rPr>
                <w:noProof/>
              </w:rPr>
              <w:t xml:space="preserve">D. Hu, T. Long, C. Liu, G. Yang and X. Han, “Swelling movement induced by underground explosion of aluminized explosive in multilayered compact material,” </w:t>
            </w:r>
            <w:r>
              <w:rPr>
                <w:i/>
                <w:iCs/>
                <w:noProof/>
              </w:rPr>
              <w:t xml:space="preserve">Rock Mechanics &amp; Mining Sciences, </w:t>
            </w:r>
            <w:r>
              <w:rPr>
                <w:noProof/>
              </w:rPr>
              <w:t xml:space="preserve">vol. 71, pp. 330-339, 2014. </w:t>
            </w:r>
          </w:p>
        </w:tc>
      </w:tr>
      <w:tr w:rsidR="00F41412">
        <w:trPr>
          <w:divId w:val="278684997"/>
          <w:tblCellSpacing w:w="15" w:type="dxa"/>
        </w:trPr>
        <w:tc>
          <w:tcPr>
            <w:tcW w:w="50" w:type="pct"/>
            <w:hideMark/>
          </w:tcPr>
          <w:p w:rsidR="00F41412" w:rsidRDefault="00F41412">
            <w:pPr>
              <w:pStyle w:val="Bibliography"/>
              <w:rPr>
                <w:noProof/>
              </w:rPr>
            </w:pPr>
            <w:r>
              <w:rPr>
                <w:noProof/>
              </w:rPr>
              <w:t xml:space="preserve">[4] </w:t>
            </w:r>
          </w:p>
        </w:tc>
        <w:tc>
          <w:tcPr>
            <w:tcW w:w="0" w:type="auto"/>
            <w:hideMark/>
          </w:tcPr>
          <w:p w:rsidR="00F41412" w:rsidRDefault="00F41412">
            <w:pPr>
              <w:pStyle w:val="Bibliography"/>
              <w:rPr>
                <w:noProof/>
              </w:rPr>
            </w:pPr>
            <w:r>
              <w:rPr>
                <w:noProof/>
              </w:rPr>
              <w:t xml:space="preserve">B. Kramarczyk, P. Mertuszka, M. Pytlik and R. Szudeja, “Determining the brisance of seected emulsion explosives used in mining via the Hess method,” </w:t>
            </w:r>
            <w:r>
              <w:rPr>
                <w:i/>
                <w:iCs/>
                <w:noProof/>
              </w:rPr>
              <w:t xml:space="preserve">High Energy Materials, </w:t>
            </w:r>
            <w:r>
              <w:rPr>
                <w:noProof/>
              </w:rPr>
              <w:t xml:space="preserve">vol. 14, pp. 117-134, 2022. </w:t>
            </w:r>
          </w:p>
        </w:tc>
      </w:tr>
      <w:tr w:rsidR="00F41412">
        <w:trPr>
          <w:divId w:val="278684997"/>
          <w:tblCellSpacing w:w="15" w:type="dxa"/>
        </w:trPr>
        <w:tc>
          <w:tcPr>
            <w:tcW w:w="50" w:type="pct"/>
            <w:hideMark/>
          </w:tcPr>
          <w:p w:rsidR="00F41412" w:rsidRDefault="00F41412">
            <w:pPr>
              <w:pStyle w:val="Bibliography"/>
              <w:rPr>
                <w:noProof/>
              </w:rPr>
            </w:pPr>
            <w:r>
              <w:rPr>
                <w:noProof/>
              </w:rPr>
              <w:t xml:space="preserve">[5] </w:t>
            </w:r>
          </w:p>
        </w:tc>
        <w:tc>
          <w:tcPr>
            <w:tcW w:w="0" w:type="auto"/>
            <w:hideMark/>
          </w:tcPr>
          <w:p w:rsidR="00F41412" w:rsidRDefault="00F41412">
            <w:pPr>
              <w:pStyle w:val="Bibliography"/>
              <w:rPr>
                <w:noProof/>
              </w:rPr>
            </w:pPr>
            <w:r>
              <w:rPr>
                <w:noProof/>
              </w:rPr>
              <w:t xml:space="preserve">J. D. Yeager, S. I. Jackson and M. Short, “Effect of Temperature on Detonation Propagation in Composition B,” </w:t>
            </w:r>
            <w:r>
              <w:rPr>
                <w:i/>
                <w:iCs/>
                <w:noProof/>
              </w:rPr>
              <w:t xml:space="preserve">Proceedings of the 14th International Detonation Symposium, Office of Naval Research, </w:t>
            </w:r>
            <w:r>
              <w:rPr>
                <w:noProof/>
              </w:rPr>
              <w:t xml:space="preserve">pp. 769-778, 2015. </w:t>
            </w:r>
          </w:p>
        </w:tc>
      </w:tr>
      <w:tr w:rsidR="00F41412">
        <w:trPr>
          <w:divId w:val="278684997"/>
          <w:tblCellSpacing w:w="15" w:type="dxa"/>
        </w:trPr>
        <w:tc>
          <w:tcPr>
            <w:tcW w:w="50" w:type="pct"/>
            <w:hideMark/>
          </w:tcPr>
          <w:p w:rsidR="00F41412" w:rsidRDefault="00F41412">
            <w:pPr>
              <w:pStyle w:val="Bibliography"/>
              <w:rPr>
                <w:noProof/>
              </w:rPr>
            </w:pPr>
            <w:r>
              <w:rPr>
                <w:noProof/>
              </w:rPr>
              <w:t xml:space="preserve">[6] </w:t>
            </w:r>
          </w:p>
        </w:tc>
        <w:tc>
          <w:tcPr>
            <w:tcW w:w="0" w:type="auto"/>
            <w:hideMark/>
          </w:tcPr>
          <w:p w:rsidR="00F41412" w:rsidRDefault="00F41412">
            <w:pPr>
              <w:pStyle w:val="Bibliography"/>
              <w:rPr>
                <w:noProof/>
              </w:rPr>
            </w:pPr>
            <w:r>
              <w:rPr>
                <w:noProof/>
              </w:rPr>
              <w:t>S. E. Nyholm, “Insensitive Munitions and Ageing,” Defence Research Agency, Tumba, Sweden, 2009.</w:t>
            </w:r>
          </w:p>
        </w:tc>
      </w:tr>
      <w:tr w:rsidR="00F41412">
        <w:trPr>
          <w:divId w:val="278684997"/>
          <w:tblCellSpacing w:w="15" w:type="dxa"/>
        </w:trPr>
        <w:tc>
          <w:tcPr>
            <w:tcW w:w="50" w:type="pct"/>
            <w:hideMark/>
          </w:tcPr>
          <w:p w:rsidR="00F41412" w:rsidRDefault="00F41412">
            <w:pPr>
              <w:pStyle w:val="Bibliography"/>
              <w:rPr>
                <w:noProof/>
              </w:rPr>
            </w:pPr>
            <w:r>
              <w:rPr>
                <w:noProof/>
              </w:rPr>
              <w:t xml:space="preserve">[7] </w:t>
            </w:r>
          </w:p>
        </w:tc>
        <w:tc>
          <w:tcPr>
            <w:tcW w:w="0" w:type="auto"/>
            <w:hideMark/>
          </w:tcPr>
          <w:p w:rsidR="00F41412" w:rsidRDefault="00F41412">
            <w:pPr>
              <w:pStyle w:val="Bibliography"/>
              <w:rPr>
                <w:noProof/>
              </w:rPr>
            </w:pPr>
            <w:r>
              <w:rPr>
                <w:noProof/>
              </w:rPr>
              <w:t>Tripwire South, “Comp-B (Flake),” [Online]. Available: https://tripwiresouth.com/comp-b/. [Accessed 06 06 2024].</w:t>
            </w:r>
          </w:p>
        </w:tc>
      </w:tr>
      <w:tr w:rsidR="00F41412">
        <w:trPr>
          <w:divId w:val="278684997"/>
          <w:tblCellSpacing w:w="15" w:type="dxa"/>
        </w:trPr>
        <w:tc>
          <w:tcPr>
            <w:tcW w:w="50" w:type="pct"/>
            <w:hideMark/>
          </w:tcPr>
          <w:p w:rsidR="00F41412" w:rsidRDefault="00F41412">
            <w:pPr>
              <w:pStyle w:val="Bibliography"/>
              <w:rPr>
                <w:noProof/>
              </w:rPr>
            </w:pPr>
            <w:r>
              <w:rPr>
                <w:noProof/>
              </w:rPr>
              <w:t xml:space="preserve">[8] </w:t>
            </w:r>
          </w:p>
        </w:tc>
        <w:tc>
          <w:tcPr>
            <w:tcW w:w="0" w:type="auto"/>
            <w:hideMark/>
          </w:tcPr>
          <w:p w:rsidR="00F41412" w:rsidRDefault="00F41412">
            <w:pPr>
              <w:pStyle w:val="Bibliography"/>
              <w:rPr>
                <w:noProof/>
              </w:rPr>
            </w:pPr>
            <w:r>
              <w:rPr>
                <w:noProof/>
              </w:rPr>
              <w:t>K. Patel, P. Samuels, E. Wrobel and A. Di Stasio, “Characterisation of Granular IMX-104,” Explosives Developent Branch, BAE Systems.</w:t>
            </w:r>
          </w:p>
        </w:tc>
      </w:tr>
      <w:tr w:rsidR="00F41412">
        <w:trPr>
          <w:divId w:val="278684997"/>
          <w:tblCellSpacing w:w="15" w:type="dxa"/>
        </w:trPr>
        <w:tc>
          <w:tcPr>
            <w:tcW w:w="50" w:type="pct"/>
            <w:hideMark/>
          </w:tcPr>
          <w:p w:rsidR="00F41412" w:rsidRDefault="00F41412">
            <w:pPr>
              <w:pStyle w:val="Bibliography"/>
              <w:rPr>
                <w:noProof/>
              </w:rPr>
            </w:pPr>
            <w:r>
              <w:rPr>
                <w:noProof/>
              </w:rPr>
              <w:t xml:space="preserve">[9] </w:t>
            </w:r>
          </w:p>
        </w:tc>
        <w:tc>
          <w:tcPr>
            <w:tcW w:w="0" w:type="auto"/>
            <w:hideMark/>
          </w:tcPr>
          <w:p w:rsidR="00F41412" w:rsidRDefault="00F41412">
            <w:pPr>
              <w:pStyle w:val="Bibliography"/>
              <w:rPr>
                <w:noProof/>
              </w:rPr>
            </w:pPr>
            <w:r>
              <w:rPr>
                <w:noProof/>
              </w:rPr>
              <w:t xml:space="preserve">D. Frem, “A Review on IMX-101 and IMX-104 Melt-Cast Explosives: Insensitive Formulations for the Next-Generation Munition Systems,” </w:t>
            </w:r>
            <w:r>
              <w:rPr>
                <w:i/>
                <w:iCs/>
                <w:noProof/>
              </w:rPr>
              <w:t xml:space="preserve">Propellants, Explosives, Pyrotechnics, </w:t>
            </w:r>
            <w:r>
              <w:rPr>
                <w:noProof/>
              </w:rPr>
              <w:t xml:space="preserve">vol. 48, 2022. </w:t>
            </w:r>
          </w:p>
        </w:tc>
      </w:tr>
      <w:tr w:rsidR="00F41412">
        <w:trPr>
          <w:divId w:val="278684997"/>
          <w:tblCellSpacing w:w="15" w:type="dxa"/>
        </w:trPr>
        <w:tc>
          <w:tcPr>
            <w:tcW w:w="50" w:type="pct"/>
            <w:hideMark/>
          </w:tcPr>
          <w:p w:rsidR="00F41412" w:rsidRDefault="00F41412">
            <w:pPr>
              <w:pStyle w:val="Bibliography"/>
              <w:rPr>
                <w:noProof/>
              </w:rPr>
            </w:pPr>
            <w:r>
              <w:rPr>
                <w:noProof/>
              </w:rPr>
              <w:t xml:space="preserve">[10] </w:t>
            </w:r>
          </w:p>
        </w:tc>
        <w:tc>
          <w:tcPr>
            <w:tcW w:w="0" w:type="auto"/>
            <w:hideMark/>
          </w:tcPr>
          <w:p w:rsidR="00F41412" w:rsidRDefault="00F41412">
            <w:pPr>
              <w:pStyle w:val="Bibliography"/>
              <w:rPr>
                <w:noProof/>
              </w:rPr>
            </w:pPr>
            <w:r>
              <w:rPr>
                <w:noProof/>
              </w:rPr>
              <w:t>M. W. Smith and M. D. Cliff, “NTO-Based Explosive Formulations: A Technology Review,” Weapons Systems Division, Aeronautical and Maritime Research Laboratory, 1999.</w:t>
            </w:r>
          </w:p>
        </w:tc>
      </w:tr>
      <w:tr w:rsidR="00F41412">
        <w:trPr>
          <w:divId w:val="278684997"/>
          <w:tblCellSpacing w:w="15" w:type="dxa"/>
        </w:trPr>
        <w:tc>
          <w:tcPr>
            <w:tcW w:w="50" w:type="pct"/>
            <w:hideMark/>
          </w:tcPr>
          <w:p w:rsidR="00F41412" w:rsidRDefault="00F41412">
            <w:pPr>
              <w:pStyle w:val="Bibliography"/>
              <w:rPr>
                <w:noProof/>
              </w:rPr>
            </w:pPr>
            <w:r>
              <w:rPr>
                <w:noProof/>
              </w:rPr>
              <w:t xml:space="preserve">[11] </w:t>
            </w:r>
          </w:p>
        </w:tc>
        <w:tc>
          <w:tcPr>
            <w:tcW w:w="0" w:type="auto"/>
            <w:hideMark/>
          </w:tcPr>
          <w:p w:rsidR="00F41412" w:rsidRDefault="00F41412">
            <w:pPr>
              <w:pStyle w:val="Bibliography"/>
              <w:rPr>
                <w:noProof/>
              </w:rPr>
            </w:pPr>
            <w:r>
              <w:rPr>
                <w:noProof/>
              </w:rPr>
              <w:t xml:space="preserve">K. S. Rao, D. Ganesh, F. Yehya and A. K. Chaudhary, “A comparative study of thermal stability of TNT, RDX, CL20 and ANTA explosives using UV 266 nm-time resolved photoacoustic pyrolysis technique,” </w:t>
            </w:r>
            <w:r>
              <w:rPr>
                <w:i/>
                <w:iCs/>
                <w:noProof/>
              </w:rPr>
              <w:t xml:space="preserve">Spectrochimica Acta Part A: Molecular and Biomolecular Spectroscopy, </w:t>
            </w:r>
            <w:r>
              <w:rPr>
                <w:noProof/>
              </w:rPr>
              <w:t xml:space="preserve">vol. 211, pp. 212-220, 2019. </w:t>
            </w:r>
          </w:p>
        </w:tc>
      </w:tr>
      <w:tr w:rsidR="00F41412">
        <w:trPr>
          <w:divId w:val="278684997"/>
          <w:tblCellSpacing w:w="15" w:type="dxa"/>
        </w:trPr>
        <w:tc>
          <w:tcPr>
            <w:tcW w:w="50" w:type="pct"/>
            <w:hideMark/>
          </w:tcPr>
          <w:p w:rsidR="00F41412" w:rsidRDefault="00F41412">
            <w:pPr>
              <w:pStyle w:val="Bibliography"/>
              <w:rPr>
                <w:noProof/>
              </w:rPr>
            </w:pPr>
            <w:r>
              <w:rPr>
                <w:noProof/>
              </w:rPr>
              <w:t xml:space="preserve">[12] </w:t>
            </w:r>
          </w:p>
        </w:tc>
        <w:tc>
          <w:tcPr>
            <w:tcW w:w="0" w:type="auto"/>
            <w:hideMark/>
          </w:tcPr>
          <w:p w:rsidR="00F41412" w:rsidRDefault="00F41412">
            <w:pPr>
              <w:pStyle w:val="Bibliography"/>
              <w:rPr>
                <w:noProof/>
              </w:rPr>
            </w:pPr>
            <w:r>
              <w:rPr>
                <w:noProof/>
              </w:rPr>
              <w:t>T. Gilloux, B. Stephane, C. Christophe and E. Thomas, “New low cost melt-cast composition for IM mortar ammunition,” Thales LAS, France, 2024.</w:t>
            </w:r>
          </w:p>
        </w:tc>
      </w:tr>
    </w:tbl>
    <w:p w:rsidR="00F41412" w:rsidRDefault="00F41412">
      <w:pPr>
        <w:divId w:val="278684997"/>
        <w:rPr>
          <w:rFonts w:eastAsia="Times New Roman"/>
          <w:noProof/>
        </w:rPr>
      </w:pPr>
    </w:p>
    <w:p w:rsidR="00995821" w:rsidRPr="00876F70" w:rsidRDefault="00F41412">
      <w:pPr>
        <w:rPr>
          <w:b/>
          <w:sz w:val="36"/>
        </w:rPr>
      </w:pPr>
      <w:r>
        <w:rPr>
          <w:b/>
          <w:sz w:val="36"/>
        </w:rPr>
        <w:fldChar w:fldCharType="end"/>
      </w:r>
    </w:p>
    <w:sectPr w:rsidR="00995821" w:rsidRPr="00876F70" w:rsidSect="005A07AA">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32599"/>
    <w:multiLevelType w:val="hybridMultilevel"/>
    <w:tmpl w:val="471083C0"/>
    <w:lvl w:ilvl="0" w:tplc="268E5D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7A2DA3"/>
    <w:multiLevelType w:val="hybridMultilevel"/>
    <w:tmpl w:val="0E5A14F4"/>
    <w:lvl w:ilvl="0" w:tplc="268E5D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9700B0"/>
    <w:multiLevelType w:val="hybridMultilevel"/>
    <w:tmpl w:val="F2649DB0"/>
    <w:lvl w:ilvl="0" w:tplc="268E5D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432CA5"/>
    <w:multiLevelType w:val="hybridMultilevel"/>
    <w:tmpl w:val="CCF43C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7D0FDF"/>
    <w:multiLevelType w:val="hybridMultilevel"/>
    <w:tmpl w:val="1CA8E3DC"/>
    <w:lvl w:ilvl="0" w:tplc="268E5D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56395E"/>
    <w:multiLevelType w:val="hybridMultilevel"/>
    <w:tmpl w:val="18D63D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F055B2"/>
    <w:multiLevelType w:val="hybridMultilevel"/>
    <w:tmpl w:val="BAC22496"/>
    <w:lvl w:ilvl="0" w:tplc="268E5D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7C59AB"/>
    <w:multiLevelType w:val="hybridMultilevel"/>
    <w:tmpl w:val="6472D6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2A36BF"/>
    <w:multiLevelType w:val="hybridMultilevel"/>
    <w:tmpl w:val="F93AB29E"/>
    <w:lvl w:ilvl="0" w:tplc="0809000F">
      <w:start w:val="1"/>
      <w:numFmt w:val="decimal"/>
      <w:lvlText w:val="%1."/>
      <w:lvlJc w:val="left"/>
      <w:pPr>
        <w:ind w:left="360" w:hanging="360"/>
      </w:pPr>
    </w:lvl>
    <w:lvl w:ilvl="1" w:tplc="08090019">
      <w:start w:val="1"/>
      <w:numFmt w:val="lowerLetter"/>
      <w:lvlText w:val="%2."/>
      <w:lvlJc w:val="left"/>
      <w:pPr>
        <w:ind w:left="1068"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E1814EF"/>
    <w:multiLevelType w:val="hybridMultilevel"/>
    <w:tmpl w:val="5CF6E0C0"/>
    <w:lvl w:ilvl="0" w:tplc="74A6A4B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8E117D"/>
    <w:multiLevelType w:val="hybridMultilevel"/>
    <w:tmpl w:val="4A7021E0"/>
    <w:lvl w:ilvl="0" w:tplc="268E5D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B51C78"/>
    <w:multiLevelType w:val="hybridMultilevel"/>
    <w:tmpl w:val="A88EF05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59B077A"/>
    <w:multiLevelType w:val="hybridMultilevel"/>
    <w:tmpl w:val="119A8AE8"/>
    <w:lvl w:ilvl="0" w:tplc="268E5D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4A708A"/>
    <w:multiLevelType w:val="hybridMultilevel"/>
    <w:tmpl w:val="6AB6423C"/>
    <w:lvl w:ilvl="0" w:tplc="268E5D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7"/>
  </w:num>
  <w:num w:numId="4">
    <w:abstractNumId w:val="3"/>
  </w:num>
  <w:num w:numId="5">
    <w:abstractNumId w:val="11"/>
  </w:num>
  <w:num w:numId="6">
    <w:abstractNumId w:val="9"/>
  </w:num>
  <w:num w:numId="7">
    <w:abstractNumId w:val="13"/>
  </w:num>
  <w:num w:numId="8">
    <w:abstractNumId w:val="1"/>
  </w:num>
  <w:num w:numId="9">
    <w:abstractNumId w:val="6"/>
  </w:num>
  <w:num w:numId="10">
    <w:abstractNumId w:val="10"/>
  </w:num>
  <w:num w:numId="11">
    <w:abstractNumId w:val="12"/>
  </w:num>
  <w:num w:numId="12">
    <w:abstractNumId w:val="0"/>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BD9"/>
    <w:rsid w:val="00026415"/>
    <w:rsid w:val="00092CB7"/>
    <w:rsid w:val="000B6056"/>
    <w:rsid w:val="002367D8"/>
    <w:rsid w:val="002758A4"/>
    <w:rsid w:val="002A1BD9"/>
    <w:rsid w:val="002B276B"/>
    <w:rsid w:val="003420B2"/>
    <w:rsid w:val="0035280D"/>
    <w:rsid w:val="0037634E"/>
    <w:rsid w:val="004608AE"/>
    <w:rsid w:val="004A714A"/>
    <w:rsid w:val="004C7FDE"/>
    <w:rsid w:val="005045AA"/>
    <w:rsid w:val="00575EF2"/>
    <w:rsid w:val="005A07AA"/>
    <w:rsid w:val="005C0760"/>
    <w:rsid w:val="00685E2D"/>
    <w:rsid w:val="00691208"/>
    <w:rsid w:val="006D0B40"/>
    <w:rsid w:val="0075643E"/>
    <w:rsid w:val="00802F8B"/>
    <w:rsid w:val="00876F70"/>
    <w:rsid w:val="008A5F27"/>
    <w:rsid w:val="00935616"/>
    <w:rsid w:val="00995821"/>
    <w:rsid w:val="00AC07F2"/>
    <w:rsid w:val="00B53EBD"/>
    <w:rsid w:val="00BF7963"/>
    <w:rsid w:val="00C229A8"/>
    <w:rsid w:val="00C65912"/>
    <w:rsid w:val="00D309C7"/>
    <w:rsid w:val="00E46989"/>
    <w:rsid w:val="00E61111"/>
    <w:rsid w:val="00EA778C"/>
    <w:rsid w:val="00EB022C"/>
    <w:rsid w:val="00EB768A"/>
    <w:rsid w:val="00EC6E7E"/>
    <w:rsid w:val="00EE116B"/>
    <w:rsid w:val="00F34757"/>
    <w:rsid w:val="00F414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32358AF-E4C0-4E03-AEDC-11B855EBD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1BD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1BD9"/>
    <w:pPr>
      <w:ind w:left="720"/>
      <w:contextualSpacing/>
    </w:pPr>
  </w:style>
  <w:style w:type="table" w:styleId="TableGrid">
    <w:name w:val="Table Grid"/>
    <w:basedOn w:val="TableNormal"/>
    <w:uiPriority w:val="39"/>
    <w:rsid w:val="002A1B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85E2D"/>
    <w:rPr>
      <w:color w:val="0563C1" w:themeColor="hyperlink"/>
      <w:u w:val="single"/>
    </w:rPr>
  </w:style>
  <w:style w:type="paragraph" w:styleId="Bibliography">
    <w:name w:val="Bibliography"/>
    <w:basedOn w:val="Normal"/>
    <w:next w:val="Normal"/>
    <w:uiPriority w:val="37"/>
    <w:unhideWhenUsed/>
    <w:rsid w:val="00F414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0021303">
      <w:bodyDiv w:val="1"/>
      <w:marLeft w:val="0"/>
      <w:marRight w:val="0"/>
      <w:marTop w:val="0"/>
      <w:marBottom w:val="0"/>
      <w:divBdr>
        <w:top w:val="none" w:sz="0" w:space="0" w:color="auto"/>
        <w:left w:val="none" w:sz="0" w:space="0" w:color="auto"/>
        <w:bottom w:val="none" w:sz="0" w:space="0" w:color="auto"/>
        <w:right w:val="none" w:sz="0" w:space="0" w:color="auto"/>
      </w:divBdr>
    </w:div>
    <w:div w:id="278684997">
      <w:bodyDiv w:val="1"/>
      <w:marLeft w:val="0"/>
      <w:marRight w:val="0"/>
      <w:marTop w:val="0"/>
      <w:marBottom w:val="0"/>
      <w:divBdr>
        <w:top w:val="none" w:sz="0" w:space="0" w:color="auto"/>
        <w:left w:val="none" w:sz="0" w:space="0" w:color="auto"/>
        <w:bottom w:val="none" w:sz="0" w:space="0" w:color="auto"/>
        <w:right w:val="none" w:sz="0" w:space="0" w:color="auto"/>
      </w:divBdr>
    </w:div>
    <w:div w:id="291984570">
      <w:bodyDiv w:val="1"/>
      <w:marLeft w:val="0"/>
      <w:marRight w:val="0"/>
      <w:marTop w:val="0"/>
      <w:marBottom w:val="0"/>
      <w:divBdr>
        <w:top w:val="none" w:sz="0" w:space="0" w:color="auto"/>
        <w:left w:val="none" w:sz="0" w:space="0" w:color="auto"/>
        <w:bottom w:val="none" w:sz="0" w:space="0" w:color="auto"/>
        <w:right w:val="none" w:sz="0" w:space="0" w:color="auto"/>
      </w:divBdr>
    </w:div>
    <w:div w:id="335160391">
      <w:bodyDiv w:val="1"/>
      <w:marLeft w:val="0"/>
      <w:marRight w:val="0"/>
      <w:marTop w:val="0"/>
      <w:marBottom w:val="0"/>
      <w:divBdr>
        <w:top w:val="none" w:sz="0" w:space="0" w:color="auto"/>
        <w:left w:val="none" w:sz="0" w:space="0" w:color="auto"/>
        <w:bottom w:val="none" w:sz="0" w:space="0" w:color="auto"/>
        <w:right w:val="none" w:sz="0" w:space="0" w:color="auto"/>
      </w:divBdr>
    </w:div>
    <w:div w:id="418865033">
      <w:bodyDiv w:val="1"/>
      <w:marLeft w:val="0"/>
      <w:marRight w:val="0"/>
      <w:marTop w:val="0"/>
      <w:marBottom w:val="0"/>
      <w:divBdr>
        <w:top w:val="none" w:sz="0" w:space="0" w:color="auto"/>
        <w:left w:val="none" w:sz="0" w:space="0" w:color="auto"/>
        <w:bottom w:val="none" w:sz="0" w:space="0" w:color="auto"/>
        <w:right w:val="none" w:sz="0" w:space="0" w:color="auto"/>
      </w:divBdr>
    </w:div>
    <w:div w:id="481047769">
      <w:bodyDiv w:val="1"/>
      <w:marLeft w:val="0"/>
      <w:marRight w:val="0"/>
      <w:marTop w:val="0"/>
      <w:marBottom w:val="0"/>
      <w:divBdr>
        <w:top w:val="none" w:sz="0" w:space="0" w:color="auto"/>
        <w:left w:val="none" w:sz="0" w:space="0" w:color="auto"/>
        <w:bottom w:val="none" w:sz="0" w:space="0" w:color="auto"/>
        <w:right w:val="none" w:sz="0" w:space="0" w:color="auto"/>
      </w:divBdr>
    </w:div>
    <w:div w:id="541796111">
      <w:bodyDiv w:val="1"/>
      <w:marLeft w:val="0"/>
      <w:marRight w:val="0"/>
      <w:marTop w:val="0"/>
      <w:marBottom w:val="0"/>
      <w:divBdr>
        <w:top w:val="none" w:sz="0" w:space="0" w:color="auto"/>
        <w:left w:val="none" w:sz="0" w:space="0" w:color="auto"/>
        <w:bottom w:val="none" w:sz="0" w:space="0" w:color="auto"/>
        <w:right w:val="none" w:sz="0" w:space="0" w:color="auto"/>
      </w:divBdr>
    </w:div>
    <w:div w:id="713777069">
      <w:bodyDiv w:val="1"/>
      <w:marLeft w:val="0"/>
      <w:marRight w:val="0"/>
      <w:marTop w:val="0"/>
      <w:marBottom w:val="0"/>
      <w:divBdr>
        <w:top w:val="none" w:sz="0" w:space="0" w:color="auto"/>
        <w:left w:val="none" w:sz="0" w:space="0" w:color="auto"/>
        <w:bottom w:val="none" w:sz="0" w:space="0" w:color="auto"/>
        <w:right w:val="none" w:sz="0" w:space="0" w:color="auto"/>
      </w:divBdr>
    </w:div>
    <w:div w:id="748382742">
      <w:bodyDiv w:val="1"/>
      <w:marLeft w:val="0"/>
      <w:marRight w:val="0"/>
      <w:marTop w:val="0"/>
      <w:marBottom w:val="0"/>
      <w:divBdr>
        <w:top w:val="none" w:sz="0" w:space="0" w:color="auto"/>
        <w:left w:val="none" w:sz="0" w:space="0" w:color="auto"/>
        <w:bottom w:val="none" w:sz="0" w:space="0" w:color="auto"/>
        <w:right w:val="none" w:sz="0" w:space="0" w:color="auto"/>
      </w:divBdr>
    </w:div>
    <w:div w:id="765270763">
      <w:bodyDiv w:val="1"/>
      <w:marLeft w:val="0"/>
      <w:marRight w:val="0"/>
      <w:marTop w:val="0"/>
      <w:marBottom w:val="0"/>
      <w:divBdr>
        <w:top w:val="none" w:sz="0" w:space="0" w:color="auto"/>
        <w:left w:val="none" w:sz="0" w:space="0" w:color="auto"/>
        <w:bottom w:val="none" w:sz="0" w:space="0" w:color="auto"/>
        <w:right w:val="none" w:sz="0" w:space="0" w:color="auto"/>
      </w:divBdr>
    </w:div>
    <w:div w:id="769668862">
      <w:bodyDiv w:val="1"/>
      <w:marLeft w:val="0"/>
      <w:marRight w:val="0"/>
      <w:marTop w:val="0"/>
      <w:marBottom w:val="0"/>
      <w:divBdr>
        <w:top w:val="none" w:sz="0" w:space="0" w:color="auto"/>
        <w:left w:val="none" w:sz="0" w:space="0" w:color="auto"/>
        <w:bottom w:val="none" w:sz="0" w:space="0" w:color="auto"/>
        <w:right w:val="none" w:sz="0" w:space="0" w:color="auto"/>
      </w:divBdr>
    </w:div>
    <w:div w:id="814949810">
      <w:bodyDiv w:val="1"/>
      <w:marLeft w:val="0"/>
      <w:marRight w:val="0"/>
      <w:marTop w:val="0"/>
      <w:marBottom w:val="0"/>
      <w:divBdr>
        <w:top w:val="none" w:sz="0" w:space="0" w:color="auto"/>
        <w:left w:val="none" w:sz="0" w:space="0" w:color="auto"/>
        <w:bottom w:val="none" w:sz="0" w:space="0" w:color="auto"/>
        <w:right w:val="none" w:sz="0" w:space="0" w:color="auto"/>
      </w:divBdr>
    </w:div>
    <w:div w:id="826825618">
      <w:bodyDiv w:val="1"/>
      <w:marLeft w:val="0"/>
      <w:marRight w:val="0"/>
      <w:marTop w:val="0"/>
      <w:marBottom w:val="0"/>
      <w:divBdr>
        <w:top w:val="none" w:sz="0" w:space="0" w:color="auto"/>
        <w:left w:val="none" w:sz="0" w:space="0" w:color="auto"/>
        <w:bottom w:val="none" w:sz="0" w:space="0" w:color="auto"/>
        <w:right w:val="none" w:sz="0" w:space="0" w:color="auto"/>
      </w:divBdr>
    </w:div>
    <w:div w:id="893856682">
      <w:bodyDiv w:val="1"/>
      <w:marLeft w:val="0"/>
      <w:marRight w:val="0"/>
      <w:marTop w:val="0"/>
      <w:marBottom w:val="0"/>
      <w:divBdr>
        <w:top w:val="none" w:sz="0" w:space="0" w:color="auto"/>
        <w:left w:val="none" w:sz="0" w:space="0" w:color="auto"/>
        <w:bottom w:val="none" w:sz="0" w:space="0" w:color="auto"/>
        <w:right w:val="none" w:sz="0" w:space="0" w:color="auto"/>
      </w:divBdr>
    </w:div>
    <w:div w:id="982272438">
      <w:bodyDiv w:val="1"/>
      <w:marLeft w:val="0"/>
      <w:marRight w:val="0"/>
      <w:marTop w:val="0"/>
      <w:marBottom w:val="0"/>
      <w:divBdr>
        <w:top w:val="none" w:sz="0" w:space="0" w:color="auto"/>
        <w:left w:val="none" w:sz="0" w:space="0" w:color="auto"/>
        <w:bottom w:val="none" w:sz="0" w:space="0" w:color="auto"/>
        <w:right w:val="none" w:sz="0" w:space="0" w:color="auto"/>
      </w:divBdr>
    </w:div>
    <w:div w:id="998193327">
      <w:bodyDiv w:val="1"/>
      <w:marLeft w:val="0"/>
      <w:marRight w:val="0"/>
      <w:marTop w:val="0"/>
      <w:marBottom w:val="0"/>
      <w:divBdr>
        <w:top w:val="none" w:sz="0" w:space="0" w:color="auto"/>
        <w:left w:val="none" w:sz="0" w:space="0" w:color="auto"/>
        <w:bottom w:val="none" w:sz="0" w:space="0" w:color="auto"/>
        <w:right w:val="none" w:sz="0" w:space="0" w:color="auto"/>
      </w:divBdr>
    </w:div>
    <w:div w:id="1028992895">
      <w:bodyDiv w:val="1"/>
      <w:marLeft w:val="0"/>
      <w:marRight w:val="0"/>
      <w:marTop w:val="0"/>
      <w:marBottom w:val="0"/>
      <w:divBdr>
        <w:top w:val="none" w:sz="0" w:space="0" w:color="auto"/>
        <w:left w:val="none" w:sz="0" w:space="0" w:color="auto"/>
        <w:bottom w:val="none" w:sz="0" w:space="0" w:color="auto"/>
        <w:right w:val="none" w:sz="0" w:space="0" w:color="auto"/>
      </w:divBdr>
    </w:div>
    <w:div w:id="1072847411">
      <w:bodyDiv w:val="1"/>
      <w:marLeft w:val="0"/>
      <w:marRight w:val="0"/>
      <w:marTop w:val="0"/>
      <w:marBottom w:val="0"/>
      <w:divBdr>
        <w:top w:val="none" w:sz="0" w:space="0" w:color="auto"/>
        <w:left w:val="none" w:sz="0" w:space="0" w:color="auto"/>
        <w:bottom w:val="none" w:sz="0" w:space="0" w:color="auto"/>
        <w:right w:val="none" w:sz="0" w:space="0" w:color="auto"/>
      </w:divBdr>
    </w:div>
    <w:div w:id="1260717980">
      <w:bodyDiv w:val="1"/>
      <w:marLeft w:val="0"/>
      <w:marRight w:val="0"/>
      <w:marTop w:val="0"/>
      <w:marBottom w:val="0"/>
      <w:divBdr>
        <w:top w:val="none" w:sz="0" w:space="0" w:color="auto"/>
        <w:left w:val="none" w:sz="0" w:space="0" w:color="auto"/>
        <w:bottom w:val="none" w:sz="0" w:space="0" w:color="auto"/>
        <w:right w:val="none" w:sz="0" w:space="0" w:color="auto"/>
      </w:divBdr>
    </w:div>
    <w:div w:id="1358505918">
      <w:bodyDiv w:val="1"/>
      <w:marLeft w:val="0"/>
      <w:marRight w:val="0"/>
      <w:marTop w:val="0"/>
      <w:marBottom w:val="0"/>
      <w:divBdr>
        <w:top w:val="none" w:sz="0" w:space="0" w:color="auto"/>
        <w:left w:val="none" w:sz="0" w:space="0" w:color="auto"/>
        <w:bottom w:val="none" w:sz="0" w:space="0" w:color="auto"/>
        <w:right w:val="none" w:sz="0" w:space="0" w:color="auto"/>
      </w:divBdr>
    </w:div>
    <w:div w:id="1501195501">
      <w:bodyDiv w:val="1"/>
      <w:marLeft w:val="0"/>
      <w:marRight w:val="0"/>
      <w:marTop w:val="0"/>
      <w:marBottom w:val="0"/>
      <w:divBdr>
        <w:top w:val="none" w:sz="0" w:space="0" w:color="auto"/>
        <w:left w:val="none" w:sz="0" w:space="0" w:color="auto"/>
        <w:bottom w:val="none" w:sz="0" w:space="0" w:color="auto"/>
        <w:right w:val="none" w:sz="0" w:space="0" w:color="auto"/>
      </w:divBdr>
    </w:div>
    <w:div w:id="1591767235">
      <w:bodyDiv w:val="1"/>
      <w:marLeft w:val="0"/>
      <w:marRight w:val="0"/>
      <w:marTop w:val="0"/>
      <w:marBottom w:val="0"/>
      <w:divBdr>
        <w:top w:val="none" w:sz="0" w:space="0" w:color="auto"/>
        <w:left w:val="none" w:sz="0" w:space="0" w:color="auto"/>
        <w:bottom w:val="none" w:sz="0" w:space="0" w:color="auto"/>
        <w:right w:val="none" w:sz="0" w:space="0" w:color="auto"/>
      </w:divBdr>
    </w:div>
    <w:div w:id="1861889650">
      <w:bodyDiv w:val="1"/>
      <w:marLeft w:val="0"/>
      <w:marRight w:val="0"/>
      <w:marTop w:val="0"/>
      <w:marBottom w:val="0"/>
      <w:divBdr>
        <w:top w:val="none" w:sz="0" w:space="0" w:color="auto"/>
        <w:left w:val="none" w:sz="0" w:space="0" w:color="auto"/>
        <w:bottom w:val="none" w:sz="0" w:space="0" w:color="auto"/>
        <w:right w:val="none" w:sz="0" w:space="0" w:color="auto"/>
      </w:divBdr>
    </w:div>
    <w:div w:id="2058041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stvgroup.cz/en/product/shaped-charge-nr-5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Arm24</b:Tag>
    <b:SourceType>InternetSite</b:SourceType>
    <b:Guid>{D372CBAA-CEA3-4AE1-85DF-76C362DFF223}</b:Guid>
    <b:Title>Shaped Charges - Rapid Cratering Kits</b:Title>
    <b:Author>
      <b:Author>
        <b:Corporate>Army Technology</b:Corporate>
      </b:Author>
    </b:Author>
    <b:YearAccessed>2024</b:YearAccessed>
    <b:MonthAccessed>02</b:MonthAccessed>
    <b:DayAccessed>05</b:DayAccessed>
    <b:URL>https://www.army-technology.com/contractors/mines/cbrnergetics/pressreleases/medical-trauma-kits-prevent-injury/</b:URL>
    <b:RefOrder>1</b:RefOrder>
  </b:Source>
  <b:Source>
    <b:Tag>Def24</b:Tag>
    <b:SourceType>InternetSite</b:SourceType>
    <b:Guid>{81D3B1BC-E9BC-4E2D-8906-1E4D791850C4}</b:Guid>
    <b:Author>
      <b:Author>
        <b:Corporate>Defence &amp; Security Systems International</b:Corporate>
      </b:Author>
    </b:Author>
    <b:Title>Shaped Charges - Rapid Cratering Kits</b:Title>
    <b:YearAccessed>2024</b:YearAccessed>
    <b:MonthAccessed>01</b:MonthAccessed>
    <b:DayAccessed>05</b:DayAccessed>
    <b:URL>https://www.defence-and-security.com/news/shaped-charges-rapid-crater-kits-8866488/</b:URL>
    <b:RefOrder>2</b:RefOrder>
  </b:Source>
  <b:Source>
    <b:Tag>Kra22</b:Tag>
    <b:SourceType>JournalArticle</b:SourceType>
    <b:Guid>{2A1FC1C7-837C-4EE4-BE72-08F3ADC5AA16}</b:Guid>
    <b:Title>Determining the brisance of seected emulsion explosives used in mining via the Hess method</b:Title>
    <b:JournalName>High Energy Materials</b:JournalName>
    <b:Year>2022</b:Year>
    <b:Pages>117-134</b:Pages>
    <b:Volume>14</b:Volume>
    <b:Author>
      <b:Author>
        <b:NameList>
          <b:Person>
            <b:Last>Kramarczyk</b:Last>
            <b:First>Bartlomiej</b:First>
          </b:Person>
          <b:Person>
            <b:Last>Mertuszka</b:Last>
            <b:First>Piotr</b:First>
          </b:Person>
          <b:Person>
            <b:Last>Pytlik</b:Last>
            <b:First>Mateusz</b:First>
          </b:Person>
          <b:Person>
            <b:Last>Szudeja</b:Last>
            <b:First>Rafal</b:First>
          </b:Person>
        </b:NameList>
      </b:Author>
    </b:Author>
    <b:RefOrder>4</b:RefOrder>
  </b:Source>
  <b:Source>
    <b:Tag>Pat</b:Tag>
    <b:SourceType>Report</b:SourceType>
    <b:Guid>{9EA030E0-91B4-44E3-AEE3-A7ABF422F7C2}</b:Guid>
    <b:Title>Characterisation of Granular IMX-104</b:Title>
    <b:Author>
      <b:Author>
        <b:NameList>
          <b:Person>
            <b:Last>Patel</b:Last>
            <b:First>Keyur</b:First>
          </b:Person>
          <b:Person>
            <b:Last>Samuels</b:Last>
            <b:First>Philip</b:First>
          </b:Person>
          <b:Person>
            <b:Last>Wrobel</b:Last>
            <b:First>Erik</b:First>
          </b:Person>
          <b:Person>
            <b:Last>Di Stasio</b:Last>
            <b:First>Anthony</b:First>
          </b:Person>
        </b:NameList>
      </b:Author>
    </b:Author>
    <b:Publisher>Explosives Developent Branch, BAE Systems</b:Publisher>
    <b:RefOrder>8</b:RefOrder>
  </b:Source>
  <b:Source>
    <b:Tag>Fre22</b:Tag>
    <b:SourceType>JournalArticle</b:SourceType>
    <b:Guid>{10161C8D-4EE9-487C-9A9E-B6E777F92567}</b:Guid>
    <b:Title>A Review on IMX-101 and IMX-104 Melt-Cast Explosives: Insensitive Formulations for the Next-Generation Munition Systems</b:Title>
    <b:Year>2022</b:Year>
    <b:JournalName>Propellants, Explosives, Pyrotechnics</b:JournalName>
    <b:Volume>48</b:Volume>
    <b:Author>
      <b:Author>
        <b:NameList>
          <b:Person>
            <b:Last>Frem</b:Last>
            <b:First>Dany</b:First>
          </b:Person>
        </b:NameList>
      </b:Author>
    </b:Author>
    <b:RefOrder>9</b:RefOrder>
  </b:Source>
  <b:Source>
    <b:Tag>Smi99</b:Tag>
    <b:SourceType>Report</b:SourceType>
    <b:Guid>{5CA1C0C2-EBBB-4746-8C3A-53F1D5672D3A}</b:Guid>
    <b:Title>NTO-Based Explosive Formulations: A Technology Review</b:Title>
    <b:Year>1999</b:Year>
    <b:Author>
      <b:Author>
        <b:NameList>
          <b:Person>
            <b:Last>Smith</b:Last>
            <b:Middle>W</b:Middle>
            <b:First>Matthew</b:First>
          </b:Person>
          <b:Person>
            <b:Last>Cliff</b:Last>
            <b:Middle>D</b:Middle>
            <b:First>Matthew</b:First>
          </b:Person>
        </b:NameList>
      </b:Author>
    </b:Author>
    <b:Publisher>Weapons Systems Division, Aeronautical and Maritime Research Laboratory</b:Publisher>
    <b:RefOrder>10</b:RefOrder>
  </b:Source>
  <b:Source>
    <b:Tag>Gil24</b:Tag>
    <b:SourceType>Report</b:SourceType>
    <b:Guid>{527DF1DD-3E16-48BB-A3BA-467C1768CAD6}</b:Guid>
    <b:Title>New low cost melt-cast composition for IM mortar ammunition</b:Title>
    <b:Year>2024</b:Year>
    <b:Publisher>Thales LAS</b:Publisher>
    <b:City>France</b:City>
    <b:Author>
      <b:Author>
        <b:NameList>
          <b:Person>
            <b:Last>Gilloux</b:Last>
            <b:First>Teddy</b:First>
          </b:Person>
          <b:Person>
            <b:Last>Stephane</b:Last>
            <b:First>Bulot</b:First>
          </b:Person>
          <b:Person>
            <b:Last>Christophe</b:Last>
            <b:First>Coulouarn</b:First>
          </b:Person>
          <b:Person>
            <b:Last>Thomas</b:Last>
            <b:First>Elias</b:First>
          </b:Person>
        </b:NameList>
      </b:Author>
    </b:Author>
    <b:RefOrder>12</b:RefOrder>
  </b:Source>
  <b:Source>
    <b:Tag>HuD14</b:Tag>
    <b:SourceType>JournalArticle</b:SourceType>
    <b:Guid>{56147580-5B83-40FB-8610-5F41461E891D}</b:Guid>
    <b:Title>Swelling movement induced by underground explosion of aluminized explosive in multilayered compact material</b:Title>
    <b:Year>2014</b:Year>
    <b:Author>
      <b:Author>
        <b:NameList>
          <b:Person>
            <b:Last>Hu</b:Last>
            <b:First>Dean</b:First>
          </b:Person>
          <b:Person>
            <b:Last>Long</b:Last>
            <b:First>Ting</b:First>
          </b:Person>
          <b:Person>
            <b:Last>Liu</b:Last>
            <b:First>Chunhan</b:First>
          </b:Person>
          <b:Person>
            <b:Last>Yang</b:Last>
            <b:First>Gang</b:First>
          </b:Person>
          <b:Person>
            <b:Last>Han</b:Last>
            <b:First>Xu</b:First>
          </b:Person>
        </b:NameList>
      </b:Author>
    </b:Author>
    <b:JournalName>Rock Mechanics &amp; Mining Sciences</b:JournalName>
    <b:Pages>330-339</b:Pages>
    <b:Volume>71</b:Volume>
    <b:RefOrder>3</b:RefOrder>
  </b:Source>
  <b:Source>
    <b:Tag>Yea15</b:Tag>
    <b:SourceType>JournalArticle</b:SourceType>
    <b:Guid>{BD084C32-A80A-46B9-9FA9-66B226FBA55C}</b:Guid>
    <b:Title>Effect of Temperature on Detonation Propagation in Composition B</b:Title>
    <b:Year>2015</b:Year>
    <b:Author>
      <b:Author>
        <b:NameList>
          <b:Person>
            <b:Last>Yeager</b:Last>
            <b:Middle>D</b:Middle>
            <b:First>John</b:First>
          </b:Person>
          <b:Person>
            <b:Last>Jackson</b:Last>
            <b:Middle>I</b:Middle>
            <b:First>Scott</b:First>
          </b:Person>
          <b:Person>
            <b:Last>Short</b:Last>
            <b:First>Mark</b:First>
          </b:Person>
        </b:NameList>
      </b:Author>
    </b:Author>
    <b:JournalName>Proceedings of the 14th International Detonation Symposium, Office of Naval Research</b:JournalName>
    <b:Pages>769-778</b:Pages>
    <b:City>Los Alamos National Laboratory, NM, USA</b:City>
    <b:RefOrder>5</b:RefOrder>
  </b:Source>
  <b:Source>
    <b:Tag>Tri24</b:Tag>
    <b:SourceType>InternetSite</b:SourceType>
    <b:Guid>{EC0F6AED-2E00-4E9F-8F74-287B0D6FA4C5}</b:Guid>
    <b:Title>Comp-B (Flake)</b:Title>
    <b:Author>
      <b:Author>
        <b:Corporate>Tripwire South</b:Corporate>
      </b:Author>
    </b:Author>
    <b:Day>2024</b:Day>
    <b:YearAccessed>2024</b:YearAccessed>
    <b:MonthAccessed>06</b:MonthAccessed>
    <b:DayAccessed>06</b:DayAccessed>
    <b:URL>https://tripwiresouth.com/comp-b/</b:URL>
    <b:RefOrder>7</b:RefOrder>
  </b:Source>
  <b:Source>
    <b:Tag>Nyh09</b:Tag>
    <b:SourceType>Report</b:SourceType>
    <b:Guid>{78EBA2F4-A97D-40E6-91EF-08A7DB23128B}</b:Guid>
    <b:Title>Insensitive Munitions and Ageing</b:Title>
    <b:Year>2009</b:Year>
    <b:Author>
      <b:Author>
        <b:NameList>
          <b:Person>
            <b:Last>Nyholm</b:Last>
            <b:Middle>E</b:Middle>
            <b:First>Sten</b:First>
          </b:Person>
        </b:NameList>
      </b:Author>
    </b:Author>
    <b:Publisher>Defence Research Agency</b:Publisher>
    <b:City>Tumba, Sweden</b:City>
    <b:RefOrder>6</b:RefOrder>
  </b:Source>
  <b:Source>
    <b:Tag>Rao19</b:Tag>
    <b:SourceType>JournalArticle</b:SourceType>
    <b:Guid>{672F8667-5B5A-4386-9571-5587D6AEA298}</b:Guid>
    <b:Title>A comparative study of thermal stability of TNT, RDX, CL20 and ANTA explosives using UV 266 nm-time resolved photoacoustic pyrolysis technique</b:Title>
    <b:Year>2019</b:Year>
    <b:Author>
      <b:Author>
        <b:NameList>
          <b:Person>
            <b:Last>Rao</b:Last>
            <b:Middle>S</b:Middle>
            <b:First>K</b:First>
          </b:Person>
          <b:Person>
            <b:Last>Ganesh</b:Last>
            <b:First>D</b:First>
          </b:Person>
          <b:Person>
            <b:Last>Yehya</b:Last>
            <b:First>F</b:First>
          </b:Person>
          <b:Person>
            <b:Last>Chaudhary</b:Last>
            <b:Middle>K</b:Middle>
            <b:First>A</b:First>
          </b:Person>
        </b:NameList>
      </b:Author>
    </b:Author>
    <b:JournalName>Spectrochimica Acta Part A: Molecular and Biomolecular Spectroscopy</b:JournalName>
    <b:Pages>212-220</b:Pages>
    <b:Volume>211</b:Volume>
    <b:RefOrder>11</b:RefOrder>
  </b:Source>
</b:Sources>
</file>

<file path=customXml/itemProps1.xml><?xml version="1.0" encoding="utf-8"?>
<ds:datastoreItem xmlns:ds="http://schemas.openxmlformats.org/officeDocument/2006/customXml" ds:itemID="{A322671E-E47F-4124-BBF8-AA45579A9A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4004</Words>
  <Characters>22825</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dc:creator>
  <cp:keywords/>
  <dc:description/>
  <cp:lastModifiedBy>Will</cp:lastModifiedBy>
  <cp:revision>3</cp:revision>
  <dcterms:created xsi:type="dcterms:W3CDTF">2024-07-08T13:49:00Z</dcterms:created>
  <dcterms:modified xsi:type="dcterms:W3CDTF">2024-07-08T13:50:00Z</dcterms:modified>
</cp:coreProperties>
</file>