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7F8F6" w14:textId="22BE903B" w:rsidR="00A00680" w:rsidRPr="005106CE" w:rsidRDefault="00A3373A" w:rsidP="0040695E">
      <w:pPr>
        <w:jc w:val="center"/>
        <w:rPr>
          <w:rFonts w:ascii="Arial" w:hAnsi="Arial" w:cs="Arial"/>
          <w:sz w:val="22"/>
          <w:szCs w:val="22"/>
          <w:lang w:val="en-GB"/>
        </w:rPr>
      </w:pPr>
      <w:bookmarkStart w:id="0" w:name="_g35yunvv7z97" w:colFirst="0" w:colLast="0"/>
      <w:bookmarkEnd w:id="0"/>
      <w:r w:rsidRPr="005106CE">
        <w:rPr>
          <w:rFonts w:ascii="Arial" w:hAnsi="Arial" w:cs="Arial"/>
          <w:noProof/>
          <w:sz w:val="22"/>
          <w:szCs w:val="22"/>
          <w:lang w:val="en-GB"/>
        </w:rPr>
        <w:drawing>
          <wp:inline distT="0" distB="0" distL="0" distR="0" wp14:anchorId="656F0299" wp14:editId="491AC32E">
            <wp:extent cx="2867025" cy="1590675"/>
            <wp:effectExtent l="0" t="0" r="9525" b="9525"/>
            <wp:docPr id="740096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pic:spPr>
                </pic:pic>
              </a:graphicData>
            </a:graphic>
          </wp:inline>
        </w:drawing>
      </w:r>
    </w:p>
    <w:p w14:paraId="6D96D473" w14:textId="77777777" w:rsidR="00A00680" w:rsidRPr="005106CE" w:rsidRDefault="00160DDB">
      <w:pPr>
        <w:jc w:val="center"/>
        <w:rPr>
          <w:rFonts w:ascii="Arial" w:hAnsi="Arial" w:cs="Arial"/>
          <w:b/>
          <w:bCs/>
          <w:sz w:val="32"/>
          <w:szCs w:val="32"/>
          <w:lang w:val="en-GB"/>
        </w:rPr>
      </w:pPr>
      <w:r w:rsidRPr="005106CE">
        <w:rPr>
          <w:rFonts w:ascii="Arial" w:hAnsi="Arial" w:cs="Arial"/>
          <w:b/>
          <w:bCs/>
          <w:sz w:val="32"/>
          <w:szCs w:val="32"/>
          <w:lang w:val="en-GB"/>
        </w:rPr>
        <w:t>Programme: MSc Public Health and Social Care in Practice</w:t>
      </w:r>
    </w:p>
    <w:p w14:paraId="3537592D" w14:textId="77777777" w:rsidR="0040695E" w:rsidRPr="005106CE" w:rsidRDefault="0040695E">
      <w:pPr>
        <w:jc w:val="center"/>
        <w:rPr>
          <w:rFonts w:ascii="Arial" w:hAnsi="Arial" w:cs="Arial"/>
          <w:b/>
          <w:bCs/>
          <w:sz w:val="28"/>
          <w:szCs w:val="28"/>
          <w:lang w:val="en-GB"/>
        </w:rPr>
      </w:pPr>
    </w:p>
    <w:p w14:paraId="4E612CDF" w14:textId="77777777" w:rsidR="00A00680" w:rsidRPr="005106CE" w:rsidRDefault="00160DDB">
      <w:pPr>
        <w:jc w:val="center"/>
        <w:rPr>
          <w:rFonts w:ascii="Arial" w:hAnsi="Arial" w:cs="Arial"/>
          <w:b/>
          <w:bCs/>
          <w:sz w:val="28"/>
          <w:szCs w:val="28"/>
          <w:lang w:val="en-GB"/>
        </w:rPr>
      </w:pPr>
      <w:r w:rsidRPr="005106CE">
        <w:rPr>
          <w:rFonts w:ascii="Arial" w:hAnsi="Arial" w:cs="Arial"/>
          <w:b/>
          <w:bCs/>
          <w:sz w:val="28"/>
          <w:szCs w:val="28"/>
          <w:lang w:val="en-GB"/>
        </w:rPr>
        <w:t>Module: Health Care System, Organisation and Leadership</w:t>
      </w:r>
    </w:p>
    <w:p w14:paraId="010352D6" w14:textId="77777777" w:rsidR="00A00680" w:rsidRPr="005106CE" w:rsidRDefault="00160DDB">
      <w:pPr>
        <w:jc w:val="center"/>
        <w:rPr>
          <w:rFonts w:ascii="Arial" w:hAnsi="Arial" w:cs="Arial"/>
          <w:b/>
          <w:bCs/>
          <w:sz w:val="28"/>
          <w:szCs w:val="28"/>
          <w:lang w:val="en-GB"/>
        </w:rPr>
      </w:pPr>
      <w:r w:rsidRPr="005106CE">
        <w:rPr>
          <w:rFonts w:ascii="Arial" w:hAnsi="Arial" w:cs="Arial"/>
          <w:b/>
          <w:bCs/>
          <w:sz w:val="28"/>
          <w:szCs w:val="28"/>
          <w:lang w:val="en-GB"/>
        </w:rPr>
        <w:t>Module code: LCHS7002</w:t>
      </w:r>
    </w:p>
    <w:p w14:paraId="778D9DD3" w14:textId="77777777" w:rsidR="00A00680" w:rsidRPr="005106CE" w:rsidRDefault="00A00680">
      <w:pPr>
        <w:pStyle w:val="Heading1"/>
        <w:rPr>
          <w:rFonts w:ascii="Arial" w:hAnsi="Arial" w:cs="Arial"/>
          <w:lang w:val="en-GB"/>
        </w:rPr>
      </w:pPr>
      <w:bookmarkStart w:id="1" w:name="_ucksuy38yq4y" w:colFirst="0" w:colLast="0"/>
      <w:bookmarkEnd w:id="1"/>
    </w:p>
    <w:p w14:paraId="29210C23" w14:textId="77777777" w:rsidR="00A00680" w:rsidRPr="005106CE" w:rsidRDefault="00A00680">
      <w:pPr>
        <w:pStyle w:val="Heading1"/>
        <w:rPr>
          <w:rFonts w:ascii="Arial" w:hAnsi="Arial" w:cs="Arial"/>
          <w:lang w:val="en-GB"/>
        </w:rPr>
      </w:pPr>
      <w:bookmarkStart w:id="2" w:name="_tdj6m1jxqtpo" w:colFirst="0" w:colLast="0"/>
      <w:bookmarkStart w:id="3" w:name="_w7k3pm82qgf8" w:colFirst="0" w:colLast="0"/>
      <w:bookmarkEnd w:id="2"/>
      <w:bookmarkEnd w:id="3"/>
    </w:p>
    <w:p w14:paraId="623CBD9C" w14:textId="77777777" w:rsidR="00AF7B7C" w:rsidRDefault="0040695E" w:rsidP="0040695E">
      <w:pPr>
        <w:jc w:val="center"/>
        <w:rPr>
          <w:rFonts w:ascii="Arial" w:hAnsi="Arial" w:cs="Arial"/>
          <w:b/>
          <w:bCs/>
          <w:sz w:val="32"/>
          <w:szCs w:val="32"/>
          <w:lang w:val="en-GB"/>
        </w:rPr>
      </w:pPr>
      <w:r w:rsidRPr="005106CE">
        <w:rPr>
          <w:rFonts w:ascii="Arial" w:hAnsi="Arial" w:cs="Arial"/>
          <w:b/>
          <w:bCs/>
          <w:sz w:val="32"/>
          <w:szCs w:val="32"/>
          <w:lang w:val="en-GB"/>
        </w:rPr>
        <w:t>Comparative report on COVID19 leadership Responses</w:t>
      </w:r>
    </w:p>
    <w:p w14:paraId="577A6398" w14:textId="77777777" w:rsidR="00AF7B7C" w:rsidRDefault="00AF7B7C" w:rsidP="0040695E">
      <w:pPr>
        <w:jc w:val="center"/>
        <w:rPr>
          <w:rFonts w:ascii="Arial" w:hAnsi="Arial" w:cs="Arial"/>
          <w:b/>
          <w:bCs/>
          <w:sz w:val="32"/>
          <w:szCs w:val="32"/>
          <w:lang w:val="en-GB"/>
        </w:rPr>
      </w:pPr>
    </w:p>
    <w:p w14:paraId="4C924D1D" w14:textId="77777777" w:rsidR="00AF7B7C" w:rsidRDefault="00AF7B7C" w:rsidP="0040695E">
      <w:pPr>
        <w:jc w:val="center"/>
        <w:rPr>
          <w:rFonts w:ascii="Arial" w:hAnsi="Arial" w:cs="Arial"/>
          <w:b/>
          <w:bCs/>
          <w:sz w:val="32"/>
          <w:szCs w:val="32"/>
          <w:lang w:val="en-GB"/>
        </w:rPr>
      </w:pPr>
    </w:p>
    <w:p w14:paraId="117DFF0F" w14:textId="3A5D6CC7" w:rsidR="00AF7B7C" w:rsidRDefault="00AF7B7C" w:rsidP="0040695E">
      <w:pPr>
        <w:jc w:val="center"/>
        <w:rPr>
          <w:rFonts w:ascii="Arial" w:hAnsi="Arial" w:cs="Arial"/>
          <w:b/>
          <w:bCs/>
          <w:sz w:val="32"/>
          <w:szCs w:val="32"/>
          <w:lang w:val="en-GB"/>
        </w:rPr>
      </w:pPr>
      <w:r>
        <w:rPr>
          <w:rFonts w:ascii="Arial" w:hAnsi="Arial" w:cs="Arial"/>
          <w:b/>
          <w:bCs/>
          <w:sz w:val="32"/>
          <w:szCs w:val="32"/>
          <w:lang w:val="en-GB"/>
        </w:rPr>
        <w:t xml:space="preserve">Lecturer: </w:t>
      </w:r>
      <w:r w:rsidRPr="00AF7B7C">
        <w:rPr>
          <w:rFonts w:ascii="Arial" w:hAnsi="Arial" w:cs="Arial"/>
          <w:b/>
          <w:bCs/>
          <w:sz w:val="32"/>
          <w:szCs w:val="32"/>
          <w:lang w:val="en-GB"/>
        </w:rPr>
        <w:t xml:space="preserve">Dr </w:t>
      </w:r>
      <w:r>
        <w:rPr>
          <w:rFonts w:ascii="Arial" w:hAnsi="Arial" w:cs="Arial"/>
          <w:b/>
          <w:bCs/>
          <w:sz w:val="32"/>
          <w:szCs w:val="32"/>
          <w:lang w:val="en-GB"/>
        </w:rPr>
        <w:t>C</w:t>
      </w:r>
      <w:r w:rsidRPr="00AF7B7C">
        <w:rPr>
          <w:rFonts w:ascii="Arial" w:hAnsi="Arial" w:cs="Arial"/>
          <w:b/>
          <w:bCs/>
          <w:sz w:val="32"/>
          <w:szCs w:val="32"/>
          <w:lang w:val="en-GB"/>
        </w:rPr>
        <w:t xml:space="preserve">hristopher </w:t>
      </w:r>
      <w:r>
        <w:rPr>
          <w:rFonts w:ascii="Arial" w:hAnsi="Arial" w:cs="Arial"/>
          <w:b/>
          <w:bCs/>
          <w:sz w:val="32"/>
          <w:szCs w:val="32"/>
          <w:lang w:val="en-GB"/>
        </w:rPr>
        <w:t>M</w:t>
      </w:r>
      <w:r w:rsidRPr="00AF7B7C">
        <w:rPr>
          <w:rFonts w:ascii="Arial" w:hAnsi="Arial" w:cs="Arial"/>
          <w:b/>
          <w:bCs/>
          <w:sz w:val="32"/>
          <w:szCs w:val="32"/>
          <w:lang w:val="en-GB"/>
        </w:rPr>
        <w:t>afuva</w:t>
      </w:r>
    </w:p>
    <w:p w14:paraId="2CE2326E" w14:textId="77777777" w:rsidR="00AF7B7C" w:rsidRDefault="00AF7B7C" w:rsidP="0040695E">
      <w:pPr>
        <w:jc w:val="center"/>
        <w:rPr>
          <w:rFonts w:ascii="Arial" w:hAnsi="Arial" w:cs="Arial"/>
          <w:b/>
          <w:bCs/>
          <w:sz w:val="32"/>
          <w:szCs w:val="32"/>
          <w:lang w:val="en-GB"/>
        </w:rPr>
      </w:pPr>
    </w:p>
    <w:p w14:paraId="58D25A35" w14:textId="77777777" w:rsidR="00AF7B7C" w:rsidRDefault="00AF7B7C" w:rsidP="0040695E">
      <w:pPr>
        <w:jc w:val="center"/>
        <w:rPr>
          <w:rFonts w:ascii="Arial" w:hAnsi="Arial" w:cs="Arial"/>
          <w:b/>
          <w:bCs/>
          <w:sz w:val="32"/>
          <w:szCs w:val="32"/>
          <w:lang w:val="en-GB"/>
        </w:rPr>
      </w:pPr>
    </w:p>
    <w:p w14:paraId="4C875ABB" w14:textId="47C49150" w:rsidR="00AF7B7C" w:rsidRPr="00AF7B7C" w:rsidRDefault="00AF7B7C" w:rsidP="00AF7B7C">
      <w:pPr>
        <w:jc w:val="center"/>
        <w:rPr>
          <w:rFonts w:ascii="Arial" w:hAnsi="Arial" w:cs="Arial"/>
          <w:b/>
          <w:bCs/>
          <w:sz w:val="28"/>
          <w:szCs w:val="28"/>
          <w:lang w:val="en-IN"/>
        </w:rPr>
      </w:pPr>
      <w:r w:rsidRPr="00AF7B7C">
        <w:rPr>
          <w:rFonts w:ascii="Arial" w:hAnsi="Arial" w:cs="Arial"/>
          <w:b/>
          <w:bCs/>
          <w:sz w:val="28"/>
          <w:szCs w:val="28"/>
          <w:lang w:val="en-IN"/>
        </w:rPr>
        <w:t xml:space="preserve">Student Name:  Prashant Gajera </w:t>
      </w:r>
    </w:p>
    <w:p w14:paraId="564E0566" w14:textId="77777777" w:rsidR="00F16034" w:rsidRDefault="00AF7B7C" w:rsidP="00AF7B7C">
      <w:pPr>
        <w:jc w:val="center"/>
        <w:rPr>
          <w:rFonts w:ascii="Arial" w:hAnsi="Arial" w:cs="Arial"/>
          <w:b/>
          <w:bCs/>
          <w:sz w:val="28"/>
          <w:szCs w:val="28"/>
          <w:lang w:val="en-IN"/>
        </w:rPr>
      </w:pPr>
      <w:r w:rsidRPr="00AF7B7C">
        <w:rPr>
          <w:rFonts w:ascii="Arial" w:hAnsi="Arial" w:cs="Arial"/>
          <w:b/>
          <w:bCs/>
          <w:sz w:val="28"/>
          <w:szCs w:val="28"/>
          <w:lang w:val="en-IN"/>
        </w:rPr>
        <w:t>Student ID 2428140</w:t>
      </w:r>
    </w:p>
    <w:p w14:paraId="5D73E3CB" w14:textId="0105C05A" w:rsidR="00F16034" w:rsidRPr="00F16034" w:rsidRDefault="00F16034" w:rsidP="00F16034">
      <w:pPr>
        <w:jc w:val="center"/>
        <w:rPr>
          <w:rFonts w:ascii="Arial" w:hAnsi="Arial" w:cs="Arial"/>
          <w:b/>
          <w:bCs/>
          <w:lang w:val="en-IN"/>
        </w:rPr>
      </w:pPr>
      <w:r w:rsidRPr="00F16034">
        <w:rPr>
          <w:rFonts w:ascii="Arial" w:hAnsi="Arial" w:cs="Arial"/>
          <w:b/>
          <w:bCs/>
          <w:lang w:val="en-IN"/>
        </w:rPr>
        <w:lastRenderedPageBreak/>
        <w:t>Executive summary</w:t>
      </w:r>
    </w:p>
    <w:p w14:paraId="35C0321C" w14:textId="22AFDD06" w:rsidR="00A00680" w:rsidRPr="00F16034" w:rsidRDefault="00F16034" w:rsidP="00F16034">
      <w:pPr>
        <w:rPr>
          <w:rFonts w:ascii="Arial" w:hAnsi="Arial" w:cs="Arial"/>
          <w:sz w:val="22"/>
          <w:szCs w:val="22"/>
          <w:lang w:val="en-IN"/>
        </w:rPr>
      </w:pPr>
      <w:r w:rsidRPr="00F16034">
        <w:rPr>
          <w:rFonts w:ascii="Arial" w:hAnsi="Arial" w:cs="Arial"/>
          <w:sz w:val="22"/>
          <w:szCs w:val="22"/>
          <w:lang w:val="en-IN"/>
        </w:rPr>
        <w:t xml:space="preserve">This report is a critical analysis of the performance of COVID-19 leadership and health system organisation in Spain, South Korea, and Canada. It examines the ways in which the outcomes of the pandemic were influenced by the governance structures and the leadership styles via the WHO Health System Building Blocks and the Structure-Process-Outcome model by Donabedian. The results indicate that centralised form of governance and data-driven type of crisis leadership allowed South Korea to contain the crisis fast and maintain people trust. Spain and Canada on the other hand were among the first to experience a problem with coordination because of decentralised systems. Nevertheless, Spain has shown great leadership adjustment, especially at the stage of vaccination where high results were obtained due to the establishment of temporary centralisation and coordination. By and large, the paper demonstrates that consistency between leadership behaviour, system rigging, and crisis responsiveness is significant. </w:t>
      </w:r>
      <w:r w:rsidRPr="00F16034">
        <w:rPr>
          <w:rFonts w:ascii="Arial" w:hAnsi="Arial" w:cs="Arial"/>
          <w:sz w:val="22"/>
          <w:szCs w:val="22"/>
          <w:lang w:val="en-IN"/>
        </w:rPr>
        <w:br w:type="page"/>
      </w:r>
    </w:p>
    <w:bookmarkStart w:id="4" w:name="_b8m0n7lextme" w:colFirst="0" w:colLast="0" w:displacedByCustomXml="next"/>
    <w:bookmarkEnd w:id="4" w:displacedByCustomXml="next"/>
    <w:sdt>
      <w:sdtPr>
        <w:rPr>
          <w:rFonts w:ascii="Arial" w:eastAsia="Times New Roman" w:hAnsi="Arial" w:cs="Arial"/>
          <w:color w:val="222222"/>
          <w:sz w:val="22"/>
          <w:szCs w:val="22"/>
          <w:highlight w:val="white"/>
          <w:lang w:val="en-GB" w:eastAsia="en-IN"/>
        </w:rPr>
        <w:id w:val="2079236689"/>
        <w:docPartObj>
          <w:docPartGallery w:val="Table of Contents"/>
          <w:docPartUnique/>
        </w:docPartObj>
      </w:sdtPr>
      <w:sdtEndPr>
        <w:rPr>
          <w:b/>
          <w:bCs/>
          <w:noProof/>
        </w:rPr>
      </w:sdtEndPr>
      <w:sdtContent>
        <w:p w14:paraId="294F28E6" w14:textId="77777777" w:rsidR="00AD6249" w:rsidRPr="005106CE" w:rsidRDefault="00AD6249" w:rsidP="00AD6249">
          <w:pPr>
            <w:pStyle w:val="TOCHeading"/>
            <w:jc w:val="center"/>
            <w:rPr>
              <w:rFonts w:ascii="Arial" w:hAnsi="Arial" w:cs="Arial"/>
              <w:b/>
              <w:color w:val="auto"/>
              <w:sz w:val="28"/>
              <w:lang w:val="en-GB"/>
            </w:rPr>
          </w:pPr>
          <w:r w:rsidRPr="005106CE">
            <w:rPr>
              <w:rFonts w:ascii="Arial" w:hAnsi="Arial" w:cs="Arial"/>
              <w:b/>
              <w:color w:val="auto"/>
              <w:sz w:val="28"/>
              <w:lang w:val="en-GB"/>
            </w:rPr>
            <w:t>Table of Contents</w:t>
          </w:r>
        </w:p>
        <w:p w14:paraId="5CE0D964"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r w:rsidRPr="005106CE">
            <w:rPr>
              <w:rFonts w:ascii="Arial" w:hAnsi="Arial" w:cs="Arial"/>
              <w:sz w:val="22"/>
              <w:szCs w:val="22"/>
              <w:lang w:val="en-GB"/>
            </w:rPr>
            <w:fldChar w:fldCharType="begin"/>
          </w:r>
          <w:r w:rsidRPr="005106CE">
            <w:rPr>
              <w:rFonts w:ascii="Arial" w:hAnsi="Arial" w:cs="Arial"/>
              <w:sz w:val="22"/>
              <w:szCs w:val="22"/>
              <w:lang w:val="en-GB"/>
            </w:rPr>
            <w:instrText xml:space="preserve"> TOC \o "1-3" \h \z \u </w:instrText>
          </w:r>
          <w:r w:rsidRPr="005106CE">
            <w:rPr>
              <w:rFonts w:ascii="Arial" w:hAnsi="Arial" w:cs="Arial"/>
              <w:sz w:val="22"/>
              <w:szCs w:val="22"/>
              <w:lang w:val="en-GB"/>
            </w:rPr>
            <w:fldChar w:fldCharType="separate"/>
          </w:r>
          <w:hyperlink w:anchor="_Toc215763186" w:history="1">
            <w:r w:rsidRPr="005106CE">
              <w:rPr>
                <w:rStyle w:val="Hyperlink"/>
                <w:rFonts w:ascii="Arial" w:hAnsi="Arial" w:cs="Arial"/>
                <w:noProof/>
                <w:sz w:val="22"/>
                <w:szCs w:val="22"/>
                <w:lang w:val="en-GB"/>
              </w:rPr>
              <w:t>1. Introduction</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_Toc215763186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2</w:t>
            </w:r>
            <w:r w:rsidRPr="005106CE">
              <w:rPr>
                <w:rFonts w:ascii="Arial" w:hAnsi="Arial" w:cs="Arial"/>
                <w:noProof/>
                <w:webHidden/>
                <w:sz w:val="22"/>
                <w:szCs w:val="22"/>
                <w:lang w:val="en-GB"/>
              </w:rPr>
              <w:fldChar w:fldCharType="end"/>
            </w:r>
          </w:hyperlink>
        </w:p>
        <w:p w14:paraId="3900C95D"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187" w:history="1">
            <w:r w:rsidRPr="005106CE">
              <w:rPr>
                <w:rStyle w:val="Hyperlink"/>
                <w:rFonts w:ascii="Arial" w:hAnsi="Arial" w:cs="Arial"/>
                <w:noProof/>
                <w:sz w:val="22"/>
                <w:szCs w:val="22"/>
                <w:lang w:val="en-GB"/>
              </w:rPr>
              <w:t>2. Overview of Health System Organisation in the Three Jurisdictions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_Toc215763187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2</w:t>
            </w:r>
            <w:r w:rsidRPr="005106CE">
              <w:rPr>
                <w:rFonts w:ascii="Arial" w:hAnsi="Arial" w:cs="Arial"/>
                <w:noProof/>
                <w:webHidden/>
                <w:sz w:val="22"/>
                <w:szCs w:val="22"/>
                <w:lang w:val="en-GB"/>
              </w:rPr>
              <w:fldChar w:fldCharType="end"/>
            </w:r>
          </w:hyperlink>
        </w:p>
        <w:p w14:paraId="6E39CE2C"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88" w:history="1">
            <w:r w:rsidRPr="005106CE">
              <w:rPr>
                <w:rStyle w:val="Hyperlink"/>
                <w:rFonts w:ascii="Arial" w:hAnsi="Arial" w:cs="Arial"/>
                <w:noProof/>
                <w:sz w:val="22"/>
                <w:szCs w:val="22"/>
                <w:lang w:val="en-GB"/>
              </w:rPr>
              <w:t>2.1 Conceptual Framework</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_Toc215763188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3</w:t>
            </w:r>
            <w:r w:rsidRPr="005106CE">
              <w:rPr>
                <w:rFonts w:ascii="Arial" w:hAnsi="Arial" w:cs="Arial"/>
                <w:noProof/>
                <w:webHidden/>
                <w:sz w:val="22"/>
                <w:szCs w:val="22"/>
                <w:lang w:val="en-GB"/>
              </w:rPr>
              <w:fldChar w:fldCharType="end"/>
            </w:r>
          </w:hyperlink>
        </w:p>
        <w:p w14:paraId="3AA76293"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89" w:history="1">
            <w:r w:rsidRPr="005106CE">
              <w:rPr>
                <w:rStyle w:val="Hyperlink"/>
                <w:rFonts w:ascii="Arial" w:hAnsi="Arial" w:cs="Arial"/>
                <w:noProof/>
                <w:sz w:val="22"/>
                <w:szCs w:val="22"/>
                <w:lang w:val="en-GB"/>
              </w:rPr>
              <w:t>2.2 Spain: Health System Organisation During COVID-19</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_Toc215763189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4</w:t>
            </w:r>
            <w:r w:rsidRPr="005106CE">
              <w:rPr>
                <w:rFonts w:ascii="Arial" w:hAnsi="Arial" w:cs="Arial"/>
                <w:noProof/>
                <w:webHidden/>
                <w:sz w:val="22"/>
                <w:szCs w:val="22"/>
                <w:lang w:val="en-GB"/>
              </w:rPr>
              <w:fldChar w:fldCharType="end"/>
            </w:r>
          </w:hyperlink>
        </w:p>
        <w:p w14:paraId="427D6D28"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90" w:history="1">
            <w:r w:rsidRPr="005106CE">
              <w:rPr>
                <w:rStyle w:val="Hyperlink"/>
                <w:rFonts w:ascii="Arial" w:hAnsi="Arial" w:cs="Arial"/>
                <w:noProof/>
                <w:sz w:val="22"/>
                <w:szCs w:val="22"/>
                <w:lang w:val="en-GB"/>
              </w:rPr>
              <w:t>2.3 South Korea</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_Toc215763190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5</w:t>
            </w:r>
            <w:r w:rsidRPr="005106CE">
              <w:rPr>
                <w:rFonts w:ascii="Arial" w:hAnsi="Arial" w:cs="Arial"/>
                <w:noProof/>
                <w:webHidden/>
                <w:sz w:val="22"/>
                <w:szCs w:val="22"/>
                <w:lang w:val="en-GB"/>
              </w:rPr>
              <w:fldChar w:fldCharType="end"/>
            </w:r>
          </w:hyperlink>
        </w:p>
        <w:p w14:paraId="60D16382"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91" w:history="1">
            <w:r w:rsidRPr="005106CE">
              <w:rPr>
                <w:rStyle w:val="Hyperlink"/>
                <w:rFonts w:ascii="Arial" w:hAnsi="Arial" w:cs="Arial"/>
                <w:noProof/>
                <w:sz w:val="22"/>
                <w:szCs w:val="22"/>
                <w:lang w:val="en-GB"/>
              </w:rPr>
              <w:t>2.4 Canada</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_Toc215763191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5</w:t>
            </w:r>
            <w:r w:rsidRPr="005106CE">
              <w:rPr>
                <w:rFonts w:ascii="Arial" w:hAnsi="Arial" w:cs="Arial"/>
                <w:noProof/>
                <w:webHidden/>
                <w:sz w:val="22"/>
                <w:szCs w:val="22"/>
                <w:lang w:val="en-GB"/>
              </w:rPr>
              <w:fldChar w:fldCharType="end"/>
            </w:r>
          </w:hyperlink>
        </w:p>
        <w:p w14:paraId="5BE3531C"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92" w:history="1">
            <w:r w:rsidRPr="005106CE">
              <w:rPr>
                <w:rStyle w:val="Hyperlink"/>
                <w:rFonts w:ascii="Arial" w:hAnsi="Arial" w:cs="Arial"/>
                <w:noProof/>
                <w:sz w:val="22"/>
                <w:szCs w:val="22"/>
                <w:lang w:val="en-GB"/>
              </w:rPr>
              <w:t>2.5 Comparative Analysis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_Toc215763192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6</w:t>
            </w:r>
            <w:r w:rsidRPr="005106CE">
              <w:rPr>
                <w:rFonts w:ascii="Arial" w:hAnsi="Arial" w:cs="Arial"/>
                <w:noProof/>
                <w:webHidden/>
                <w:sz w:val="22"/>
                <w:szCs w:val="22"/>
                <w:lang w:val="en-GB"/>
              </w:rPr>
              <w:fldChar w:fldCharType="end"/>
            </w:r>
          </w:hyperlink>
        </w:p>
        <w:p w14:paraId="3AF82DB1"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193" w:history="1">
            <w:r w:rsidRPr="005106CE">
              <w:rPr>
                <w:rStyle w:val="Hyperlink"/>
                <w:rFonts w:ascii="Arial" w:hAnsi="Arial" w:cs="Arial"/>
                <w:noProof/>
                <w:sz w:val="22"/>
                <w:szCs w:val="22"/>
                <w:lang w:val="en-GB"/>
              </w:rPr>
              <w:t>3. Theories of Leadership and Analytical System</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_Toc215763193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8</w:t>
            </w:r>
            <w:r w:rsidRPr="005106CE">
              <w:rPr>
                <w:rFonts w:ascii="Arial" w:hAnsi="Arial" w:cs="Arial"/>
                <w:noProof/>
                <w:webHidden/>
                <w:sz w:val="22"/>
                <w:szCs w:val="22"/>
                <w:lang w:val="en-GB"/>
              </w:rPr>
              <w:fldChar w:fldCharType="end"/>
            </w:r>
          </w:hyperlink>
        </w:p>
        <w:p w14:paraId="5DFDB4F1"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194" w:history="1">
            <w:r w:rsidRPr="005106CE">
              <w:rPr>
                <w:rStyle w:val="Hyperlink"/>
                <w:rFonts w:ascii="Arial" w:hAnsi="Arial" w:cs="Arial"/>
                <w:noProof/>
                <w:sz w:val="22"/>
                <w:szCs w:val="22"/>
                <w:lang w:val="en-GB"/>
              </w:rPr>
              <w:t>4. Leadership Analysis – Spain and Salvador Illa</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_Toc215763194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9</w:t>
            </w:r>
            <w:r w:rsidRPr="005106CE">
              <w:rPr>
                <w:rFonts w:ascii="Arial" w:hAnsi="Arial" w:cs="Arial"/>
                <w:noProof/>
                <w:webHidden/>
                <w:sz w:val="22"/>
                <w:szCs w:val="22"/>
                <w:lang w:val="en-GB"/>
              </w:rPr>
              <w:fldChar w:fldCharType="end"/>
            </w:r>
          </w:hyperlink>
        </w:p>
        <w:p w14:paraId="691372FD"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95" w:history="1">
            <w:r w:rsidRPr="005106CE">
              <w:rPr>
                <w:rStyle w:val="Hyperlink"/>
                <w:rFonts w:ascii="Arial" w:hAnsi="Arial" w:cs="Arial"/>
                <w:noProof/>
                <w:sz w:val="22"/>
                <w:szCs w:val="22"/>
                <w:lang w:val="en-GB"/>
              </w:rPr>
              <w:t>4.1 Contextual Factors Shaping Leadership</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_Toc215763195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9</w:t>
            </w:r>
            <w:r w:rsidRPr="005106CE">
              <w:rPr>
                <w:rFonts w:ascii="Arial" w:hAnsi="Arial" w:cs="Arial"/>
                <w:noProof/>
                <w:webHidden/>
                <w:sz w:val="22"/>
                <w:szCs w:val="22"/>
                <w:lang w:val="en-GB"/>
              </w:rPr>
              <w:fldChar w:fldCharType="end"/>
            </w:r>
          </w:hyperlink>
        </w:p>
        <w:p w14:paraId="2A2F5444"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196" w:history="1">
            <w:r w:rsidRPr="005106CE">
              <w:rPr>
                <w:rStyle w:val="Hyperlink"/>
                <w:rFonts w:ascii="Arial" w:hAnsi="Arial" w:cs="Arial"/>
                <w:noProof/>
                <w:sz w:val="22"/>
                <w:szCs w:val="22"/>
                <w:lang w:val="en-GB"/>
              </w:rPr>
              <w:t>4.2 Leadership Approach of Salvador Illa</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_Toc215763196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10</w:t>
            </w:r>
            <w:r w:rsidRPr="005106CE">
              <w:rPr>
                <w:rFonts w:ascii="Arial" w:hAnsi="Arial" w:cs="Arial"/>
                <w:noProof/>
                <w:webHidden/>
                <w:sz w:val="22"/>
                <w:szCs w:val="22"/>
                <w:lang w:val="en-GB"/>
              </w:rPr>
              <w:fldChar w:fldCharType="end"/>
            </w:r>
          </w:hyperlink>
        </w:p>
        <w:p w14:paraId="74C06DF2" w14:textId="77777777" w:rsidR="00AD6249" w:rsidRPr="005106CE" w:rsidRDefault="00AD6249" w:rsidP="005106CE">
          <w:pPr>
            <w:pStyle w:val="TOC3"/>
            <w:tabs>
              <w:tab w:val="right" w:leader="dot" w:pos="9350"/>
            </w:tabs>
            <w:rPr>
              <w:rFonts w:ascii="Arial" w:eastAsiaTheme="minorEastAsia" w:hAnsi="Arial" w:cs="Arial"/>
              <w:noProof/>
              <w:color w:val="auto"/>
              <w:sz w:val="20"/>
              <w:szCs w:val="20"/>
              <w:highlight w:val="none"/>
              <w:lang w:val="en-GB"/>
            </w:rPr>
          </w:pPr>
          <w:hyperlink w:anchor="_Toc215763197" w:history="1">
            <w:r w:rsidRPr="005106CE">
              <w:rPr>
                <w:rStyle w:val="Hyperlink"/>
                <w:rFonts w:ascii="Arial" w:hAnsi="Arial" w:cs="Arial"/>
                <w:noProof/>
                <w:sz w:val="22"/>
                <w:szCs w:val="22"/>
                <w:lang w:val="en-GB"/>
              </w:rPr>
              <w:t>4.2.1 Crisis Leadership</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_Toc215763197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10</w:t>
            </w:r>
            <w:r w:rsidRPr="005106CE">
              <w:rPr>
                <w:rFonts w:ascii="Arial" w:hAnsi="Arial" w:cs="Arial"/>
                <w:noProof/>
                <w:webHidden/>
                <w:sz w:val="22"/>
                <w:szCs w:val="22"/>
                <w:lang w:val="en-GB"/>
              </w:rPr>
              <w:fldChar w:fldCharType="end"/>
            </w:r>
          </w:hyperlink>
        </w:p>
        <w:p w14:paraId="1546D46D" w14:textId="77777777" w:rsidR="00AD6249" w:rsidRPr="005106CE" w:rsidRDefault="00AD6249" w:rsidP="005106CE">
          <w:pPr>
            <w:pStyle w:val="TOC3"/>
            <w:tabs>
              <w:tab w:val="right" w:leader="dot" w:pos="9350"/>
            </w:tabs>
            <w:rPr>
              <w:rFonts w:ascii="Arial" w:eastAsiaTheme="minorEastAsia" w:hAnsi="Arial" w:cs="Arial"/>
              <w:noProof/>
              <w:color w:val="auto"/>
              <w:sz w:val="20"/>
              <w:szCs w:val="20"/>
              <w:highlight w:val="none"/>
              <w:lang w:val="en-GB"/>
            </w:rPr>
          </w:pPr>
          <w:hyperlink w:anchor="_Toc215763198" w:history="1">
            <w:r w:rsidRPr="005106CE">
              <w:rPr>
                <w:rStyle w:val="Hyperlink"/>
                <w:rFonts w:ascii="Arial" w:hAnsi="Arial" w:cs="Arial"/>
                <w:noProof/>
                <w:sz w:val="22"/>
                <w:szCs w:val="22"/>
                <w:lang w:val="en-GB"/>
              </w:rPr>
              <w:t>4.2.2 Situational Leadership</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_Toc215763198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11</w:t>
            </w:r>
            <w:r w:rsidRPr="005106CE">
              <w:rPr>
                <w:rFonts w:ascii="Arial" w:hAnsi="Arial" w:cs="Arial"/>
                <w:noProof/>
                <w:webHidden/>
                <w:sz w:val="22"/>
                <w:szCs w:val="22"/>
                <w:lang w:val="en-GB"/>
              </w:rPr>
              <w:fldChar w:fldCharType="end"/>
            </w:r>
          </w:hyperlink>
        </w:p>
        <w:p w14:paraId="595028A5" w14:textId="77777777" w:rsidR="00AD6249" w:rsidRPr="005106CE" w:rsidRDefault="00AD6249" w:rsidP="005106CE">
          <w:pPr>
            <w:pStyle w:val="TOC3"/>
            <w:tabs>
              <w:tab w:val="right" w:leader="dot" w:pos="9350"/>
            </w:tabs>
            <w:rPr>
              <w:rFonts w:ascii="Arial" w:eastAsiaTheme="minorEastAsia" w:hAnsi="Arial" w:cs="Arial"/>
              <w:noProof/>
              <w:color w:val="auto"/>
              <w:sz w:val="20"/>
              <w:szCs w:val="20"/>
              <w:highlight w:val="none"/>
              <w:lang w:val="en-GB"/>
            </w:rPr>
          </w:pPr>
          <w:hyperlink w:anchor="_Toc215763199" w:history="1">
            <w:r w:rsidRPr="005106CE">
              <w:rPr>
                <w:rStyle w:val="Hyperlink"/>
                <w:rFonts w:ascii="Arial" w:hAnsi="Arial" w:cs="Arial"/>
                <w:noProof/>
                <w:sz w:val="22"/>
                <w:szCs w:val="22"/>
                <w:lang w:val="en-GB"/>
              </w:rPr>
              <w:t>4.2.3 Transformational Leadership</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_Toc215763199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11</w:t>
            </w:r>
            <w:r w:rsidRPr="005106CE">
              <w:rPr>
                <w:rFonts w:ascii="Arial" w:hAnsi="Arial" w:cs="Arial"/>
                <w:noProof/>
                <w:webHidden/>
                <w:sz w:val="22"/>
                <w:szCs w:val="22"/>
                <w:lang w:val="en-GB"/>
              </w:rPr>
              <w:fldChar w:fldCharType="end"/>
            </w:r>
          </w:hyperlink>
        </w:p>
        <w:p w14:paraId="733433FB" w14:textId="77777777" w:rsidR="00AD6249" w:rsidRPr="005106CE" w:rsidRDefault="00AD6249" w:rsidP="005106CE">
          <w:pPr>
            <w:pStyle w:val="TOC3"/>
            <w:tabs>
              <w:tab w:val="right" w:leader="dot" w:pos="9350"/>
            </w:tabs>
            <w:rPr>
              <w:rFonts w:ascii="Arial" w:eastAsiaTheme="minorEastAsia" w:hAnsi="Arial" w:cs="Arial"/>
              <w:noProof/>
              <w:color w:val="auto"/>
              <w:sz w:val="20"/>
              <w:szCs w:val="20"/>
              <w:highlight w:val="none"/>
              <w:lang w:val="en-GB"/>
            </w:rPr>
          </w:pPr>
          <w:hyperlink w:anchor="_Toc215763200" w:history="1">
            <w:r w:rsidRPr="005106CE">
              <w:rPr>
                <w:rStyle w:val="Hyperlink"/>
                <w:rFonts w:ascii="Arial" w:hAnsi="Arial" w:cs="Arial"/>
                <w:noProof/>
                <w:sz w:val="22"/>
                <w:szCs w:val="22"/>
                <w:lang w:val="en-GB"/>
              </w:rPr>
              <w:t>4.2.4 Distributed Leadership in a Decentralised System</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_Toc215763200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12</w:t>
            </w:r>
            <w:r w:rsidRPr="005106CE">
              <w:rPr>
                <w:rFonts w:ascii="Arial" w:hAnsi="Arial" w:cs="Arial"/>
                <w:noProof/>
                <w:webHidden/>
                <w:sz w:val="22"/>
                <w:szCs w:val="22"/>
                <w:lang w:val="en-GB"/>
              </w:rPr>
              <w:fldChar w:fldCharType="end"/>
            </w:r>
          </w:hyperlink>
        </w:p>
        <w:p w14:paraId="34BB0F8F"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201" w:history="1">
            <w:r w:rsidRPr="005106CE">
              <w:rPr>
                <w:rStyle w:val="Hyperlink"/>
                <w:rFonts w:ascii="Arial" w:hAnsi="Arial" w:cs="Arial"/>
                <w:noProof/>
                <w:sz w:val="22"/>
                <w:szCs w:val="22"/>
                <w:lang w:val="en-GB"/>
              </w:rPr>
              <w:t>4.3 Impact of Leadership Decisions on Health System Organisation</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_Toc215763201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12</w:t>
            </w:r>
            <w:r w:rsidRPr="005106CE">
              <w:rPr>
                <w:rFonts w:ascii="Arial" w:hAnsi="Arial" w:cs="Arial"/>
                <w:noProof/>
                <w:webHidden/>
                <w:sz w:val="22"/>
                <w:szCs w:val="22"/>
                <w:lang w:val="en-GB"/>
              </w:rPr>
              <w:fldChar w:fldCharType="end"/>
            </w:r>
          </w:hyperlink>
        </w:p>
        <w:p w14:paraId="07509FAB" w14:textId="77777777" w:rsidR="00AD6249" w:rsidRPr="005106CE" w:rsidRDefault="00AD6249" w:rsidP="005106CE">
          <w:pPr>
            <w:pStyle w:val="TOC2"/>
            <w:tabs>
              <w:tab w:val="right" w:leader="dot" w:pos="9350"/>
            </w:tabs>
            <w:rPr>
              <w:rFonts w:ascii="Arial" w:eastAsiaTheme="minorEastAsia" w:hAnsi="Arial" w:cs="Arial"/>
              <w:noProof/>
              <w:color w:val="auto"/>
              <w:sz w:val="20"/>
              <w:szCs w:val="20"/>
              <w:highlight w:val="none"/>
              <w:lang w:val="en-GB"/>
            </w:rPr>
          </w:pPr>
          <w:hyperlink w:anchor="_Toc215763202" w:history="1">
            <w:r w:rsidRPr="005106CE">
              <w:rPr>
                <w:rStyle w:val="Hyperlink"/>
                <w:rFonts w:ascii="Arial" w:hAnsi="Arial" w:cs="Arial"/>
                <w:noProof/>
                <w:sz w:val="22"/>
                <w:szCs w:val="22"/>
                <w:lang w:val="en-GB"/>
              </w:rPr>
              <w:t>4.4 Comparative Leadership Insights (Spain vs South Korea vs Canada)</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_Toc215763202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13</w:t>
            </w:r>
            <w:r w:rsidRPr="005106CE">
              <w:rPr>
                <w:rFonts w:ascii="Arial" w:hAnsi="Arial" w:cs="Arial"/>
                <w:noProof/>
                <w:webHidden/>
                <w:sz w:val="22"/>
                <w:szCs w:val="22"/>
                <w:lang w:val="en-GB"/>
              </w:rPr>
              <w:fldChar w:fldCharType="end"/>
            </w:r>
          </w:hyperlink>
        </w:p>
        <w:p w14:paraId="3B0A17DF"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203" w:history="1">
            <w:r w:rsidRPr="005106CE">
              <w:rPr>
                <w:rStyle w:val="Hyperlink"/>
                <w:rFonts w:ascii="Arial" w:hAnsi="Arial" w:cs="Arial"/>
                <w:noProof/>
                <w:sz w:val="22"/>
                <w:szCs w:val="22"/>
                <w:lang w:val="en-GB"/>
              </w:rPr>
              <w:t>5. Systems Thinking and Interdependency Analysis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_Toc215763203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14</w:t>
            </w:r>
            <w:r w:rsidRPr="005106CE">
              <w:rPr>
                <w:rFonts w:ascii="Arial" w:hAnsi="Arial" w:cs="Arial"/>
                <w:noProof/>
                <w:webHidden/>
                <w:sz w:val="22"/>
                <w:szCs w:val="22"/>
                <w:lang w:val="en-GB"/>
              </w:rPr>
              <w:fldChar w:fldCharType="end"/>
            </w:r>
          </w:hyperlink>
        </w:p>
        <w:p w14:paraId="0D429B0F"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204" w:history="1">
            <w:r w:rsidRPr="005106CE">
              <w:rPr>
                <w:rStyle w:val="Hyperlink"/>
                <w:rFonts w:ascii="Arial" w:hAnsi="Arial" w:cs="Arial"/>
                <w:noProof/>
                <w:sz w:val="22"/>
                <w:szCs w:val="22"/>
                <w:lang w:val="en-GB"/>
              </w:rPr>
              <w:t>6. Discussion: Critical Synthesis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_Toc215763204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16</w:t>
            </w:r>
            <w:r w:rsidRPr="005106CE">
              <w:rPr>
                <w:rFonts w:ascii="Arial" w:hAnsi="Arial" w:cs="Arial"/>
                <w:noProof/>
                <w:webHidden/>
                <w:sz w:val="22"/>
                <w:szCs w:val="22"/>
                <w:lang w:val="en-GB"/>
              </w:rPr>
              <w:fldChar w:fldCharType="end"/>
            </w:r>
          </w:hyperlink>
        </w:p>
        <w:p w14:paraId="4F434825"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205" w:history="1">
            <w:r w:rsidRPr="005106CE">
              <w:rPr>
                <w:rStyle w:val="Hyperlink"/>
                <w:rFonts w:ascii="Arial" w:hAnsi="Arial" w:cs="Arial"/>
                <w:noProof/>
                <w:sz w:val="22"/>
                <w:szCs w:val="22"/>
                <w:lang w:val="en-GB"/>
              </w:rPr>
              <w:t>7. Conclusion</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_Toc215763205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18</w:t>
            </w:r>
            <w:r w:rsidRPr="005106CE">
              <w:rPr>
                <w:rFonts w:ascii="Arial" w:hAnsi="Arial" w:cs="Arial"/>
                <w:noProof/>
                <w:webHidden/>
                <w:sz w:val="22"/>
                <w:szCs w:val="22"/>
                <w:lang w:val="en-GB"/>
              </w:rPr>
              <w:fldChar w:fldCharType="end"/>
            </w:r>
          </w:hyperlink>
        </w:p>
        <w:p w14:paraId="63338809"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206" w:history="1">
            <w:r w:rsidRPr="005106CE">
              <w:rPr>
                <w:rStyle w:val="Hyperlink"/>
                <w:rFonts w:ascii="Arial" w:hAnsi="Arial" w:cs="Arial"/>
                <w:noProof/>
                <w:sz w:val="22"/>
                <w:szCs w:val="22"/>
                <w:lang w:val="en-GB"/>
              </w:rPr>
              <w:t>8. Recommendations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_Toc215763206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19</w:t>
            </w:r>
            <w:r w:rsidRPr="005106CE">
              <w:rPr>
                <w:rFonts w:ascii="Arial" w:hAnsi="Arial" w:cs="Arial"/>
                <w:noProof/>
                <w:webHidden/>
                <w:sz w:val="22"/>
                <w:szCs w:val="22"/>
                <w:lang w:val="en-GB"/>
              </w:rPr>
              <w:fldChar w:fldCharType="end"/>
            </w:r>
          </w:hyperlink>
        </w:p>
        <w:p w14:paraId="4AF69DE1" w14:textId="77777777" w:rsidR="00AD6249" w:rsidRPr="005106CE" w:rsidRDefault="00AD6249" w:rsidP="005106CE">
          <w:pPr>
            <w:pStyle w:val="TOC1"/>
            <w:tabs>
              <w:tab w:val="right" w:leader="dot" w:pos="9350"/>
            </w:tabs>
            <w:rPr>
              <w:rFonts w:ascii="Arial" w:eastAsiaTheme="minorEastAsia" w:hAnsi="Arial" w:cs="Arial"/>
              <w:noProof/>
              <w:color w:val="auto"/>
              <w:sz w:val="20"/>
              <w:szCs w:val="20"/>
              <w:highlight w:val="none"/>
              <w:lang w:val="en-GB"/>
            </w:rPr>
          </w:pPr>
          <w:hyperlink w:anchor="_Toc215763207" w:history="1">
            <w:r w:rsidRPr="005106CE">
              <w:rPr>
                <w:rStyle w:val="Hyperlink"/>
                <w:rFonts w:ascii="Arial" w:hAnsi="Arial" w:cs="Arial"/>
                <w:noProof/>
                <w:sz w:val="22"/>
                <w:szCs w:val="22"/>
                <w:lang w:val="en-GB"/>
              </w:rPr>
              <w:t>References</w:t>
            </w:r>
            <w:r w:rsidRPr="005106CE">
              <w:rPr>
                <w:rFonts w:ascii="Arial" w:hAnsi="Arial" w:cs="Arial"/>
                <w:noProof/>
                <w:webHidden/>
                <w:sz w:val="22"/>
                <w:szCs w:val="22"/>
                <w:lang w:val="en-GB"/>
              </w:rPr>
              <w:tab/>
            </w:r>
            <w:r w:rsidRPr="005106CE">
              <w:rPr>
                <w:rFonts w:ascii="Arial" w:hAnsi="Arial" w:cs="Arial"/>
                <w:noProof/>
                <w:webHidden/>
                <w:sz w:val="22"/>
                <w:szCs w:val="22"/>
                <w:lang w:val="en-GB"/>
              </w:rPr>
              <w:fldChar w:fldCharType="begin"/>
            </w:r>
            <w:r w:rsidRPr="005106CE">
              <w:rPr>
                <w:rFonts w:ascii="Arial" w:hAnsi="Arial" w:cs="Arial"/>
                <w:noProof/>
                <w:webHidden/>
                <w:sz w:val="22"/>
                <w:szCs w:val="22"/>
                <w:lang w:val="en-GB"/>
              </w:rPr>
              <w:instrText xml:space="preserve"> PAGEREF _Toc215763207 \h </w:instrText>
            </w:r>
            <w:r w:rsidRPr="005106CE">
              <w:rPr>
                <w:rFonts w:ascii="Arial" w:hAnsi="Arial" w:cs="Arial"/>
                <w:noProof/>
                <w:webHidden/>
                <w:sz w:val="22"/>
                <w:szCs w:val="22"/>
                <w:lang w:val="en-GB"/>
              </w:rPr>
            </w:r>
            <w:r w:rsidRPr="005106CE">
              <w:rPr>
                <w:rFonts w:ascii="Arial" w:hAnsi="Arial" w:cs="Arial"/>
                <w:noProof/>
                <w:webHidden/>
                <w:sz w:val="22"/>
                <w:szCs w:val="22"/>
                <w:lang w:val="en-GB"/>
              </w:rPr>
              <w:fldChar w:fldCharType="separate"/>
            </w:r>
            <w:r w:rsidRPr="005106CE">
              <w:rPr>
                <w:rFonts w:ascii="Arial" w:hAnsi="Arial" w:cs="Arial"/>
                <w:noProof/>
                <w:webHidden/>
                <w:sz w:val="22"/>
                <w:szCs w:val="22"/>
                <w:lang w:val="en-GB"/>
              </w:rPr>
              <w:t>21</w:t>
            </w:r>
            <w:r w:rsidRPr="005106CE">
              <w:rPr>
                <w:rFonts w:ascii="Arial" w:hAnsi="Arial" w:cs="Arial"/>
                <w:noProof/>
                <w:webHidden/>
                <w:sz w:val="22"/>
                <w:szCs w:val="22"/>
                <w:lang w:val="en-GB"/>
              </w:rPr>
              <w:fldChar w:fldCharType="end"/>
            </w:r>
          </w:hyperlink>
        </w:p>
        <w:p w14:paraId="7213AE0E" w14:textId="77777777" w:rsidR="00AD6249" w:rsidRPr="005106CE" w:rsidRDefault="00AD6249" w:rsidP="005106CE">
          <w:pPr>
            <w:rPr>
              <w:rFonts w:ascii="Arial" w:hAnsi="Arial" w:cs="Arial"/>
              <w:sz w:val="22"/>
              <w:szCs w:val="22"/>
              <w:lang w:val="en-GB"/>
            </w:rPr>
          </w:pPr>
          <w:r w:rsidRPr="005106CE">
            <w:rPr>
              <w:rFonts w:ascii="Arial" w:hAnsi="Arial" w:cs="Arial"/>
              <w:b/>
              <w:bCs/>
              <w:noProof/>
              <w:sz w:val="22"/>
              <w:szCs w:val="22"/>
              <w:lang w:val="en-GB"/>
            </w:rPr>
            <w:fldChar w:fldCharType="end"/>
          </w:r>
        </w:p>
      </w:sdtContent>
    </w:sdt>
    <w:p w14:paraId="78094FCF" w14:textId="77777777" w:rsidR="00AD6249" w:rsidRPr="005106CE" w:rsidRDefault="00AD6249">
      <w:pPr>
        <w:rPr>
          <w:rFonts w:ascii="Arial" w:hAnsi="Arial" w:cs="Arial"/>
          <w:b/>
          <w:bCs/>
          <w:color w:val="000000"/>
          <w:lang w:val="en-GB"/>
        </w:rPr>
      </w:pPr>
      <w:r w:rsidRPr="005106CE">
        <w:rPr>
          <w:rFonts w:ascii="Arial" w:hAnsi="Arial" w:cs="Arial"/>
          <w:sz w:val="22"/>
          <w:szCs w:val="22"/>
          <w:lang w:val="en-GB"/>
        </w:rPr>
        <w:br w:type="page"/>
      </w:r>
    </w:p>
    <w:p w14:paraId="1847BACD" w14:textId="77777777" w:rsidR="00A00680" w:rsidRPr="005106CE" w:rsidRDefault="00160DDB">
      <w:pPr>
        <w:pStyle w:val="Heading1"/>
        <w:rPr>
          <w:rFonts w:ascii="Arial" w:hAnsi="Arial" w:cs="Arial"/>
          <w:sz w:val="24"/>
          <w:szCs w:val="24"/>
          <w:lang w:val="en-GB"/>
        </w:rPr>
      </w:pPr>
      <w:bookmarkStart w:id="5" w:name="_Toc215763186"/>
      <w:r w:rsidRPr="005106CE">
        <w:rPr>
          <w:rFonts w:ascii="Arial" w:hAnsi="Arial" w:cs="Arial"/>
          <w:sz w:val="24"/>
          <w:szCs w:val="24"/>
          <w:lang w:val="en-GB"/>
        </w:rPr>
        <w:lastRenderedPageBreak/>
        <w:t>1. Introduction</w:t>
      </w:r>
      <w:bookmarkEnd w:id="5"/>
      <w:r w:rsidRPr="005106CE">
        <w:rPr>
          <w:rFonts w:ascii="Arial" w:hAnsi="Arial" w:cs="Arial"/>
          <w:sz w:val="24"/>
          <w:szCs w:val="24"/>
          <w:lang w:val="en-GB"/>
        </w:rPr>
        <w:t xml:space="preserve"> </w:t>
      </w:r>
    </w:p>
    <w:p w14:paraId="12D61508"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COVID-19 pandemic showed the strengths and weaknesses of health systems across the globe, and the leadership played a crucial role in determining successful responses. This comparative report compares the organisation of the health systems and leadership during the pandemic in Spain, South Korea, and Canada, with special reference to Spain and the role of the Minister of Health, Salvador. The three jurisdictions were chosen purposely to provide the contrast of the governance arrangements and leadership styles: Spain has a highly decentralised National Health System; South Korea has a more centralised, technologically integrated model of governance of the public health; Canada is a complex federal-provincial structure that shares responsibilities in the domain of public health. The comparison of the differences will help to better grasp how the aspects of centralisation and decentralisation of power affected the approaches to the national pandemics.</w:t>
      </w:r>
    </w:p>
    <w:p w14:paraId="39F17D1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report aims to critically examine how organisational structures, mechanisms to respond to crises, and leadership behaviours affected the ability of each country to plan, manage, and deliver interventions on public health in relation to COVID-19. The report uses theories of health systems, literature of crisis management and theories of leadership that have been examined in this module to assess the decisions made by leaders, system mobilisation and coping with uncertainty in the fast-changing situations. The module learning outcomes are also consistent with the outcomes of the analysis, as it shows that: (LO1) the learner understands governance, leadership, systems thinking, and service development; (LO2) the learner evaluates the interaction of leadership with health system structures and outcomes; and (LO3) the learner applies systems thinking to interpret policy responses and organisational dynamics.</w:t>
      </w:r>
    </w:p>
    <w:p w14:paraId="0059BDFF"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Combining the comparative health system analysis and the leadership theory, the report can offer a subtle insight into how and why Spain had an automatic initial reaction but subsequently became a leader in vaccination; how South Korea achieved effective fast containment due to strong central coordination; and why the division of powers in Canada was both a strength and a weakness. Introduction establishes the basis of systematic and critical analysis of leadership and health system organisation during the pandemic governance.</w:t>
      </w:r>
    </w:p>
    <w:p w14:paraId="0DDA87CD" w14:textId="77777777" w:rsidR="00A00680" w:rsidRPr="005106CE" w:rsidRDefault="00160DDB">
      <w:pPr>
        <w:pStyle w:val="Heading1"/>
        <w:keepNext w:val="0"/>
        <w:keepLines w:val="0"/>
        <w:rPr>
          <w:rFonts w:ascii="Arial" w:hAnsi="Arial" w:cs="Arial"/>
          <w:sz w:val="24"/>
          <w:szCs w:val="24"/>
          <w:lang w:val="en-GB"/>
        </w:rPr>
      </w:pPr>
      <w:bookmarkStart w:id="6" w:name="_hb6jadz9gq81" w:colFirst="0" w:colLast="0"/>
      <w:bookmarkStart w:id="7" w:name="_Toc215763187"/>
      <w:bookmarkEnd w:id="6"/>
      <w:r w:rsidRPr="005106CE">
        <w:rPr>
          <w:rFonts w:ascii="Arial" w:hAnsi="Arial" w:cs="Arial"/>
          <w:sz w:val="24"/>
          <w:szCs w:val="24"/>
          <w:lang w:val="en-GB"/>
        </w:rPr>
        <w:t>2. Overview of Health System Organisation in the Three Jurisdictions</w:t>
      </w:r>
      <w:bookmarkEnd w:id="7"/>
      <w:r w:rsidRPr="005106CE">
        <w:rPr>
          <w:rFonts w:ascii="Arial" w:hAnsi="Arial" w:cs="Arial"/>
          <w:sz w:val="24"/>
          <w:szCs w:val="24"/>
          <w:lang w:val="en-GB"/>
        </w:rPr>
        <w:t xml:space="preserve"> </w:t>
      </w:r>
    </w:p>
    <w:p w14:paraId="139884BD" w14:textId="77777777" w:rsidR="00A00680" w:rsidRPr="005106CE" w:rsidRDefault="00160DDB">
      <w:pPr>
        <w:pStyle w:val="Heading2"/>
        <w:keepNext w:val="0"/>
        <w:keepLines w:val="0"/>
        <w:rPr>
          <w:rFonts w:ascii="Arial" w:hAnsi="Arial" w:cs="Arial"/>
          <w:sz w:val="24"/>
          <w:szCs w:val="24"/>
          <w:lang w:val="en-GB"/>
        </w:rPr>
      </w:pPr>
      <w:bookmarkStart w:id="8" w:name="_pds0t78i8ugi" w:colFirst="0" w:colLast="0"/>
      <w:bookmarkStart w:id="9" w:name="_Toc215763188"/>
      <w:bookmarkEnd w:id="8"/>
      <w:r w:rsidRPr="005106CE">
        <w:rPr>
          <w:rFonts w:ascii="Arial" w:hAnsi="Arial" w:cs="Arial"/>
          <w:sz w:val="24"/>
          <w:szCs w:val="24"/>
          <w:lang w:val="en-GB"/>
        </w:rPr>
        <w:t>2.1 Conceptual Framework</w:t>
      </w:r>
      <w:bookmarkEnd w:id="9"/>
    </w:p>
    <w:p w14:paraId="5D291085"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lastRenderedPageBreak/>
        <w:t>This report uses two complementary analytical frameworks, the WHO Health System Building Blocks Framework and the Structure-Process-Outcome (SPO) model of Donabedian, to compare the organisation of health systems in Spain, South Korea and Canada in the COVID-19 pandemic.</w:t>
      </w:r>
    </w:p>
    <w:p w14:paraId="0B6BA3C1"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The WHO framework facilitates a systematic evaluation of the health system elements, such as governance, financing, workforce, information systems, service delivery, and access to medicines, with emphasis on how the design of the system is associated with emergency responsiveness (Khatri </w:t>
      </w:r>
      <w:r w:rsidRPr="005106CE">
        <w:rPr>
          <w:rFonts w:ascii="Arial" w:hAnsi="Arial" w:cs="Arial"/>
          <w:i/>
          <w:iCs/>
          <w:color w:val="000000"/>
          <w:sz w:val="22"/>
          <w:szCs w:val="22"/>
          <w:lang w:val="en-GB"/>
        </w:rPr>
        <w:t>et al.</w:t>
      </w:r>
      <w:r w:rsidRPr="005106CE">
        <w:rPr>
          <w:rFonts w:ascii="Arial" w:hAnsi="Arial" w:cs="Arial"/>
          <w:color w:val="000000"/>
          <w:sz w:val="22"/>
          <w:szCs w:val="22"/>
          <w:lang w:val="en-GB"/>
        </w:rPr>
        <w:t xml:space="preserve"> 2025). This model explains the impact of differences in the centralisation of governance, digital infrastructure, and workforce capacity on determining a nation's capacity to coordinate surveillance, enact public health policies, and mobilise resources in a pandemic situation.</w:t>
      </w:r>
    </w:p>
    <w:p w14:paraId="3B75DC36"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comparison is further developed with the help of the SPO model created by Donabedian, where the structure of systems (institutional arrangements, centralisation, organisational capacity) in each country affected the processes (testing, tracing, risk communication, lockdown implementation, vaccination rollout), resulting in outcomes (infection control, public compliance, mortality, and vaccination uptake) (Nguyen, Tran  and Nguyen, 2021). The use of SPO to adapt to pandemic governance enables the study of causal mechanisms and interactions between system properties and leadership behaviour, connecting to systems thinking strategies that focus on interdependency and loops of feedback.</w:t>
      </w:r>
    </w:p>
    <w:p w14:paraId="338DC6D4"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 combination of these models provides a broader context for evaluating the role of health system design in policy options and response capacities within the three jurisdictions.</w:t>
      </w:r>
    </w:p>
    <w:p w14:paraId="61118A3B" w14:textId="77777777" w:rsidR="00A00680" w:rsidRPr="005106CE" w:rsidRDefault="00160DDB">
      <w:pPr>
        <w:jc w:val="center"/>
        <w:rPr>
          <w:rFonts w:ascii="Arial" w:hAnsi="Arial" w:cs="Arial"/>
          <w:color w:val="000000"/>
          <w:sz w:val="22"/>
          <w:szCs w:val="22"/>
          <w:lang w:val="en-GB"/>
        </w:rPr>
      </w:pPr>
      <w:r w:rsidRPr="005106CE">
        <w:rPr>
          <w:rFonts w:ascii="Arial" w:hAnsi="Arial" w:cs="Arial"/>
          <w:noProof/>
          <w:color w:val="000000"/>
          <w:sz w:val="22"/>
          <w:szCs w:val="22"/>
          <w:lang w:val="en-GB"/>
        </w:rPr>
        <w:lastRenderedPageBreak/>
        <w:drawing>
          <wp:inline distT="114300" distB="114300" distL="114300" distR="114300" wp14:anchorId="6B9E27EA" wp14:editId="571B119C">
            <wp:extent cx="5230546" cy="2914650"/>
            <wp:effectExtent l="0" t="0" r="825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231351" cy="2915099"/>
                    </a:xfrm>
                    <a:prstGeom prst="rect">
                      <a:avLst/>
                    </a:prstGeom>
                    <a:ln/>
                  </pic:spPr>
                </pic:pic>
              </a:graphicData>
            </a:graphic>
          </wp:inline>
        </w:drawing>
      </w:r>
    </w:p>
    <w:p w14:paraId="78F0E3C1" w14:textId="77777777" w:rsidR="00A00680" w:rsidRPr="005106CE" w:rsidRDefault="00160DDB">
      <w:pPr>
        <w:jc w:val="center"/>
        <w:rPr>
          <w:rFonts w:ascii="Arial" w:hAnsi="Arial" w:cs="Arial"/>
          <w:b/>
          <w:bCs/>
          <w:color w:val="000000"/>
          <w:sz w:val="22"/>
          <w:szCs w:val="22"/>
          <w:lang w:val="en-GB"/>
        </w:rPr>
      </w:pPr>
      <w:r w:rsidRPr="005106CE">
        <w:rPr>
          <w:rFonts w:ascii="Arial" w:hAnsi="Arial" w:cs="Arial"/>
          <w:b/>
          <w:bCs/>
          <w:color w:val="000000"/>
          <w:sz w:val="22"/>
          <w:szCs w:val="22"/>
          <w:lang w:val="en-GB"/>
        </w:rPr>
        <w:t>Figure: Conceptual Model of Health System Performance: Structure, Process, and Outcomes</w:t>
      </w:r>
    </w:p>
    <w:p w14:paraId="4C5E59A6" w14:textId="77777777" w:rsidR="00A00680" w:rsidRPr="005106CE" w:rsidRDefault="00160DDB">
      <w:pPr>
        <w:jc w:val="center"/>
        <w:rPr>
          <w:rFonts w:ascii="Arial" w:hAnsi="Arial" w:cs="Arial"/>
          <w:color w:val="000000"/>
          <w:sz w:val="22"/>
          <w:szCs w:val="22"/>
          <w:lang w:val="en-GB"/>
        </w:rPr>
      </w:pPr>
      <w:r w:rsidRPr="005106CE">
        <w:rPr>
          <w:rFonts w:ascii="Arial" w:hAnsi="Arial" w:cs="Arial"/>
          <w:color w:val="000000"/>
          <w:sz w:val="22"/>
          <w:szCs w:val="22"/>
          <w:lang w:val="en-GB"/>
        </w:rPr>
        <w:t>(Source: Self-made)</w:t>
      </w:r>
    </w:p>
    <w:p w14:paraId="5AA21CEE" w14:textId="77777777" w:rsidR="00A00680" w:rsidRPr="005106CE" w:rsidRDefault="00160DDB">
      <w:pPr>
        <w:pStyle w:val="Heading2"/>
        <w:rPr>
          <w:rFonts w:ascii="Arial" w:hAnsi="Arial" w:cs="Arial"/>
          <w:sz w:val="24"/>
          <w:szCs w:val="24"/>
          <w:lang w:val="en-GB"/>
        </w:rPr>
      </w:pPr>
      <w:bookmarkStart w:id="10" w:name="_xxaxzcxturgh" w:colFirst="0" w:colLast="0"/>
      <w:bookmarkStart w:id="11" w:name="_Toc215763189"/>
      <w:bookmarkEnd w:id="10"/>
      <w:r w:rsidRPr="005106CE">
        <w:rPr>
          <w:rFonts w:ascii="Arial" w:hAnsi="Arial" w:cs="Arial"/>
          <w:sz w:val="24"/>
          <w:szCs w:val="24"/>
          <w:lang w:val="en-GB"/>
        </w:rPr>
        <w:t>2.2 Spain: Health System Organisation During COVID-19</w:t>
      </w:r>
      <w:bookmarkEnd w:id="11"/>
    </w:p>
    <w:p w14:paraId="183CB85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Spain has a </w:t>
      </w:r>
      <w:r w:rsidRPr="005106CE">
        <w:rPr>
          <w:rFonts w:ascii="Arial" w:hAnsi="Arial" w:cs="Arial"/>
          <w:b/>
          <w:bCs/>
          <w:color w:val="000000"/>
          <w:sz w:val="22"/>
          <w:szCs w:val="22"/>
          <w:lang w:val="en-GB"/>
        </w:rPr>
        <w:t>decentralised National Health System (NHS)</w:t>
      </w:r>
      <w:r w:rsidRPr="005106CE">
        <w:rPr>
          <w:rFonts w:ascii="Arial" w:hAnsi="Arial" w:cs="Arial"/>
          <w:color w:val="000000"/>
          <w:sz w:val="22"/>
          <w:szCs w:val="22"/>
          <w:lang w:val="en-GB"/>
        </w:rPr>
        <w:t xml:space="preserve"> which is made up of 17 autonomous communities that have significant power over health planning, service delivery, as well as implementation of public health. Until the pandemic, the system relied on regional leadership, and the main responsibility of the high-level coordination and emergency preparedness belonged to the national Ministry of Health (Kuhlmann and Franzke, 2022). Through the structure dimension as proposed by Donabedian, decentralisation in Spain established a haphazard epidemiological surveillance and unequal readiness levels among regions.</w:t>
      </w:r>
    </w:p>
    <w:p w14:paraId="6C77DDC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These structural constraints were represented by pandemic processes. At the beginning of 2020, there was a lack of central oversight and uneven reporting by the regions, which delayed the detection of the risks. Although the Minister of the day, Salvador Illa, stated that the system is ready, there was sluggishness and a reactive approach to early processes, such as testing, tracing, and strategic communication. Later, the central government used the emergency powers (Estado de Alarma), which temporarily concentrated decision-making, which allowed coherent national restrictions and better coordination (Navarro  and Velasco, 2022). The change of the process of vaccination in Spain has been greatly influenced by the national direction and </w:t>
      </w:r>
      <w:r w:rsidRPr="005106CE">
        <w:rPr>
          <w:rFonts w:ascii="Arial" w:hAnsi="Arial" w:cs="Arial"/>
          <w:color w:val="000000"/>
          <w:sz w:val="22"/>
          <w:szCs w:val="22"/>
          <w:lang w:val="en-GB"/>
        </w:rPr>
        <w:lastRenderedPageBreak/>
        <w:t>prioritisation structures that have allowed effective implementation, despite the bulk of regional delivery tasks.</w:t>
      </w:r>
    </w:p>
    <w:p w14:paraId="4D8514A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Their</w:t>
      </w:r>
      <w:r w:rsidRPr="005106CE">
        <w:rPr>
          <w:rFonts w:ascii="Arial" w:hAnsi="Arial" w:cs="Arial"/>
          <w:b/>
          <w:bCs/>
          <w:color w:val="000000"/>
          <w:sz w:val="22"/>
          <w:szCs w:val="22"/>
          <w:lang w:val="en-GB"/>
        </w:rPr>
        <w:t xml:space="preserve"> outcome</w:t>
      </w:r>
      <w:r w:rsidRPr="005106CE">
        <w:rPr>
          <w:rFonts w:ascii="Arial" w:hAnsi="Arial" w:cs="Arial"/>
          <w:color w:val="000000"/>
          <w:sz w:val="22"/>
          <w:szCs w:val="22"/>
          <w:lang w:val="en-GB"/>
        </w:rPr>
        <w:t xml:space="preserve"> was not entirely positive: Spain suffered in the initial epidemics because of very high mortality rates, and later was among the European leaders in vaccination, showing how more centralised leadership can enhance system coherence once it becomes disjointed.</w:t>
      </w:r>
    </w:p>
    <w:p w14:paraId="05755ACE" w14:textId="77777777" w:rsidR="00A00680" w:rsidRPr="005106CE" w:rsidRDefault="00160DDB">
      <w:pPr>
        <w:pStyle w:val="Heading2"/>
        <w:rPr>
          <w:rFonts w:ascii="Arial" w:hAnsi="Arial" w:cs="Arial"/>
          <w:sz w:val="24"/>
          <w:szCs w:val="24"/>
          <w:lang w:val="en-GB"/>
        </w:rPr>
      </w:pPr>
      <w:bookmarkStart w:id="12" w:name="_v8660ocvgbdy" w:colFirst="0" w:colLast="0"/>
      <w:bookmarkStart w:id="13" w:name="_Toc215763190"/>
      <w:bookmarkEnd w:id="12"/>
      <w:r w:rsidRPr="005106CE">
        <w:rPr>
          <w:rFonts w:ascii="Arial" w:hAnsi="Arial" w:cs="Arial"/>
          <w:sz w:val="24"/>
          <w:szCs w:val="24"/>
          <w:lang w:val="en-GB"/>
        </w:rPr>
        <w:t>2.3 South Korea</w:t>
      </w:r>
      <w:bookmarkEnd w:id="13"/>
    </w:p>
    <w:p w14:paraId="02293D0C"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system at work in South Korea is marked by a high level of centralisation of the governing bodies in the field of public health, with the developed digital infrastructure (Yang, 2022). The Korea Disease Control and Prevention Agency (KDCA) possesses a lot of powers in order to spearhead surveillance, testing and control of infectious diseases.</w:t>
      </w:r>
    </w:p>
    <w:p w14:paraId="0317AF48"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Within Donabedian’s structure, South Korea is fortunate to experience coordinated data systems, laws that facilitate quick mobilisation, and good working relations between government ministries and health institutions and technology companies. Such structural characteristics provided rapid emergency system activation based on the MERS (2015) lessons.</w:t>
      </w:r>
    </w:p>
    <w:p w14:paraId="3EAC204B"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processes of the pandemic went fast and in a coordinated way: mass testing, drive-through screening centres, digital contact tracing on the basis of mobile and financial data, real-time risk communication, and limited use of nationwide lockdowns (Chung</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2021). The cooperation of the Ministry of Health, KDCA and local governments guaranteed the uniformity of messages and efficiency of operations.</w:t>
      </w:r>
    </w:p>
    <w:p w14:paraId="6C5FC47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As outcomes, South Korea achieved early containment, low mortality as compared to those in OECD, and maintained public trust as outcomes. The vaccination was initially slower but rapidly increased, and it was highly coordinated at the national level.</w:t>
      </w:r>
    </w:p>
    <w:p w14:paraId="3101F383" w14:textId="77777777" w:rsidR="00A00680" w:rsidRPr="005106CE" w:rsidRDefault="00160DDB">
      <w:pPr>
        <w:pStyle w:val="Heading2"/>
        <w:rPr>
          <w:rFonts w:ascii="Arial" w:hAnsi="Arial" w:cs="Arial"/>
          <w:sz w:val="24"/>
          <w:szCs w:val="24"/>
          <w:lang w:val="en-GB"/>
        </w:rPr>
      </w:pPr>
      <w:bookmarkStart w:id="14" w:name="_hm7h3l10efeo" w:colFirst="0" w:colLast="0"/>
      <w:bookmarkStart w:id="15" w:name="_Toc215763191"/>
      <w:bookmarkEnd w:id="14"/>
      <w:r w:rsidRPr="005106CE">
        <w:rPr>
          <w:rFonts w:ascii="Arial" w:hAnsi="Arial" w:cs="Arial"/>
          <w:sz w:val="24"/>
          <w:szCs w:val="24"/>
          <w:lang w:val="en-GB"/>
        </w:rPr>
        <w:t>2.4 Canada</w:t>
      </w:r>
      <w:bookmarkEnd w:id="15"/>
    </w:p>
    <w:p w14:paraId="32E7A50F"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The </w:t>
      </w:r>
      <w:r w:rsidRPr="005106CE">
        <w:rPr>
          <w:rFonts w:ascii="Arial" w:hAnsi="Arial" w:cs="Arial"/>
          <w:b/>
          <w:bCs/>
          <w:color w:val="000000"/>
          <w:sz w:val="22"/>
          <w:szCs w:val="22"/>
          <w:lang w:val="en-GB"/>
        </w:rPr>
        <w:t>federal form</w:t>
      </w:r>
      <w:r w:rsidRPr="005106CE">
        <w:rPr>
          <w:rFonts w:ascii="Arial" w:hAnsi="Arial" w:cs="Arial"/>
          <w:color w:val="000000"/>
          <w:sz w:val="22"/>
          <w:szCs w:val="22"/>
          <w:lang w:val="en-GB"/>
        </w:rPr>
        <w:t xml:space="preserve"> of governance influences health governance in Canada such that the provinces are the main stakeholders in healthcare delivery, the state of public health, and the management of emergencies (Smith</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2023). The federal government offers direction and the disbursement of funds, as well as national supply and acquisition, but is unable to impose health care in the provinces.</w:t>
      </w:r>
    </w:p>
    <w:p w14:paraId="7BB3FA53"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lastRenderedPageBreak/>
        <w:t>The structure adopted by Donabedian reveals that Canada is decentralised like Spain, but with more provincial autonomy and diversity in jurisdictions. This helped generate capacity heterogeneity, surveillance system heterogeneity and preparedness to pandemics.</w:t>
      </w:r>
    </w:p>
    <w:p w14:paraId="4297461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partition was also evident in pandemic processes: the testing and lockdown measures differed greatly by province; the contact tracing capacity was unevenly distributed; and public health decision-making procedures often lacked real-time interaction in the federation. The Prime Minister, Justin Trudeau, orchestrated border control, direction, data reporting standards and vaccine acquisition by the federal government (Robinson and Watson, 2025). The initial rollout of vaccination was slow because of the scarcity of supplies, but it eventually had a high coverage with the help of coordinated procurement and provincial delivery.</w:t>
      </w:r>
    </w:p>
    <w:p w14:paraId="40692857"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The </w:t>
      </w:r>
      <w:r w:rsidRPr="005106CE">
        <w:rPr>
          <w:rFonts w:ascii="Arial" w:hAnsi="Arial" w:cs="Arial"/>
          <w:b/>
          <w:bCs/>
          <w:color w:val="000000"/>
          <w:sz w:val="22"/>
          <w:szCs w:val="22"/>
          <w:lang w:val="en-GB"/>
        </w:rPr>
        <w:t>outcomes</w:t>
      </w:r>
      <w:r w:rsidRPr="005106CE">
        <w:rPr>
          <w:rFonts w:ascii="Arial" w:hAnsi="Arial" w:cs="Arial"/>
          <w:color w:val="000000"/>
          <w:sz w:val="22"/>
          <w:szCs w:val="22"/>
          <w:lang w:val="en-GB"/>
        </w:rPr>
        <w:t xml:space="preserve"> reveal a mixed picture: premature setbacks and provincial disparities also led to the uneven coverage of the population, but Canada still had high vaccination rates and a relatively average mortality load.</w:t>
      </w:r>
    </w:p>
    <w:p w14:paraId="1D3D63BB" w14:textId="77777777" w:rsidR="00A00680" w:rsidRPr="005106CE" w:rsidRDefault="00160DDB">
      <w:pPr>
        <w:pStyle w:val="Heading2"/>
        <w:rPr>
          <w:rFonts w:ascii="Arial" w:hAnsi="Arial" w:cs="Arial"/>
          <w:sz w:val="24"/>
          <w:szCs w:val="24"/>
          <w:lang w:val="en-GB"/>
        </w:rPr>
      </w:pPr>
      <w:bookmarkStart w:id="16" w:name="_gjhqeahfmhsa" w:colFirst="0" w:colLast="0"/>
      <w:bookmarkStart w:id="17" w:name="_Toc215763192"/>
      <w:bookmarkEnd w:id="16"/>
      <w:r w:rsidRPr="005106CE">
        <w:rPr>
          <w:rFonts w:ascii="Arial" w:hAnsi="Arial" w:cs="Arial"/>
          <w:sz w:val="24"/>
          <w:szCs w:val="24"/>
          <w:lang w:val="en-GB"/>
        </w:rPr>
        <w:t>2.5 Comparative Analysis</w:t>
      </w:r>
      <w:bookmarkEnd w:id="17"/>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00680" w:rsidRPr="005106CE" w14:paraId="62773A2E" w14:textId="77777777">
        <w:tc>
          <w:tcPr>
            <w:tcW w:w="2340" w:type="dxa"/>
            <w:tcMar>
              <w:top w:w="100" w:type="dxa"/>
              <w:left w:w="100" w:type="dxa"/>
              <w:bottom w:w="100" w:type="dxa"/>
              <w:right w:w="100" w:type="dxa"/>
            </w:tcMar>
          </w:tcPr>
          <w:p w14:paraId="5727B368"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Domain</w:t>
            </w:r>
          </w:p>
        </w:tc>
        <w:tc>
          <w:tcPr>
            <w:tcW w:w="2340" w:type="dxa"/>
            <w:tcMar>
              <w:top w:w="100" w:type="dxa"/>
              <w:left w:w="100" w:type="dxa"/>
              <w:bottom w:w="100" w:type="dxa"/>
              <w:right w:w="100" w:type="dxa"/>
            </w:tcMar>
          </w:tcPr>
          <w:p w14:paraId="291A78A5"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Spain</w:t>
            </w:r>
          </w:p>
        </w:tc>
        <w:tc>
          <w:tcPr>
            <w:tcW w:w="2340" w:type="dxa"/>
            <w:tcMar>
              <w:top w:w="100" w:type="dxa"/>
              <w:left w:w="100" w:type="dxa"/>
              <w:bottom w:w="100" w:type="dxa"/>
              <w:right w:w="100" w:type="dxa"/>
            </w:tcMar>
          </w:tcPr>
          <w:p w14:paraId="77931FF0"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South Korea</w:t>
            </w:r>
          </w:p>
        </w:tc>
        <w:tc>
          <w:tcPr>
            <w:tcW w:w="2340" w:type="dxa"/>
            <w:tcMar>
              <w:top w:w="100" w:type="dxa"/>
              <w:left w:w="100" w:type="dxa"/>
              <w:bottom w:w="100" w:type="dxa"/>
              <w:right w:w="100" w:type="dxa"/>
            </w:tcMar>
          </w:tcPr>
          <w:p w14:paraId="623D3DC3"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Canada</w:t>
            </w:r>
          </w:p>
        </w:tc>
      </w:tr>
      <w:tr w:rsidR="00A00680" w:rsidRPr="005106CE" w14:paraId="2D2AE34F" w14:textId="77777777">
        <w:tc>
          <w:tcPr>
            <w:tcW w:w="2340" w:type="dxa"/>
            <w:tcMar>
              <w:top w:w="100" w:type="dxa"/>
              <w:left w:w="100" w:type="dxa"/>
              <w:bottom w:w="100" w:type="dxa"/>
              <w:right w:w="100" w:type="dxa"/>
            </w:tcMar>
          </w:tcPr>
          <w:p w14:paraId="12FFD679"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Centralisation level</w:t>
            </w:r>
          </w:p>
        </w:tc>
        <w:tc>
          <w:tcPr>
            <w:tcW w:w="2340" w:type="dxa"/>
            <w:tcMar>
              <w:top w:w="100" w:type="dxa"/>
              <w:left w:w="100" w:type="dxa"/>
              <w:bottom w:w="100" w:type="dxa"/>
              <w:right w:w="100" w:type="dxa"/>
            </w:tcMar>
          </w:tcPr>
          <w:p w14:paraId="7BD398AD" w14:textId="77777777" w:rsidR="00A00680" w:rsidRPr="005106CE" w:rsidRDefault="00A00680">
            <w:pPr>
              <w:widowControl w:val="0"/>
              <w:jc w:val="left"/>
              <w:rPr>
                <w:rFonts w:ascii="Arial" w:hAnsi="Arial" w:cs="Arial"/>
                <w:color w:val="000000"/>
                <w:sz w:val="22"/>
                <w:szCs w:val="22"/>
                <w:lang w:val="en-GB"/>
              </w:rPr>
            </w:pPr>
          </w:p>
          <w:tbl>
            <w:tblPr>
              <w:tblStyle w:val="a0"/>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A00680" w:rsidRPr="005106CE" w14:paraId="14DE3660" w14:textId="77777777">
              <w:trPr>
                <w:trHeight w:val="230"/>
              </w:trPr>
              <w:tc>
                <w:tcPr>
                  <w:tcW w:w="230" w:type="dxa"/>
                  <w:tcBorders>
                    <w:top w:val="nil"/>
                    <w:left w:val="nil"/>
                    <w:bottom w:val="nil"/>
                    <w:right w:val="nil"/>
                  </w:tcBorders>
                  <w:tcMar>
                    <w:top w:w="100" w:type="dxa"/>
                    <w:left w:w="100" w:type="dxa"/>
                    <w:bottom w:w="100" w:type="dxa"/>
                    <w:right w:w="100" w:type="dxa"/>
                  </w:tcMar>
                </w:tcPr>
                <w:p w14:paraId="7F9511F1" w14:textId="77777777" w:rsidR="00A00680" w:rsidRPr="005106CE" w:rsidRDefault="00A00680">
                  <w:pPr>
                    <w:widowControl w:val="0"/>
                    <w:jc w:val="left"/>
                    <w:rPr>
                      <w:rFonts w:ascii="Arial" w:hAnsi="Arial" w:cs="Arial"/>
                      <w:color w:val="000000"/>
                      <w:sz w:val="22"/>
                      <w:szCs w:val="22"/>
                      <w:lang w:val="en-GB"/>
                    </w:rPr>
                  </w:pPr>
                </w:p>
              </w:tc>
            </w:tr>
          </w:tbl>
          <w:p w14:paraId="2BD8C30A" w14:textId="77777777" w:rsidR="00A00680" w:rsidRPr="005106CE" w:rsidRDefault="00A00680">
            <w:pPr>
              <w:widowControl w:val="0"/>
              <w:jc w:val="left"/>
              <w:rPr>
                <w:rFonts w:ascii="Arial" w:hAnsi="Arial" w:cs="Arial"/>
                <w:color w:val="000000"/>
                <w:sz w:val="22"/>
                <w:szCs w:val="22"/>
                <w:lang w:val="en-GB"/>
              </w:rPr>
            </w:pPr>
          </w:p>
          <w:tbl>
            <w:tblPr>
              <w:tblStyle w:val="a1"/>
              <w:tblW w:w="2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30"/>
            </w:tblGrid>
            <w:tr w:rsidR="00A00680" w:rsidRPr="005106CE" w14:paraId="7F2FAC1B" w14:textId="77777777">
              <w:trPr>
                <w:trHeight w:val="515"/>
              </w:trPr>
              <w:tc>
                <w:tcPr>
                  <w:tcW w:w="2130" w:type="dxa"/>
                  <w:tcBorders>
                    <w:top w:val="nil"/>
                    <w:left w:val="nil"/>
                    <w:bottom w:val="nil"/>
                    <w:right w:val="nil"/>
                  </w:tcBorders>
                  <w:tcMar>
                    <w:top w:w="100" w:type="dxa"/>
                    <w:left w:w="100" w:type="dxa"/>
                    <w:bottom w:w="100" w:type="dxa"/>
                    <w:right w:w="100" w:type="dxa"/>
                  </w:tcMar>
                </w:tcPr>
                <w:p w14:paraId="35BF1905" w14:textId="77777777" w:rsidR="00A00680" w:rsidRPr="005106CE" w:rsidRDefault="00160DDB">
                  <w:pPr>
                    <w:widowControl w:val="0"/>
                    <w:jc w:val="left"/>
                    <w:rPr>
                      <w:rFonts w:ascii="Arial" w:hAnsi="Arial" w:cs="Arial"/>
                      <w:color w:val="000000"/>
                      <w:sz w:val="22"/>
                      <w:szCs w:val="22"/>
                      <w:lang w:val="en-GB"/>
                    </w:rPr>
                  </w:pPr>
                  <w:r w:rsidRPr="005106CE">
                    <w:rPr>
                      <w:rFonts w:ascii="Arial" w:hAnsi="Arial" w:cs="Arial"/>
                      <w:color w:val="000000"/>
                      <w:sz w:val="22"/>
                      <w:szCs w:val="22"/>
                      <w:lang w:val="en-GB"/>
                    </w:rPr>
                    <w:t>Decentralised NHS; centralised only during emergencies</w:t>
                  </w:r>
                </w:p>
              </w:tc>
            </w:tr>
          </w:tbl>
          <w:p w14:paraId="62EA7919" w14:textId="77777777" w:rsidR="00A00680" w:rsidRPr="005106CE" w:rsidRDefault="00A00680">
            <w:pPr>
              <w:widowControl w:val="0"/>
              <w:pBdr>
                <w:top w:val="nil"/>
                <w:left w:val="nil"/>
                <w:bottom w:val="nil"/>
                <w:right w:val="nil"/>
                <w:between w:val="nil"/>
              </w:pBdr>
              <w:jc w:val="left"/>
              <w:rPr>
                <w:rFonts w:ascii="Arial" w:hAnsi="Arial" w:cs="Arial"/>
                <w:color w:val="000000"/>
                <w:sz w:val="22"/>
                <w:szCs w:val="22"/>
                <w:lang w:val="en-GB"/>
              </w:rPr>
            </w:pPr>
          </w:p>
        </w:tc>
        <w:tc>
          <w:tcPr>
            <w:tcW w:w="2340" w:type="dxa"/>
            <w:tcMar>
              <w:top w:w="100" w:type="dxa"/>
              <w:left w:w="100" w:type="dxa"/>
              <w:bottom w:w="100" w:type="dxa"/>
              <w:right w:w="100" w:type="dxa"/>
            </w:tcMar>
          </w:tcPr>
          <w:p w14:paraId="5834A67F"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Highly centralised public health governance</w:t>
            </w:r>
          </w:p>
        </w:tc>
        <w:tc>
          <w:tcPr>
            <w:tcW w:w="2340" w:type="dxa"/>
            <w:tcMar>
              <w:top w:w="100" w:type="dxa"/>
              <w:left w:w="100" w:type="dxa"/>
              <w:bottom w:w="100" w:type="dxa"/>
              <w:right w:w="100" w:type="dxa"/>
            </w:tcMar>
          </w:tcPr>
          <w:p w14:paraId="76E43DFC"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Mixed federal system; provinces lead</w:t>
            </w:r>
          </w:p>
        </w:tc>
      </w:tr>
      <w:tr w:rsidR="00A00680" w:rsidRPr="005106CE" w14:paraId="4DC7CAED" w14:textId="77777777">
        <w:tc>
          <w:tcPr>
            <w:tcW w:w="2340" w:type="dxa"/>
            <w:tcMar>
              <w:top w:w="100" w:type="dxa"/>
              <w:left w:w="100" w:type="dxa"/>
              <w:bottom w:w="100" w:type="dxa"/>
              <w:right w:w="100" w:type="dxa"/>
            </w:tcMar>
          </w:tcPr>
          <w:p w14:paraId="615F23CA"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Digital surveillance capacity</w:t>
            </w:r>
          </w:p>
        </w:tc>
        <w:tc>
          <w:tcPr>
            <w:tcW w:w="2340" w:type="dxa"/>
            <w:tcMar>
              <w:top w:w="100" w:type="dxa"/>
              <w:left w:w="100" w:type="dxa"/>
              <w:bottom w:w="100" w:type="dxa"/>
              <w:right w:w="100" w:type="dxa"/>
            </w:tcMar>
          </w:tcPr>
          <w:p w14:paraId="19ECF146"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Weak early; fragmented</w:t>
            </w:r>
          </w:p>
        </w:tc>
        <w:tc>
          <w:tcPr>
            <w:tcW w:w="2340" w:type="dxa"/>
            <w:tcMar>
              <w:top w:w="100" w:type="dxa"/>
              <w:left w:w="100" w:type="dxa"/>
              <w:bottom w:w="100" w:type="dxa"/>
              <w:right w:w="100" w:type="dxa"/>
            </w:tcMar>
          </w:tcPr>
          <w:p w14:paraId="31F0CBB2" w14:textId="77777777" w:rsidR="00A00680" w:rsidRPr="005106CE" w:rsidRDefault="00A00680">
            <w:pPr>
              <w:widowControl w:val="0"/>
              <w:jc w:val="left"/>
              <w:rPr>
                <w:rFonts w:ascii="Arial" w:hAnsi="Arial" w:cs="Arial"/>
                <w:color w:val="000000"/>
                <w:sz w:val="22"/>
                <w:szCs w:val="22"/>
                <w:lang w:val="en-GB"/>
              </w:rPr>
            </w:pPr>
          </w:p>
          <w:tbl>
            <w:tblPr>
              <w:tblStyle w:val="a2"/>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A00680" w:rsidRPr="005106CE" w14:paraId="42C20BEA" w14:textId="77777777">
              <w:trPr>
                <w:trHeight w:val="230"/>
              </w:trPr>
              <w:tc>
                <w:tcPr>
                  <w:tcW w:w="230" w:type="dxa"/>
                  <w:tcBorders>
                    <w:top w:val="nil"/>
                    <w:left w:val="nil"/>
                    <w:bottom w:val="nil"/>
                    <w:right w:val="nil"/>
                  </w:tcBorders>
                  <w:tcMar>
                    <w:top w:w="100" w:type="dxa"/>
                    <w:left w:w="100" w:type="dxa"/>
                    <w:bottom w:w="100" w:type="dxa"/>
                    <w:right w:w="100" w:type="dxa"/>
                  </w:tcMar>
                </w:tcPr>
                <w:p w14:paraId="7DC32727" w14:textId="77777777" w:rsidR="00A00680" w:rsidRPr="005106CE" w:rsidRDefault="00A00680">
                  <w:pPr>
                    <w:widowControl w:val="0"/>
                    <w:jc w:val="left"/>
                    <w:rPr>
                      <w:rFonts w:ascii="Arial" w:hAnsi="Arial" w:cs="Arial"/>
                      <w:color w:val="000000"/>
                      <w:sz w:val="22"/>
                      <w:szCs w:val="22"/>
                      <w:lang w:val="en-GB"/>
                    </w:rPr>
                  </w:pPr>
                </w:p>
              </w:tc>
            </w:tr>
          </w:tbl>
          <w:p w14:paraId="294FD684" w14:textId="77777777" w:rsidR="00A00680" w:rsidRPr="005106CE" w:rsidRDefault="00A00680">
            <w:pPr>
              <w:widowControl w:val="0"/>
              <w:jc w:val="left"/>
              <w:rPr>
                <w:rFonts w:ascii="Arial" w:hAnsi="Arial" w:cs="Arial"/>
                <w:color w:val="000000"/>
                <w:sz w:val="22"/>
                <w:szCs w:val="22"/>
                <w:lang w:val="en-GB"/>
              </w:rPr>
            </w:pPr>
          </w:p>
          <w:tbl>
            <w:tblPr>
              <w:tblStyle w:val="a3"/>
              <w:tblW w:w="2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30"/>
            </w:tblGrid>
            <w:tr w:rsidR="00A00680" w:rsidRPr="005106CE" w14:paraId="5828A576" w14:textId="77777777">
              <w:trPr>
                <w:trHeight w:val="515"/>
              </w:trPr>
              <w:tc>
                <w:tcPr>
                  <w:tcW w:w="2130" w:type="dxa"/>
                  <w:tcBorders>
                    <w:top w:val="nil"/>
                    <w:left w:val="nil"/>
                    <w:bottom w:val="nil"/>
                    <w:right w:val="nil"/>
                  </w:tcBorders>
                  <w:tcMar>
                    <w:top w:w="100" w:type="dxa"/>
                    <w:left w:w="100" w:type="dxa"/>
                    <w:bottom w:w="100" w:type="dxa"/>
                    <w:right w:w="100" w:type="dxa"/>
                  </w:tcMar>
                </w:tcPr>
                <w:p w14:paraId="76E55CDE" w14:textId="77777777" w:rsidR="00A00680" w:rsidRPr="005106CE" w:rsidRDefault="00160DDB">
                  <w:pPr>
                    <w:widowControl w:val="0"/>
                    <w:jc w:val="left"/>
                    <w:rPr>
                      <w:rFonts w:ascii="Arial" w:hAnsi="Arial" w:cs="Arial"/>
                      <w:color w:val="000000"/>
                      <w:sz w:val="22"/>
                      <w:szCs w:val="22"/>
                      <w:lang w:val="en-GB"/>
                    </w:rPr>
                  </w:pPr>
                  <w:r w:rsidRPr="005106CE">
                    <w:rPr>
                      <w:rFonts w:ascii="Arial" w:hAnsi="Arial" w:cs="Arial"/>
                      <w:color w:val="000000"/>
                      <w:sz w:val="22"/>
                      <w:szCs w:val="22"/>
                      <w:lang w:val="en-GB"/>
                    </w:rPr>
                    <w:t>Highly advanced, integrated</w:t>
                  </w:r>
                </w:p>
              </w:tc>
            </w:tr>
          </w:tbl>
          <w:p w14:paraId="2A60809A" w14:textId="77777777" w:rsidR="00A00680" w:rsidRPr="005106CE" w:rsidRDefault="00A00680">
            <w:pPr>
              <w:widowControl w:val="0"/>
              <w:pBdr>
                <w:top w:val="nil"/>
                <w:left w:val="nil"/>
                <w:bottom w:val="nil"/>
                <w:right w:val="nil"/>
                <w:between w:val="nil"/>
              </w:pBdr>
              <w:jc w:val="left"/>
              <w:rPr>
                <w:rFonts w:ascii="Arial" w:hAnsi="Arial" w:cs="Arial"/>
                <w:color w:val="000000"/>
                <w:sz w:val="22"/>
                <w:szCs w:val="22"/>
                <w:lang w:val="en-GB"/>
              </w:rPr>
            </w:pPr>
          </w:p>
        </w:tc>
        <w:tc>
          <w:tcPr>
            <w:tcW w:w="2340" w:type="dxa"/>
            <w:tcMar>
              <w:top w:w="100" w:type="dxa"/>
              <w:left w:w="100" w:type="dxa"/>
              <w:bottom w:w="100" w:type="dxa"/>
              <w:right w:w="100" w:type="dxa"/>
            </w:tcMar>
          </w:tcPr>
          <w:p w14:paraId="53325A87"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lastRenderedPageBreak/>
              <w:t>Moderate; variable across provinces</w:t>
            </w:r>
          </w:p>
        </w:tc>
      </w:tr>
      <w:tr w:rsidR="00A00680" w:rsidRPr="005106CE" w14:paraId="16AF3912" w14:textId="77777777">
        <w:tc>
          <w:tcPr>
            <w:tcW w:w="2340" w:type="dxa"/>
            <w:tcMar>
              <w:top w:w="100" w:type="dxa"/>
              <w:left w:w="100" w:type="dxa"/>
              <w:bottom w:w="100" w:type="dxa"/>
              <w:right w:w="100" w:type="dxa"/>
            </w:tcMar>
          </w:tcPr>
          <w:p w14:paraId="04C0D6CB"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Testing &amp; tracing</w:t>
            </w:r>
          </w:p>
        </w:tc>
        <w:tc>
          <w:tcPr>
            <w:tcW w:w="2340" w:type="dxa"/>
            <w:tcMar>
              <w:top w:w="100" w:type="dxa"/>
              <w:left w:w="100" w:type="dxa"/>
              <w:bottom w:w="100" w:type="dxa"/>
              <w:right w:w="100" w:type="dxa"/>
            </w:tcMar>
          </w:tcPr>
          <w:p w14:paraId="74FCE469"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Late and inconsistent</w:t>
            </w:r>
          </w:p>
        </w:tc>
        <w:tc>
          <w:tcPr>
            <w:tcW w:w="2340" w:type="dxa"/>
            <w:tcMar>
              <w:top w:w="100" w:type="dxa"/>
              <w:left w:w="100" w:type="dxa"/>
              <w:bottom w:w="100" w:type="dxa"/>
              <w:right w:w="100" w:type="dxa"/>
            </w:tcMar>
          </w:tcPr>
          <w:p w14:paraId="24D398F7"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Rapid, extensive, technology-driven</w:t>
            </w:r>
          </w:p>
        </w:tc>
        <w:tc>
          <w:tcPr>
            <w:tcW w:w="2340" w:type="dxa"/>
            <w:tcMar>
              <w:top w:w="100" w:type="dxa"/>
              <w:left w:w="100" w:type="dxa"/>
              <w:bottom w:w="100" w:type="dxa"/>
              <w:right w:w="100" w:type="dxa"/>
            </w:tcMar>
          </w:tcPr>
          <w:p w14:paraId="64A00948" w14:textId="77777777" w:rsidR="00A00680" w:rsidRPr="005106CE" w:rsidRDefault="00A00680">
            <w:pPr>
              <w:widowControl w:val="0"/>
              <w:jc w:val="left"/>
              <w:rPr>
                <w:rFonts w:ascii="Arial" w:hAnsi="Arial" w:cs="Arial"/>
                <w:color w:val="000000"/>
                <w:sz w:val="22"/>
                <w:szCs w:val="22"/>
                <w:lang w:val="en-GB"/>
              </w:rPr>
            </w:pPr>
          </w:p>
          <w:tbl>
            <w:tblPr>
              <w:tblStyle w:val="a4"/>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A00680" w:rsidRPr="005106CE" w14:paraId="54447070" w14:textId="77777777">
              <w:trPr>
                <w:trHeight w:val="230"/>
              </w:trPr>
              <w:tc>
                <w:tcPr>
                  <w:tcW w:w="230" w:type="dxa"/>
                  <w:tcBorders>
                    <w:top w:val="nil"/>
                    <w:left w:val="nil"/>
                    <w:bottom w:val="nil"/>
                    <w:right w:val="nil"/>
                  </w:tcBorders>
                  <w:tcMar>
                    <w:top w:w="100" w:type="dxa"/>
                    <w:left w:w="100" w:type="dxa"/>
                    <w:bottom w:w="100" w:type="dxa"/>
                    <w:right w:w="100" w:type="dxa"/>
                  </w:tcMar>
                </w:tcPr>
                <w:p w14:paraId="6A90E8EB" w14:textId="77777777" w:rsidR="00A00680" w:rsidRPr="005106CE" w:rsidRDefault="00A00680">
                  <w:pPr>
                    <w:widowControl w:val="0"/>
                    <w:jc w:val="left"/>
                    <w:rPr>
                      <w:rFonts w:ascii="Arial" w:hAnsi="Arial" w:cs="Arial"/>
                      <w:color w:val="000000"/>
                      <w:sz w:val="22"/>
                      <w:szCs w:val="22"/>
                      <w:lang w:val="en-GB"/>
                    </w:rPr>
                  </w:pPr>
                </w:p>
              </w:tc>
            </w:tr>
          </w:tbl>
          <w:p w14:paraId="609A5632" w14:textId="77777777" w:rsidR="00A00680" w:rsidRPr="005106CE" w:rsidRDefault="00A00680">
            <w:pPr>
              <w:widowControl w:val="0"/>
              <w:jc w:val="left"/>
              <w:rPr>
                <w:rFonts w:ascii="Arial" w:hAnsi="Arial" w:cs="Arial"/>
                <w:color w:val="000000"/>
                <w:sz w:val="22"/>
                <w:szCs w:val="22"/>
                <w:lang w:val="en-GB"/>
              </w:rPr>
            </w:pPr>
          </w:p>
          <w:tbl>
            <w:tblPr>
              <w:tblStyle w:val="a5"/>
              <w:tblW w:w="2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30"/>
            </w:tblGrid>
            <w:tr w:rsidR="00A00680" w:rsidRPr="005106CE" w14:paraId="6F204883" w14:textId="77777777">
              <w:trPr>
                <w:trHeight w:val="515"/>
              </w:trPr>
              <w:tc>
                <w:tcPr>
                  <w:tcW w:w="2130" w:type="dxa"/>
                  <w:tcBorders>
                    <w:top w:val="nil"/>
                    <w:left w:val="nil"/>
                    <w:bottom w:val="nil"/>
                    <w:right w:val="nil"/>
                  </w:tcBorders>
                  <w:tcMar>
                    <w:top w:w="100" w:type="dxa"/>
                    <w:left w:w="100" w:type="dxa"/>
                    <w:bottom w:w="100" w:type="dxa"/>
                    <w:right w:w="100" w:type="dxa"/>
                  </w:tcMar>
                </w:tcPr>
                <w:p w14:paraId="1BE9B061" w14:textId="77777777" w:rsidR="00A00680" w:rsidRPr="005106CE" w:rsidRDefault="00160DDB">
                  <w:pPr>
                    <w:widowControl w:val="0"/>
                    <w:jc w:val="left"/>
                    <w:rPr>
                      <w:rFonts w:ascii="Arial" w:hAnsi="Arial" w:cs="Arial"/>
                      <w:color w:val="000000"/>
                      <w:sz w:val="22"/>
                      <w:szCs w:val="22"/>
                      <w:lang w:val="en-GB"/>
                    </w:rPr>
                  </w:pPr>
                  <w:r w:rsidRPr="005106CE">
                    <w:rPr>
                      <w:rFonts w:ascii="Arial" w:hAnsi="Arial" w:cs="Arial"/>
                      <w:color w:val="000000"/>
                      <w:sz w:val="22"/>
                      <w:szCs w:val="22"/>
                      <w:lang w:val="en-GB"/>
                    </w:rPr>
                    <w:t>Variable: capacity gaps in several provinces</w:t>
                  </w:r>
                </w:p>
              </w:tc>
            </w:tr>
          </w:tbl>
          <w:p w14:paraId="448AAA2C" w14:textId="77777777" w:rsidR="00A00680" w:rsidRPr="005106CE" w:rsidRDefault="00A00680">
            <w:pPr>
              <w:widowControl w:val="0"/>
              <w:pBdr>
                <w:top w:val="nil"/>
                <w:left w:val="nil"/>
                <w:bottom w:val="nil"/>
                <w:right w:val="nil"/>
                <w:between w:val="nil"/>
              </w:pBdr>
              <w:jc w:val="left"/>
              <w:rPr>
                <w:rFonts w:ascii="Arial" w:hAnsi="Arial" w:cs="Arial"/>
                <w:color w:val="000000"/>
                <w:sz w:val="22"/>
                <w:szCs w:val="22"/>
                <w:lang w:val="en-GB"/>
              </w:rPr>
            </w:pPr>
          </w:p>
        </w:tc>
      </w:tr>
      <w:tr w:rsidR="00A00680" w:rsidRPr="005106CE" w14:paraId="2003EE8A" w14:textId="77777777">
        <w:tc>
          <w:tcPr>
            <w:tcW w:w="2340" w:type="dxa"/>
            <w:tcMar>
              <w:top w:w="100" w:type="dxa"/>
              <w:left w:w="100" w:type="dxa"/>
              <w:bottom w:w="100" w:type="dxa"/>
              <w:right w:w="100" w:type="dxa"/>
            </w:tcMar>
          </w:tcPr>
          <w:p w14:paraId="5B2D2E45"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Vaccine rollout</w:t>
            </w:r>
          </w:p>
        </w:tc>
        <w:tc>
          <w:tcPr>
            <w:tcW w:w="2340" w:type="dxa"/>
            <w:tcMar>
              <w:top w:w="100" w:type="dxa"/>
              <w:left w:w="100" w:type="dxa"/>
              <w:bottom w:w="100" w:type="dxa"/>
              <w:right w:w="100" w:type="dxa"/>
            </w:tcMar>
          </w:tcPr>
          <w:p w14:paraId="6F54F8E3"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Slow early but strong later</w:t>
            </w:r>
          </w:p>
        </w:tc>
        <w:tc>
          <w:tcPr>
            <w:tcW w:w="2340" w:type="dxa"/>
            <w:tcMar>
              <w:top w:w="100" w:type="dxa"/>
              <w:left w:w="100" w:type="dxa"/>
              <w:bottom w:w="100" w:type="dxa"/>
              <w:right w:w="100" w:type="dxa"/>
            </w:tcMar>
          </w:tcPr>
          <w:p w14:paraId="29DD04EB"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Strong but slower initial procurement</w:t>
            </w:r>
          </w:p>
        </w:tc>
        <w:tc>
          <w:tcPr>
            <w:tcW w:w="2340" w:type="dxa"/>
            <w:tcMar>
              <w:top w:w="100" w:type="dxa"/>
              <w:left w:w="100" w:type="dxa"/>
              <w:bottom w:w="100" w:type="dxa"/>
              <w:right w:w="100" w:type="dxa"/>
            </w:tcMar>
          </w:tcPr>
          <w:p w14:paraId="1F1266F1"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Slow early due to supply, strong later</w:t>
            </w:r>
          </w:p>
        </w:tc>
      </w:tr>
    </w:tbl>
    <w:p w14:paraId="51E2E672" w14:textId="77777777" w:rsidR="00A00680" w:rsidRPr="005106CE" w:rsidRDefault="00A00680">
      <w:pPr>
        <w:rPr>
          <w:rFonts w:ascii="Arial" w:hAnsi="Arial" w:cs="Arial"/>
          <w:color w:val="000000"/>
          <w:sz w:val="22"/>
          <w:szCs w:val="22"/>
          <w:lang w:val="en-GB"/>
        </w:rPr>
      </w:pPr>
    </w:p>
    <w:p w14:paraId="08AF73B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Overall, the well-developed central institutions in South Korea contributed to the speed of processes and positive results; the cases of Spain and Canada demonstrated the disadvantages of decentralised governance, but did not fulfil their results when the national coordination became stronger.</w:t>
      </w:r>
    </w:p>
    <w:p w14:paraId="4DF7E8B5" w14:textId="77777777" w:rsidR="00A00680" w:rsidRPr="005106CE" w:rsidRDefault="00160DDB">
      <w:pPr>
        <w:pStyle w:val="Heading1"/>
        <w:rPr>
          <w:rFonts w:ascii="Arial" w:hAnsi="Arial" w:cs="Arial"/>
          <w:sz w:val="24"/>
          <w:szCs w:val="24"/>
          <w:lang w:val="en-GB"/>
        </w:rPr>
      </w:pPr>
      <w:bookmarkStart w:id="18" w:name="_kef6z7mf2gzg" w:colFirst="0" w:colLast="0"/>
      <w:bookmarkStart w:id="19" w:name="_Toc215763193"/>
      <w:bookmarkEnd w:id="18"/>
      <w:r w:rsidRPr="005106CE">
        <w:rPr>
          <w:rFonts w:ascii="Arial" w:hAnsi="Arial" w:cs="Arial"/>
          <w:sz w:val="24"/>
          <w:szCs w:val="24"/>
          <w:lang w:val="en-GB"/>
        </w:rPr>
        <w:t>3. Theories of Leadership and Analytical System</w:t>
      </w:r>
      <w:bookmarkEnd w:id="19"/>
      <w:r w:rsidRPr="005106CE">
        <w:rPr>
          <w:rFonts w:ascii="Arial" w:hAnsi="Arial" w:cs="Arial"/>
          <w:sz w:val="24"/>
          <w:szCs w:val="24"/>
          <w:lang w:val="en-GB"/>
        </w:rPr>
        <w:t xml:space="preserve"> </w:t>
      </w:r>
    </w:p>
    <w:p w14:paraId="3AA759CC"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This discussion uses a range of complementary leadership theories to assess the competence of Salvatore Illa, the Health Minister of Spain, in the context of the COVID-19 pandemic. The relevance of the Situational Leadership Theory (Hersey Blanchard) is driven by Spain, an unfocused health governance structure, a high level of political contestation and a dynamism in the epidemiological environment. Based on this model, it will be possible to determine whether Illa modified his leadership approach directive or supportive to the changing urgency of the crisis, the regional capacities, and the changing willingness of the stakeholders (Eid </w:t>
      </w:r>
      <w:r w:rsidRPr="005106CE">
        <w:rPr>
          <w:rFonts w:ascii="Arial" w:hAnsi="Arial" w:cs="Arial"/>
          <w:i/>
          <w:iCs/>
          <w:color w:val="000000"/>
          <w:sz w:val="22"/>
          <w:szCs w:val="22"/>
          <w:lang w:val="en-GB"/>
        </w:rPr>
        <w:t>et al.</w:t>
      </w:r>
      <w:r w:rsidRPr="005106CE">
        <w:rPr>
          <w:rFonts w:ascii="Arial" w:hAnsi="Arial" w:cs="Arial"/>
          <w:color w:val="000000"/>
          <w:sz w:val="22"/>
          <w:szCs w:val="22"/>
          <w:lang w:val="en-GB"/>
        </w:rPr>
        <w:t xml:space="preserve"> 2023). Situational leadership, therefore, allows an insight into the times of under-direction at the very </w:t>
      </w:r>
      <w:r w:rsidRPr="005106CE">
        <w:rPr>
          <w:rFonts w:ascii="Arial" w:hAnsi="Arial" w:cs="Arial"/>
          <w:color w:val="000000"/>
          <w:sz w:val="22"/>
          <w:szCs w:val="22"/>
          <w:lang w:val="en-GB"/>
        </w:rPr>
        <w:lastRenderedPageBreak/>
        <w:t>beginning, as well as the greater use of task-orientation at later stages of the project, like the vaccination rollout.</w:t>
      </w:r>
    </w:p>
    <w:p w14:paraId="412CAC1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second analysis prism is Transformational and Transactional Leadership. Pandemic governance needed to be inspired and steady. The vision, reassurance, credibility, and trust-building were considered to be the transformational elements needed to mobilise the compliance of the citizens and decrease the fear. Meanwhile, a clear set of rules, enforcement, protocols, and intergovernmental coordination played a crucial role in the creation of consistency in operations in a decentralised environment (Mequanenit</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2025). Evaluating the way in which Illa struck a balance between these two dimensions assists in highlighting the weaknesses and strengths of his leadership in terms of how he was able to appease the masses of people and how he was able to govern the functionality of the system adequately.</w:t>
      </w:r>
    </w:p>
    <w:p w14:paraId="69D3DFE6"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Since the autonomous communities in Spain have quite comprehensive health responsibilities, the focus of the analysis is Distributed Leadership (Spillane). This model emphasises the distribution of authority, decision-making, and problem-solving across the regional heads of state, technicians, civil health agencies and the federal authorities (Eyo and Onyewuchi, 2025). It allows assessing whether Illa managed to build collaborative leadership or the disintegration sabotaged a common course of action.</w:t>
      </w:r>
    </w:p>
    <w:p w14:paraId="00417511"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Also, the paper relies on the Crisis Leadership Framework by Boin et al., which refers to five tasks such as sensemaking, decision-making, coordination, meaning-making, and accountability (Boin and Rhinard, 2023). These activities align with the problems of the pandemic, including decoding the changing epidemiological indicators, dealing with political stress, and retaining confidence among citizens.</w:t>
      </w:r>
    </w:p>
    <w:p w14:paraId="6A34BFF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Lastly, the Systems Leadership is utilised to analyse how Illa can work in the context of complex interdependencies, regional competing interests and pressures of multi-level governance (Bianchi and Richiedei, 2023).</w:t>
      </w:r>
    </w:p>
    <w:p w14:paraId="04B5B98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Collectively, these models produce a multi-layered model of leadership efficacy in the context of a global health crisis that has never been experienced before.</w:t>
      </w:r>
    </w:p>
    <w:p w14:paraId="4A9A705D" w14:textId="77777777" w:rsidR="00A00680" w:rsidRPr="005106CE" w:rsidRDefault="00160DDB">
      <w:pPr>
        <w:pStyle w:val="Heading1"/>
        <w:keepNext w:val="0"/>
        <w:keepLines w:val="0"/>
        <w:rPr>
          <w:rFonts w:ascii="Arial" w:hAnsi="Arial" w:cs="Arial"/>
          <w:sz w:val="24"/>
          <w:szCs w:val="24"/>
          <w:lang w:val="en-GB"/>
        </w:rPr>
      </w:pPr>
      <w:bookmarkStart w:id="20" w:name="_9he67oz1ofzr" w:colFirst="0" w:colLast="0"/>
      <w:bookmarkStart w:id="21" w:name="_Toc215763194"/>
      <w:bookmarkEnd w:id="20"/>
      <w:r w:rsidRPr="005106CE">
        <w:rPr>
          <w:rFonts w:ascii="Arial" w:hAnsi="Arial" w:cs="Arial"/>
          <w:sz w:val="24"/>
          <w:szCs w:val="24"/>
          <w:lang w:val="en-GB"/>
        </w:rPr>
        <w:t>4. Leadership Analysis – Spain and Salvador Illa</w:t>
      </w:r>
      <w:bookmarkEnd w:id="21"/>
    </w:p>
    <w:p w14:paraId="21D58C35" w14:textId="77777777" w:rsidR="00A00680" w:rsidRPr="005106CE" w:rsidRDefault="00160DDB">
      <w:pPr>
        <w:pStyle w:val="Heading2"/>
        <w:keepNext w:val="0"/>
        <w:keepLines w:val="0"/>
        <w:rPr>
          <w:rFonts w:ascii="Arial" w:hAnsi="Arial" w:cs="Arial"/>
          <w:sz w:val="24"/>
          <w:szCs w:val="24"/>
          <w:lang w:val="en-GB"/>
        </w:rPr>
      </w:pPr>
      <w:bookmarkStart w:id="22" w:name="_56a65vqrw9y7" w:colFirst="0" w:colLast="0"/>
      <w:bookmarkStart w:id="23" w:name="_Toc215763195"/>
      <w:bookmarkEnd w:id="22"/>
      <w:r w:rsidRPr="005106CE">
        <w:rPr>
          <w:rFonts w:ascii="Arial" w:hAnsi="Arial" w:cs="Arial"/>
          <w:sz w:val="24"/>
          <w:szCs w:val="24"/>
          <w:lang w:val="en-GB"/>
        </w:rPr>
        <w:t>4.1 Contextual Factors Shaping Leadership</w:t>
      </w:r>
      <w:bookmarkEnd w:id="23"/>
    </w:p>
    <w:p w14:paraId="1870A0B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lastRenderedPageBreak/>
        <w:t>The leadership of Salvador Illa in the middle of the COVID-19 pandemic occurred in the context of structural fragmentation, political polarisation, and a lack of early epidemiological vision. Similar to most European governments in January-February 2020, Spain under-estimated the potential of the rapid spread of the virus, in part because of unclear WHO/ECDC alerts and a tradition of small past outbreaks (e.g., H1N1). This cognitive bias resulted in delayed anticipatory action creation and consequent narrowness of the window within which decisive containment can be made.</w:t>
      </w:r>
    </w:p>
    <w:p w14:paraId="33D2C06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crisis environment was greatly influenced by the decentralised National Health System (NHS) of Spain. The 17 autonomous communities control most of the public health functions, including surveillance, lab networks, primary care, and emergency response. These regional systems had nonhomogeneous reporting criteria, differing digital capabilities and had poor interoperability (Pracucci and Giovanardi, 2025). Thus, the Ministry of Health was unable to build a cohesive epidemiological image at the beginning of 2020. Such disintegration hampered a sensemaking process and weakened the initial decision-making, as well as led to incorrectly aligned actions on the regional level. The fact that the central government had very little statutory power to influence public health added to the challenge of a national response.</w:t>
      </w:r>
    </w:p>
    <w:p w14:paraId="372B4E03"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Illa was also under heavy political pressure. Being a minister in the PSOE- Podemos coalition, he needed to work with aggressive opposition discourses, discussion on constitutional emergency powers and opposition by certain regional leaders against centralisation. These strains made it difficult to have clarity in policy direction, imposed long delays in the process of setting up strict measures, and created a very contentious crisis governance environment (Ansell </w:t>
      </w:r>
      <w:r w:rsidRPr="005106CE">
        <w:rPr>
          <w:rFonts w:ascii="Arial" w:hAnsi="Arial" w:cs="Arial"/>
          <w:i/>
          <w:iCs/>
          <w:color w:val="000000"/>
          <w:sz w:val="22"/>
          <w:szCs w:val="22"/>
          <w:lang w:val="en-GB"/>
        </w:rPr>
        <w:t xml:space="preserve">et al. </w:t>
      </w:r>
      <w:r w:rsidRPr="005106CE">
        <w:rPr>
          <w:rFonts w:ascii="Arial" w:hAnsi="Arial" w:cs="Arial"/>
          <w:color w:val="000000"/>
          <w:sz w:val="22"/>
          <w:szCs w:val="22"/>
          <w:lang w:val="en-GB"/>
        </w:rPr>
        <w:t>2024). Political competition and the mistrust between governments contributed to the time taken to take containment measures, as well as the trust that people had in leadership.</w:t>
      </w:r>
    </w:p>
    <w:p w14:paraId="135C9DD6"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Another constraint was created by public perception. The communication that was a reassurance style early worked by keeping panic at bay, but in the end, it appeared to be too careful as mortality began to shoot up. Since Spain was going into lockdowns and using the emergency powers, Illa needed to restore credibility amid the quick flux of scientific information and people fueled by emotional response (Bermejo-Casado, 2024). The crisis surrounding which he took over was thus characterised by uncertainty, decentralisation, and political contestation- all of which influenced the nature, timing and efficiency of leadership decisions.</w:t>
      </w:r>
    </w:p>
    <w:p w14:paraId="631FDEED" w14:textId="77777777" w:rsidR="00A00680" w:rsidRPr="005106CE" w:rsidRDefault="00160DDB">
      <w:pPr>
        <w:pStyle w:val="Heading2"/>
        <w:keepNext w:val="0"/>
        <w:keepLines w:val="0"/>
        <w:rPr>
          <w:rFonts w:ascii="Arial" w:hAnsi="Arial" w:cs="Arial"/>
          <w:sz w:val="24"/>
          <w:szCs w:val="24"/>
          <w:lang w:val="en-GB"/>
        </w:rPr>
      </w:pPr>
      <w:bookmarkStart w:id="24" w:name="_9999gls99mjr" w:colFirst="0" w:colLast="0"/>
      <w:bookmarkStart w:id="25" w:name="_Toc215763196"/>
      <w:bookmarkEnd w:id="24"/>
      <w:r w:rsidRPr="005106CE">
        <w:rPr>
          <w:rFonts w:ascii="Arial" w:hAnsi="Arial" w:cs="Arial"/>
          <w:sz w:val="24"/>
          <w:szCs w:val="24"/>
          <w:lang w:val="en-GB"/>
        </w:rPr>
        <w:t>4.2 Leadership Approach of Salvador Illa</w:t>
      </w:r>
      <w:bookmarkEnd w:id="25"/>
    </w:p>
    <w:p w14:paraId="58B80F2D" w14:textId="77777777" w:rsidR="00A00680" w:rsidRPr="005106CE" w:rsidRDefault="00160DDB">
      <w:pPr>
        <w:pStyle w:val="Heading3"/>
        <w:keepNext w:val="0"/>
        <w:keepLines w:val="0"/>
        <w:rPr>
          <w:rFonts w:ascii="Arial" w:hAnsi="Arial" w:cs="Arial"/>
          <w:sz w:val="22"/>
          <w:szCs w:val="22"/>
          <w:lang w:val="en-GB"/>
        </w:rPr>
      </w:pPr>
      <w:bookmarkStart w:id="26" w:name="_ugmlbwttw4ax" w:colFirst="0" w:colLast="0"/>
      <w:bookmarkStart w:id="27" w:name="_Toc215763197"/>
      <w:bookmarkEnd w:id="26"/>
      <w:r w:rsidRPr="005106CE">
        <w:rPr>
          <w:rFonts w:ascii="Arial" w:hAnsi="Arial" w:cs="Arial"/>
          <w:sz w:val="22"/>
          <w:szCs w:val="22"/>
          <w:lang w:val="en-GB"/>
        </w:rPr>
        <w:t>4.2.1 Crisis Leadership</w:t>
      </w:r>
      <w:bookmarkEnd w:id="27"/>
      <w:r w:rsidRPr="005106CE">
        <w:rPr>
          <w:rFonts w:ascii="Arial" w:hAnsi="Arial" w:cs="Arial"/>
          <w:sz w:val="22"/>
          <w:szCs w:val="22"/>
          <w:lang w:val="en-GB"/>
        </w:rPr>
        <w:t xml:space="preserve"> </w:t>
      </w:r>
    </w:p>
    <w:p w14:paraId="706346FB" w14:textId="627A4832"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five core tasks of crisis leadership, as defined by Boin et al, include sensemaking, decision-making, meaning-making, coordinating, and accountability. An examination of the mixed performance through these five tasks shows that there is a mixed performance.</w:t>
      </w:r>
      <w:r w:rsidR="00A340D0">
        <w:rPr>
          <w:rFonts w:ascii="Arial" w:hAnsi="Arial" w:cs="Arial"/>
          <w:color w:val="000000"/>
          <w:sz w:val="22"/>
          <w:szCs w:val="22"/>
          <w:lang w:val="en-GB"/>
        </w:rPr>
        <w:t xml:space="preserve"> </w:t>
      </w:r>
      <w:r w:rsidRPr="005106CE">
        <w:rPr>
          <w:rFonts w:ascii="Arial" w:hAnsi="Arial" w:cs="Arial"/>
          <w:color w:val="000000"/>
          <w:sz w:val="22"/>
          <w:szCs w:val="22"/>
          <w:lang w:val="en-GB"/>
        </w:rPr>
        <w:t>Fragmented surveillance and the lack of strong early-warning dependence were impediments to sensemaking (Meira, 2025). The team of Illa was slow in identifying the exponential threat, and as a result, the lockdowns and reactive containment policies were implemented too late.A cautious approach and political indecision in decision-making in February-March 2020. After the declaration of the state of alarm, however, there was a shift in the decisions: the national protocols, mobility restrictions and procurement guidelines were aligned, which is an example of crisis learning.</w:t>
      </w:r>
      <w:r w:rsidR="00A340D0">
        <w:rPr>
          <w:rFonts w:ascii="Arial" w:hAnsi="Arial" w:cs="Arial"/>
          <w:color w:val="000000"/>
          <w:sz w:val="22"/>
          <w:szCs w:val="22"/>
          <w:lang w:val="en-GB"/>
        </w:rPr>
        <w:t xml:space="preserve"> </w:t>
      </w:r>
      <w:r w:rsidRPr="005106CE">
        <w:rPr>
          <w:rFonts w:ascii="Arial" w:hAnsi="Arial" w:cs="Arial"/>
          <w:color w:val="000000"/>
          <w:sz w:val="22"/>
          <w:szCs w:val="22"/>
          <w:lang w:val="en-GB"/>
        </w:rPr>
        <w:t>The process of making meaning was enhanced as time progressed. During the daily briefings, Illa followed a technocratic, cool communication style, which stabilised people's trust following the confusion at the beginning.</w:t>
      </w:r>
    </w:p>
    <w:p w14:paraId="4D6EE28F" w14:textId="7A351BD9"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coordination at the beginning was not efficient because of the regional deviation. Coherence was enhanced temporarily due to centralisation under the emergency powers, though there were political tensions (Navarro and Velasco, 2022).</w:t>
      </w:r>
      <w:r w:rsidR="00A340D0">
        <w:rPr>
          <w:rFonts w:ascii="Arial" w:hAnsi="Arial" w:cs="Arial"/>
          <w:color w:val="000000"/>
          <w:sz w:val="22"/>
          <w:szCs w:val="22"/>
          <w:lang w:val="en-GB"/>
        </w:rPr>
        <w:t xml:space="preserve"> </w:t>
      </w:r>
      <w:r w:rsidRPr="005106CE">
        <w:rPr>
          <w:rFonts w:ascii="Arial" w:hAnsi="Arial" w:cs="Arial"/>
          <w:color w:val="000000"/>
          <w:sz w:val="22"/>
          <w:szCs w:val="22"/>
          <w:lang w:val="en-GB"/>
        </w:rPr>
        <w:t>The concept of accountability changed as time went on: initially, there was a lack of transparency regarding shortages and slow reactions, which were corrected by establishing more openness during the vaccination campaign.All in all, Illa did not fare so well in the initial stages but was able to adapt and enhance the crisis-leadership competencies in later stages.</w:t>
      </w:r>
    </w:p>
    <w:p w14:paraId="31F6640A" w14:textId="77777777" w:rsidR="00A00680" w:rsidRPr="005106CE" w:rsidRDefault="00160DDB">
      <w:pPr>
        <w:pStyle w:val="Heading3"/>
        <w:rPr>
          <w:rFonts w:ascii="Arial" w:hAnsi="Arial" w:cs="Arial"/>
          <w:sz w:val="22"/>
          <w:szCs w:val="22"/>
          <w:lang w:val="en-GB"/>
        </w:rPr>
      </w:pPr>
      <w:bookmarkStart w:id="28" w:name="_vsx53y3e2wil" w:colFirst="0" w:colLast="0"/>
      <w:bookmarkStart w:id="29" w:name="_Toc215763198"/>
      <w:bookmarkEnd w:id="28"/>
      <w:r w:rsidRPr="005106CE">
        <w:rPr>
          <w:rFonts w:ascii="Arial" w:hAnsi="Arial" w:cs="Arial"/>
          <w:sz w:val="22"/>
          <w:szCs w:val="22"/>
          <w:lang w:val="en-GB"/>
        </w:rPr>
        <w:t>4.2.2 Situational Leadership</w:t>
      </w:r>
      <w:bookmarkEnd w:id="29"/>
    </w:p>
    <w:p w14:paraId="5468902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Situational Leadership Theory by Hersey and Blanchard points to the lack of compatibility between crisis conditions and style of leadership. At the beginning of the pandemic, Spain needed high-urgency leadership, directives, and rapid restrictions, strict protocols, and unconditional communication. Rather, Illa used a supportive, consensus-oriented approach, which used expert committees and negotiation with regional leaders. This was not very appropriate to a rapidly spreading epidemiological threat and helped in delayed containment.</w:t>
      </w:r>
    </w:p>
    <w:p w14:paraId="4A6FDF3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At the end of 2020, Illa, however, demonstrated adaptive behaviour. His leadership was also more structured, task-oriented, and proactive during the implementation of the vaccination. He put in place clear national sequencing priorities, boosted supply logistics and quickened distribution processes (Tagliapietra, 2024). Such a movement indicates a shift to an adjusted position in the continuum of situational leadership, which means a better alignment of the leadership style and situational needs.</w:t>
      </w:r>
    </w:p>
    <w:p w14:paraId="40D25AA1" w14:textId="77777777" w:rsidR="00A00680" w:rsidRPr="005106CE" w:rsidRDefault="00160DDB">
      <w:pPr>
        <w:pStyle w:val="Heading3"/>
        <w:rPr>
          <w:rFonts w:ascii="Arial" w:hAnsi="Arial" w:cs="Arial"/>
          <w:sz w:val="22"/>
          <w:szCs w:val="22"/>
          <w:lang w:val="en-GB"/>
        </w:rPr>
      </w:pPr>
      <w:bookmarkStart w:id="30" w:name="_pja2orfa7daw" w:colFirst="0" w:colLast="0"/>
      <w:bookmarkStart w:id="31" w:name="_Toc215763199"/>
      <w:bookmarkEnd w:id="30"/>
      <w:r w:rsidRPr="005106CE">
        <w:rPr>
          <w:rFonts w:ascii="Arial" w:hAnsi="Arial" w:cs="Arial"/>
          <w:sz w:val="22"/>
          <w:szCs w:val="22"/>
          <w:lang w:val="en-GB"/>
        </w:rPr>
        <w:t>4.2.3 Transformational Leadership</w:t>
      </w:r>
      <w:bookmarkEnd w:id="31"/>
    </w:p>
    <w:p w14:paraId="60EBA7A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Illa had partial transformational characteristics, but not always throughout the pandemic period. Initial leadership communications were reassuring as opposed to communicating an inspiring vision or driving mobilisation. This restricted his capability to give inspirational guidance in the critical pre-surge period.</w:t>
      </w:r>
    </w:p>
    <w:p w14:paraId="4B8CAC35"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As time went by, the elements of transformation in Illa became stronger. He especially presented the vaccination process as a collective national task at the national level, which boosted the spirit of the population and their civic engagement. His speech was gentle, compassionate, and seemed to be truthful; this allowed them to maintain a sufficiently trusting level despite polarisation. His low-ego technocratic image conformed with transformational values like authenticity and reliability. Nevertheless, the unreliability of the transparency on shortages and data constraints impeded the realisation of transformational leadership comprehensively.</w:t>
      </w:r>
    </w:p>
    <w:p w14:paraId="6EB7399A" w14:textId="77777777" w:rsidR="00A00680" w:rsidRPr="005106CE" w:rsidRDefault="00160DDB">
      <w:pPr>
        <w:pStyle w:val="Heading3"/>
        <w:rPr>
          <w:rFonts w:ascii="Arial" w:hAnsi="Arial" w:cs="Arial"/>
          <w:sz w:val="22"/>
          <w:szCs w:val="22"/>
          <w:lang w:val="en-GB"/>
        </w:rPr>
      </w:pPr>
      <w:bookmarkStart w:id="32" w:name="_acj2qfogiwfn" w:colFirst="0" w:colLast="0"/>
      <w:bookmarkStart w:id="33" w:name="_Toc215763200"/>
      <w:bookmarkEnd w:id="32"/>
      <w:r w:rsidRPr="005106CE">
        <w:rPr>
          <w:rFonts w:ascii="Arial" w:hAnsi="Arial" w:cs="Arial"/>
          <w:sz w:val="22"/>
          <w:szCs w:val="22"/>
          <w:lang w:val="en-GB"/>
        </w:rPr>
        <w:t>4.2.4 Distributed Leadership in a Decentralised System</w:t>
      </w:r>
      <w:bookmarkEnd w:id="33"/>
    </w:p>
    <w:p w14:paraId="0629CCAC"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governance model of Spain needs to be one of distributed leadership, where the national and regional governments share power. Inter-territorial councils, which tried to create consensus at an early stage, were not enough to resist regional divergence and competitive politics. The difficulty of distributed leadership in the absence of proper enabling structures was another example in the form of weak early coordination.</w:t>
      </w:r>
    </w:p>
    <w:p w14:paraId="0C9DA28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proclamation of the state of alarm once more centralised the power, provisionally enhancing command unity, yet deepening political struggle. Distributed leadership was more operational in the period of vaccination, where shared decision making, standard procedures and synchronised logistics facilitated high uptake (Kandulu</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2024). This trend shows that distributed leadership is most effective in cases where it is integrated in mutual trust and explicit central scaffolding, lacking in early 2020.</w:t>
      </w:r>
    </w:p>
    <w:p w14:paraId="1671BA51" w14:textId="77777777" w:rsidR="00A00680" w:rsidRPr="005106CE" w:rsidRDefault="00160DDB">
      <w:pPr>
        <w:pStyle w:val="Heading2"/>
        <w:rPr>
          <w:rFonts w:ascii="Arial" w:hAnsi="Arial" w:cs="Arial"/>
          <w:sz w:val="24"/>
          <w:szCs w:val="24"/>
          <w:lang w:val="en-GB"/>
        </w:rPr>
      </w:pPr>
      <w:bookmarkStart w:id="34" w:name="_33yrmh3c8emx" w:colFirst="0" w:colLast="0"/>
      <w:bookmarkStart w:id="35" w:name="_Toc215763201"/>
      <w:bookmarkEnd w:id="34"/>
      <w:r w:rsidRPr="005106CE">
        <w:rPr>
          <w:rFonts w:ascii="Arial" w:hAnsi="Arial" w:cs="Arial"/>
          <w:sz w:val="24"/>
          <w:szCs w:val="24"/>
          <w:lang w:val="en-GB"/>
        </w:rPr>
        <w:t>4.3 Impact of Leadership Decisions on Health System Organisation</w:t>
      </w:r>
      <w:bookmarkEnd w:id="35"/>
    </w:p>
    <w:p w14:paraId="240566A8"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use of Donabedian and the WHO Building Blocks displays extensive interrelations between leadership and system performance.</w:t>
      </w:r>
    </w:p>
    <w:p w14:paraId="7E3FFB77"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Service provision and human resources:</w:t>
      </w:r>
      <w:r w:rsidRPr="005106CE">
        <w:rPr>
          <w:rFonts w:ascii="Arial" w:hAnsi="Arial" w:cs="Arial"/>
          <w:color w:val="000000"/>
          <w:sz w:val="22"/>
          <w:szCs w:val="22"/>
          <w:lang w:val="en-GB"/>
        </w:rPr>
        <w:t xml:space="preserve"> Preparation was poor in the early stages because of the lack of PPE, workforce fatigue, and disproportional planning of regions (Winkelmann</w:t>
      </w:r>
      <w:r w:rsidRPr="005106CE">
        <w:rPr>
          <w:rFonts w:ascii="Arial" w:hAnsi="Arial" w:cs="Arial"/>
          <w:i/>
          <w:iCs/>
          <w:color w:val="000000"/>
          <w:sz w:val="22"/>
          <w:szCs w:val="22"/>
          <w:lang w:val="en-GB"/>
        </w:rPr>
        <w:t xml:space="preserve"> et al. </w:t>
      </w:r>
      <w:r w:rsidRPr="005106CE">
        <w:rPr>
          <w:rFonts w:ascii="Arial" w:hAnsi="Arial" w:cs="Arial"/>
          <w:color w:val="000000"/>
          <w:sz w:val="22"/>
          <w:szCs w:val="22"/>
          <w:lang w:val="en-GB"/>
        </w:rPr>
        <w:t>2022). Decisions taken by leadership on emergency recruitment and mobilisation of resources were useful in stabilising capacity, but were made when the hospitals were already stretched.</w:t>
      </w:r>
    </w:p>
    <w:p w14:paraId="779F0C86"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Health information systems:</w:t>
      </w:r>
      <w:r w:rsidRPr="005106CE">
        <w:rPr>
          <w:rFonts w:ascii="Arial" w:hAnsi="Arial" w:cs="Arial"/>
          <w:color w:val="000000"/>
          <w:sz w:val="22"/>
          <w:szCs w:val="22"/>
          <w:lang w:val="en-GB"/>
        </w:rPr>
        <w:t xml:space="preserve"> Lack of communication and changing information on masks, mobility and risk minimised the clarity of the population. Disjointed digital infrastructure helped to weaken monitoring and slow down detection (Hassankhani</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2021). Avoiding strict tracing at the beginning also helped to spread the disease quickly as the leaders made their decisions.</w:t>
      </w:r>
    </w:p>
    <w:p w14:paraId="2BB05A1B"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Governance:</w:t>
      </w:r>
      <w:r w:rsidRPr="005106CE">
        <w:rPr>
          <w:rFonts w:ascii="Arial" w:hAnsi="Arial" w:cs="Arial"/>
          <w:color w:val="000000"/>
          <w:sz w:val="22"/>
          <w:szCs w:val="22"/>
          <w:lang w:val="en-GB"/>
        </w:rPr>
        <w:t xml:space="preserve"> Governance became better after the introduction of emergency powers. Coherence was enhanced through centralised procurement, unified protocols and standardised communications (Mequanenit</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2025). But the issue of political strife over centralisation continued to hinder intergovernmental cooperation.</w:t>
      </w:r>
    </w:p>
    <w:p w14:paraId="277D872A"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Medical goods and vaccination:</w:t>
      </w:r>
      <w:r w:rsidRPr="005106CE">
        <w:rPr>
          <w:rFonts w:ascii="Arial" w:hAnsi="Arial" w:cs="Arial"/>
          <w:color w:val="000000"/>
          <w:sz w:val="22"/>
          <w:szCs w:val="22"/>
          <w:lang w:val="en-GB"/>
        </w:rPr>
        <w:t xml:space="preserve"> The vaccine implementation in Spain was a crucial leadership achievement. Service delivery and public trust were improved by great central planning, clear prioritisation, and coordination with regions.</w:t>
      </w:r>
    </w:p>
    <w:p w14:paraId="15B7296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In general, leadership decisions not only highlighted system weaknesses but also enhanced strengths (Buonocore</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2024). The direction taken by Illica shows that adaptive leadership can partly offset the organisational fragmentation, particularly at later crisis management stages.</w:t>
      </w:r>
    </w:p>
    <w:p w14:paraId="2EBD2C44" w14:textId="77777777" w:rsidR="00A00680" w:rsidRPr="005106CE" w:rsidRDefault="00160DDB">
      <w:pPr>
        <w:pStyle w:val="Heading2"/>
        <w:rPr>
          <w:rFonts w:ascii="Arial" w:hAnsi="Arial" w:cs="Arial"/>
          <w:sz w:val="24"/>
          <w:szCs w:val="24"/>
          <w:lang w:val="en-GB"/>
        </w:rPr>
      </w:pPr>
      <w:bookmarkStart w:id="36" w:name="_jwjek3gdforv" w:colFirst="0" w:colLast="0"/>
      <w:bookmarkStart w:id="37" w:name="_Toc215763202"/>
      <w:bookmarkEnd w:id="36"/>
      <w:r w:rsidRPr="005106CE">
        <w:rPr>
          <w:rFonts w:ascii="Arial" w:hAnsi="Arial" w:cs="Arial"/>
          <w:sz w:val="24"/>
          <w:szCs w:val="24"/>
          <w:lang w:val="en-GB"/>
        </w:rPr>
        <w:t>4.4 Comparative Leadership Insights (Spain vs South Korea vs Canada)</w:t>
      </w:r>
      <w:bookmarkEnd w:id="37"/>
    </w:p>
    <w:p w14:paraId="2A57F53C"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 leadership-focused comparison highlights distinct governance styles:</w:t>
      </w:r>
    </w:p>
    <w:tbl>
      <w:tblPr>
        <w:tblStyle w:val="a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00680" w:rsidRPr="005106CE" w14:paraId="1EDBB84E" w14:textId="77777777">
        <w:tc>
          <w:tcPr>
            <w:tcW w:w="2340" w:type="dxa"/>
            <w:tcMar>
              <w:top w:w="100" w:type="dxa"/>
              <w:left w:w="100" w:type="dxa"/>
              <w:bottom w:w="100" w:type="dxa"/>
              <w:right w:w="100" w:type="dxa"/>
            </w:tcMar>
          </w:tcPr>
          <w:p w14:paraId="0B67D20C"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Leadership Dimension</w:t>
            </w:r>
          </w:p>
        </w:tc>
        <w:tc>
          <w:tcPr>
            <w:tcW w:w="2340" w:type="dxa"/>
            <w:tcMar>
              <w:top w:w="100" w:type="dxa"/>
              <w:left w:w="100" w:type="dxa"/>
              <w:bottom w:w="100" w:type="dxa"/>
              <w:right w:w="100" w:type="dxa"/>
            </w:tcMar>
          </w:tcPr>
          <w:p w14:paraId="28F1C245"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Spain (Illa)</w:t>
            </w:r>
          </w:p>
        </w:tc>
        <w:tc>
          <w:tcPr>
            <w:tcW w:w="2340" w:type="dxa"/>
            <w:tcMar>
              <w:top w:w="100" w:type="dxa"/>
              <w:left w:w="100" w:type="dxa"/>
              <w:bottom w:w="100" w:type="dxa"/>
              <w:right w:w="100" w:type="dxa"/>
            </w:tcMar>
          </w:tcPr>
          <w:p w14:paraId="5DB69579"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South Korea (Chung Sye-kyun)</w:t>
            </w:r>
          </w:p>
        </w:tc>
        <w:tc>
          <w:tcPr>
            <w:tcW w:w="2340" w:type="dxa"/>
            <w:tcMar>
              <w:top w:w="100" w:type="dxa"/>
              <w:left w:w="100" w:type="dxa"/>
              <w:bottom w:w="100" w:type="dxa"/>
              <w:right w:w="100" w:type="dxa"/>
            </w:tcMar>
          </w:tcPr>
          <w:p w14:paraId="40913CF1"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Canada (Trudeau)</w:t>
            </w:r>
          </w:p>
        </w:tc>
      </w:tr>
      <w:tr w:rsidR="00A00680" w:rsidRPr="005106CE" w14:paraId="176D0453" w14:textId="77777777">
        <w:tc>
          <w:tcPr>
            <w:tcW w:w="2340" w:type="dxa"/>
            <w:tcMar>
              <w:top w:w="100" w:type="dxa"/>
              <w:left w:w="100" w:type="dxa"/>
              <w:bottom w:w="100" w:type="dxa"/>
              <w:right w:w="100" w:type="dxa"/>
            </w:tcMar>
          </w:tcPr>
          <w:p w14:paraId="6E3A3823"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Transparency</w:t>
            </w:r>
          </w:p>
        </w:tc>
        <w:tc>
          <w:tcPr>
            <w:tcW w:w="2340" w:type="dxa"/>
            <w:tcMar>
              <w:top w:w="100" w:type="dxa"/>
              <w:left w:w="100" w:type="dxa"/>
              <w:bottom w:w="100" w:type="dxa"/>
              <w:right w:w="100" w:type="dxa"/>
            </w:tcMar>
          </w:tcPr>
          <w:p w14:paraId="4A889292"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Moderate; improved later</w:t>
            </w:r>
          </w:p>
        </w:tc>
        <w:tc>
          <w:tcPr>
            <w:tcW w:w="2340" w:type="dxa"/>
            <w:tcMar>
              <w:top w:w="100" w:type="dxa"/>
              <w:left w:w="100" w:type="dxa"/>
              <w:bottom w:w="100" w:type="dxa"/>
              <w:right w:w="100" w:type="dxa"/>
            </w:tcMar>
          </w:tcPr>
          <w:p w14:paraId="746BCE9E"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Strong, consistent communication</w:t>
            </w:r>
          </w:p>
        </w:tc>
        <w:tc>
          <w:tcPr>
            <w:tcW w:w="2340" w:type="dxa"/>
            <w:tcMar>
              <w:top w:w="100" w:type="dxa"/>
              <w:left w:w="100" w:type="dxa"/>
              <w:bottom w:w="100" w:type="dxa"/>
              <w:right w:w="100" w:type="dxa"/>
            </w:tcMar>
          </w:tcPr>
          <w:p w14:paraId="66E26C99"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Moderate, varied by province</w:t>
            </w:r>
          </w:p>
        </w:tc>
      </w:tr>
      <w:tr w:rsidR="00A00680" w:rsidRPr="005106CE" w14:paraId="3FFE92F1" w14:textId="77777777">
        <w:tc>
          <w:tcPr>
            <w:tcW w:w="2340" w:type="dxa"/>
            <w:tcMar>
              <w:top w:w="100" w:type="dxa"/>
              <w:left w:w="100" w:type="dxa"/>
              <w:bottom w:w="100" w:type="dxa"/>
              <w:right w:w="100" w:type="dxa"/>
            </w:tcMar>
          </w:tcPr>
          <w:p w14:paraId="4C4B965B"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Coordination</w:t>
            </w:r>
          </w:p>
        </w:tc>
        <w:tc>
          <w:tcPr>
            <w:tcW w:w="2340" w:type="dxa"/>
            <w:tcMar>
              <w:top w:w="100" w:type="dxa"/>
              <w:left w:w="100" w:type="dxa"/>
              <w:bottom w:w="100" w:type="dxa"/>
              <w:right w:w="100" w:type="dxa"/>
            </w:tcMar>
          </w:tcPr>
          <w:p w14:paraId="0AD3EF5D"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Weak early; improved under centralisation</w:t>
            </w:r>
          </w:p>
        </w:tc>
        <w:tc>
          <w:tcPr>
            <w:tcW w:w="2340" w:type="dxa"/>
            <w:tcMar>
              <w:top w:w="100" w:type="dxa"/>
              <w:left w:w="100" w:type="dxa"/>
              <w:bottom w:w="100" w:type="dxa"/>
              <w:right w:w="100" w:type="dxa"/>
            </w:tcMar>
          </w:tcPr>
          <w:p w14:paraId="7F926F24"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Strong central–local alignment</w:t>
            </w:r>
          </w:p>
        </w:tc>
        <w:tc>
          <w:tcPr>
            <w:tcW w:w="2340" w:type="dxa"/>
            <w:tcMar>
              <w:top w:w="100" w:type="dxa"/>
              <w:left w:w="100" w:type="dxa"/>
              <w:bottom w:w="100" w:type="dxa"/>
              <w:right w:w="100" w:type="dxa"/>
            </w:tcMar>
          </w:tcPr>
          <w:p w14:paraId="2FBEA64D"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Variable due to federal-provincial dynamics</w:t>
            </w:r>
          </w:p>
        </w:tc>
      </w:tr>
      <w:tr w:rsidR="00A00680" w:rsidRPr="005106CE" w14:paraId="496A17B3" w14:textId="77777777">
        <w:tc>
          <w:tcPr>
            <w:tcW w:w="2340" w:type="dxa"/>
            <w:tcMar>
              <w:top w:w="100" w:type="dxa"/>
              <w:left w:w="100" w:type="dxa"/>
              <w:bottom w:w="100" w:type="dxa"/>
              <w:right w:w="100" w:type="dxa"/>
            </w:tcMar>
          </w:tcPr>
          <w:p w14:paraId="2457FF85"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Speed</w:t>
            </w:r>
          </w:p>
        </w:tc>
        <w:tc>
          <w:tcPr>
            <w:tcW w:w="2340" w:type="dxa"/>
            <w:tcMar>
              <w:top w:w="100" w:type="dxa"/>
              <w:left w:w="100" w:type="dxa"/>
              <w:bottom w:w="100" w:type="dxa"/>
              <w:right w:w="100" w:type="dxa"/>
            </w:tcMar>
          </w:tcPr>
          <w:p w14:paraId="5EF24E3B"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Slow early response</w:t>
            </w:r>
          </w:p>
        </w:tc>
        <w:tc>
          <w:tcPr>
            <w:tcW w:w="2340" w:type="dxa"/>
            <w:tcMar>
              <w:top w:w="100" w:type="dxa"/>
              <w:left w:w="100" w:type="dxa"/>
              <w:bottom w:w="100" w:type="dxa"/>
              <w:right w:w="100" w:type="dxa"/>
            </w:tcMar>
          </w:tcPr>
          <w:p w14:paraId="10B02120"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Fast, preventive actions</w:t>
            </w:r>
          </w:p>
        </w:tc>
        <w:tc>
          <w:tcPr>
            <w:tcW w:w="2340" w:type="dxa"/>
            <w:tcMar>
              <w:top w:w="100" w:type="dxa"/>
              <w:left w:w="100" w:type="dxa"/>
              <w:bottom w:w="100" w:type="dxa"/>
              <w:right w:w="100" w:type="dxa"/>
            </w:tcMar>
          </w:tcPr>
          <w:p w14:paraId="4FF38D7C" w14:textId="77777777" w:rsidR="00A00680" w:rsidRPr="005106CE" w:rsidRDefault="00A00680">
            <w:pPr>
              <w:widowControl w:val="0"/>
              <w:jc w:val="left"/>
              <w:rPr>
                <w:rFonts w:ascii="Arial" w:hAnsi="Arial" w:cs="Arial"/>
                <w:color w:val="000000"/>
                <w:sz w:val="22"/>
                <w:szCs w:val="22"/>
                <w:lang w:val="en-GB"/>
              </w:rPr>
            </w:pPr>
          </w:p>
          <w:tbl>
            <w:tblPr>
              <w:tblStyle w:val="a7"/>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A00680" w:rsidRPr="005106CE" w14:paraId="67D625EB" w14:textId="77777777">
              <w:trPr>
                <w:trHeight w:val="230"/>
              </w:trPr>
              <w:tc>
                <w:tcPr>
                  <w:tcW w:w="230" w:type="dxa"/>
                  <w:tcBorders>
                    <w:top w:val="nil"/>
                    <w:left w:val="nil"/>
                    <w:bottom w:val="nil"/>
                    <w:right w:val="nil"/>
                  </w:tcBorders>
                  <w:tcMar>
                    <w:top w:w="100" w:type="dxa"/>
                    <w:left w:w="100" w:type="dxa"/>
                    <w:bottom w:w="100" w:type="dxa"/>
                    <w:right w:w="100" w:type="dxa"/>
                  </w:tcMar>
                </w:tcPr>
                <w:p w14:paraId="4D87A51D" w14:textId="77777777" w:rsidR="00A00680" w:rsidRPr="005106CE" w:rsidRDefault="00A00680">
                  <w:pPr>
                    <w:widowControl w:val="0"/>
                    <w:jc w:val="left"/>
                    <w:rPr>
                      <w:rFonts w:ascii="Arial" w:hAnsi="Arial" w:cs="Arial"/>
                      <w:color w:val="000000"/>
                      <w:sz w:val="22"/>
                      <w:szCs w:val="22"/>
                      <w:lang w:val="en-GB"/>
                    </w:rPr>
                  </w:pPr>
                </w:p>
              </w:tc>
            </w:tr>
          </w:tbl>
          <w:p w14:paraId="1D79A727" w14:textId="77777777" w:rsidR="00A00680" w:rsidRPr="005106CE" w:rsidRDefault="00A00680">
            <w:pPr>
              <w:widowControl w:val="0"/>
              <w:jc w:val="left"/>
              <w:rPr>
                <w:rFonts w:ascii="Arial" w:hAnsi="Arial" w:cs="Arial"/>
                <w:color w:val="000000"/>
                <w:sz w:val="22"/>
                <w:szCs w:val="22"/>
                <w:lang w:val="en-GB"/>
              </w:rPr>
            </w:pPr>
          </w:p>
          <w:tbl>
            <w:tblPr>
              <w:tblStyle w:val="a8"/>
              <w:tblW w:w="2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30"/>
            </w:tblGrid>
            <w:tr w:rsidR="00A00680" w:rsidRPr="005106CE" w14:paraId="4141935F" w14:textId="77777777">
              <w:trPr>
                <w:trHeight w:val="515"/>
              </w:trPr>
              <w:tc>
                <w:tcPr>
                  <w:tcW w:w="2130" w:type="dxa"/>
                  <w:tcBorders>
                    <w:top w:val="nil"/>
                    <w:left w:val="nil"/>
                    <w:bottom w:val="nil"/>
                    <w:right w:val="nil"/>
                  </w:tcBorders>
                  <w:tcMar>
                    <w:top w:w="100" w:type="dxa"/>
                    <w:left w:w="100" w:type="dxa"/>
                    <w:bottom w:w="100" w:type="dxa"/>
                    <w:right w:w="100" w:type="dxa"/>
                  </w:tcMar>
                </w:tcPr>
                <w:p w14:paraId="5F0E4388" w14:textId="77777777" w:rsidR="00A00680" w:rsidRPr="005106CE" w:rsidRDefault="00160DDB">
                  <w:pPr>
                    <w:widowControl w:val="0"/>
                    <w:jc w:val="left"/>
                    <w:rPr>
                      <w:rFonts w:ascii="Arial" w:hAnsi="Arial" w:cs="Arial"/>
                      <w:color w:val="000000"/>
                      <w:sz w:val="22"/>
                      <w:szCs w:val="22"/>
                      <w:lang w:val="en-GB"/>
                    </w:rPr>
                  </w:pPr>
                  <w:r w:rsidRPr="005106CE">
                    <w:rPr>
                      <w:rFonts w:ascii="Arial" w:hAnsi="Arial" w:cs="Arial"/>
                      <w:color w:val="000000"/>
                      <w:sz w:val="22"/>
                      <w:szCs w:val="22"/>
                      <w:lang w:val="en-GB"/>
                    </w:rPr>
                    <w:t>Mixed; provinces moved at different speeds.</w:t>
                  </w:r>
                </w:p>
              </w:tc>
            </w:tr>
          </w:tbl>
          <w:p w14:paraId="0BBF6A9F" w14:textId="77777777" w:rsidR="00A00680" w:rsidRPr="005106CE" w:rsidRDefault="00A00680">
            <w:pPr>
              <w:widowControl w:val="0"/>
              <w:pBdr>
                <w:top w:val="nil"/>
                <w:left w:val="nil"/>
                <w:bottom w:val="nil"/>
                <w:right w:val="nil"/>
                <w:between w:val="nil"/>
              </w:pBdr>
              <w:jc w:val="left"/>
              <w:rPr>
                <w:rFonts w:ascii="Arial" w:hAnsi="Arial" w:cs="Arial"/>
                <w:color w:val="000000"/>
                <w:sz w:val="22"/>
                <w:szCs w:val="22"/>
                <w:lang w:val="en-GB"/>
              </w:rPr>
            </w:pPr>
          </w:p>
        </w:tc>
      </w:tr>
      <w:tr w:rsidR="00A00680" w:rsidRPr="005106CE" w14:paraId="0CE09F4B" w14:textId="77777777">
        <w:tc>
          <w:tcPr>
            <w:tcW w:w="2340" w:type="dxa"/>
            <w:tcMar>
              <w:top w:w="100" w:type="dxa"/>
              <w:left w:w="100" w:type="dxa"/>
              <w:bottom w:w="100" w:type="dxa"/>
              <w:right w:w="100" w:type="dxa"/>
            </w:tcMar>
          </w:tcPr>
          <w:p w14:paraId="061C01E0"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Decentralisation Management</w:t>
            </w:r>
          </w:p>
        </w:tc>
        <w:tc>
          <w:tcPr>
            <w:tcW w:w="2340" w:type="dxa"/>
            <w:tcMar>
              <w:top w:w="100" w:type="dxa"/>
              <w:left w:w="100" w:type="dxa"/>
              <w:bottom w:w="100" w:type="dxa"/>
              <w:right w:w="100" w:type="dxa"/>
            </w:tcMar>
          </w:tcPr>
          <w:p w14:paraId="7B80ABAA"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Poor early; political tensions</w:t>
            </w:r>
          </w:p>
        </w:tc>
        <w:tc>
          <w:tcPr>
            <w:tcW w:w="2340" w:type="dxa"/>
            <w:tcMar>
              <w:top w:w="100" w:type="dxa"/>
              <w:left w:w="100" w:type="dxa"/>
              <w:bottom w:w="100" w:type="dxa"/>
              <w:right w:w="100" w:type="dxa"/>
            </w:tcMar>
          </w:tcPr>
          <w:p w14:paraId="124688EE"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Not applicable (more centralised)</w:t>
            </w:r>
          </w:p>
        </w:tc>
        <w:tc>
          <w:tcPr>
            <w:tcW w:w="2340" w:type="dxa"/>
            <w:tcMar>
              <w:top w:w="100" w:type="dxa"/>
              <w:left w:w="100" w:type="dxa"/>
              <w:bottom w:w="100" w:type="dxa"/>
              <w:right w:w="100" w:type="dxa"/>
            </w:tcMar>
          </w:tcPr>
          <w:p w14:paraId="36FFC2CA"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Consistent but often slow</w:t>
            </w:r>
          </w:p>
        </w:tc>
      </w:tr>
      <w:tr w:rsidR="00A00680" w:rsidRPr="005106CE" w14:paraId="3FE8D632" w14:textId="77777777">
        <w:tc>
          <w:tcPr>
            <w:tcW w:w="2340" w:type="dxa"/>
            <w:tcMar>
              <w:top w:w="100" w:type="dxa"/>
              <w:left w:w="100" w:type="dxa"/>
              <w:bottom w:w="100" w:type="dxa"/>
              <w:right w:w="100" w:type="dxa"/>
            </w:tcMar>
          </w:tcPr>
          <w:p w14:paraId="204BC6E8" w14:textId="77777777" w:rsidR="00A00680" w:rsidRPr="005106CE" w:rsidRDefault="00160DDB">
            <w:pPr>
              <w:widowControl w:val="0"/>
              <w:pBdr>
                <w:top w:val="nil"/>
                <w:left w:val="nil"/>
                <w:bottom w:val="nil"/>
                <w:right w:val="nil"/>
                <w:between w:val="nil"/>
              </w:pBdr>
              <w:jc w:val="left"/>
              <w:rPr>
                <w:rFonts w:ascii="Arial" w:hAnsi="Arial" w:cs="Arial"/>
                <w:b/>
                <w:bCs/>
                <w:color w:val="000000"/>
                <w:sz w:val="22"/>
                <w:szCs w:val="22"/>
                <w:lang w:val="en-GB"/>
              </w:rPr>
            </w:pPr>
            <w:r w:rsidRPr="005106CE">
              <w:rPr>
                <w:rFonts w:ascii="Arial" w:hAnsi="Arial" w:cs="Arial"/>
                <w:b/>
                <w:bCs/>
                <w:color w:val="000000"/>
                <w:sz w:val="22"/>
                <w:szCs w:val="22"/>
                <w:lang w:val="en-GB"/>
              </w:rPr>
              <w:t>Public Trust</w:t>
            </w:r>
          </w:p>
        </w:tc>
        <w:tc>
          <w:tcPr>
            <w:tcW w:w="2340" w:type="dxa"/>
            <w:tcMar>
              <w:top w:w="100" w:type="dxa"/>
              <w:left w:w="100" w:type="dxa"/>
              <w:bottom w:w="100" w:type="dxa"/>
              <w:right w:w="100" w:type="dxa"/>
            </w:tcMar>
          </w:tcPr>
          <w:p w14:paraId="161A70C6"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Fluctuating</w:t>
            </w:r>
          </w:p>
        </w:tc>
        <w:tc>
          <w:tcPr>
            <w:tcW w:w="2340" w:type="dxa"/>
            <w:tcMar>
              <w:top w:w="100" w:type="dxa"/>
              <w:left w:w="100" w:type="dxa"/>
              <w:bottom w:w="100" w:type="dxa"/>
              <w:right w:w="100" w:type="dxa"/>
            </w:tcMar>
          </w:tcPr>
          <w:p w14:paraId="0F652224"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High</w:t>
            </w:r>
          </w:p>
        </w:tc>
        <w:tc>
          <w:tcPr>
            <w:tcW w:w="2340" w:type="dxa"/>
            <w:tcMar>
              <w:top w:w="100" w:type="dxa"/>
              <w:left w:w="100" w:type="dxa"/>
              <w:bottom w:w="100" w:type="dxa"/>
              <w:right w:w="100" w:type="dxa"/>
            </w:tcMar>
          </w:tcPr>
          <w:p w14:paraId="35DB7A1F" w14:textId="77777777" w:rsidR="00A00680" w:rsidRPr="005106CE" w:rsidRDefault="00160DDB">
            <w:pPr>
              <w:widowControl w:val="0"/>
              <w:pBdr>
                <w:top w:val="nil"/>
                <w:left w:val="nil"/>
                <w:bottom w:val="nil"/>
                <w:right w:val="nil"/>
                <w:between w:val="nil"/>
              </w:pBdr>
              <w:jc w:val="left"/>
              <w:rPr>
                <w:rFonts w:ascii="Arial" w:hAnsi="Arial" w:cs="Arial"/>
                <w:color w:val="000000"/>
                <w:sz w:val="22"/>
                <w:szCs w:val="22"/>
                <w:lang w:val="en-GB"/>
              </w:rPr>
            </w:pPr>
            <w:r w:rsidRPr="005106CE">
              <w:rPr>
                <w:rFonts w:ascii="Arial" w:hAnsi="Arial" w:cs="Arial"/>
                <w:color w:val="000000"/>
                <w:sz w:val="22"/>
                <w:szCs w:val="22"/>
                <w:lang w:val="en-GB"/>
              </w:rPr>
              <w:t>Mixed, declining at points</w:t>
            </w:r>
          </w:p>
        </w:tc>
      </w:tr>
    </w:tbl>
    <w:p w14:paraId="626E1B52" w14:textId="77777777" w:rsidR="00A00680" w:rsidRPr="005106CE" w:rsidRDefault="00A00680">
      <w:pPr>
        <w:rPr>
          <w:rFonts w:ascii="Arial" w:hAnsi="Arial" w:cs="Arial"/>
          <w:color w:val="000000"/>
          <w:sz w:val="22"/>
          <w:szCs w:val="22"/>
          <w:lang w:val="en-GB"/>
        </w:rPr>
      </w:pPr>
    </w:p>
    <w:p w14:paraId="351B0CDB"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unified, rapid, and information-driven type of leadership in South Korea is the opposite of the lagged sensemaking and fragmented types of governance in Spain. Canada, as in Spain, had a problem with federal-provincial coordination, but the political conflict was not as intense (Harguindéguy, Rivera and Sánchez, 2021). These comparisons point out that the effectiveness of crisis leadership is largely dependent on the cohesion of the organisation, the clarity of communication and the speed at which the systems that are decentralised can be brought into line.</w:t>
      </w:r>
    </w:p>
    <w:p w14:paraId="69C8EEE5" w14:textId="77777777" w:rsidR="00A00680" w:rsidRPr="005106CE" w:rsidRDefault="00160DDB">
      <w:pPr>
        <w:pStyle w:val="Heading1"/>
        <w:rPr>
          <w:rFonts w:ascii="Arial" w:hAnsi="Arial" w:cs="Arial"/>
          <w:sz w:val="24"/>
          <w:szCs w:val="24"/>
          <w:lang w:val="en-GB"/>
        </w:rPr>
      </w:pPr>
      <w:bookmarkStart w:id="38" w:name="_f31wt4k82tss" w:colFirst="0" w:colLast="0"/>
      <w:bookmarkStart w:id="39" w:name="_Toc215763203"/>
      <w:bookmarkEnd w:id="38"/>
      <w:r w:rsidRPr="005106CE">
        <w:rPr>
          <w:rFonts w:ascii="Arial" w:hAnsi="Arial" w:cs="Arial"/>
          <w:sz w:val="24"/>
          <w:szCs w:val="24"/>
          <w:lang w:val="en-GB"/>
        </w:rPr>
        <w:t>5. Systems Thinking and Interdependency Analysis</w:t>
      </w:r>
      <w:bookmarkEnd w:id="39"/>
      <w:r w:rsidRPr="005106CE">
        <w:rPr>
          <w:rFonts w:ascii="Arial" w:hAnsi="Arial" w:cs="Arial"/>
          <w:sz w:val="24"/>
          <w:szCs w:val="24"/>
          <w:lang w:val="en-GB"/>
        </w:rPr>
        <w:t xml:space="preserve"> </w:t>
      </w:r>
    </w:p>
    <w:p w14:paraId="5C81B004"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Alenss, based on systems thinking, can be used to understand the reasons why Spain, South Korea (SK), and Canada had vastly different pandemic trajectories even though they were all victims of the same global shock. Systems thinking underlines the fact that pandemics are complex and non-linear systems that operate under the influence of the feedback loop, interdependencies and leverage points that stabilise or destabilise the whole response (Wang and Mansouri, 2021)</w:t>
      </w:r>
      <w:r w:rsidRPr="005106CE">
        <w:rPr>
          <w:rFonts w:ascii="Arial" w:hAnsi="Arial" w:cs="Arial"/>
          <w:b/>
          <w:bCs/>
          <w:color w:val="000000"/>
          <w:sz w:val="22"/>
          <w:szCs w:val="22"/>
          <w:lang w:val="en-GB"/>
        </w:rPr>
        <w:t>.</w:t>
      </w:r>
    </w:p>
    <w:p w14:paraId="764A67B6"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Feedback Loops</w:t>
      </w:r>
    </w:p>
    <w:p w14:paraId="1F799E4A"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Spain got caught in a vicious cycle that compounded the weak processes of the system. Disjointed surveillance and sluggish sensemaking enabled outside spreading to rampage unnoticed in the early community. Increasing infections congested hospitals, thus precipitating reactive lockdowns. These lockdowns did not represent a pre-emptive move but a corrective one- there was indicative evidence that the system had already ceased to control the dynamics of transmission (Brooks and Lorange, 2024). This vicious cycle of reinforcement strengthened the timely interventions many times, and it created a cycle of waves that were hard to overcome.</w:t>
      </w:r>
    </w:p>
    <w:p w14:paraId="17BA4963"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On the contrary, SK was able to work on powerful balancing feedback loops. The mass testing early on and intensive tracing with technology and isolation broke the chain of transmission before it escalated to those who are hospitalised. Stabilised hospital capacity strengthened the capacity of the system to continue with regular services and implement specific interventions (Humphreys</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2022). These stabilisation loops ensured growth was held in check and the system remained in balance and proving that early detection and a rapid response can form positive corrective dynamics.</w:t>
      </w:r>
    </w:p>
    <w:p w14:paraId="609E1FE6"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Interdependencies</w:t>
      </w:r>
    </w:p>
    <w:p w14:paraId="2D3A9897"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Pandemic governance indicated the existence of deep interdependencies in multi-level health systems. In Spain, individualism was intergovernmental due to the regional autonomy. The sharing of data unevenly, inconsistent restrictions and political rivalry led to delays, detracting from the collective action. Canada had the same interdependency between the federal and provincial systems, albeit in a more formal constitution (Fossum, 2023). This unequal testing, varied rules of public health rules, and uneven communication due to provincial independence brought mixed results.</w:t>
      </w:r>
    </w:p>
    <w:p w14:paraId="3BFCB11F"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SK, in its turn, enjoyed closely-knit interrelationships. Digital surveillance infrastructure, a well-coordinated network of the KDCA, private technological companies, and high turnout of civic satisfaction contributed to a well-coordinated network. These interdependencies facilitated speedy information transmission, standardisation and consistent action- this shows how coordination among actors will improve the resilience of a system (Sonesson, Johansson and Cedergren, 2021).</w:t>
      </w:r>
    </w:p>
    <w:p w14:paraId="6823CB0D"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Emergence</w:t>
      </w:r>
    </w:p>
    <w:p w14:paraId="403194EE" w14:textId="77777777" w:rsidR="00A00680" w:rsidRPr="005106CE" w:rsidRDefault="00160DDB">
      <w:pPr>
        <w:rPr>
          <w:rFonts w:ascii="Arial" w:hAnsi="Arial" w:cs="Arial"/>
          <w:b/>
          <w:bCs/>
          <w:color w:val="000000"/>
          <w:sz w:val="22"/>
          <w:szCs w:val="22"/>
          <w:lang w:val="en-GB"/>
        </w:rPr>
      </w:pPr>
      <w:r w:rsidRPr="005106CE">
        <w:rPr>
          <w:rFonts w:ascii="Arial" w:hAnsi="Arial" w:cs="Arial"/>
          <w:color w:val="000000"/>
          <w:sz w:val="22"/>
          <w:szCs w:val="22"/>
          <w:lang w:val="en-GB"/>
        </w:rPr>
        <w:t>Emergent outcomes - the system properties that appeared to emerge without prior notice - could be observed in the jurisdictions. A good example is the vaccination campaign in Spain. Nevertheless, despite initial disjointed efforts, excellent logistical preparations, and the desire of many people to join in, it delivered one of the most successful vaccination campaigns ever in Europe (Ekezie</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2022). This developed outcome was far beyond anticipation on the basis of previous system failures.</w:t>
      </w:r>
    </w:p>
    <w:p w14:paraId="492B34D2"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Leverage Points (Meadows)</w:t>
      </w:r>
    </w:p>
    <w:p w14:paraId="19962546"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Three lever points of high impact defined system trajectories:</w:t>
      </w:r>
    </w:p>
    <w:p w14:paraId="30209EC2" w14:textId="77777777" w:rsidR="00A00680" w:rsidRPr="005106CE" w:rsidRDefault="00160DDB">
      <w:pPr>
        <w:numPr>
          <w:ilvl w:val="0"/>
          <w:numId w:val="1"/>
        </w:numPr>
        <w:rPr>
          <w:rFonts w:ascii="Arial" w:hAnsi="Arial" w:cs="Arial"/>
          <w:color w:val="000000"/>
          <w:sz w:val="22"/>
          <w:szCs w:val="22"/>
          <w:lang w:val="en-GB"/>
        </w:rPr>
      </w:pPr>
      <w:r w:rsidRPr="005106CE">
        <w:rPr>
          <w:rFonts w:ascii="Arial" w:hAnsi="Arial" w:cs="Arial"/>
          <w:b/>
          <w:bCs/>
          <w:color w:val="000000"/>
          <w:sz w:val="22"/>
          <w:szCs w:val="22"/>
          <w:lang w:val="en-GB"/>
        </w:rPr>
        <w:t>Governance rules:</w:t>
      </w:r>
      <w:r w:rsidRPr="005106CE">
        <w:rPr>
          <w:rFonts w:ascii="Arial" w:hAnsi="Arial" w:cs="Arial"/>
          <w:color w:val="000000"/>
          <w:sz w:val="22"/>
          <w:szCs w:val="22"/>
          <w:lang w:val="en-GB"/>
        </w:rPr>
        <w:t xml:space="preserve"> There was strong authority and coordination in an effort to move faster and to minimise fragmentation.</w:t>
      </w:r>
    </w:p>
    <w:p w14:paraId="6E775862" w14:textId="77777777" w:rsidR="00A00680" w:rsidRPr="005106CE" w:rsidRDefault="00160DDB">
      <w:pPr>
        <w:numPr>
          <w:ilvl w:val="0"/>
          <w:numId w:val="1"/>
        </w:numPr>
        <w:rPr>
          <w:rFonts w:ascii="Arial" w:hAnsi="Arial" w:cs="Arial"/>
          <w:color w:val="000000"/>
          <w:sz w:val="22"/>
          <w:szCs w:val="22"/>
          <w:lang w:val="en-GB"/>
        </w:rPr>
      </w:pPr>
      <w:r w:rsidRPr="005106CE">
        <w:rPr>
          <w:rFonts w:ascii="Arial" w:hAnsi="Arial" w:cs="Arial"/>
          <w:b/>
          <w:bCs/>
          <w:color w:val="000000"/>
          <w:sz w:val="22"/>
          <w:szCs w:val="22"/>
          <w:lang w:val="en-GB"/>
        </w:rPr>
        <w:t>Information/data flows:</w:t>
      </w:r>
      <w:r w:rsidRPr="005106CE">
        <w:rPr>
          <w:rFonts w:ascii="Arial" w:hAnsi="Arial" w:cs="Arial"/>
          <w:color w:val="000000"/>
          <w:sz w:val="22"/>
          <w:szCs w:val="22"/>
          <w:lang w:val="en-GB"/>
        </w:rPr>
        <w:t xml:space="preserve"> The real-time, integrated data (as observed in SK) facilitated proactive, and not reactive interventions (Ezeh</w:t>
      </w:r>
      <w:r w:rsidRPr="005106CE">
        <w:rPr>
          <w:rFonts w:ascii="Arial" w:hAnsi="Arial" w:cs="Arial"/>
          <w:i/>
          <w:iCs/>
          <w:color w:val="000000"/>
          <w:sz w:val="22"/>
          <w:szCs w:val="22"/>
          <w:lang w:val="en-GB"/>
        </w:rPr>
        <w:t xml:space="preserve"> et  al.</w:t>
      </w:r>
      <w:r w:rsidRPr="005106CE">
        <w:rPr>
          <w:rFonts w:ascii="Arial" w:hAnsi="Arial" w:cs="Arial"/>
          <w:color w:val="000000"/>
          <w:sz w:val="22"/>
          <w:szCs w:val="22"/>
          <w:lang w:val="en-GB"/>
        </w:rPr>
        <w:t xml:space="preserve"> 2024).</w:t>
      </w:r>
    </w:p>
    <w:p w14:paraId="7386949F" w14:textId="77777777" w:rsidR="00A00680" w:rsidRPr="005106CE" w:rsidRDefault="00160DDB">
      <w:pPr>
        <w:numPr>
          <w:ilvl w:val="0"/>
          <w:numId w:val="1"/>
        </w:numPr>
        <w:rPr>
          <w:rFonts w:ascii="Arial" w:hAnsi="Arial" w:cs="Arial"/>
          <w:color w:val="000000"/>
          <w:sz w:val="22"/>
          <w:szCs w:val="22"/>
          <w:lang w:val="en-GB"/>
        </w:rPr>
      </w:pPr>
      <w:r w:rsidRPr="005106CE">
        <w:rPr>
          <w:rFonts w:ascii="Arial" w:hAnsi="Arial" w:cs="Arial"/>
          <w:b/>
          <w:bCs/>
          <w:color w:val="000000"/>
          <w:sz w:val="22"/>
          <w:szCs w:val="22"/>
          <w:lang w:val="en-GB"/>
        </w:rPr>
        <w:t>Leadership communication:</w:t>
      </w:r>
      <w:r w:rsidRPr="005106CE">
        <w:rPr>
          <w:rFonts w:ascii="Arial" w:hAnsi="Arial" w:cs="Arial"/>
          <w:color w:val="000000"/>
          <w:sz w:val="22"/>
          <w:szCs w:val="22"/>
          <w:lang w:val="en-GB"/>
        </w:rPr>
        <w:t xml:space="preserve"> Frequent and clear communication influenced compliance, uncertainty minimisation and enhanced collective behaviour.</w:t>
      </w:r>
    </w:p>
    <w:p w14:paraId="0D007CB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It is through these leverage points that meaningful improvement in resilience to future pandemics by targeting reforms in highly complex health systems can be achieved.</w:t>
      </w:r>
    </w:p>
    <w:p w14:paraId="66BC5F8D" w14:textId="77777777" w:rsidR="00A00680" w:rsidRPr="005106CE" w:rsidRDefault="00160DDB">
      <w:pPr>
        <w:pStyle w:val="Heading1"/>
        <w:rPr>
          <w:rFonts w:ascii="Arial" w:hAnsi="Arial" w:cs="Arial"/>
          <w:sz w:val="24"/>
          <w:szCs w:val="24"/>
          <w:lang w:val="en-GB"/>
        </w:rPr>
      </w:pPr>
      <w:bookmarkStart w:id="40" w:name="_qj0e7ti9bgcx" w:colFirst="0" w:colLast="0"/>
      <w:bookmarkStart w:id="41" w:name="_Toc215763204"/>
      <w:bookmarkEnd w:id="40"/>
      <w:r w:rsidRPr="005106CE">
        <w:rPr>
          <w:rFonts w:ascii="Arial" w:hAnsi="Arial" w:cs="Arial"/>
          <w:sz w:val="24"/>
          <w:szCs w:val="24"/>
          <w:lang w:val="en-GB"/>
        </w:rPr>
        <w:t>6. Discussion: Critical Synthesis</w:t>
      </w:r>
      <w:bookmarkEnd w:id="41"/>
    </w:p>
    <w:p w14:paraId="63AA887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An integrated study of the organisation and</w:t>
      </w:r>
      <w:r w:rsidRPr="005106CE">
        <w:rPr>
          <w:rFonts w:ascii="Arial" w:hAnsi="Arial" w:cs="Arial"/>
          <w:b/>
          <w:bCs/>
          <w:color w:val="000000"/>
          <w:sz w:val="22"/>
          <w:szCs w:val="22"/>
          <w:lang w:val="en-GB"/>
        </w:rPr>
        <w:t xml:space="preserve"> leadership dynamic in the context of health systems</w:t>
      </w:r>
      <w:r w:rsidRPr="005106CE">
        <w:rPr>
          <w:rFonts w:ascii="Arial" w:hAnsi="Arial" w:cs="Arial"/>
          <w:color w:val="000000"/>
          <w:sz w:val="22"/>
          <w:szCs w:val="22"/>
          <w:lang w:val="en-GB"/>
        </w:rPr>
        <w:t xml:space="preserve"> helps understand why Spain initially failed during the initial months of the COVID-19 pandemic and how leadership adaptation subsequently allowed achieving a high level of vaccination. The system performance was based on the interaction of structural characteristics and leadership behaviours (Nani and Safitri, 2021). There was no isolated operation of leadership, but it activated, constrained or amplified the system capacities and revealed how closely leadership and organisational design worked together in times of crisis governance.</w:t>
      </w:r>
    </w:p>
    <w:p w14:paraId="20428B83"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 xml:space="preserve">Among the insights that can be drawn is the fact that system functioning depended on the leadership style. The initial non-directive approach taken by Salvador Illa, characterised by cautious communication and the use of expert committees, was not very appropriate in the context of high urgency affecting the increasing pandemic. According to the Situational Leadership Theory, a more authoritative, task-oriented style was required to offset disjointed regional surveillance, haphazard data quality and increasing uncertainty (Chen </w:t>
      </w:r>
      <w:r w:rsidRPr="005106CE">
        <w:rPr>
          <w:rFonts w:ascii="Arial" w:hAnsi="Arial" w:cs="Arial"/>
          <w:i/>
          <w:iCs/>
          <w:color w:val="000000"/>
          <w:sz w:val="22"/>
          <w:szCs w:val="22"/>
          <w:lang w:val="en-GB"/>
        </w:rPr>
        <w:t>et al.</w:t>
      </w:r>
      <w:r w:rsidRPr="005106CE">
        <w:rPr>
          <w:rFonts w:ascii="Arial" w:hAnsi="Arial" w:cs="Arial"/>
          <w:color w:val="000000"/>
          <w:sz w:val="22"/>
          <w:szCs w:val="22"/>
          <w:lang w:val="en-GB"/>
        </w:rPr>
        <w:t xml:space="preserve"> 2024). The crisis between leadership style and system requirements also led to slow growth of testing, haphazard containment and gradual mobilisation of the nation. On the other hand, the high-paced, centralised, and technocratic leadership approach in South Korea coincided with the integrated surveillance infrastructure that resulted in cohesion and speed. The Canadian mixed federal environment (similar to that of Spain) implied that leadership effectiveness was different depending on the jurisdiction, which once again demonstrates the role played by system structure as a mediator of leadership effect (Betschart</w:t>
      </w:r>
      <w:r w:rsidRPr="005106CE">
        <w:rPr>
          <w:rFonts w:ascii="Arial" w:hAnsi="Arial" w:cs="Arial"/>
          <w:i/>
          <w:iCs/>
          <w:color w:val="000000"/>
          <w:sz w:val="22"/>
          <w:szCs w:val="22"/>
          <w:lang w:val="en-GB"/>
        </w:rPr>
        <w:t xml:space="preserve"> et al. </w:t>
      </w:r>
      <w:r w:rsidRPr="005106CE">
        <w:rPr>
          <w:rFonts w:ascii="Arial" w:hAnsi="Arial" w:cs="Arial"/>
          <w:color w:val="000000"/>
          <w:sz w:val="22"/>
          <w:szCs w:val="22"/>
          <w:lang w:val="en-GB"/>
        </w:rPr>
        <w:t>2022).</w:t>
      </w:r>
    </w:p>
    <w:p w14:paraId="33EED63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 second theme concerns the role of centralisation and decentralisation. The decentralised National Health System (NHS) in Spain provides the region with considerable autonomy, which is effective in the usual conditions but presents weaknesses in periods of high-speed crisis. Lack of standardised data structure and geographic ability of regions constrained initial situational awareness. It was also a structural problem, in the sense that without authoritative means to coordinate the early stage of affairs, the Illa ministry lacked the inertia to take swift action. The introduction of temporary centralisation by the state of alarm served as a great example of how the design of governance influences the performance of the crisis more than health financing or coverage designs.</w:t>
      </w:r>
    </w:p>
    <w:p w14:paraId="6C9DBE18"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is one of the reasons why Spain did not perform well at an early stage with universal coverage. Coverage provides access to services, but not preparedness, integration of surveillance, and governance coherence, which are the main determinants of emergency responsiveness. Weak interregional interoperability cannot be remedied by universalism (Sami and Chun, 2024).</w:t>
      </w:r>
    </w:p>
    <w:p w14:paraId="7A929A0C"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Lastly, the adaptation of leadership in the Spanish successful vaccination campaign was important. This change that Illa would make towards more directive planning, centralised logistics, and regular communication would bring the organisational clarity needed to roll out at a large scale (Sista and De Giovanni, 2021). This adaptive behaviour confirmed the literature of crisis that focused on learning, recalibration, and enhanced communication as important factors in system recovery.</w:t>
      </w:r>
    </w:p>
    <w:p w14:paraId="652CBDF6"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In general, the synthesis demonstrates that the results of crises are due to the congruence between the leadership behaviours, institutional structures, and system capacities, rather than to one of the factors.</w:t>
      </w:r>
    </w:p>
    <w:p w14:paraId="00806D19" w14:textId="77777777" w:rsidR="00A00680" w:rsidRPr="005106CE" w:rsidRDefault="00160DDB">
      <w:pPr>
        <w:pStyle w:val="Heading1"/>
        <w:rPr>
          <w:rFonts w:ascii="Arial" w:hAnsi="Arial" w:cs="Arial"/>
          <w:sz w:val="24"/>
          <w:szCs w:val="24"/>
          <w:lang w:val="en-GB"/>
        </w:rPr>
      </w:pPr>
      <w:bookmarkStart w:id="42" w:name="_i617fgbuoayx" w:colFirst="0" w:colLast="0"/>
      <w:bookmarkStart w:id="43" w:name="_Toc215763205"/>
      <w:bookmarkEnd w:id="42"/>
      <w:r w:rsidRPr="005106CE">
        <w:rPr>
          <w:rFonts w:ascii="Arial" w:hAnsi="Arial" w:cs="Arial"/>
          <w:sz w:val="24"/>
          <w:szCs w:val="24"/>
          <w:lang w:val="en-GB"/>
        </w:rPr>
        <w:t>7. Conclusion</w:t>
      </w:r>
      <w:bookmarkEnd w:id="43"/>
    </w:p>
    <w:p w14:paraId="59E60CA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comparison research of Spain, South Korea, and Canada shows how the organisation of the health system and its leadership collectively influenced the course of their response to the pandemic of COVID-19 pandemic. The experience of Spain suggests that even well-equipped, universal health systems may find it difficult in situations where early situational awareness is undermined by decentralised governance, disjointed surveillance and slow political coordination. The reactive start that is characterised by late detection, uneven measures across regions and stretched hospital capacity reveals how system fragmentation can elevate the crisis shocks when leadership fails to take a directive and rapid-response stance on the crisis immediately.</w:t>
      </w:r>
    </w:p>
    <w:p w14:paraId="69815CA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But the course of Spain also brings out the merit of leadership adaptation. With the transition of the communication between Salvador Illa to a more proactive approach, decision-making, and national alignment during the vaccination phase, the functioning of the system changed to a greater extent. The singleized approach to vaccination was the model of successful coordination between the centre and regional implementation that proved that formal cooperation could overcome the initial disintegration.</w:t>
      </w:r>
    </w:p>
    <w:p w14:paraId="22CD72F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In comparison, South Korea was fast, transparent and coherent, with a strong central governance system, which was closely integrated, system data and a crisis-oriented leadership that kept hospitalisation rates low and ensured that people could trust the system. The mixed systems of federalism in Canada yielded more volatile results, and this indicates that decentralisation must be well coordinated by the leadership to have uniformity.</w:t>
      </w:r>
    </w:p>
    <w:p w14:paraId="3EC0ACA6"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In all jurisdictions, there is one common finding: leadership is an institutional process in health systems that determines the way the available capabilities, information flows, and proofs of governance are mobilised in response to a crisis. Pandemic governance in the future should therefore be built upon enhancing intergovernmental coordination, investing in common data infrastructures, and developing leaders who can make sense quickly, use adaptive communications, and take decisive action within the complex system.</w:t>
      </w:r>
    </w:p>
    <w:p w14:paraId="00AC2F41" w14:textId="77777777" w:rsidR="00A00680" w:rsidRPr="005106CE" w:rsidRDefault="00160DDB">
      <w:pPr>
        <w:pStyle w:val="Heading1"/>
        <w:rPr>
          <w:rFonts w:ascii="Arial" w:hAnsi="Arial" w:cs="Arial"/>
          <w:sz w:val="24"/>
          <w:szCs w:val="24"/>
          <w:lang w:val="en-GB"/>
        </w:rPr>
      </w:pPr>
      <w:bookmarkStart w:id="44" w:name="_2kyymiw9mna0" w:colFirst="0" w:colLast="0"/>
      <w:bookmarkStart w:id="45" w:name="_Toc215763206"/>
      <w:bookmarkEnd w:id="44"/>
      <w:r w:rsidRPr="005106CE">
        <w:rPr>
          <w:rFonts w:ascii="Arial" w:hAnsi="Arial" w:cs="Arial"/>
          <w:sz w:val="24"/>
          <w:szCs w:val="24"/>
          <w:lang w:val="en-GB"/>
        </w:rPr>
        <w:t>8. Recommendations</w:t>
      </w:r>
      <w:bookmarkEnd w:id="45"/>
    </w:p>
    <w:p w14:paraId="689D8702"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Based on the ideas of Systems Leadership and the PDSA (Plan-Do-Study-Act) cycle of improvement, the proposals below will help enhance the preparedness of Spain towards the pandemic, its ability to provide coherent governance, and its leadership capacity.</w:t>
      </w:r>
    </w:p>
    <w:p w14:paraId="7E5152FB"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1. Strengthen Early Warning and Surveillance Systems</w:t>
      </w:r>
    </w:p>
    <w:p w14:paraId="10E96B23"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 xml:space="preserve">Plan: </w:t>
      </w:r>
      <w:r w:rsidRPr="005106CE">
        <w:rPr>
          <w:rFonts w:ascii="Arial" w:hAnsi="Arial" w:cs="Arial"/>
          <w:color w:val="000000"/>
          <w:sz w:val="22"/>
          <w:szCs w:val="22"/>
          <w:lang w:val="en-GB"/>
        </w:rPr>
        <w:t>Build a coordinated national epidemiological intelligence platform between the regional public health units, laboratories, hospitals and primary care.</w:t>
      </w:r>
    </w:p>
    <w:p w14:paraId="65BFCC3E"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Do:</w:t>
      </w:r>
      <w:r w:rsidRPr="005106CE">
        <w:rPr>
          <w:rFonts w:ascii="Arial" w:hAnsi="Arial" w:cs="Arial"/>
          <w:color w:val="000000"/>
          <w:sz w:val="22"/>
          <w:szCs w:val="22"/>
          <w:lang w:val="en-GB"/>
        </w:rPr>
        <w:t xml:space="preserve"> Invest in a real-time dashboard, standardised reporting procedures and automated data validation.</w:t>
      </w:r>
    </w:p>
    <w:p w14:paraId="0A0B5F03"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Study:</w:t>
      </w:r>
      <w:r w:rsidRPr="005106CE">
        <w:rPr>
          <w:rFonts w:ascii="Arial" w:hAnsi="Arial" w:cs="Arial"/>
          <w:color w:val="000000"/>
          <w:sz w:val="22"/>
          <w:szCs w:val="22"/>
          <w:lang w:val="en-GB"/>
        </w:rPr>
        <w:t xml:space="preserve"> Perform simulation exercises to check the speed of detection and accuracy of data.</w:t>
      </w:r>
    </w:p>
    <w:p w14:paraId="7148AC8F" w14:textId="77777777" w:rsidR="00A00680" w:rsidRPr="005106CE" w:rsidRDefault="00160DDB">
      <w:pPr>
        <w:rPr>
          <w:rFonts w:ascii="Arial" w:hAnsi="Arial" w:cs="Arial"/>
          <w:color w:val="000000"/>
          <w:sz w:val="22"/>
          <w:szCs w:val="22"/>
          <w:lang w:val="en-GB"/>
        </w:rPr>
      </w:pPr>
      <w:r w:rsidRPr="005106CE">
        <w:rPr>
          <w:rFonts w:ascii="Arial" w:hAnsi="Arial" w:cs="Arial"/>
          <w:b/>
          <w:bCs/>
          <w:color w:val="000000"/>
          <w:sz w:val="22"/>
          <w:szCs w:val="22"/>
          <w:lang w:val="en-GB"/>
        </w:rPr>
        <w:t>Act:</w:t>
      </w:r>
      <w:r w:rsidRPr="005106CE">
        <w:rPr>
          <w:rFonts w:ascii="Arial" w:hAnsi="Arial" w:cs="Arial"/>
          <w:color w:val="000000"/>
          <w:sz w:val="22"/>
          <w:szCs w:val="22"/>
          <w:lang w:val="en-GB"/>
        </w:rPr>
        <w:t xml:space="preserve"> Refine algorithms and reporting processes on performance gaps regularly.</w:t>
      </w:r>
    </w:p>
    <w:p w14:paraId="0C10EC2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develops the forward-looking ability to avoid the negative feedback loops observed at the beginning of the year 2020.</w:t>
      </w:r>
    </w:p>
    <w:p w14:paraId="00414881"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2. Enhance Inter-Regional Governance Mechanisms</w:t>
      </w:r>
    </w:p>
    <w:p w14:paraId="63871B48"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Spain needs to build on systems that facilitate solving problems instead of political competition, using Systems Leadership principles. Research and development Mandatory inter-regional emergency response protocol, and increase Interterritorial Council authority to impose uniform national standards.</w:t>
      </w:r>
    </w:p>
    <w:p w14:paraId="512E8F9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enhances unity, minimises disintegration and makes regions synchronous when dealing with crises.</w:t>
      </w:r>
    </w:p>
    <w:p w14:paraId="02488F4C"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3. Establish a Central Crisis Command Unit</w:t>
      </w:r>
    </w:p>
    <w:p w14:paraId="34AE037E"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The national responses should be empowered with a permanent</w:t>
      </w:r>
      <w:r w:rsidRPr="005106CE">
        <w:rPr>
          <w:rFonts w:ascii="Arial" w:hAnsi="Arial" w:cs="Arial"/>
          <w:b/>
          <w:bCs/>
          <w:color w:val="000000"/>
          <w:sz w:val="22"/>
          <w:szCs w:val="22"/>
          <w:lang w:val="en-GB"/>
        </w:rPr>
        <w:t xml:space="preserve"> Central Public Health Emergency Command Unit</w:t>
      </w:r>
      <w:r w:rsidRPr="005106CE">
        <w:rPr>
          <w:rFonts w:ascii="Arial" w:hAnsi="Arial" w:cs="Arial"/>
          <w:color w:val="000000"/>
          <w:sz w:val="22"/>
          <w:szCs w:val="22"/>
          <w:lang w:val="en-GB"/>
        </w:rPr>
        <w:t>, which has epidemiologists, data scientists, and crisis managers. It needs to have predetermined legal power to instigate emergency measures, organise communications and share resources.</w:t>
      </w:r>
    </w:p>
    <w:p w14:paraId="12C8CB0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This unit would resolve the challenge of delayed sensemaking and coordination that was identified above.</w:t>
      </w:r>
    </w:p>
    <w:p w14:paraId="3C2266C6"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4. Improve Leadership Training for Health Crisis Management</w:t>
      </w:r>
    </w:p>
    <w:p w14:paraId="0ECD847D"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Spain ought to establish special training courses in crisis leadership, including rapid decision-making, uncertainty-based communication, systems thinking and intergovernmental negotiation. The ministers, regional health leaders, and senior clinicians should be targeted in training to develop multi-level leadership resilience.</w:t>
      </w:r>
    </w:p>
    <w:p w14:paraId="7D60589E" w14:textId="77777777" w:rsidR="00A00680" w:rsidRPr="005106CE" w:rsidRDefault="00160DDB">
      <w:pPr>
        <w:rPr>
          <w:rFonts w:ascii="Arial" w:hAnsi="Arial" w:cs="Arial"/>
          <w:b/>
          <w:bCs/>
          <w:color w:val="000000"/>
          <w:sz w:val="22"/>
          <w:szCs w:val="22"/>
          <w:lang w:val="en-GB"/>
        </w:rPr>
      </w:pPr>
      <w:r w:rsidRPr="005106CE">
        <w:rPr>
          <w:rFonts w:ascii="Arial" w:hAnsi="Arial" w:cs="Arial"/>
          <w:b/>
          <w:bCs/>
          <w:color w:val="000000"/>
          <w:sz w:val="22"/>
          <w:szCs w:val="22"/>
          <w:lang w:val="en-GB"/>
        </w:rPr>
        <w:t>5. Build Resilient Digital Health Infrastructure</w:t>
      </w:r>
    </w:p>
    <w:p w14:paraId="7434A1DA"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Invest in digital tools of testing, tracing, vaccination management, and communication with the population, which are interoperable. Make cybersecurity stronger, combine AI-enabled prediction, and provide equal access on a regional level.</w:t>
      </w:r>
    </w:p>
    <w:p w14:paraId="22321D29" w14:textId="77777777" w:rsidR="00A00680" w:rsidRPr="005106CE" w:rsidRDefault="00160DDB">
      <w:pPr>
        <w:rPr>
          <w:rFonts w:ascii="Arial" w:hAnsi="Arial" w:cs="Arial"/>
          <w:color w:val="000000"/>
          <w:sz w:val="22"/>
          <w:szCs w:val="22"/>
          <w:lang w:val="en-GB"/>
        </w:rPr>
      </w:pPr>
      <w:r w:rsidRPr="005106CE">
        <w:rPr>
          <w:rFonts w:ascii="Arial" w:hAnsi="Arial" w:cs="Arial"/>
          <w:color w:val="000000"/>
          <w:sz w:val="22"/>
          <w:szCs w:val="22"/>
          <w:lang w:val="en-GB"/>
        </w:rPr>
        <w:t>All this is combined to improve the capacity of Spain to identify threats in their early stages, coordinate decisively, and ensure mobilisation of system resources with robust and adaptable leadership.</w:t>
      </w:r>
    </w:p>
    <w:p w14:paraId="77957633" w14:textId="77777777" w:rsidR="00A00680" w:rsidRPr="005106CE" w:rsidRDefault="00A00680">
      <w:pPr>
        <w:rPr>
          <w:rFonts w:ascii="Arial" w:hAnsi="Arial" w:cs="Arial"/>
          <w:color w:val="000000"/>
          <w:sz w:val="22"/>
          <w:szCs w:val="22"/>
          <w:lang w:val="en-GB"/>
        </w:rPr>
      </w:pPr>
    </w:p>
    <w:p w14:paraId="3BE4673B" w14:textId="77777777" w:rsidR="00A00680" w:rsidRPr="005106CE" w:rsidRDefault="00A00680">
      <w:pPr>
        <w:rPr>
          <w:rFonts w:ascii="Arial" w:hAnsi="Arial" w:cs="Arial"/>
          <w:color w:val="000000"/>
          <w:sz w:val="22"/>
          <w:szCs w:val="22"/>
          <w:lang w:val="en-GB"/>
        </w:rPr>
      </w:pPr>
    </w:p>
    <w:p w14:paraId="44592111" w14:textId="77777777" w:rsidR="00A00680" w:rsidRPr="005106CE" w:rsidRDefault="00A00680">
      <w:pPr>
        <w:rPr>
          <w:rFonts w:ascii="Arial" w:hAnsi="Arial" w:cs="Arial"/>
          <w:color w:val="000000"/>
          <w:sz w:val="22"/>
          <w:szCs w:val="22"/>
          <w:lang w:val="en-GB"/>
        </w:rPr>
      </w:pPr>
    </w:p>
    <w:p w14:paraId="2A5672D4" w14:textId="77777777" w:rsidR="00A00680" w:rsidRPr="005106CE" w:rsidRDefault="00160DDB">
      <w:pPr>
        <w:rPr>
          <w:rFonts w:ascii="Arial" w:hAnsi="Arial" w:cs="Arial"/>
          <w:b/>
          <w:bCs/>
          <w:color w:val="000000"/>
          <w:sz w:val="22"/>
          <w:szCs w:val="22"/>
          <w:lang w:val="en-GB"/>
        </w:rPr>
      </w:pPr>
      <w:r w:rsidRPr="005106CE">
        <w:rPr>
          <w:rFonts w:ascii="Arial" w:hAnsi="Arial" w:cs="Arial"/>
          <w:sz w:val="22"/>
          <w:szCs w:val="22"/>
          <w:lang w:val="en-GB"/>
        </w:rPr>
        <w:br w:type="page"/>
      </w:r>
    </w:p>
    <w:p w14:paraId="517FE6D6" w14:textId="77777777" w:rsidR="00A00680" w:rsidRPr="005106CE" w:rsidRDefault="00160DDB">
      <w:pPr>
        <w:pStyle w:val="Heading1"/>
        <w:rPr>
          <w:rFonts w:ascii="Arial" w:hAnsi="Arial" w:cs="Arial"/>
          <w:sz w:val="24"/>
          <w:szCs w:val="24"/>
          <w:lang w:val="en-GB"/>
        </w:rPr>
      </w:pPr>
      <w:bookmarkStart w:id="46" w:name="_3oy7kievuvht" w:colFirst="0" w:colLast="0"/>
      <w:bookmarkStart w:id="47" w:name="_Toc215763207"/>
      <w:bookmarkEnd w:id="46"/>
      <w:r w:rsidRPr="005106CE">
        <w:rPr>
          <w:rFonts w:ascii="Arial" w:hAnsi="Arial" w:cs="Arial"/>
          <w:sz w:val="24"/>
          <w:szCs w:val="24"/>
          <w:lang w:val="en-GB"/>
        </w:rPr>
        <w:t>References</w:t>
      </w:r>
      <w:bookmarkEnd w:id="47"/>
    </w:p>
    <w:p w14:paraId="32C785F2" w14:textId="5205CB9F"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Ansell, C., Sørensen, E., Torfing, J. and Trondal, J., 2024. </w:t>
      </w:r>
      <w:r w:rsidRPr="005106CE">
        <w:rPr>
          <w:rFonts w:ascii="Arial" w:hAnsi="Arial" w:cs="Arial"/>
          <w:i/>
          <w:iCs/>
          <w:sz w:val="22"/>
          <w:szCs w:val="22"/>
          <w:lang w:val="en-GB"/>
        </w:rPr>
        <w:t>Robust governance in turbulent times</w:t>
      </w:r>
      <w:r w:rsidRPr="005106CE">
        <w:rPr>
          <w:rFonts w:ascii="Arial" w:hAnsi="Arial" w:cs="Arial"/>
          <w:sz w:val="22"/>
          <w:szCs w:val="22"/>
          <w:lang w:val="en-GB"/>
        </w:rPr>
        <w:t xml:space="preserve">. Cambridge University Press. Doi: </w:t>
      </w:r>
      <w:hyperlink r:id="rId10">
        <w:r w:rsidRPr="005106CE">
          <w:rPr>
            <w:rFonts w:ascii="Arial" w:hAnsi="Arial" w:cs="Arial"/>
            <w:color w:val="1155CC"/>
            <w:sz w:val="22"/>
            <w:szCs w:val="22"/>
            <w:u w:val="single"/>
            <w:lang w:val="en-GB"/>
          </w:rPr>
          <w:t>https://doi.org/10.1017/9781009433006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2B6A6577" w14:textId="0F4796D0"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Bermejo-Casado, R., 2024. Spain, between its waves and experts–Navigating through a complex network of advisory committees in a context of political confrontation. In </w:t>
      </w:r>
      <w:r w:rsidRPr="005106CE">
        <w:rPr>
          <w:rFonts w:ascii="Arial" w:hAnsi="Arial" w:cs="Arial"/>
          <w:i/>
          <w:iCs/>
          <w:sz w:val="22"/>
          <w:szCs w:val="22"/>
          <w:lang w:val="en-GB"/>
        </w:rPr>
        <w:t>Comparing the place of experts during the first waves of the COVID-19 pandemic</w:t>
      </w:r>
      <w:r w:rsidRPr="005106CE">
        <w:rPr>
          <w:rFonts w:ascii="Arial" w:hAnsi="Arial" w:cs="Arial"/>
          <w:sz w:val="22"/>
          <w:szCs w:val="22"/>
          <w:lang w:val="en-GB"/>
        </w:rPr>
        <w:t xml:space="preserve">. Stockholm University Press. Doi:  </w:t>
      </w:r>
      <w:hyperlink r:id="rId11">
        <w:r w:rsidRPr="005106CE">
          <w:rPr>
            <w:rFonts w:ascii="Arial" w:hAnsi="Arial" w:cs="Arial"/>
            <w:color w:val="1155CC"/>
            <w:sz w:val="22"/>
            <w:szCs w:val="22"/>
            <w:u w:val="single"/>
            <w:lang w:val="en-GB"/>
          </w:rPr>
          <w:t>https://doi.org/10.16993/bco.h</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2BC343D3"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de-AT"/>
        </w:rPr>
        <w:t xml:space="preserve">Betschart, S., Sandmeier, A., Skedsmo, G., Hascher, T., Okan, O. and Dadaczynski, K., 2022. </w:t>
      </w:r>
      <w:r w:rsidRPr="005106CE">
        <w:rPr>
          <w:rFonts w:ascii="Arial" w:hAnsi="Arial" w:cs="Arial"/>
          <w:sz w:val="22"/>
          <w:szCs w:val="22"/>
          <w:lang w:val="en-GB"/>
        </w:rPr>
        <w:t xml:space="preserve">The importance of school leaders’ attitudes and health literacy to the implementation of a health-promoting schools approach. </w:t>
      </w:r>
      <w:r w:rsidRPr="005106CE">
        <w:rPr>
          <w:rFonts w:ascii="Arial" w:hAnsi="Arial" w:cs="Arial"/>
          <w:i/>
          <w:iCs/>
          <w:sz w:val="22"/>
          <w:szCs w:val="22"/>
          <w:lang w:val="en-GB"/>
        </w:rPr>
        <w:t>International Journal of Environmental Research and Public Health</w:t>
      </w:r>
      <w:r w:rsidRPr="005106CE">
        <w:rPr>
          <w:rFonts w:ascii="Arial" w:hAnsi="Arial" w:cs="Arial"/>
          <w:sz w:val="22"/>
          <w:szCs w:val="22"/>
          <w:lang w:val="en-GB"/>
        </w:rPr>
        <w:t xml:space="preserve">, </w:t>
      </w:r>
      <w:r w:rsidRPr="005106CE">
        <w:rPr>
          <w:rFonts w:ascii="Arial" w:hAnsi="Arial" w:cs="Arial"/>
          <w:i/>
          <w:iCs/>
          <w:sz w:val="22"/>
          <w:szCs w:val="22"/>
          <w:lang w:val="en-GB"/>
        </w:rPr>
        <w:t>19</w:t>
      </w:r>
      <w:r w:rsidRPr="005106CE">
        <w:rPr>
          <w:rFonts w:ascii="Arial" w:hAnsi="Arial" w:cs="Arial"/>
          <w:sz w:val="22"/>
          <w:szCs w:val="22"/>
          <w:lang w:val="en-GB"/>
        </w:rPr>
        <w:t>(22), p.14829 Doi:  .</w:t>
      </w:r>
      <w:hyperlink r:id="rId12">
        <w:r w:rsidRPr="005106CE">
          <w:rPr>
            <w:rFonts w:ascii="Arial" w:hAnsi="Arial" w:cs="Arial"/>
            <w:color w:val="1155CC"/>
            <w:sz w:val="22"/>
            <w:szCs w:val="22"/>
            <w:u w:val="single"/>
            <w:lang w:val="en-GB"/>
          </w:rPr>
          <w:t>https://doi.org/10.3390/ijerph192214829</w:t>
        </w:r>
      </w:hyperlink>
      <w:r w:rsidRPr="005106CE">
        <w:rPr>
          <w:rFonts w:ascii="Arial" w:hAnsi="Arial" w:cs="Arial"/>
          <w:sz w:val="22"/>
          <w:szCs w:val="22"/>
          <w:lang w:val="en-GB"/>
        </w:rPr>
        <w:t xml:space="preserve"> [Accessed: 04 December 2025].</w:t>
      </w:r>
    </w:p>
    <w:p w14:paraId="7D0DB4F7" w14:textId="42865DB9"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Bianchi, S. and Richiedei, A., 2023. Territorial Governance for Sustainable Development: A multi-level governance analysis in the Italian context. </w:t>
      </w:r>
      <w:r w:rsidRPr="005106CE">
        <w:rPr>
          <w:rFonts w:ascii="Arial" w:hAnsi="Arial" w:cs="Arial"/>
          <w:i/>
          <w:iCs/>
          <w:sz w:val="22"/>
          <w:szCs w:val="22"/>
          <w:lang w:val="en-GB"/>
        </w:rPr>
        <w:t>Sustainability</w:t>
      </w:r>
      <w:r w:rsidRPr="005106CE">
        <w:rPr>
          <w:rFonts w:ascii="Arial" w:hAnsi="Arial" w:cs="Arial"/>
          <w:sz w:val="22"/>
          <w:szCs w:val="22"/>
          <w:lang w:val="en-GB"/>
        </w:rPr>
        <w:t xml:space="preserve">, </w:t>
      </w:r>
      <w:r w:rsidRPr="005106CE">
        <w:rPr>
          <w:rFonts w:ascii="Arial" w:hAnsi="Arial" w:cs="Arial"/>
          <w:i/>
          <w:iCs/>
          <w:sz w:val="22"/>
          <w:szCs w:val="22"/>
          <w:lang w:val="en-GB"/>
        </w:rPr>
        <w:t>15</w:t>
      </w:r>
      <w:r w:rsidRPr="005106CE">
        <w:rPr>
          <w:rFonts w:ascii="Arial" w:hAnsi="Arial" w:cs="Arial"/>
          <w:sz w:val="22"/>
          <w:szCs w:val="22"/>
          <w:lang w:val="en-GB"/>
        </w:rPr>
        <w:t xml:space="preserve">(3), p.2526. Doi: </w:t>
      </w:r>
      <w:hyperlink r:id="rId13">
        <w:r w:rsidRPr="005106CE">
          <w:rPr>
            <w:rFonts w:ascii="Arial" w:hAnsi="Arial" w:cs="Arial"/>
            <w:color w:val="1155CC"/>
            <w:sz w:val="22"/>
            <w:szCs w:val="22"/>
            <w:u w:val="single"/>
            <w:lang w:val="en-GB"/>
          </w:rPr>
          <w:t>https://doi.org/10.3390/su15032526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11E4543B" w14:textId="5133199B"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Boin, A. and Rhinard, M., 2023. Crisis management performance and the European Union: the case of COVID-19. </w:t>
      </w:r>
      <w:r w:rsidRPr="005106CE">
        <w:rPr>
          <w:rFonts w:ascii="Arial" w:hAnsi="Arial" w:cs="Arial"/>
          <w:i/>
          <w:iCs/>
          <w:sz w:val="22"/>
          <w:szCs w:val="22"/>
          <w:lang w:val="en-GB"/>
        </w:rPr>
        <w:t>Journal of European Public Policy</w:t>
      </w:r>
      <w:r w:rsidRPr="005106CE">
        <w:rPr>
          <w:rFonts w:ascii="Arial" w:hAnsi="Arial" w:cs="Arial"/>
          <w:sz w:val="22"/>
          <w:szCs w:val="22"/>
          <w:lang w:val="en-GB"/>
        </w:rPr>
        <w:t xml:space="preserve">, </w:t>
      </w:r>
      <w:r w:rsidRPr="005106CE">
        <w:rPr>
          <w:rFonts w:ascii="Arial" w:hAnsi="Arial" w:cs="Arial"/>
          <w:i/>
          <w:iCs/>
          <w:sz w:val="22"/>
          <w:szCs w:val="22"/>
          <w:lang w:val="en-GB"/>
        </w:rPr>
        <w:t>30</w:t>
      </w:r>
      <w:r w:rsidRPr="005106CE">
        <w:rPr>
          <w:rFonts w:ascii="Arial" w:hAnsi="Arial" w:cs="Arial"/>
          <w:sz w:val="22"/>
          <w:szCs w:val="22"/>
          <w:lang w:val="en-GB"/>
        </w:rPr>
        <w:t xml:space="preserve">(4), pp.655-675. Doi: </w:t>
      </w:r>
      <w:hyperlink r:id="rId14">
        <w:r w:rsidRPr="005106CE">
          <w:rPr>
            <w:rFonts w:ascii="Arial" w:hAnsi="Arial" w:cs="Arial"/>
            <w:color w:val="1155CC"/>
            <w:sz w:val="22"/>
            <w:szCs w:val="22"/>
            <w:u w:val="single"/>
            <w:lang w:val="en-GB"/>
          </w:rPr>
          <w:t>https://doi.org/10.1080/13501763.2022.2141304</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7F800F81" w14:textId="75B63195"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Brooks, A. and Lorange, A., 2024. “Extraordinary powers for extraordinary times”: A conjunctural analysis of pandemic policing, common sense, and the abolitionist horizon. </w:t>
      </w:r>
      <w:r w:rsidRPr="005106CE">
        <w:rPr>
          <w:rFonts w:ascii="Arial" w:hAnsi="Arial" w:cs="Arial"/>
          <w:i/>
          <w:iCs/>
          <w:sz w:val="22"/>
          <w:szCs w:val="22"/>
          <w:lang w:val="en-GB"/>
        </w:rPr>
        <w:t>Crime, Media, Culture</w:t>
      </w:r>
      <w:r w:rsidRPr="005106CE">
        <w:rPr>
          <w:rFonts w:ascii="Arial" w:hAnsi="Arial" w:cs="Arial"/>
          <w:sz w:val="22"/>
          <w:szCs w:val="22"/>
          <w:lang w:val="en-GB"/>
        </w:rPr>
        <w:t xml:space="preserve">, </w:t>
      </w:r>
      <w:r w:rsidRPr="005106CE">
        <w:rPr>
          <w:rFonts w:ascii="Arial" w:hAnsi="Arial" w:cs="Arial"/>
          <w:i/>
          <w:iCs/>
          <w:sz w:val="22"/>
          <w:szCs w:val="22"/>
          <w:lang w:val="en-GB"/>
        </w:rPr>
        <w:t>20</w:t>
      </w:r>
      <w:r w:rsidRPr="005106CE">
        <w:rPr>
          <w:rFonts w:ascii="Arial" w:hAnsi="Arial" w:cs="Arial"/>
          <w:sz w:val="22"/>
          <w:szCs w:val="22"/>
          <w:lang w:val="en-GB"/>
        </w:rPr>
        <w:t xml:space="preserve">(3), pp.312-332. Doi: </w:t>
      </w:r>
      <w:hyperlink r:id="rId15">
        <w:r w:rsidRPr="005106CE">
          <w:rPr>
            <w:rFonts w:ascii="Arial" w:hAnsi="Arial" w:cs="Arial"/>
            <w:color w:val="1155CC"/>
            <w:sz w:val="22"/>
            <w:szCs w:val="22"/>
            <w:u w:val="single"/>
            <w:lang w:val="en-GB"/>
          </w:rPr>
          <w:t>https://doi.org/10.1177/17416590231205901</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6EDFD147" w14:textId="327B2D62"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Buonocore, F., Annosi, M.C., de Gennaro, D. and Riemma, F., 2024. Digital transformation and social change: Leadership strategies for responsible innovation. </w:t>
      </w:r>
      <w:r w:rsidRPr="005106CE">
        <w:rPr>
          <w:rFonts w:ascii="Arial" w:hAnsi="Arial" w:cs="Arial"/>
          <w:i/>
          <w:iCs/>
          <w:sz w:val="22"/>
          <w:szCs w:val="22"/>
          <w:lang w:val="en-GB"/>
        </w:rPr>
        <w:t>Journal of Engineering and Technology Management</w:t>
      </w:r>
      <w:r w:rsidRPr="005106CE">
        <w:rPr>
          <w:rFonts w:ascii="Arial" w:hAnsi="Arial" w:cs="Arial"/>
          <w:sz w:val="22"/>
          <w:szCs w:val="22"/>
          <w:lang w:val="en-GB"/>
        </w:rPr>
        <w:t xml:space="preserve">, </w:t>
      </w:r>
      <w:r w:rsidRPr="005106CE">
        <w:rPr>
          <w:rFonts w:ascii="Arial" w:hAnsi="Arial" w:cs="Arial"/>
          <w:i/>
          <w:iCs/>
          <w:sz w:val="22"/>
          <w:szCs w:val="22"/>
          <w:lang w:val="en-GB"/>
        </w:rPr>
        <w:t>74</w:t>
      </w:r>
      <w:r w:rsidRPr="005106CE">
        <w:rPr>
          <w:rFonts w:ascii="Arial" w:hAnsi="Arial" w:cs="Arial"/>
          <w:sz w:val="22"/>
          <w:szCs w:val="22"/>
          <w:lang w:val="en-GB"/>
        </w:rPr>
        <w:t xml:space="preserve">, p.101843. Doi: </w:t>
      </w:r>
      <w:hyperlink r:id="rId16">
        <w:r w:rsidRPr="005106CE">
          <w:rPr>
            <w:rFonts w:ascii="Arial" w:hAnsi="Arial" w:cs="Arial"/>
            <w:color w:val="1155CC"/>
            <w:sz w:val="22"/>
            <w:szCs w:val="22"/>
            <w:u w:val="single"/>
            <w:lang w:val="en-GB"/>
          </w:rPr>
          <w:t>https://doi.org/10.1016/j.jengtecman.2024.101843</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1B6C9618" w14:textId="2EF10B68"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Chen, C., Gong, X., Liu, Z., Jiang, W., Goh, S.Q. and Lam, K.Y., 2024. Trustworthy, responsible, and safe ai: A comprehensive architectural framework for ai safety with challenges and mitigations. </w:t>
      </w:r>
      <w:r w:rsidRPr="005106CE">
        <w:rPr>
          <w:rFonts w:ascii="Arial" w:hAnsi="Arial" w:cs="Arial"/>
          <w:i/>
          <w:iCs/>
          <w:sz w:val="22"/>
          <w:szCs w:val="22"/>
          <w:lang w:val="en-GB"/>
        </w:rPr>
        <w:t>arXiv preprint arXiv:2408.12935</w:t>
      </w:r>
      <w:r w:rsidRPr="005106CE">
        <w:rPr>
          <w:rFonts w:ascii="Arial" w:hAnsi="Arial" w:cs="Arial"/>
          <w:sz w:val="22"/>
          <w:szCs w:val="22"/>
          <w:lang w:val="en-GB"/>
        </w:rPr>
        <w:t xml:space="preserve">. Doi: </w:t>
      </w:r>
      <w:hyperlink r:id="rId17">
        <w:r w:rsidRPr="005106CE">
          <w:rPr>
            <w:rFonts w:ascii="Arial" w:hAnsi="Arial" w:cs="Arial"/>
            <w:color w:val="1155CC"/>
            <w:sz w:val="22"/>
            <w:szCs w:val="22"/>
            <w:u w:val="single"/>
            <w:lang w:val="en-GB"/>
          </w:rPr>
          <w:t>https://doi.org/10.48550/arXiv.2408.12935</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2FC6CF97" w14:textId="317085A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Chung, S.C., Marlow, S., Tobias, N., Alogna, A., Alogna, I., You, S.L., Khunti, K., McKee, M., Michie, S. and Pillay, D., 2021. Lessons from countries implementing find, test, trace, isolation and support policies in the rapid response of the COVID-19 pandemic: a systematic review. </w:t>
      </w:r>
      <w:r w:rsidRPr="005106CE">
        <w:rPr>
          <w:rFonts w:ascii="Arial" w:hAnsi="Arial" w:cs="Arial"/>
          <w:i/>
          <w:iCs/>
          <w:sz w:val="22"/>
          <w:szCs w:val="22"/>
          <w:lang w:val="en-GB"/>
        </w:rPr>
        <w:t>BMJ open</w:t>
      </w:r>
      <w:r w:rsidRPr="005106CE">
        <w:rPr>
          <w:rFonts w:ascii="Arial" w:hAnsi="Arial" w:cs="Arial"/>
          <w:sz w:val="22"/>
          <w:szCs w:val="22"/>
          <w:lang w:val="en-GB"/>
        </w:rPr>
        <w:t xml:space="preserve">, </w:t>
      </w:r>
      <w:r w:rsidRPr="005106CE">
        <w:rPr>
          <w:rFonts w:ascii="Arial" w:hAnsi="Arial" w:cs="Arial"/>
          <w:i/>
          <w:iCs/>
          <w:sz w:val="22"/>
          <w:szCs w:val="22"/>
          <w:lang w:val="en-GB"/>
        </w:rPr>
        <w:t>11</w:t>
      </w:r>
      <w:r w:rsidRPr="005106CE">
        <w:rPr>
          <w:rFonts w:ascii="Arial" w:hAnsi="Arial" w:cs="Arial"/>
          <w:sz w:val="22"/>
          <w:szCs w:val="22"/>
          <w:lang w:val="en-GB"/>
        </w:rPr>
        <w:t xml:space="preserve">(7), p.e047832. Doi: </w:t>
      </w:r>
      <w:hyperlink r:id="rId18">
        <w:r w:rsidRPr="005106CE">
          <w:rPr>
            <w:rFonts w:ascii="Arial" w:hAnsi="Arial" w:cs="Arial"/>
            <w:color w:val="1155CC"/>
            <w:sz w:val="22"/>
            <w:szCs w:val="22"/>
            <w:u w:val="single"/>
            <w:lang w:val="en-GB"/>
          </w:rPr>
          <w:t>https://doi.org/10.1136/bmjopen-2020-047832</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7916A885" w14:textId="32A9BC8F"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Eid, J., Hansen, A.L., Andreassen, N., Espevik, R., Brattebø, G. and Johnsen, B.H., 2023. Developing local crisis leadership–A research and training agenda. </w:t>
      </w:r>
      <w:r w:rsidRPr="005106CE">
        <w:rPr>
          <w:rFonts w:ascii="Arial" w:hAnsi="Arial" w:cs="Arial"/>
          <w:i/>
          <w:iCs/>
          <w:sz w:val="22"/>
          <w:szCs w:val="22"/>
          <w:lang w:val="en-GB"/>
        </w:rPr>
        <w:t>Frontiers in Psychology</w:t>
      </w:r>
      <w:r w:rsidRPr="005106CE">
        <w:rPr>
          <w:rFonts w:ascii="Arial" w:hAnsi="Arial" w:cs="Arial"/>
          <w:sz w:val="22"/>
          <w:szCs w:val="22"/>
          <w:lang w:val="en-GB"/>
        </w:rPr>
        <w:t xml:space="preserve">, </w:t>
      </w:r>
      <w:r w:rsidRPr="005106CE">
        <w:rPr>
          <w:rFonts w:ascii="Arial" w:hAnsi="Arial" w:cs="Arial"/>
          <w:i/>
          <w:iCs/>
          <w:sz w:val="22"/>
          <w:szCs w:val="22"/>
          <w:lang w:val="en-GB"/>
        </w:rPr>
        <w:t>14</w:t>
      </w:r>
      <w:r w:rsidRPr="005106CE">
        <w:rPr>
          <w:rFonts w:ascii="Arial" w:hAnsi="Arial" w:cs="Arial"/>
          <w:sz w:val="22"/>
          <w:szCs w:val="22"/>
          <w:lang w:val="en-GB"/>
        </w:rPr>
        <w:t xml:space="preserve">, p.1041387. Doi: </w:t>
      </w:r>
      <w:hyperlink r:id="rId19">
        <w:r w:rsidRPr="005106CE">
          <w:rPr>
            <w:rFonts w:ascii="Arial" w:hAnsi="Arial" w:cs="Arial"/>
            <w:color w:val="1155CC"/>
            <w:sz w:val="22"/>
            <w:szCs w:val="22"/>
            <w:u w:val="single"/>
            <w:lang w:val="en-GB"/>
          </w:rPr>
          <w:t>https://doi.org/10.3389/fpsyg.2023.1041387</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754C0042" w14:textId="66F1CCCC"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Ekezie, W., Awwad, S., Krauchenberg, A., Karara, N., Dembiński, Ł., Grossman, Z., Del Torso, S., Dornbusch, H.J., Neves, A., Copley, S. and Mazur, A., 2022. Access to vaccination among disadvantaged, isolated and difficult-to-reach communities in the WHO European region: a systematic review. </w:t>
      </w:r>
      <w:r w:rsidRPr="005106CE">
        <w:rPr>
          <w:rFonts w:ascii="Arial" w:hAnsi="Arial" w:cs="Arial"/>
          <w:i/>
          <w:iCs/>
          <w:sz w:val="22"/>
          <w:szCs w:val="22"/>
          <w:lang w:val="en-GB"/>
        </w:rPr>
        <w:t>Vaccines</w:t>
      </w:r>
      <w:r w:rsidRPr="005106CE">
        <w:rPr>
          <w:rFonts w:ascii="Arial" w:hAnsi="Arial" w:cs="Arial"/>
          <w:sz w:val="22"/>
          <w:szCs w:val="22"/>
          <w:lang w:val="en-GB"/>
        </w:rPr>
        <w:t xml:space="preserve">, </w:t>
      </w:r>
      <w:r w:rsidRPr="005106CE">
        <w:rPr>
          <w:rFonts w:ascii="Arial" w:hAnsi="Arial" w:cs="Arial"/>
          <w:i/>
          <w:iCs/>
          <w:sz w:val="22"/>
          <w:szCs w:val="22"/>
          <w:lang w:val="en-GB"/>
        </w:rPr>
        <w:t>10</w:t>
      </w:r>
      <w:r w:rsidRPr="005106CE">
        <w:rPr>
          <w:rFonts w:ascii="Arial" w:hAnsi="Arial" w:cs="Arial"/>
          <w:sz w:val="22"/>
          <w:szCs w:val="22"/>
          <w:lang w:val="en-GB"/>
        </w:rPr>
        <w:t xml:space="preserve">(7), p.1038. Doi: </w:t>
      </w:r>
      <w:hyperlink r:id="rId20">
        <w:r w:rsidRPr="005106CE">
          <w:rPr>
            <w:rFonts w:ascii="Arial" w:hAnsi="Arial" w:cs="Arial"/>
            <w:color w:val="1155CC"/>
            <w:sz w:val="22"/>
            <w:szCs w:val="22"/>
            <w:u w:val="single"/>
            <w:lang w:val="en-GB"/>
          </w:rPr>
          <w:t>https://doi.org/10.3390/vaccines10071038</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7FB2CD3F" w14:textId="78A7376D"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Eyo, N.A. and Onyewuchi, C.O., 2025. Adoption of Public Relations Models in Nigeria Organizations: A Comparative Analysis of Public and Private Sector Practices. </w:t>
      </w:r>
      <w:r w:rsidRPr="005106CE">
        <w:rPr>
          <w:rFonts w:ascii="Arial" w:hAnsi="Arial" w:cs="Arial"/>
          <w:i/>
          <w:iCs/>
          <w:sz w:val="22"/>
          <w:szCs w:val="22"/>
          <w:lang w:val="en-GB"/>
        </w:rPr>
        <w:t>International Journal of Academic Research in Business and Social Sciences</w:t>
      </w:r>
      <w:r w:rsidRPr="005106CE">
        <w:rPr>
          <w:rFonts w:ascii="Arial" w:hAnsi="Arial" w:cs="Arial"/>
          <w:sz w:val="22"/>
          <w:szCs w:val="22"/>
          <w:lang w:val="en-GB"/>
        </w:rPr>
        <w:t xml:space="preserve">, </w:t>
      </w:r>
      <w:r w:rsidRPr="005106CE">
        <w:rPr>
          <w:rFonts w:ascii="Arial" w:hAnsi="Arial" w:cs="Arial"/>
          <w:i/>
          <w:iCs/>
          <w:sz w:val="22"/>
          <w:szCs w:val="22"/>
          <w:lang w:val="en-GB"/>
        </w:rPr>
        <w:t>15</w:t>
      </w:r>
      <w:r w:rsidRPr="005106CE">
        <w:rPr>
          <w:rFonts w:ascii="Arial" w:hAnsi="Arial" w:cs="Arial"/>
          <w:sz w:val="22"/>
          <w:szCs w:val="22"/>
          <w:lang w:val="en-GB"/>
        </w:rPr>
        <w:t xml:space="preserve">(3), pp.1867-1889. Doi: </w:t>
      </w:r>
      <w:hyperlink r:id="rId21">
        <w:r w:rsidRPr="005106CE">
          <w:rPr>
            <w:rFonts w:ascii="Arial" w:hAnsi="Arial" w:cs="Arial"/>
            <w:color w:val="1155CC"/>
            <w:sz w:val="22"/>
            <w:szCs w:val="22"/>
            <w:u w:val="single"/>
            <w:lang w:val="en-GB"/>
          </w:rPr>
          <w:t>http://dx.doi.org/10.6007/IJARBSS/v15-i3/24904</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0978F209"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Ezeh, C.J., Anioke, S.C., Oyewole, S. and David, M.G., 2024. The role of predictive analytics in enhancing public health surveillance: proactive and data-driven interventions. Doi: </w:t>
      </w:r>
      <w:hyperlink r:id="rId22">
        <w:r w:rsidRPr="005106CE">
          <w:rPr>
            <w:rFonts w:ascii="Arial" w:hAnsi="Arial" w:cs="Arial"/>
            <w:color w:val="1155CC"/>
            <w:sz w:val="22"/>
            <w:szCs w:val="22"/>
            <w:u w:val="single"/>
            <w:lang w:val="en-GB"/>
          </w:rPr>
          <w:t>https://doi.org/10.30574/wjarr.2024.24.3.3909</w:t>
        </w:r>
      </w:hyperlink>
      <w:r w:rsidRPr="005106CE">
        <w:rPr>
          <w:rFonts w:ascii="Arial" w:hAnsi="Arial" w:cs="Arial"/>
          <w:sz w:val="22"/>
          <w:szCs w:val="22"/>
          <w:lang w:val="en-GB"/>
        </w:rPr>
        <w:t xml:space="preserve"> [Accessed: 04 December 2025].</w:t>
      </w:r>
    </w:p>
    <w:p w14:paraId="7FE9F864" w14:textId="437B377B"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Fossum, J.E., 2023. Multiheaded Federations: The EU and Canada Compared. </w:t>
      </w:r>
      <w:r w:rsidRPr="005106CE">
        <w:rPr>
          <w:rFonts w:ascii="Arial" w:hAnsi="Arial" w:cs="Arial"/>
          <w:i/>
          <w:iCs/>
          <w:sz w:val="22"/>
          <w:szCs w:val="22"/>
          <w:lang w:val="en-GB"/>
        </w:rPr>
        <w:t>Politics and Governance</w:t>
      </w:r>
      <w:r w:rsidRPr="005106CE">
        <w:rPr>
          <w:rFonts w:ascii="Arial" w:hAnsi="Arial" w:cs="Arial"/>
          <w:sz w:val="22"/>
          <w:szCs w:val="22"/>
          <w:lang w:val="en-GB"/>
        </w:rPr>
        <w:t xml:space="preserve">, </w:t>
      </w:r>
      <w:r w:rsidRPr="005106CE">
        <w:rPr>
          <w:rFonts w:ascii="Arial" w:hAnsi="Arial" w:cs="Arial"/>
          <w:i/>
          <w:iCs/>
          <w:sz w:val="22"/>
          <w:szCs w:val="22"/>
          <w:lang w:val="en-GB"/>
        </w:rPr>
        <w:t>11</w:t>
      </w:r>
      <w:r w:rsidRPr="005106CE">
        <w:rPr>
          <w:rFonts w:ascii="Arial" w:hAnsi="Arial" w:cs="Arial"/>
          <w:sz w:val="22"/>
          <w:szCs w:val="22"/>
          <w:lang w:val="en-GB"/>
        </w:rPr>
        <w:t xml:space="preserve">(3), pp.231-240. Doi: </w:t>
      </w:r>
      <w:hyperlink r:id="rId23">
        <w:r w:rsidRPr="005106CE">
          <w:rPr>
            <w:rFonts w:ascii="Arial" w:hAnsi="Arial" w:cs="Arial"/>
            <w:color w:val="1155CC"/>
            <w:sz w:val="22"/>
            <w:szCs w:val="22"/>
            <w:u w:val="single"/>
            <w:lang w:val="en-GB"/>
          </w:rPr>
          <w:t>https://doi.org/10.17645/pag.v11i3.6830</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4DEB0C36" w14:textId="17089789"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Harguindéguy, J.B., Rivera, C.F. and Sánchez, A.S., 2021. So close yet so far: intergovernmental tensions in Spain. </w:t>
      </w:r>
      <w:r w:rsidRPr="005106CE">
        <w:rPr>
          <w:rFonts w:ascii="Arial" w:hAnsi="Arial" w:cs="Arial"/>
          <w:i/>
          <w:iCs/>
          <w:sz w:val="22"/>
          <w:szCs w:val="22"/>
          <w:lang w:val="en-GB"/>
        </w:rPr>
        <w:t>Regional Studies</w:t>
      </w:r>
      <w:r w:rsidRPr="005106CE">
        <w:rPr>
          <w:rFonts w:ascii="Arial" w:hAnsi="Arial" w:cs="Arial"/>
          <w:sz w:val="22"/>
          <w:szCs w:val="22"/>
          <w:lang w:val="en-GB"/>
        </w:rPr>
        <w:t xml:space="preserve">, </w:t>
      </w:r>
      <w:r w:rsidRPr="005106CE">
        <w:rPr>
          <w:rFonts w:ascii="Arial" w:hAnsi="Arial" w:cs="Arial"/>
          <w:i/>
          <w:iCs/>
          <w:sz w:val="22"/>
          <w:szCs w:val="22"/>
          <w:lang w:val="en-GB"/>
        </w:rPr>
        <w:t>55</w:t>
      </w:r>
      <w:r w:rsidRPr="005106CE">
        <w:rPr>
          <w:rFonts w:ascii="Arial" w:hAnsi="Arial" w:cs="Arial"/>
          <w:sz w:val="22"/>
          <w:szCs w:val="22"/>
          <w:lang w:val="en-GB"/>
        </w:rPr>
        <w:t xml:space="preserve">(5), pp.894-906. Doi: </w:t>
      </w:r>
      <w:hyperlink r:id="rId24">
        <w:r w:rsidRPr="005106CE">
          <w:rPr>
            <w:rFonts w:ascii="Arial" w:hAnsi="Arial" w:cs="Arial"/>
            <w:color w:val="1155CC"/>
            <w:sz w:val="22"/>
            <w:szCs w:val="22"/>
            <w:u w:val="single"/>
            <w:lang w:val="en-GB"/>
          </w:rPr>
          <w:t>https://doi.org/10.1080/00343404.2020.1813882</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4D40656F" w14:textId="7C07565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Hassankhani, M., Alidadi, M., Sharifi, A. and Azhdari, A., 2021. Smart city and crisis management: Lessons for the COVID-19 pandemic. </w:t>
      </w:r>
      <w:r w:rsidRPr="005106CE">
        <w:rPr>
          <w:rFonts w:ascii="Arial" w:hAnsi="Arial" w:cs="Arial"/>
          <w:i/>
          <w:iCs/>
          <w:sz w:val="22"/>
          <w:szCs w:val="22"/>
          <w:lang w:val="en-GB"/>
        </w:rPr>
        <w:t>International Journal of Environmental Research and Public Health</w:t>
      </w:r>
      <w:r w:rsidRPr="005106CE">
        <w:rPr>
          <w:rFonts w:ascii="Arial" w:hAnsi="Arial" w:cs="Arial"/>
          <w:sz w:val="22"/>
          <w:szCs w:val="22"/>
          <w:lang w:val="en-GB"/>
        </w:rPr>
        <w:t xml:space="preserve">, </w:t>
      </w:r>
      <w:r w:rsidRPr="005106CE">
        <w:rPr>
          <w:rFonts w:ascii="Arial" w:hAnsi="Arial" w:cs="Arial"/>
          <w:i/>
          <w:iCs/>
          <w:sz w:val="22"/>
          <w:szCs w:val="22"/>
          <w:lang w:val="en-GB"/>
        </w:rPr>
        <w:t>18</w:t>
      </w:r>
      <w:r w:rsidRPr="005106CE">
        <w:rPr>
          <w:rFonts w:ascii="Arial" w:hAnsi="Arial" w:cs="Arial"/>
          <w:sz w:val="22"/>
          <w:szCs w:val="22"/>
          <w:lang w:val="en-GB"/>
        </w:rPr>
        <w:t xml:space="preserve">(15), p.7736. Doi: </w:t>
      </w:r>
      <w:hyperlink r:id="rId25">
        <w:r w:rsidRPr="005106CE">
          <w:rPr>
            <w:rFonts w:ascii="Arial" w:hAnsi="Arial" w:cs="Arial"/>
            <w:color w:val="1155CC"/>
            <w:sz w:val="22"/>
            <w:szCs w:val="22"/>
            <w:u w:val="single"/>
            <w:lang w:val="en-GB"/>
          </w:rPr>
          <w:t>https://doi.org/10.3390/ijerph18157736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3A8029CB" w14:textId="445AA2D9"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Humphreys, P., Spratt, B., Tariverdi, M., Burdett, R.L., Cook, D., Yarlagadda, P.K. and Corry, P., 2022, April. An overview of hospital capacity planning and optimisation. In </w:t>
      </w:r>
      <w:r w:rsidRPr="005106CE">
        <w:rPr>
          <w:rFonts w:ascii="Arial" w:hAnsi="Arial" w:cs="Arial"/>
          <w:i/>
          <w:iCs/>
          <w:sz w:val="22"/>
          <w:szCs w:val="22"/>
          <w:lang w:val="en-GB"/>
        </w:rPr>
        <w:t>Healthcare</w:t>
      </w:r>
      <w:r w:rsidRPr="005106CE">
        <w:rPr>
          <w:rFonts w:ascii="Arial" w:hAnsi="Arial" w:cs="Arial"/>
          <w:sz w:val="22"/>
          <w:szCs w:val="22"/>
          <w:lang w:val="en-GB"/>
        </w:rPr>
        <w:t xml:space="preserve"> (Vol. 10, No. 5, p. 826). MDPI. Doi: </w:t>
      </w:r>
      <w:hyperlink r:id="rId26">
        <w:r w:rsidRPr="005106CE">
          <w:rPr>
            <w:rFonts w:ascii="Arial" w:hAnsi="Arial" w:cs="Arial"/>
            <w:color w:val="1155CC"/>
            <w:sz w:val="22"/>
            <w:szCs w:val="22"/>
            <w:u w:val="single"/>
            <w:lang w:val="en-GB"/>
          </w:rPr>
          <w:t>https://doi.org/10.3390/healthcare10050826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61D01BBF"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Kandulu, C.C., Sahm, L.J., Saab, M.M., O’Driscoll, M., McCarthy, M., Shorter, G.W., Berry, E., Moore, A.C. and Fleming, A., 2024. A Scoping Review of Factors Affecting COVID-19 Vaccination Uptake and Deployment in Global Healthcare Systems. </w:t>
      </w:r>
      <w:r w:rsidRPr="005106CE">
        <w:rPr>
          <w:rFonts w:ascii="Arial" w:hAnsi="Arial" w:cs="Arial"/>
          <w:i/>
          <w:iCs/>
          <w:sz w:val="22"/>
          <w:szCs w:val="22"/>
          <w:lang w:val="en-GB"/>
        </w:rPr>
        <w:t>Vaccines</w:t>
      </w:r>
      <w:r w:rsidRPr="005106CE">
        <w:rPr>
          <w:rFonts w:ascii="Arial" w:hAnsi="Arial" w:cs="Arial"/>
          <w:sz w:val="22"/>
          <w:szCs w:val="22"/>
          <w:lang w:val="en-GB"/>
        </w:rPr>
        <w:t xml:space="preserve">, </w:t>
      </w:r>
      <w:r w:rsidRPr="005106CE">
        <w:rPr>
          <w:rFonts w:ascii="Arial" w:hAnsi="Arial" w:cs="Arial"/>
          <w:i/>
          <w:iCs/>
          <w:sz w:val="22"/>
          <w:szCs w:val="22"/>
          <w:lang w:val="en-GB"/>
        </w:rPr>
        <w:t>12</w:t>
      </w:r>
      <w:r w:rsidRPr="005106CE">
        <w:rPr>
          <w:rFonts w:ascii="Arial" w:hAnsi="Arial" w:cs="Arial"/>
          <w:sz w:val="22"/>
          <w:szCs w:val="22"/>
          <w:lang w:val="en-GB"/>
        </w:rPr>
        <w:t xml:space="preserve">(10), p.1093. Doi: </w:t>
      </w:r>
      <w:hyperlink r:id="rId27">
        <w:r w:rsidRPr="005106CE">
          <w:rPr>
            <w:rFonts w:ascii="Arial" w:hAnsi="Arial" w:cs="Arial"/>
            <w:color w:val="1155CC"/>
            <w:sz w:val="22"/>
            <w:szCs w:val="22"/>
            <w:u w:val="single"/>
            <w:lang w:val="en-GB"/>
          </w:rPr>
          <w:t>https://doi.org/10.3390/vaccines12101093</w:t>
        </w:r>
      </w:hyperlink>
      <w:r w:rsidRPr="005106CE">
        <w:rPr>
          <w:rFonts w:ascii="Arial" w:hAnsi="Arial" w:cs="Arial"/>
          <w:sz w:val="22"/>
          <w:szCs w:val="22"/>
          <w:lang w:val="en-GB"/>
        </w:rPr>
        <w:t xml:space="preserve"> [Accessed: 04 December 2025].</w:t>
      </w:r>
    </w:p>
    <w:p w14:paraId="07C567C6"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Khatri, R.B., Endalamaw, A., Erku, D., Wolka, E., Nigatu, F., Zewdie, A. and Assefa, Y., 2025. Contribution of health system governance in delivering primary health care services for universal health coverage: A scoping review. </w:t>
      </w:r>
      <w:r w:rsidRPr="005106CE">
        <w:rPr>
          <w:rFonts w:ascii="Arial" w:hAnsi="Arial" w:cs="Arial"/>
          <w:i/>
          <w:iCs/>
          <w:sz w:val="22"/>
          <w:szCs w:val="22"/>
          <w:lang w:val="en-GB"/>
        </w:rPr>
        <w:t>PloS one</w:t>
      </w:r>
      <w:r w:rsidRPr="005106CE">
        <w:rPr>
          <w:rFonts w:ascii="Arial" w:hAnsi="Arial" w:cs="Arial"/>
          <w:sz w:val="22"/>
          <w:szCs w:val="22"/>
          <w:lang w:val="en-GB"/>
        </w:rPr>
        <w:t xml:space="preserve">, </w:t>
      </w:r>
      <w:r w:rsidRPr="005106CE">
        <w:rPr>
          <w:rFonts w:ascii="Arial" w:hAnsi="Arial" w:cs="Arial"/>
          <w:i/>
          <w:iCs/>
          <w:sz w:val="22"/>
          <w:szCs w:val="22"/>
          <w:lang w:val="en-GB"/>
        </w:rPr>
        <w:t>20</w:t>
      </w:r>
      <w:r w:rsidRPr="005106CE">
        <w:rPr>
          <w:rFonts w:ascii="Arial" w:hAnsi="Arial" w:cs="Arial"/>
          <w:sz w:val="22"/>
          <w:szCs w:val="22"/>
          <w:lang w:val="en-GB"/>
        </w:rPr>
        <w:t xml:space="preserve">(2), p.e0318244. Doi: </w:t>
      </w:r>
      <w:hyperlink r:id="rId28">
        <w:r w:rsidRPr="005106CE">
          <w:rPr>
            <w:rFonts w:ascii="Arial" w:hAnsi="Arial" w:cs="Arial"/>
            <w:color w:val="1155CC"/>
            <w:sz w:val="22"/>
            <w:szCs w:val="22"/>
            <w:u w:val="single"/>
            <w:lang w:val="en-GB"/>
          </w:rPr>
          <w:t>https://doi.org/10.1371/journal.pone.0318244</w:t>
        </w:r>
      </w:hyperlink>
      <w:r w:rsidRPr="005106CE">
        <w:rPr>
          <w:rFonts w:ascii="Arial" w:hAnsi="Arial" w:cs="Arial"/>
          <w:sz w:val="22"/>
          <w:szCs w:val="22"/>
          <w:lang w:val="en-GB"/>
        </w:rPr>
        <w:t xml:space="preserve"> [Accessed: 04 December 2025]. </w:t>
      </w:r>
    </w:p>
    <w:p w14:paraId="3B2AD44C" w14:textId="2B8976F0" w:rsidR="00AD6249" w:rsidRPr="005106CE" w:rsidRDefault="00AD6249" w:rsidP="00725F74">
      <w:pPr>
        <w:rPr>
          <w:rFonts w:ascii="Arial" w:hAnsi="Arial" w:cs="Arial"/>
          <w:sz w:val="22"/>
          <w:szCs w:val="22"/>
          <w:lang w:val="en-GB"/>
        </w:rPr>
      </w:pPr>
      <w:r w:rsidRPr="005106CE">
        <w:rPr>
          <w:rFonts w:ascii="Arial" w:hAnsi="Arial" w:cs="Arial"/>
          <w:sz w:val="22"/>
          <w:szCs w:val="22"/>
          <w:lang w:val="de-AT"/>
        </w:rPr>
        <w:t xml:space="preserve">Kuhlmann, S. and Franzke, J., 2022. </w:t>
      </w:r>
      <w:r w:rsidRPr="005106CE">
        <w:rPr>
          <w:rFonts w:ascii="Arial" w:hAnsi="Arial" w:cs="Arial"/>
          <w:sz w:val="22"/>
          <w:szCs w:val="22"/>
          <w:lang w:val="en-GB"/>
        </w:rPr>
        <w:t xml:space="preserve">Multi-level responses to COVID-19: crisis coordination in Germany from an intergovernmental perspective. </w:t>
      </w:r>
      <w:r w:rsidRPr="005106CE">
        <w:rPr>
          <w:rFonts w:ascii="Arial" w:hAnsi="Arial" w:cs="Arial"/>
          <w:i/>
          <w:iCs/>
          <w:sz w:val="22"/>
          <w:szCs w:val="22"/>
          <w:lang w:val="en-GB"/>
        </w:rPr>
        <w:t>Local Government Studies</w:t>
      </w:r>
      <w:r w:rsidRPr="005106CE">
        <w:rPr>
          <w:rFonts w:ascii="Arial" w:hAnsi="Arial" w:cs="Arial"/>
          <w:sz w:val="22"/>
          <w:szCs w:val="22"/>
          <w:lang w:val="en-GB"/>
        </w:rPr>
        <w:t xml:space="preserve">, </w:t>
      </w:r>
      <w:r w:rsidRPr="005106CE">
        <w:rPr>
          <w:rFonts w:ascii="Arial" w:hAnsi="Arial" w:cs="Arial"/>
          <w:i/>
          <w:iCs/>
          <w:sz w:val="22"/>
          <w:szCs w:val="22"/>
          <w:lang w:val="en-GB"/>
        </w:rPr>
        <w:t>48</w:t>
      </w:r>
      <w:r w:rsidRPr="005106CE">
        <w:rPr>
          <w:rFonts w:ascii="Arial" w:hAnsi="Arial" w:cs="Arial"/>
          <w:sz w:val="22"/>
          <w:szCs w:val="22"/>
          <w:lang w:val="en-GB"/>
        </w:rPr>
        <w:t>(2), pp.312-334. Doi:</w:t>
      </w:r>
      <w:hyperlink r:id="rId29">
        <w:r w:rsidRPr="005106CE">
          <w:rPr>
            <w:rFonts w:ascii="Arial" w:hAnsi="Arial" w:cs="Arial"/>
            <w:color w:val="1155CC"/>
            <w:sz w:val="22"/>
            <w:szCs w:val="22"/>
            <w:u w:val="single"/>
            <w:lang w:val="en-GB"/>
          </w:rPr>
          <w:t>https://doi.org/10.1080/03003930.2021.1904398</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751F3861" w14:textId="7017CE7F"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Meira, S., 2025. Red Swans: Ontologies of the Unthinkable in the Age of Strategic Collapse. </w:t>
      </w:r>
      <w:r w:rsidRPr="005106CE">
        <w:rPr>
          <w:rFonts w:ascii="Arial" w:hAnsi="Arial" w:cs="Arial"/>
          <w:i/>
          <w:iCs/>
          <w:sz w:val="22"/>
          <w:szCs w:val="22"/>
          <w:lang w:val="en-GB"/>
        </w:rPr>
        <w:t>Available at SSRN 5486446</w:t>
      </w:r>
      <w:r w:rsidRPr="005106CE">
        <w:rPr>
          <w:rFonts w:ascii="Arial" w:hAnsi="Arial" w:cs="Arial"/>
          <w:sz w:val="22"/>
          <w:szCs w:val="22"/>
          <w:lang w:val="en-GB"/>
        </w:rPr>
        <w:t xml:space="preserve">. Doi:  </w:t>
      </w:r>
      <w:hyperlink r:id="rId30">
        <w:r w:rsidRPr="005106CE">
          <w:rPr>
            <w:rFonts w:ascii="Arial" w:hAnsi="Arial" w:cs="Arial"/>
            <w:color w:val="1155CC"/>
            <w:sz w:val="22"/>
            <w:szCs w:val="22"/>
            <w:u w:val="single"/>
            <w:lang w:val="en-GB"/>
          </w:rPr>
          <w:t>https://dx.doi.org/10.2139/ssrn.5486446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49C2DA19"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Mequanenit, A.M., Nibret, E.A., Herrero-Martín, P., García-González, M.S. and Martinez-Bejar, R., 2025. A multi-agent deep reinforcement learning system for governmental interoperability. </w:t>
      </w:r>
      <w:r w:rsidRPr="005106CE">
        <w:rPr>
          <w:rFonts w:ascii="Arial" w:hAnsi="Arial" w:cs="Arial"/>
          <w:i/>
          <w:iCs/>
          <w:sz w:val="22"/>
          <w:szCs w:val="22"/>
          <w:lang w:val="en-GB"/>
        </w:rPr>
        <w:t>Applied Sciences</w:t>
      </w:r>
      <w:r w:rsidRPr="005106CE">
        <w:rPr>
          <w:rFonts w:ascii="Arial" w:hAnsi="Arial" w:cs="Arial"/>
          <w:sz w:val="22"/>
          <w:szCs w:val="22"/>
          <w:lang w:val="en-GB"/>
        </w:rPr>
        <w:t xml:space="preserve">, </w:t>
      </w:r>
      <w:r w:rsidRPr="005106CE">
        <w:rPr>
          <w:rFonts w:ascii="Arial" w:hAnsi="Arial" w:cs="Arial"/>
          <w:i/>
          <w:iCs/>
          <w:sz w:val="22"/>
          <w:szCs w:val="22"/>
          <w:lang w:val="en-GB"/>
        </w:rPr>
        <w:t>15</w:t>
      </w:r>
      <w:r w:rsidRPr="005106CE">
        <w:rPr>
          <w:rFonts w:ascii="Arial" w:hAnsi="Arial" w:cs="Arial"/>
          <w:sz w:val="22"/>
          <w:szCs w:val="22"/>
          <w:lang w:val="en-GB"/>
        </w:rPr>
        <w:t xml:space="preserve">(6), p.3146. Doi: </w:t>
      </w:r>
      <w:hyperlink r:id="rId31">
        <w:r w:rsidRPr="005106CE">
          <w:rPr>
            <w:rFonts w:ascii="Arial" w:hAnsi="Arial" w:cs="Arial"/>
            <w:color w:val="1155CC"/>
            <w:sz w:val="22"/>
            <w:szCs w:val="22"/>
            <w:u w:val="single"/>
            <w:lang w:val="en-GB"/>
          </w:rPr>
          <w:t>https://doi.org/10.3390/app15063146</w:t>
        </w:r>
      </w:hyperlink>
      <w:r w:rsidRPr="005106CE">
        <w:rPr>
          <w:rFonts w:ascii="Arial" w:hAnsi="Arial" w:cs="Arial"/>
          <w:sz w:val="22"/>
          <w:szCs w:val="22"/>
          <w:lang w:val="en-GB"/>
        </w:rPr>
        <w:t xml:space="preserve"> [Accessed: 04 December 2025].</w:t>
      </w:r>
    </w:p>
    <w:p w14:paraId="5335CA78" w14:textId="7D29B324"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Mequanenit, A.M., Nibret, E.A., Herrero-Martín, P., García-González, M.S. and Martinez-Bejar, R., 2025. A multi-agent deep reinforcement learning system for governmental interoperability. </w:t>
      </w:r>
      <w:r w:rsidRPr="005106CE">
        <w:rPr>
          <w:rFonts w:ascii="Arial" w:hAnsi="Arial" w:cs="Arial"/>
          <w:i/>
          <w:iCs/>
          <w:sz w:val="22"/>
          <w:szCs w:val="22"/>
          <w:lang w:val="en-GB"/>
        </w:rPr>
        <w:t>Applied Sciences</w:t>
      </w:r>
      <w:r w:rsidRPr="005106CE">
        <w:rPr>
          <w:rFonts w:ascii="Arial" w:hAnsi="Arial" w:cs="Arial"/>
          <w:sz w:val="22"/>
          <w:szCs w:val="22"/>
          <w:lang w:val="en-GB"/>
        </w:rPr>
        <w:t xml:space="preserve">, </w:t>
      </w:r>
      <w:r w:rsidRPr="005106CE">
        <w:rPr>
          <w:rFonts w:ascii="Arial" w:hAnsi="Arial" w:cs="Arial"/>
          <w:i/>
          <w:iCs/>
          <w:sz w:val="22"/>
          <w:szCs w:val="22"/>
          <w:lang w:val="en-GB"/>
        </w:rPr>
        <w:t>15</w:t>
      </w:r>
      <w:r w:rsidRPr="005106CE">
        <w:rPr>
          <w:rFonts w:ascii="Arial" w:hAnsi="Arial" w:cs="Arial"/>
          <w:sz w:val="22"/>
          <w:szCs w:val="22"/>
          <w:lang w:val="en-GB"/>
        </w:rPr>
        <w:t xml:space="preserve">(6), p.3146. Doi: </w:t>
      </w:r>
      <w:hyperlink r:id="rId32">
        <w:r w:rsidRPr="005106CE">
          <w:rPr>
            <w:rFonts w:ascii="Arial" w:hAnsi="Arial" w:cs="Arial"/>
            <w:color w:val="1155CC"/>
            <w:sz w:val="22"/>
            <w:szCs w:val="22"/>
            <w:u w:val="single"/>
            <w:lang w:val="en-GB"/>
          </w:rPr>
          <w:t>https://doi.org/10.3390/app15063146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3</w:t>
      </w:r>
      <w:r w:rsidRPr="005106CE">
        <w:rPr>
          <w:rFonts w:ascii="Arial" w:hAnsi="Arial" w:cs="Arial"/>
          <w:sz w:val="22"/>
          <w:szCs w:val="22"/>
          <w:lang w:val="en-GB"/>
        </w:rPr>
        <w:t xml:space="preserve"> December 2025].</w:t>
      </w:r>
    </w:p>
    <w:p w14:paraId="51A5522E" w14:textId="480D7374"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Nani, D.A. and Safitri, V.A.D., 2021. Exploring the relationship between formal management control systems, organisational performance and innovation: The role of leadership characteristics. </w:t>
      </w:r>
      <w:r w:rsidRPr="005106CE">
        <w:rPr>
          <w:rFonts w:ascii="Arial" w:hAnsi="Arial" w:cs="Arial"/>
          <w:i/>
          <w:iCs/>
          <w:sz w:val="22"/>
          <w:szCs w:val="22"/>
          <w:lang w:val="en-GB"/>
        </w:rPr>
        <w:t>Asian Journal of Business and Accounting</w:t>
      </w:r>
      <w:r w:rsidRPr="005106CE">
        <w:rPr>
          <w:rFonts w:ascii="Arial" w:hAnsi="Arial" w:cs="Arial"/>
          <w:sz w:val="22"/>
          <w:szCs w:val="22"/>
          <w:lang w:val="en-GB"/>
        </w:rPr>
        <w:t xml:space="preserve">, </w:t>
      </w:r>
      <w:r w:rsidRPr="005106CE">
        <w:rPr>
          <w:rFonts w:ascii="Arial" w:hAnsi="Arial" w:cs="Arial"/>
          <w:i/>
          <w:iCs/>
          <w:sz w:val="22"/>
          <w:szCs w:val="22"/>
          <w:lang w:val="en-GB"/>
        </w:rPr>
        <w:t>14</w:t>
      </w:r>
      <w:r w:rsidRPr="005106CE">
        <w:rPr>
          <w:rFonts w:ascii="Arial" w:hAnsi="Arial" w:cs="Arial"/>
          <w:sz w:val="22"/>
          <w:szCs w:val="22"/>
          <w:lang w:val="en-GB"/>
        </w:rPr>
        <w:t xml:space="preserve">(1), pp.207-224. Doi: </w:t>
      </w:r>
      <w:hyperlink r:id="rId33">
        <w:r w:rsidRPr="005106CE">
          <w:rPr>
            <w:rFonts w:ascii="Arial" w:hAnsi="Arial" w:cs="Arial"/>
            <w:color w:val="1155CC"/>
            <w:sz w:val="22"/>
            <w:szCs w:val="22"/>
            <w:u w:val="single"/>
            <w:lang w:val="en-GB"/>
          </w:rPr>
          <w:t>https://doi.org/10.22452/ajba.vol14no1.8</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4E4EA0D4" w14:textId="3D0D63E3"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Navarro, C. and Velasco, F., 2022. From centralisation to new ways of multi-level coordination: Spain’s intergovernmental response to the COVID-19 pandemic. </w:t>
      </w:r>
      <w:r w:rsidRPr="005106CE">
        <w:rPr>
          <w:rFonts w:ascii="Arial" w:hAnsi="Arial" w:cs="Arial"/>
          <w:i/>
          <w:iCs/>
          <w:sz w:val="22"/>
          <w:szCs w:val="22"/>
          <w:lang w:val="en-GB"/>
        </w:rPr>
        <w:t>Local Government Studies</w:t>
      </w:r>
      <w:r w:rsidRPr="005106CE">
        <w:rPr>
          <w:rFonts w:ascii="Arial" w:hAnsi="Arial" w:cs="Arial"/>
          <w:sz w:val="22"/>
          <w:szCs w:val="22"/>
          <w:lang w:val="en-GB"/>
        </w:rPr>
        <w:t xml:space="preserve">, </w:t>
      </w:r>
      <w:r w:rsidRPr="005106CE">
        <w:rPr>
          <w:rFonts w:ascii="Arial" w:hAnsi="Arial" w:cs="Arial"/>
          <w:i/>
          <w:iCs/>
          <w:sz w:val="22"/>
          <w:szCs w:val="22"/>
          <w:lang w:val="en-GB"/>
        </w:rPr>
        <w:t>48</w:t>
      </w:r>
      <w:r w:rsidRPr="005106CE">
        <w:rPr>
          <w:rFonts w:ascii="Arial" w:hAnsi="Arial" w:cs="Arial"/>
          <w:sz w:val="22"/>
          <w:szCs w:val="22"/>
          <w:lang w:val="en-GB"/>
        </w:rPr>
        <w:t xml:space="preserve">(2), pp.191-210. Doi:  </w:t>
      </w:r>
      <w:hyperlink r:id="rId34">
        <w:r w:rsidRPr="005106CE">
          <w:rPr>
            <w:rFonts w:ascii="Arial" w:hAnsi="Arial" w:cs="Arial"/>
            <w:color w:val="1155CC"/>
            <w:sz w:val="22"/>
            <w:szCs w:val="22"/>
            <w:u w:val="single"/>
            <w:lang w:val="en-GB"/>
          </w:rPr>
          <w:t>https://doi.org/10.1080/03003930.2022.2042683</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397CB0FE" w14:textId="1B73E820"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Navarro, C. and Velasco, F., 2022. From centralisation to new ways of multi-level coordination: Spain’s intergovernmental response to the COVID-19 pandemic. </w:t>
      </w:r>
      <w:r w:rsidRPr="005106CE">
        <w:rPr>
          <w:rFonts w:ascii="Arial" w:hAnsi="Arial" w:cs="Arial"/>
          <w:i/>
          <w:iCs/>
          <w:sz w:val="22"/>
          <w:szCs w:val="22"/>
          <w:lang w:val="en-GB"/>
        </w:rPr>
        <w:t>Local Government Studies</w:t>
      </w:r>
      <w:r w:rsidRPr="005106CE">
        <w:rPr>
          <w:rFonts w:ascii="Arial" w:hAnsi="Arial" w:cs="Arial"/>
          <w:sz w:val="22"/>
          <w:szCs w:val="22"/>
          <w:lang w:val="en-GB"/>
        </w:rPr>
        <w:t xml:space="preserve">, </w:t>
      </w:r>
      <w:r w:rsidRPr="005106CE">
        <w:rPr>
          <w:rFonts w:ascii="Arial" w:hAnsi="Arial" w:cs="Arial"/>
          <w:i/>
          <w:iCs/>
          <w:sz w:val="22"/>
          <w:szCs w:val="22"/>
          <w:lang w:val="en-GB"/>
        </w:rPr>
        <w:t>48</w:t>
      </w:r>
      <w:r w:rsidRPr="005106CE">
        <w:rPr>
          <w:rFonts w:ascii="Arial" w:hAnsi="Arial" w:cs="Arial"/>
          <w:sz w:val="22"/>
          <w:szCs w:val="22"/>
          <w:lang w:val="en-GB"/>
        </w:rPr>
        <w:t xml:space="preserve">(2), pp.191-210. Doi:  </w:t>
      </w:r>
      <w:hyperlink r:id="rId35">
        <w:r w:rsidRPr="005106CE">
          <w:rPr>
            <w:rFonts w:ascii="Arial" w:hAnsi="Arial" w:cs="Arial"/>
            <w:color w:val="1155CC"/>
            <w:sz w:val="22"/>
            <w:szCs w:val="22"/>
            <w:u w:val="single"/>
            <w:lang w:val="en-GB"/>
          </w:rPr>
          <w:t>https://doi.org/10.1080/03003930.2022.2042683</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7F9EE127" w14:textId="46436BEE"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Nguyen, N.X., Tran, K. and Nguyen, T.A., 2021. Impact of service quality on in-patients’ satisfaction, perceived value, and customer loyalty: A mixed-methods study from a developing country. </w:t>
      </w:r>
      <w:r w:rsidRPr="005106CE">
        <w:rPr>
          <w:rFonts w:ascii="Arial" w:hAnsi="Arial" w:cs="Arial"/>
          <w:i/>
          <w:iCs/>
          <w:sz w:val="22"/>
          <w:szCs w:val="22"/>
          <w:lang w:val="en-GB"/>
        </w:rPr>
        <w:t>Patient preference and adherence</w:t>
      </w:r>
      <w:r w:rsidRPr="005106CE">
        <w:rPr>
          <w:rFonts w:ascii="Arial" w:hAnsi="Arial" w:cs="Arial"/>
          <w:sz w:val="22"/>
          <w:szCs w:val="22"/>
          <w:lang w:val="en-GB"/>
        </w:rPr>
        <w:t xml:space="preserve">, pp.2523-2538. Doi: </w:t>
      </w:r>
      <w:hyperlink r:id="rId36">
        <w:r w:rsidRPr="005106CE">
          <w:rPr>
            <w:rFonts w:ascii="Arial" w:hAnsi="Arial" w:cs="Arial"/>
            <w:color w:val="1155CC"/>
            <w:sz w:val="22"/>
            <w:szCs w:val="22"/>
            <w:u w:val="single"/>
            <w:lang w:val="en-GB"/>
          </w:rPr>
          <w:t>https://doi.org/10.2147/PPA.S333586</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0D30900E"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Pracucci, A. and Giovanardi, M., 2025. Design of a Sensor-Based Digital Product Passport for Low-Tech Manufacturing: Traceability and Environmental Monitoring in Bio-Block Production. </w:t>
      </w:r>
      <w:r w:rsidRPr="005106CE">
        <w:rPr>
          <w:rFonts w:ascii="Arial" w:hAnsi="Arial" w:cs="Arial"/>
          <w:i/>
          <w:iCs/>
          <w:sz w:val="22"/>
          <w:szCs w:val="22"/>
          <w:lang w:val="en-GB"/>
        </w:rPr>
        <w:t>Sensors</w:t>
      </w:r>
      <w:r w:rsidRPr="005106CE">
        <w:rPr>
          <w:rFonts w:ascii="Arial" w:hAnsi="Arial" w:cs="Arial"/>
          <w:sz w:val="22"/>
          <w:szCs w:val="22"/>
          <w:lang w:val="en-GB"/>
        </w:rPr>
        <w:t xml:space="preserve">, </w:t>
      </w:r>
      <w:r w:rsidRPr="005106CE">
        <w:rPr>
          <w:rFonts w:ascii="Arial" w:hAnsi="Arial" w:cs="Arial"/>
          <w:i/>
          <w:iCs/>
          <w:sz w:val="22"/>
          <w:szCs w:val="22"/>
          <w:lang w:val="en-GB"/>
        </w:rPr>
        <w:t>25</w:t>
      </w:r>
      <w:r w:rsidRPr="005106CE">
        <w:rPr>
          <w:rFonts w:ascii="Arial" w:hAnsi="Arial" w:cs="Arial"/>
          <w:sz w:val="22"/>
          <w:szCs w:val="22"/>
          <w:lang w:val="en-GB"/>
        </w:rPr>
        <w:t xml:space="preserve">(18), p.5653. Doi: </w:t>
      </w:r>
      <w:hyperlink r:id="rId37">
        <w:r w:rsidRPr="005106CE">
          <w:rPr>
            <w:rFonts w:ascii="Arial" w:hAnsi="Arial" w:cs="Arial"/>
            <w:color w:val="1155CC"/>
            <w:sz w:val="22"/>
            <w:szCs w:val="22"/>
            <w:u w:val="single"/>
            <w:lang w:val="en-GB"/>
          </w:rPr>
          <w:t>https://doi.org/10.3390/s25185653</w:t>
        </w:r>
      </w:hyperlink>
      <w:r w:rsidRPr="005106CE">
        <w:rPr>
          <w:rFonts w:ascii="Arial" w:hAnsi="Arial" w:cs="Arial"/>
          <w:sz w:val="22"/>
          <w:szCs w:val="22"/>
          <w:lang w:val="en-GB"/>
        </w:rPr>
        <w:t xml:space="preserve"> [Accessed: 04 December 2025].</w:t>
      </w:r>
    </w:p>
    <w:p w14:paraId="1B13185E" w14:textId="751EB410"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Robinson, C. and Watson, S.D., 2025. Conspiracy theory, anti-globalism, and the Freedom Convoy: The Great Reset and conspiracist delegitimation. </w:t>
      </w:r>
      <w:r w:rsidRPr="005106CE">
        <w:rPr>
          <w:rFonts w:ascii="Arial" w:hAnsi="Arial" w:cs="Arial"/>
          <w:i/>
          <w:iCs/>
          <w:sz w:val="22"/>
          <w:szCs w:val="22"/>
          <w:lang w:val="en-GB"/>
        </w:rPr>
        <w:t>Review of International Studies</w:t>
      </w:r>
      <w:r w:rsidRPr="005106CE">
        <w:rPr>
          <w:rFonts w:ascii="Arial" w:hAnsi="Arial" w:cs="Arial"/>
          <w:sz w:val="22"/>
          <w:szCs w:val="22"/>
          <w:lang w:val="en-GB"/>
        </w:rPr>
        <w:t xml:space="preserve">, pp.1-26. Doi: </w:t>
      </w:r>
      <w:hyperlink r:id="rId38">
        <w:r w:rsidRPr="005106CE">
          <w:rPr>
            <w:rFonts w:ascii="Arial" w:hAnsi="Arial" w:cs="Arial"/>
            <w:color w:val="1155CC"/>
            <w:sz w:val="22"/>
            <w:szCs w:val="22"/>
            <w:u w:val="single"/>
            <w:lang w:val="en-GB"/>
          </w:rPr>
          <w:t>https://doi.org/10.1017/S0260210524000925</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469A993A" w14:textId="25C2E20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Sami, D.G. and Chun, S., 2024, October. Strengthening Health Security at Ground Border Crossings: Key Components for Improved Emergency Preparedness and Response—A Scoping Review. In </w:t>
      </w:r>
      <w:r w:rsidRPr="005106CE">
        <w:rPr>
          <w:rFonts w:ascii="Arial" w:hAnsi="Arial" w:cs="Arial"/>
          <w:i/>
          <w:iCs/>
          <w:sz w:val="22"/>
          <w:szCs w:val="22"/>
          <w:lang w:val="en-GB"/>
        </w:rPr>
        <w:t>Healthcare</w:t>
      </w:r>
      <w:r w:rsidRPr="005106CE">
        <w:rPr>
          <w:rFonts w:ascii="Arial" w:hAnsi="Arial" w:cs="Arial"/>
          <w:sz w:val="22"/>
          <w:szCs w:val="22"/>
          <w:lang w:val="en-GB"/>
        </w:rPr>
        <w:t xml:space="preserve"> (Vol. 12, No. 19, p. 1968). MDPI.Doi:  .</w:t>
      </w:r>
      <w:hyperlink r:id="rId39">
        <w:r w:rsidRPr="005106CE">
          <w:rPr>
            <w:rFonts w:ascii="Arial" w:hAnsi="Arial" w:cs="Arial"/>
            <w:color w:val="1155CC"/>
            <w:sz w:val="22"/>
            <w:szCs w:val="22"/>
            <w:u w:val="single"/>
            <w:lang w:val="en-GB"/>
          </w:rPr>
          <w:t>https://doi.org/10.3390/healthcare12191968</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33F5200F" w14:textId="1E72631A" w:rsidR="00AD6249" w:rsidRPr="005106CE" w:rsidRDefault="00AD6249" w:rsidP="00725F74">
      <w:pPr>
        <w:rPr>
          <w:rFonts w:ascii="Arial" w:hAnsi="Arial" w:cs="Arial"/>
          <w:sz w:val="22"/>
          <w:szCs w:val="22"/>
          <w:lang w:val="en-GB"/>
        </w:rPr>
      </w:pPr>
      <w:r w:rsidRPr="005106CE">
        <w:rPr>
          <w:rFonts w:ascii="Arial" w:hAnsi="Arial" w:cs="Arial"/>
          <w:sz w:val="22"/>
          <w:szCs w:val="22"/>
          <w:lang w:val="sv-SE"/>
        </w:rPr>
        <w:t xml:space="preserve">Sista, E. and De Giovanni, P., 2021. </w:t>
      </w:r>
      <w:r w:rsidRPr="005106CE">
        <w:rPr>
          <w:rFonts w:ascii="Arial" w:hAnsi="Arial" w:cs="Arial"/>
          <w:sz w:val="22"/>
          <w:szCs w:val="22"/>
          <w:lang w:val="en-GB"/>
        </w:rPr>
        <w:t xml:space="preserve">Scaling up smart city logistics projects: The case of the smooth project. </w:t>
      </w:r>
      <w:r w:rsidRPr="005106CE">
        <w:rPr>
          <w:rFonts w:ascii="Arial" w:hAnsi="Arial" w:cs="Arial"/>
          <w:i/>
          <w:iCs/>
          <w:sz w:val="22"/>
          <w:szCs w:val="22"/>
          <w:lang w:val="en-GB"/>
        </w:rPr>
        <w:t>Smart Cities</w:t>
      </w:r>
      <w:r w:rsidRPr="005106CE">
        <w:rPr>
          <w:rFonts w:ascii="Arial" w:hAnsi="Arial" w:cs="Arial"/>
          <w:sz w:val="22"/>
          <w:szCs w:val="22"/>
          <w:lang w:val="en-GB"/>
        </w:rPr>
        <w:t xml:space="preserve">, </w:t>
      </w:r>
      <w:r w:rsidRPr="005106CE">
        <w:rPr>
          <w:rFonts w:ascii="Arial" w:hAnsi="Arial" w:cs="Arial"/>
          <w:i/>
          <w:iCs/>
          <w:sz w:val="22"/>
          <w:szCs w:val="22"/>
          <w:lang w:val="en-GB"/>
        </w:rPr>
        <w:t>4</w:t>
      </w:r>
      <w:r w:rsidRPr="005106CE">
        <w:rPr>
          <w:rFonts w:ascii="Arial" w:hAnsi="Arial" w:cs="Arial"/>
          <w:sz w:val="22"/>
          <w:szCs w:val="22"/>
          <w:lang w:val="en-GB"/>
        </w:rPr>
        <w:t>(4), pp.1337-1365.Doi:  .</w:t>
      </w:r>
      <w:hyperlink r:id="rId40">
        <w:r w:rsidRPr="005106CE">
          <w:rPr>
            <w:rFonts w:ascii="Arial" w:hAnsi="Arial" w:cs="Arial"/>
            <w:color w:val="1155CC"/>
            <w:sz w:val="22"/>
            <w:szCs w:val="22"/>
            <w:u w:val="single"/>
            <w:lang w:val="en-GB"/>
          </w:rPr>
          <w:t>https://doi.org/10.3390/smartcities4040071</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5DDBBF0E" w14:textId="2282564F"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Smith, R.W., Jarvis, T., Sandhu, H.S., Pinto, A.D., O'Neill, M., Di Ruggiero, E., Pawa, J., Rosella, L. and Allin, S., 2023. Centralization and integration of public health systems: Perspectives of public health leaders on factors facilitating and impeding COVID-19 responses in three Canadian provinces. </w:t>
      </w:r>
      <w:r w:rsidRPr="005106CE">
        <w:rPr>
          <w:rFonts w:ascii="Arial" w:hAnsi="Arial" w:cs="Arial"/>
          <w:i/>
          <w:iCs/>
          <w:sz w:val="22"/>
          <w:szCs w:val="22"/>
          <w:lang w:val="en-GB"/>
        </w:rPr>
        <w:t>Health Policy</w:t>
      </w:r>
      <w:r w:rsidRPr="005106CE">
        <w:rPr>
          <w:rFonts w:ascii="Arial" w:hAnsi="Arial" w:cs="Arial"/>
          <w:sz w:val="22"/>
          <w:szCs w:val="22"/>
          <w:lang w:val="en-GB"/>
        </w:rPr>
        <w:t xml:space="preserve">, </w:t>
      </w:r>
      <w:r w:rsidRPr="005106CE">
        <w:rPr>
          <w:rFonts w:ascii="Arial" w:hAnsi="Arial" w:cs="Arial"/>
          <w:i/>
          <w:iCs/>
          <w:sz w:val="22"/>
          <w:szCs w:val="22"/>
          <w:lang w:val="en-GB"/>
        </w:rPr>
        <w:t>127</w:t>
      </w:r>
      <w:r w:rsidRPr="005106CE">
        <w:rPr>
          <w:rFonts w:ascii="Arial" w:hAnsi="Arial" w:cs="Arial"/>
          <w:sz w:val="22"/>
          <w:szCs w:val="22"/>
          <w:lang w:val="en-GB"/>
        </w:rPr>
        <w:t xml:space="preserve">, pp.19-28. Doi: </w:t>
      </w:r>
      <w:hyperlink r:id="rId41">
        <w:r w:rsidRPr="005106CE">
          <w:rPr>
            <w:rFonts w:ascii="Arial" w:hAnsi="Arial" w:cs="Arial"/>
            <w:color w:val="1155CC"/>
            <w:sz w:val="22"/>
            <w:szCs w:val="22"/>
            <w:u w:val="single"/>
            <w:lang w:val="en-GB"/>
          </w:rPr>
          <w:t>https://doi.org/10.1016/j.healthpol.2022.11.011</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523D7399" w14:textId="77777777"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Sonesson, T.R., Johansson, J. and Cedergren, A., 2021. Governance and interdependencies of critical infrastructures: Exploring mechanisms for cross-sector resilience. </w:t>
      </w:r>
      <w:r w:rsidRPr="005106CE">
        <w:rPr>
          <w:rFonts w:ascii="Arial" w:hAnsi="Arial" w:cs="Arial"/>
          <w:i/>
          <w:iCs/>
          <w:sz w:val="22"/>
          <w:szCs w:val="22"/>
          <w:lang w:val="en-GB"/>
        </w:rPr>
        <w:t>Safety science</w:t>
      </w:r>
      <w:r w:rsidRPr="005106CE">
        <w:rPr>
          <w:rFonts w:ascii="Arial" w:hAnsi="Arial" w:cs="Arial"/>
          <w:sz w:val="22"/>
          <w:szCs w:val="22"/>
          <w:lang w:val="en-GB"/>
        </w:rPr>
        <w:t xml:space="preserve">, </w:t>
      </w:r>
      <w:r w:rsidRPr="005106CE">
        <w:rPr>
          <w:rFonts w:ascii="Arial" w:hAnsi="Arial" w:cs="Arial"/>
          <w:i/>
          <w:iCs/>
          <w:sz w:val="22"/>
          <w:szCs w:val="22"/>
          <w:lang w:val="en-GB"/>
        </w:rPr>
        <w:t>142</w:t>
      </w:r>
      <w:r w:rsidRPr="005106CE">
        <w:rPr>
          <w:rFonts w:ascii="Arial" w:hAnsi="Arial" w:cs="Arial"/>
          <w:sz w:val="22"/>
          <w:szCs w:val="22"/>
          <w:lang w:val="en-GB"/>
        </w:rPr>
        <w:t xml:space="preserve">, p.105383. Doi: </w:t>
      </w:r>
      <w:hyperlink r:id="rId42">
        <w:r w:rsidRPr="005106CE">
          <w:rPr>
            <w:rFonts w:ascii="Arial" w:hAnsi="Arial" w:cs="Arial"/>
            <w:color w:val="1155CC"/>
            <w:sz w:val="22"/>
            <w:szCs w:val="22"/>
            <w:u w:val="single"/>
            <w:lang w:val="en-GB"/>
          </w:rPr>
          <w:t>https://doi.org/10.1016/j.ssci.2021.105383</w:t>
        </w:r>
      </w:hyperlink>
      <w:r w:rsidRPr="005106CE">
        <w:rPr>
          <w:rFonts w:ascii="Arial" w:hAnsi="Arial" w:cs="Arial"/>
          <w:sz w:val="22"/>
          <w:szCs w:val="22"/>
          <w:lang w:val="en-GB"/>
        </w:rPr>
        <w:t xml:space="preserve"> [Accessed: 04 December 2025].</w:t>
      </w:r>
    </w:p>
    <w:p w14:paraId="1A88838F" w14:textId="155B405B"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Tagliapietra, S., 2024. The European Union's global gateway: an institutional and economic overview. </w:t>
      </w:r>
      <w:r w:rsidRPr="005106CE">
        <w:rPr>
          <w:rFonts w:ascii="Arial" w:hAnsi="Arial" w:cs="Arial"/>
          <w:i/>
          <w:iCs/>
          <w:sz w:val="22"/>
          <w:szCs w:val="22"/>
          <w:lang w:val="en-GB"/>
        </w:rPr>
        <w:t>The World Economy</w:t>
      </w:r>
      <w:r w:rsidRPr="005106CE">
        <w:rPr>
          <w:rFonts w:ascii="Arial" w:hAnsi="Arial" w:cs="Arial"/>
          <w:sz w:val="22"/>
          <w:szCs w:val="22"/>
          <w:lang w:val="en-GB"/>
        </w:rPr>
        <w:t xml:space="preserve">, </w:t>
      </w:r>
      <w:r w:rsidRPr="005106CE">
        <w:rPr>
          <w:rFonts w:ascii="Arial" w:hAnsi="Arial" w:cs="Arial"/>
          <w:i/>
          <w:iCs/>
          <w:sz w:val="22"/>
          <w:szCs w:val="22"/>
          <w:lang w:val="en-GB"/>
        </w:rPr>
        <w:t>47</w:t>
      </w:r>
      <w:r w:rsidRPr="005106CE">
        <w:rPr>
          <w:rFonts w:ascii="Arial" w:hAnsi="Arial" w:cs="Arial"/>
          <w:sz w:val="22"/>
          <w:szCs w:val="22"/>
          <w:lang w:val="en-GB"/>
        </w:rPr>
        <w:t xml:space="preserve">(4), pp.1326-1335. Doi: </w:t>
      </w:r>
      <w:hyperlink r:id="rId43">
        <w:r w:rsidRPr="005106CE">
          <w:rPr>
            <w:rFonts w:ascii="Arial" w:hAnsi="Arial" w:cs="Arial"/>
            <w:color w:val="1155CC"/>
            <w:sz w:val="22"/>
            <w:szCs w:val="22"/>
            <w:u w:val="single"/>
            <w:lang w:val="en-GB"/>
          </w:rPr>
          <w:t>https://doi.org/10.1111/twec.13551</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022BC9AA" w14:textId="41448175"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Wang, B. and Mansouri, M., 2021, July. Dealing with COVID</w:t>
      </w:r>
      <w:r w:rsidRPr="005106CE">
        <w:rPr>
          <w:rFonts w:ascii="Cambria Math" w:hAnsi="Cambria Math" w:cs="Cambria Math"/>
          <w:sz w:val="22"/>
          <w:szCs w:val="22"/>
          <w:lang w:val="en-GB"/>
        </w:rPr>
        <w:t>‐</w:t>
      </w:r>
      <w:r w:rsidRPr="005106CE">
        <w:rPr>
          <w:rFonts w:ascii="Arial" w:hAnsi="Arial" w:cs="Arial"/>
          <w:sz w:val="22"/>
          <w:szCs w:val="22"/>
          <w:lang w:val="en-GB"/>
        </w:rPr>
        <w:t xml:space="preserve">19 pandemic in complex societal system for resilience study: A systems approach. In </w:t>
      </w:r>
      <w:r w:rsidRPr="005106CE">
        <w:rPr>
          <w:rFonts w:ascii="Arial" w:hAnsi="Arial" w:cs="Arial"/>
          <w:i/>
          <w:iCs/>
          <w:sz w:val="22"/>
          <w:szCs w:val="22"/>
          <w:lang w:val="en-GB"/>
        </w:rPr>
        <w:t>INCOSE International Symposium</w:t>
      </w:r>
      <w:r w:rsidRPr="005106CE">
        <w:rPr>
          <w:rFonts w:ascii="Arial" w:hAnsi="Arial" w:cs="Arial"/>
          <w:sz w:val="22"/>
          <w:szCs w:val="22"/>
          <w:lang w:val="en-GB"/>
        </w:rPr>
        <w:t xml:space="preserve"> (Vol. 31, No. 1, pp. 649-663). Doi: </w:t>
      </w:r>
      <w:hyperlink r:id="rId44">
        <w:r w:rsidRPr="005106CE">
          <w:rPr>
            <w:rFonts w:ascii="Arial" w:hAnsi="Arial" w:cs="Arial"/>
            <w:color w:val="1155CC"/>
            <w:sz w:val="22"/>
            <w:szCs w:val="22"/>
            <w:u w:val="single"/>
            <w:lang w:val="en-GB"/>
          </w:rPr>
          <w:t>https://doi.org/10.1002/j.2334-5837.2021.00860.x</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64E42186" w14:textId="072376C0"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Winkelmann, J., Webb, E., Williams, G.A., Hernández-Quevedo, C., Maier, C.B. and Panteli, D., 2022. European countries' responses in ensuring sufficient physical infrastructure and workforce capacity during the first COVID-19 wave. </w:t>
      </w:r>
      <w:r w:rsidRPr="005106CE">
        <w:rPr>
          <w:rFonts w:ascii="Arial" w:hAnsi="Arial" w:cs="Arial"/>
          <w:i/>
          <w:iCs/>
          <w:sz w:val="22"/>
          <w:szCs w:val="22"/>
          <w:lang w:val="en-GB"/>
        </w:rPr>
        <w:t>Health Policy</w:t>
      </w:r>
      <w:r w:rsidRPr="005106CE">
        <w:rPr>
          <w:rFonts w:ascii="Arial" w:hAnsi="Arial" w:cs="Arial"/>
          <w:sz w:val="22"/>
          <w:szCs w:val="22"/>
          <w:lang w:val="en-GB"/>
        </w:rPr>
        <w:t xml:space="preserve">, </w:t>
      </w:r>
      <w:r w:rsidRPr="005106CE">
        <w:rPr>
          <w:rFonts w:ascii="Arial" w:hAnsi="Arial" w:cs="Arial"/>
          <w:i/>
          <w:iCs/>
          <w:sz w:val="22"/>
          <w:szCs w:val="22"/>
          <w:lang w:val="en-GB"/>
        </w:rPr>
        <w:t>126</w:t>
      </w:r>
      <w:r w:rsidRPr="005106CE">
        <w:rPr>
          <w:rFonts w:ascii="Arial" w:hAnsi="Arial" w:cs="Arial"/>
          <w:sz w:val="22"/>
          <w:szCs w:val="22"/>
          <w:lang w:val="en-GB"/>
        </w:rPr>
        <w:t xml:space="preserve">(5), pp.362-372. Doi: </w:t>
      </w:r>
      <w:hyperlink r:id="rId45">
        <w:r w:rsidRPr="005106CE">
          <w:rPr>
            <w:rFonts w:ascii="Arial" w:hAnsi="Arial" w:cs="Arial"/>
            <w:color w:val="1155CC"/>
            <w:sz w:val="22"/>
            <w:szCs w:val="22"/>
            <w:u w:val="single"/>
            <w:lang w:val="en-GB"/>
          </w:rPr>
          <w:t>https://doi.org/10.1016/j.healthpol.2021.06.015</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1</w:t>
      </w:r>
      <w:r w:rsidRPr="005106CE">
        <w:rPr>
          <w:rFonts w:ascii="Arial" w:hAnsi="Arial" w:cs="Arial"/>
          <w:sz w:val="22"/>
          <w:szCs w:val="22"/>
          <w:lang w:val="en-GB"/>
        </w:rPr>
        <w:t xml:space="preserve"> December 2025].</w:t>
      </w:r>
    </w:p>
    <w:p w14:paraId="1EE6F650" w14:textId="74401BAC" w:rsidR="00AD6249" w:rsidRPr="005106CE" w:rsidRDefault="00AD6249" w:rsidP="00725F74">
      <w:pPr>
        <w:rPr>
          <w:rFonts w:ascii="Arial" w:hAnsi="Arial" w:cs="Arial"/>
          <w:sz w:val="22"/>
          <w:szCs w:val="22"/>
          <w:lang w:val="en-GB"/>
        </w:rPr>
      </w:pPr>
      <w:r w:rsidRPr="005106CE">
        <w:rPr>
          <w:rFonts w:ascii="Arial" w:hAnsi="Arial" w:cs="Arial"/>
          <w:sz w:val="22"/>
          <w:szCs w:val="22"/>
          <w:lang w:val="en-GB"/>
        </w:rPr>
        <w:t xml:space="preserve">Yang, C., 2022. Digital contact tracing in the pandemic cities: Problematizing the regime of traceability in South Korea. </w:t>
      </w:r>
      <w:r w:rsidRPr="005106CE">
        <w:rPr>
          <w:rFonts w:ascii="Arial" w:hAnsi="Arial" w:cs="Arial"/>
          <w:i/>
          <w:iCs/>
          <w:sz w:val="22"/>
          <w:szCs w:val="22"/>
          <w:lang w:val="en-GB"/>
        </w:rPr>
        <w:t>Big data &amp; society</w:t>
      </w:r>
      <w:r w:rsidRPr="005106CE">
        <w:rPr>
          <w:rFonts w:ascii="Arial" w:hAnsi="Arial" w:cs="Arial"/>
          <w:sz w:val="22"/>
          <w:szCs w:val="22"/>
          <w:lang w:val="en-GB"/>
        </w:rPr>
        <w:t xml:space="preserve">, </w:t>
      </w:r>
      <w:r w:rsidRPr="005106CE">
        <w:rPr>
          <w:rFonts w:ascii="Arial" w:hAnsi="Arial" w:cs="Arial"/>
          <w:i/>
          <w:iCs/>
          <w:sz w:val="22"/>
          <w:szCs w:val="22"/>
          <w:lang w:val="en-GB"/>
        </w:rPr>
        <w:t>9</w:t>
      </w:r>
      <w:r w:rsidRPr="005106CE">
        <w:rPr>
          <w:rFonts w:ascii="Arial" w:hAnsi="Arial" w:cs="Arial"/>
          <w:sz w:val="22"/>
          <w:szCs w:val="22"/>
          <w:lang w:val="en-GB"/>
        </w:rPr>
        <w:t xml:space="preserve">(1), p.20539517221089294. Doi: </w:t>
      </w:r>
      <w:hyperlink r:id="rId46">
        <w:r w:rsidRPr="005106CE">
          <w:rPr>
            <w:rFonts w:ascii="Arial" w:hAnsi="Arial" w:cs="Arial"/>
            <w:color w:val="1155CC"/>
            <w:sz w:val="22"/>
            <w:szCs w:val="22"/>
            <w:u w:val="single"/>
            <w:lang w:val="en-GB"/>
          </w:rPr>
          <w:t>https://doi.org/10.1177/20539517221089294</w:t>
        </w:r>
      </w:hyperlink>
      <w:r w:rsidRPr="005106CE">
        <w:rPr>
          <w:rFonts w:ascii="Arial" w:hAnsi="Arial" w:cs="Arial"/>
          <w:sz w:val="22"/>
          <w:szCs w:val="22"/>
          <w:lang w:val="en-GB"/>
        </w:rPr>
        <w:t xml:space="preserve"> [Accessed: 0</w:t>
      </w:r>
      <w:r w:rsidR="00725F74" w:rsidRPr="005106CE">
        <w:rPr>
          <w:rFonts w:ascii="Arial" w:hAnsi="Arial" w:cs="Arial"/>
          <w:sz w:val="22"/>
          <w:szCs w:val="22"/>
          <w:lang w:val="en-GB"/>
        </w:rPr>
        <w:t>2</w:t>
      </w:r>
      <w:r w:rsidRPr="005106CE">
        <w:rPr>
          <w:rFonts w:ascii="Arial" w:hAnsi="Arial" w:cs="Arial"/>
          <w:sz w:val="22"/>
          <w:szCs w:val="22"/>
          <w:lang w:val="en-GB"/>
        </w:rPr>
        <w:t xml:space="preserve"> December 2025].</w:t>
      </w:r>
    </w:p>
    <w:p w14:paraId="1D84235F" w14:textId="77777777" w:rsidR="00A00680" w:rsidRPr="005106CE" w:rsidRDefault="00A00680">
      <w:pPr>
        <w:rPr>
          <w:rFonts w:ascii="Arial" w:hAnsi="Arial" w:cs="Arial"/>
          <w:sz w:val="22"/>
          <w:szCs w:val="22"/>
          <w:lang w:val="en-GB"/>
        </w:rPr>
      </w:pPr>
    </w:p>
    <w:p w14:paraId="714DB1D9" w14:textId="77777777" w:rsidR="00A00680" w:rsidRPr="005106CE" w:rsidRDefault="00A00680">
      <w:pPr>
        <w:rPr>
          <w:rFonts w:ascii="Arial" w:hAnsi="Arial" w:cs="Arial"/>
          <w:sz w:val="22"/>
          <w:szCs w:val="22"/>
          <w:lang w:val="en-GB"/>
        </w:rPr>
      </w:pPr>
    </w:p>
    <w:p w14:paraId="4CACD6D4" w14:textId="77777777" w:rsidR="00A00680" w:rsidRPr="005106CE" w:rsidRDefault="00A00680">
      <w:pPr>
        <w:rPr>
          <w:rFonts w:ascii="Arial" w:hAnsi="Arial" w:cs="Arial"/>
          <w:sz w:val="22"/>
          <w:szCs w:val="22"/>
          <w:lang w:val="en-GB"/>
        </w:rPr>
      </w:pPr>
    </w:p>
    <w:p w14:paraId="1DBA6CBE" w14:textId="77777777" w:rsidR="00A00680" w:rsidRPr="005106CE" w:rsidRDefault="00A00680">
      <w:pPr>
        <w:rPr>
          <w:rFonts w:ascii="Arial" w:hAnsi="Arial" w:cs="Arial"/>
          <w:sz w:val="22"/>
          <w:szCs w:val="22"/>
          <w:lang w:val="en-GB"/>
        </w:rPr>
      </w:pPr>
    </w:p>
    <w:p w14:paraId="13EA73D1" w14:textId="77777777" w:rsidR="00A00680" w:rsidRPr="005106CE" w:rsidRDefault="00A00680">
      <w:pPr>
        <w:rPr>
          <w:rFonts w:ascii="Arial" w:hAnsi="Arial" w:cs="Arial"/>
          <w:sz w:val="22"/>
          <w:szCs w:val="22"/>
          <w:lang w:val="en-GB"/>
        </w:rPr>
      </w:pPr>
    </w:p>
    <w:p w14:paraId="2469D4A5" w14:textId="77777777" w:rsidR="00A00680" w:rsidRPr="005106CE" w:rsidRDefault="00A00680">
      <w:pPr>
        <w:rPr>
          <w:rFonts w:ascii="Arial" w:hAnsi="Arial" w:cs="Arial"/>
          <w:color w:val="000000"/>
          <w:sz w:val="22"/>
          <w:szCs w:val="22"/>
          <w:lang w:val="en-GB"/>
        </w:rPr>
      </w:pPr>
    </w:p>
    <w:sectPr w:rsidR="00A00680" w:rsidRPr="005106CE" w:rsidSect="00AD6249">
      <w:footerReference w:type="default" r:id="rId4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992D4" w14:textId="77777777" w:rsidR="008464AF" w:rsidRDefault="008464AF" w:rsidP="00AD6249">
      <w:pPr>
        <w:spacing w:after="0" w:line="240" w:lineRule="auto"/>
      </w:pPr>
      <w:r>
        <w:separator/>
      </w:r>
    </w:p>
  </w:endnote>
  <w:endnote w:type="continuationSeparator" w:id="0">
    <w:p w14:paraId="47F024B6" w14:textId="77777777" w:rsidR="008464AF" w:rsidRDefault="008464AF" w:rsidP="00AD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F1C2E32-E1C5-4C09-BBF1-A6858A981BF6}"/>
  </w:font>
  <w:font w:name="PMingLiU">
    <w:altName w:val="新細明體"/>
    <w:panose1 w:val="02020500000000000000"/>
    <w:charset w:val="88"/>
    <w:family w:val="roman"/>
    <w:pitch w:val="variable"/>
    <w:sig w:usb0="A00002FF" w:usb1="28CFFCFA" w:usb2="00000016" w:usb3="00000000" w:csb0="00100001" w:csb1="00000000"/>
  </w:font>
  <w:font w:name="Shruti">
    <w:panose1 w:val="020B0502040204020203"/>
    <w:charset w:val="00"/>
    <w:family w:val="swiss"/>
    <w:pitch w:val="variable"/>
    <w:sig w:usb0="00040003" w:usb1="00000000" w:usb2="00000000" w:usb3="00000000" w:csb0="00000001" w:csb1="00000000"/>
    <w:embedRegular r:id="rId2" w:fontKey="{A47EAD56-03EC-42D0-AD27-131903810A64}"/>
  </w:font>
  <w:font w:name="Cambria Math">
    <w:panose1 w:val="02040503050406030204"/>
    <w:charset w:val="00"/>
    <w:family w:val="roman"/>
    <w:pitch w:val="variable"/>
    <w:sig w:usb0="E00006FF" w:usb1="420024FF" w:usb2="02000000" w:usb3="00000000" w:csb0="0000019F" w:csb1="00000000"/>
    <w:embedRegular r:id="rId3" w:fontKey="{52A86853-D3EC-4EBD-B8F6-1858AC3FD4EA}"/>
  </w:font>
  <w:font w:name="Cambria">
    <w:panose1 w:val="02040503050406030204"/>
    <w:charset w:val="00"/>
    <w:family w:val="roman"/>
    <w:pitch w:val="variable"/>
    <w:sig w:usb0="E00006FF" w:usb1="420024FF" w:usb2="02000000" w:usb3="00000000" w:csb0="0000019F" w:csb1="00000000"/>
    <w:embedRegular r:id="rId4" w:fontKey="{983565C6-8045-465D-8C65-D43858FE32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11648"/>
      <w:docPartObj>
        <w:docPartGallery w:val="Page Numbers (Bottom of Page)"/>
        <w:docPartUnique/>
      </w:docPartObj>
    </w:sdtPr>
    <w:sdtEndPr/>
    <w:sdtContent>
      <w:sdt>
        <w:sdtPr>
          <w:id w:val="-1769616900"/>
          <w:docPartObj>
            <w:docPartGallery w:val="Page Numbers (Top of Page)"/>
            <w:docPartUnique/>
          </w:docPartObj>
        </w:sdtPr>
        <w:sdtEndPr/>
        <w:sdtContent>
          <w:p w14:paraId="12B657DC" w14:textId="77777777" w:rsidR="00AD6249" w:rsidRDefault="00AD6249">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27</w:t>
            </w:r>
            <w:r>
              <w:rPr>
                <w:b/>
                <w:bCs/>
              </w:rPr>
              <w:fldChar w:fldCharType="end"/>
            </w:r>
          </w:p>
        </w:sdtContent>
      </w:sdt>
    </w:sdtContent>
  </w:sdt>
  <w:p w14:paraId="785556E1" w14:textId="77777777" w:rsidR="00AD6249" w:rsidRDefault="00AD6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5C4C" w14:textId="77777777" w:rsidR="008464AF" w:rsidRDefault="008464AF" w:rsidP="00AD6249">
      <w:pPr>
        <w:spacing w:after="0" w:line="240" w:lineRule="auto"/>
      </w:pPr>
      <w:r>
        <w:separator/>
      </w:r>
    </w:p>
  </w:footnote>
  <w:footnote w:type="continuationSeparator" w:id="0">
    <w:p w14:paraId="7EFDBE24" w14:textId="77777777" w:rsidR="008464AF" w:rsidRDefault="008464AF" w:rsidP="00AD6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24E8D"/>
    <w:multiLevelType w:val="hybridMultilevel"/>
    <w:tmpl w:val="75A6DF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CE11D0A"/>
    <w:multiLevelType w:val="multilevel"/>
    <w:tmpl w:val="91864CD8"/>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27847982">
    <w:abstractNumId w:val="1"/>
  </w:num>
  <w:num w:numId="2" w16cid:durableId="661010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6"/>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680"/>
    <w:rsid w:val="00057CB2"/>
    <w:rsid w:val="00062DED"/>
    <w:rsid w:val="00160DDB"/>
    <w:rsid w:val="001A05F0"/>
    <w:rsid w:val="001A7702"/>
    <w:rsid w:val="001D58E9"/>
    <w:rsid w:val="00402DE0"/>
    <w:rsid w:val="0040695E"/>
    <w:rsid w:val="005106CE"/>
    <w:rsid w:val="00662506"/>
    <w:rsid w:val="00725F74"/>
    <w:rsid w:val="007E7EC3"/>
    <w:rsid w:val="008464AF"/>
    <w:rsid w:val="00A00680"/>
    <w:rsid w:val="00A3373A"/>
    <w:rsid w:val="00A340D0"/>
    <w:rsid w:val="00AA48E5"/>
    <w:rsid w:val="00AD6249"/>
    <w:rsid w:val="00AF7B7C"/>
    <w:rsid w:val="00D36053"/>
    <w:rsid w:val="00F16034"/>
    <w:rsid w:val="00F52CFF"/>
    <w:rsid w:val="00F56FEF"/>
    <w:rsid w:val="00FA2FC8"/>
    <w:rsid w:val="00FE390F"/>
  </w:rsids>
  <m:mathPr>
    <m:mathFont m:val="Cambria Math"/>
    <m:brkBin m:val="before"/>
    <m:brkBinSub m:val="--"/>
    <m:smallFrac m:val="0"/>
    <m:dispDef/>
    <m:lMargin m:val="0"/>
    <m:rMargin m:val="0"/>
    <m:defJc m:val="centerGroup"/>
    <m:wrapIndent m:val="1440"/>
    <m:intLim m:val="subSup"/>
    <m:naryLim m:val="undOvr"/>
  </m:mathPr>
  <w:themeFontLang w:val="en-IN"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9ACD"/>
  <w15:docId w15:val="{AFC5A37B-FEF1-4AD8-9116-832277A74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highlight w:val="white"/>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color w:val="000000"/>
      <w:sz w:val="28"/>
      <w:szCs w:val="28"/>
    </w:rPr>
  </w:style>
  <w:style w:type="paragraph" w:styleId="Heading2">
    <w:name w:val="heading 2"/>
    <w:basedOn w:val="Normal"/>
    <w:next w:val="Normal"/>
    <w:pPr>
      <w:keepNext/>
      <w:keepLines/>
      <w:spacing w:before="280"/>
      <w:outlineLvl w:val="1"/>
    </w:pPr>
    <w:rPr>
      <w:b/>
      <w:bCs/>
      <w:color w:val="000000"/>
      <w:sz w:val="26"/>
      <w:szCs w:val="26"/>
    </w:rPr>
  </w:style>
  <w:style w:type="paragraph" w:styleId="Heading3">
    <w:name w:val="heading 3"/>
    <w:basedOn w:val="Normal"/>
    <w:next w:val="Normal"/>
    <w:pPr>
      <w:keepNext/>
      <w:keepLines/>
      <w:spacing w:before="240"/>
      <w:outlineLvl w:val="2"/>
    </w:pPr>
    <w:rPr>
      <w:b/>
      <w:bCs/>
      <w:color w:val="000000"/>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Header">
    <w:name w:val="header"/>
    <w:basedOn w:val="Normal"/>
    <w:link w:val="HeaderChar"/>
    <w:uiPriority w:val="99"/>
    <w:unhideWhenUsed/>
    <w:rsid w:val="00AD6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249"/>
  </w:style>
  <w:style w:type="paragraph" w:styleId="Footer">
    <w:name w:val="footer"/>
    <w:basedOn w:val="Normal"/>
    <w:link w:val="FooterChar"/>
    <w:uiPriority w:val="99"/>
    <w:unhideWhenUsed/>
    <w:rsid w:val="00AD6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249"/>
  </w:style>
  <w:style w:type="paragraph" w:styleId="TOCHeading">
    <w:name w:val="TOC Heading"/>
    <w:basedOn w:val="Heading1"/>
    <w:next w:val="Normal"/>
    <w:uiPriority w:val="39"/>
    <w:unhideWhenUsed/>
    <w:qFormat/>
    <w:rsid w:val="00AD624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AD6249"/>
    <w:pPr>
      <w:spacing w:after="100"/>
    </w:pPr>
  </w:style>
  <w:style w:type="paragraph" w:styleId="TOC2">
    <w:name w:val="toc 2"/>
    <w:basedOn w:val="Normal"/>
    <w:next w:val="Normal"/>
    <w:autoRedefine/>
    <w:uiPriority w:val="39"/>
    <w:unhideWhenUsed/>
    <w:rsid w:val="00AD6249"/>
    <w:pPr>
      <w:spacing w:after="100"/>
      <w:ind w:left="240"/>
    </w:pPr>
  </w:style>
  <w:style w:type="paragraph" w:styleId="TOC3">
    <w:name w:val="toc 3"/>
    <w:basedOn w:val="Normal"/>
    <w:next w:val="Normal"/>
    <w:autoRedefine/>
    <w:uiPriority w:val="39"/>
    <w:unhideWhenUsed/>
    <w:rsid w:val="00AD6249"/>
    <w:pPr>
      <w:spacing w:after="100"/>
      <w:ind w:left="480"/>
    </w:pPr>
  </w:style>
  <w:style w:type="character" w:styleId="Hyperlink">
    <w:name w:val="Hyperlink"/>
    <w:basedOn w:val="DefaultParagraphFont"/>
    <w:uiPriority w:val="99"/>
    <w:unhideWhenUsed/>
    <w:rsid w:val="00AD6249"/>
    <w:rPr>
      <w:color w:val="0000FF" w:themeColor="hyperlink"/>
      <w:u w:val="single"/>
    </w:rPr>
  </w:style>
  <w:style w:type="paragraph" w:styleId="ListParagraph">
    <w:name w:val="List Paragraph"/>
    <w:basedOn w:val="Normal"/>
    <w:uiPriority w:val="34"/>
    <w:qFormat/>
    <w:rsid w:val="00725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su15032526" TargetMode="External" /><Relationship Id="rId18" Type="http://schemas.openxmlformats.org/officeDocument/2006/relationships/hyperlink" Target="https://doi.org/10.1136/bmjopen-2020-047832" TargetMode="External" /><Relationship Id="rId26" Type="http://schemas.openxmlformats.org/officeDocument/2006/relationships/hyperlink" Target="https://doi.org/10.3390/healthcare10050826" TargetMode="External" /><Relationship Id="rId39" Type="http://schemas.openxmlformats.org/officeDocument/2006/relationships/hyperlink" Target="https://doi.org/10.3390/healthcare12191968" TargetMode="External" /><Relationship Id="rId3" Type="http://schemas.openxmlformats.org/officeDocument/2006/relationships/styles" Target="styles.xml" /><Relationship Id="rId21" Type="http://schemas.openxmlformats.org/officeDocument/2006/relationships/hyperlink" Target="http://dx.doi.org/10.6007/IJARBSS/v15-i3/24904" TargetMode="External" /><Relationship Id="rId34" Type="http://schemas.openxmlformats.org/officeDocument/2006/relationships/hyperlink" Target="https://doi.org/10.1080/03003930.2022.2042683" TargetMode="External" /><Relationship Id="rId42" Type="http://schemas.openxmlformats.org/officeDocument/2006/relationships/hyperlink" Target="https://doi.org/10.1016/j.ssci.2021.105383" TargetMode="External" /><Relationship Id="rId47"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doi.org/10.3390/ijerph192214829" TargetMode="External" /><Relationship Id="rId17" Type="http://schemas.openxmlformats.org/officeDocument/2006/relationships/hyperlink" Target="https://doi.org/10.48550/arXiv.2408.12935" TargetMode="External" /><Relationship Id="rId25" Type="http://schemas.openxmlformats.org/officeDocument/2006/relationships/hyperlink" Target="https://doi.org/10.3390/ijerph18157736" TargetMode="External" /><Relationship Id="rId33" Type="http://schemas.openxmlformats.org/officeDocument/2006/relationships/hyperlink" Target="https://doi.org/10.22452/ajba.vol14no1.8" TargetMode="External" /><Relationship Id="rId38" Type="http://schemas.openxmlformats.org/officeDocument/2006/relationships/hyperlink" Target="https://doi.org/10.1017/S0260210524000925" TargetMode="External" /><Relationship Id="rId46" Type="http://schemas.openxmlformats.org/officeDocument/2006/relationships/hyperlink" Target="https://doi.org/10.1177/20539517221089294" TargetMode="External" /><Relationship Id="rId2" Type="http://schemas.openxmlformats.org/officeDocument/2006/relationships/numbering" Target="numbering.xml" /><Relationship Id="rId16" Type="http://schemas.openxmlformats.org/officeDocument/2006/relationships/hyperlink" Target="https://doi.org/10.1016/j.jengtecman.2024.101843" TargetMode="External" /><Relationship Id="rId20" Type="http://schemas.openxmlformats.org/officeDocument/2006/relationships/hyperlink" Target="https://doi.org/10.3390/vaccines10071038" TargetMode="External" /><Relationship Id="rId29" Type="http://schemas.openxmlformats.org/officeDocument/2006/relationships/hyperlink" Target="https://doi.org/10.1080/03003930.2021.1904398" TargetMode="External" /><Relationship Id="rId41" Type="http://schemas.openxmlformats.org/officeDocument/2006/relationships/hyperlink" Target="https://doi.org/10.1016/j.healthpol.2022.11.01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6993/bco.h" TargetMode="External" /><Relationship Id="rId24" Type="http://schemas.openxmlformats.org/officeDocument/2006/relationships/hyperlink" Target="https://doi.org/10.1080/00343404.2020.1813882" TargetMode="External" /><Relationship Id="rId32" Type="http://schemas.openxmlformats.org/officeDocument/2006/relationships/hyperlink" Target="https://doi.org/10.3390/app15063146" TargetMode="External" /><Relationship Id="rId37" Type="http://schemas.openxmlformats.org/officeDocument/2006/relationships/hyperlink" Target="https://doi.org/10.3390/s25185653" TargetMode="External" /><Relationship Id="rId40" Type="http://schemas.openxmlformats.org/officeDocument/2006/relationships/hyperlink" Target="https://doi.org/10.3390/smartcities4040071" TargetMode="External" /><Relationship Id="rId45" Type="http://schemas.openxmlformats.org/officeDocument/2006/relationships/hyperlink" Target="https://doi.org/10.1016/j.healthpol.2021.06.015" TargetMode="External" /><Relationship Id="rId5" Type="http://schemas.openxmlformats.org/officeDocument/2006/relationships/webSettings" Target="webSettings.xml" /><Relationship Id="rId15" Type="http://schemas.openxmlformats.org/officeDocument/2006/relationships/hyperlink" Target="https://doi.org/10.1177/17416590231205901" TargetMode="External" /><Relationship Id="rId23" Type="http://schemas.openxmlformats.org/officeDocument/2006/relationships/hyperlink" Target="https://doi.org/10.17645/pag.v11i3.6830" TargetMode="External" /><Relationship Id="rId28" Type="http://schemas.openxmlformats.org/officeDocument/2006/relationships/hyperlink" Target="https://doi.org/10.1371/journal.pone.0318244" TargetMode="External" /><Relationship Id="rId36" Type="http://schemas.openxmlformats.org/officeDocument/2006/relationships/hyperlink" Target="https://doi.org/10.2147/PPA.S333586" TargetMode="External" /><Relationship Id="rId49" Type="http://schemas.openxmlformats.org/officeDocument/2006/relationships/theme" Target="theme/theme1.xml" /><Relationship Id="rId10" Type="http://schemas.openxmlformats.org/officeDocument/2006/relationships/hyperlink" Target="https://doi.org/10.1017/9781009433006" TargetMode="External" /><Relationship Id="rId19" Type="http://schemas.openxmlformats.org/officeDocument/2006/relationships/hyperlink" Target="https://doi.org/10.3389/fpsyg.2023.1041387" TargetMode="External" /><Relationship Id="rId31" Type="http://schemas.openxmlformats.org/officeDocument/2006/relationships/hyperlink" Target="https://doi.org/10.3390/app15063146" TargetMode="External" /><Relationship Id="rId44" Type="http://schemas.openxmlformats.org/officeDocument/2006/relationships/hyperlink" Target="https://doi.org/10.1002/j.2334-5837.2021.00860.x"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80/13501763.2022.2141304" TargetMode="External" /><Relationship Id="rId22" Type="http://schemas.openxmlformats.org/officeDocument/2006/relationships/hyperlink" Target="https://doi.org/10.30574/wjarr.2024.24.3.3909" TargetMode="External" /><Relationship Id="rId27" Type="http://schemas.openxmlformats.org/officeDocument/2006/relationships/hyperlink" Target="https://doi.org/10.3390/vaccines12101093" TargetMode="External" /><Relationship Id="rId30" Type="http://schemas.openxmlformats.org/officeDocument/2006/relationships/hyperlink" Target="https://dx.doi.org/10.2139/ssrn.5486446" TargetMode="External" /><Relationship Id="rId35" Type="http://schemas.openxmlformats.org/officeDocument/2006/relationships/hyperlink" Target="https://doi.org/10.1080/03003930.2022.2042683" TargetMode="External" /><Relationship Id="rId43" Type="http://schemas.openxmlformats.org/officeDocument/2006/relationships/hyperlink" Target="https://doi.org/10.1111/twec.13551" TargetMode="External" /><Relationship Id="rId48" Type="http://schemas.openxmlformats.org/officeDocument/2006/relationships/fontTable" Target="fontTable.xml" /><Relationship Id="rId8" Type="http://schemas.openxmlformats.org/officeDocument/2006/relationships/image" Target="media/image1.png"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53C5-A71C-4E42-BA46-930A1471D7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7893</Words>
  <Characters>44994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Prashant Hirjibhai Gajera</cp:lastModifiedBy>
  <cp:revision>2</cp:revision>
  <dcterms:created xsi:type="dcterms:W3CDTF">2025-12-14T21:40:00Z</dcterms:created>
  <dcterms:modified xsi:type="dcterms:W3CDTF">2025-12-14T21:40:00Z</dcterms:modified>
</cp:coreProperties>
</file>