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0168" w:rsidRPr="00A46050" w:rsidRDefault="00C60168" w:rsidP="00A62FFE">
      <w:pPr>
        <w:spacing w:line="360" w:lineRule="auto"/>
        <w:rPr>
          <w:b/>
          <w:sz w:val="36"/>
          <w:szCs w:val="36"/>
        </w:rPr>
      </w:pPr>
    </w:p>
    <w:p w:rsidR="00C60168" w:rsidRPr="00A46050" w:rsidRDefault="00C60168" w:rsidP="00A62FFE">
      <w:pPr>
        <w:pStyle w:val="Title"/>
        <w:spacing w:line="360" w:lineRule="auto"/>
        <w:rPr>
          <w:sz w:val="36"/>
          <w:szCs w:val="36"/>
        </w:rPr>
      </w:pPr>
      <w:r w:rsidRPr="00A46050">
        <w:rPr>
          <w:sz w:val="36"/>
          <w:szCs w:val="36"/>
        </w:rPr>
        <w:t xml:space="preserve">Name: Samina </w:t>
      </w:r>
      <w:r w:rsidR="00503FA1" w:rsidRPr="00A46050">
        <w:rPr>
          <w:sz w:val="36"/>
          <w:szCs w:val="36"/>
        </w:rPr>
        <w:t>Bashir</w:t>
      </w:r>
    </w:p>
    <w:p w:rsidR="00E113EE" w:rsidRPr="00A46050" w:rsidRDefault="00C60168" w:rsidP="00A62FFE">
      <w:pPr>
        <w:pStyle w:val="Title"/>
        <w:spacing w:line="360" w:lineRule="auto"/>
        <w:rPr>
          <w:sz w:val="36"/>
          <w:szCs w:val="36"/>
        </w:rPr>
      </w:pPr>
      <w:r w:rsidRPr="00A46050">
        <w:rPr>
          <w:sz w:val="36"/>
          <w:szCs w:val="36"/>
        </w:rPr>
        <w:t>ID: 1816450</w:t>
      </w:r>
    </w:p>
    <w:p w:rsidR="00E113EE" w:rsidRPr="00542CA0" w:rsidRDefault="00E113EE" w:rsidP="00542CA0">
      <w:pPr>
        <w:pStyle w:val="Title"/>
        <w:spacing w:line="360" w:lineRule="auto"/>
        <w:rPr>
          <w:sz w:val="36"/>
          <w:szCs w:val="36"/>
        </w:rPr>
      </w:pPr>
      <w:r w:rsidRPr="00A46050">
        <w:rPr>
          <w:sz w:val="36"/>
          <w:szCs w:val="36"/>
        </w:rPr>
        <w:t>Module Code: BMHP6021</w:t>
      </w:r>
    </w:p>
    <w:p w:rsidR="00E113EE" w:rsidRDefault="00E113EE" w:rsidP="00A62FFE">
      <w:pPr>
        <w:pStyle w:val="Title"/>
        <w:spacing w:line="360" w:lineRule="auto"/>
        <w:rPr>
          <w:sz w:val="36"/>
          <w:u w:val="single"/>
        </w:rPr>
      </w:pPr>
      <w:r w:rsidRPr="00E113EE">
        <w:rPr>
          <w:sz w:val="36"/>
          <w:u w:val="single"/>
        </w:rPr>
        <w:t>Health, Wellbeing and Sustainable Development</w:t>
      </w:r>
    </w:p>
    <w:p w:rsidR="004E6181" w:rsidRDefault="004E6181" w:rsidP="00A62FFE">
      <w:pPr>
        <w:spacing w:line="360" w:lineRule="auto"/>
      </w:pPr>
    </w:p>
    <w:p w:rsidR="00542CA0" w:rsidRPr="004E6181" w:rsidRDefault="00542CA0" w:rsidP="00A62FFE">
      <w:pPr>
        <w:spacing w:line="360" w:lineRule="auto"/>
      </w:pPr>
    </w:p>
    <w:p w:rsidR="00E113EE" w:rsidRDefault="00E113EE" w:rsidP="00A62FFE">
      <w:pPr>
        <w:pStyle w:val="Title"/>
        <w:spacing w:line="360" w:lineRule="auto"/>
      </w:pPr>
      <w:r w:rsidRPr="00E113EE">
        <w:t>tutor</w:t>
      </w:r>
      <w:r>
        <w:t xml:space="preserve">: </w:t>
      </w:r>
      <w:r w:rsidRPr="00E113EE">
        <w:t>Gillian Weaver</w:t>
      </w:r>
    </w:p>
    <w:p w:rsidR="004E6181" w:rsidRDefault="004E6181" w:rsidP="00A62FFE">
      <w:pPr>
        <w:spacing w:line="360" w:lineRule="auto"/>
      </w:pPr>
    </w:p>
    <w:p w:rsidR="00542CA0" w:rsidRDefault="00542CA0" w:rsidP="00A62FFE">
      <w:pPr>
        <w:spacing w:line="360" w:lineRule="auto"/>
      </w:pPr>
    </w:p>
    <w:p w:rsidR="00542CA0" w:rsidRPr="004E6181" w:rsidRDefault="00542CA0" w:rsidP="00A62FFE">
      <w:pPr>
        <w:spacing w:line="360" w:lineRule="auto"/>
      </w:pPr>
    </w:p>
    <w:p w:rsidR="004E6181" w:rsidRPr="008E6918" w:rsidRDefault="004E6181" w:rsidP="00A62FFE">
      <w:pPr>
        <w:pStyle w:val="Title"/>
        <w:spacing w:line="360" w:lineRule="auto"/>
        <w:rPr>
          <w:sz w:val="28"/>
          <w:u w:val="single"/>
        </w:rPr>
      </w:pPr>
      <w:r w:rsidRPr="008E6918">
        <w:rPr>
          <w:sz w:val="28"/>
          <w:u w:val="single"/>
        </w:rPr>
        <w:t>Progress and Challenges in Achieving Sustainable Goals of No Hunger and Obesity in the UK</w:t>
      </w:r>
    </w:p>
    <w:p w:rsidR="004E6181" w:rsidRPr="004E6181" w:rsidRDefault="004E6181" w:rsidP="00A62FFE">
      <w:pPr>
        <w:spacing w:line="360" w:lineRule="auto"/>
      </w:pPr>
    </w:p>
    <w:p w:rsidR="00E113EE" w:rsidRPr="009260B7" w:rsidRDefault="00E113EE" w:rsidP="00A62FFE">
      <w:pPr>
        <w:spacing w:line="360" w:lineRule="auto"/>
        <w:jc w:val="center"/>
        <w:rPr>
          <w:b/>
          <w:sz w:val="44"/>
          <w:szCs w:val="44"/>
        </w:rPr>
      </w:pPr>
    </w:p>
    <w:p w:rsidR="00C60168" w:rsidRDefault="00C60168" w:rsidP="00A62FFE">
      <w:pPr>
        <w:spacing w:line="360" w:lineRule="auto"/>
        <w:jc w:val="left"/>
        <w:rPr>
          <w:b/>
          <w:sz w:val="32"/>
        </w:rPr>
      </w:pPr>
      <w:r>
        <w:rPr>
          <w:b/>
          <w:sz w:val="32"/>
        </w:rPr>
        <w:br w:type="page"/>
      </w:r>
    </w:p>
    <w:p w:rsidR="00E567E0" w:rsidRDefault="00E567E0" w:rsidP="00A62FFE">
      <w:pPr>
        <w:pStyle w:val="Heading1"/>
        <w:spacing w:line="360" w:lineRule="auto"/>
        <w:jc w:val="center"/>
      </w:pPr>
      <w:r>
        <w:lastRenderedPageBreak/>
        <w:t>Abstract</w:t>
      </w:r>
    </w:p>
    <w:p w:rsidR="00A62FFE" w:rsidRDefault="00A62FFE" w:rsidP="00A62FFE">
      <w:pPr>
        <w:spacing w:line="360" w:lineRule="auto"/>
      </w:pPr>
      <w:r>
        <w:t>This report examines the importance of Sustainable Development Goals (SDGs) in promoting a society that is both healthier and more sustainable. It specifically concentrates on Goals 2 (No Hunger) and 3 (Obesity) as key areas of focus. This study investigates the United Kingdom's endeavours to address food insecurity and mitigate the prevalence of obesity by implementing a range of initiatives and policies. With respect to Goal 2, the assessment examines the efficacy of governmental interventions such as the provision of food banks, free school meals, breakfast clubs, and infant school meal programmes. The effectiveness of these initiatives in mitigating food insecurity in the United Kingdom is underscored by robust statistical evidence and data. In relation to Goal 3, the report examines initiatives implemented by the National Health Service (NHS) and various other organisations aimed at addressing the issue of obesity. These efforts encompass voucher schemes and community-based programmes. This study examines the advancements achieved in the reduction of obesity prevalence and identifies the obstacles encountered during implementation, supported by pertinent research discoveries. A thorough examination and assessment of both objectives demonstrates the accomplishments attained, as well as the limitations impeding further advancement. The report underscores the significance of these objectives in augmenting health and well-being within the healthcare sectors of the United Kingdom. The report examines the challenges and limitations that were encountered during the implementation process, and provides an analysis of the potential barriers and the underlying reasons for these constraints. This study offers valuable insights that can be utilised to effectively tackle the challenges associated with hunger and obesity initiatives, ultimately leading to improved outcomes. This study provides evidence-based recommendations aimed at improving the efficacy of strategies for achieving both goals. The discussion focuses on the examination of proposals pertaining to policy changes, interventions, and collaborations with stakeholders. It emphasises the importance of implementing continuous monitoring and evaluation processes to facilitate improvement. In summary, the report emphasises the advancements that have been made and underscores the imperative for continuous endeavours in order to attain the objectives of eradicating hunger and addressing obesity in the United Kingdom. This statement underscores the significant importance of sustainable development in promoting health, well-being, and overall societal advancement, while also advocating for collaborative efforts towards a future that is free from hunger and characterised by improved health.</w:t>
      </w:r>
    </w:p>
    <w:p w:rsidR="00E567E0" w:rsidRDefault="00E567E0" w:rsidP="00A62FFE">
      <w:pPr>
        <w:spacing w:line="360" w:lineRule="auto"/>
        <w:jc w:val="left"/>
        <w:rPr>
          <w:b/>
          <w:smallCaps/>
          <w:spacing w:val="5"/>
          <w:sz w:val="32"/>
          <w:szCs w:val="36"/>
        </w:rPr>
      </w:pPr>
      <w:r>
        <w:lastRenderedPageBreak/>
        <w:br w:type="page"/>
      </w:r>
    </w:p>
    <w:p w:rsidR="00E567E0" w:rsidRDefault="00E567E0" w:rsidP="00A62FFE">
      <w:pPr>
        <w:pStyle w:val="Heading1"/>
        <w:spacing w:line="360" w:lineRule="auto"/>
      </w:pPr>
      <w:r>
        <w:lastRenderedPageBreak/>
        <w:t>Introduction</w:t>
      </w:r>
    </w:p>
    <w:p w:rsidR="00AA3776" w:rsidRDefault="00AA3776" w:rsidP="00A62FFE">
      <w:pPr>
        <w:spacing w:line="360" w:lineRule="auto"/>
      </w:pPr>
      <w:r>
        <w:t>The concept of sustainable development has emerged as a crucial global priority, emphasising the need to incorporate economic, social, and environmental factors in order to secure a future that is both prosperous and equitable. Under the auspices of the United Nations' 2030 Agenda for Sustainable Development, the United Kingdom places significant emphasis on its dedication to two pivotal objectives: the eradication of hunger (Goal 2) and the mitigation of obesity (Goal 3). The aforementioned objectives have substantial ramifications for the health, welfare, and overarching sustainable progress of the nation.</w:t>
      </w:r>
    </w:p>
    <w:p w:rsidR="00AA3776" w:rsidRDefault="00AA3776" w:rsidP="00A62FFE">
      <w:pPr>
        <w:spacing w:line="360" w:lineRule="auto"/>
      </w:pPr>
      <w:r>
        <w:t>The second goal, known as Goal 2, aims to eliminate the issue of malnutrition and establish food security by recognising the provision of nutritious food as an essential human entitlement. The United Kingdom government has implemented a range of initiatives aimed at addressing food insecurity and hunger, with the goal of promoting inclusivity within society</w:t>
      </w:r>
      <w:r w:rsidR="000E0BD1">
        <w:t xml:space="preserve"> </w:t>
      </w:r>
      <w:r w:rsidR="000E0BD1" w:rsidRPr="000E0BD1">
        <w:t>(Kumanyika &amp; Dietz, 2020)</w:t>
      </w:r>
      <w:r>
        <w:t>. These initiatives include the establishment of food banks, provision of free school meals, establishment of breakfast clubs for children, and the provision of free meals for infants in schools</w:t>
      </w:r>
      <w:r w:rsidR="00D823D0">
        <w:t xml:space="preserve"> </w:t>
      </w:r>
      <w:r w:rsidR="00D823D0" w:rsidRPr="00D823D0">
        <w:t>(Otekunrin et al., 2020)</w:t>
      </w:r>
      <w:r>
        <w:t>.</w:t>
      </w:r>
    </w:p>
    <w:p w:rsidR="00AA3776" w:rsidRDefault="00AA3776" w:rsidP="00A62FFE">
      <w:pPr>
        <w:spacing w:line="360" w:lineRule="auto"/>
      </w:pPr>
      <w:r>
        <w:t>Simultaneously, Goal 3, which pertains to Obesity, aims to tackle the escalating incidence of excessive weight and obesity, a critical issue in the field of public health. Various institutions, including the National Health Service (NHS), have implemented initiatives and strategies, such as the provision of vouchers for nutritious food options and community-centered interventions, with the aim of fostering healthier behaviours and addressing the issue of obesity</w:t>
      </w:r>
      <w:r w:rsidR="00D823D0">
        <w:t xml:space="preserve"> </w:t>
      </w:r>
      <w:r w:rsidR="00D823D0" w:rsidRPr="00D823D0">
        <w:t>(Baye, 2017a)</w:t>
      </w:r>
      <w:r>
        <w:t>.</w:t>
      </w:r>
    </w:p>
    <w:p w:rsidR="00AA3776" w:rsidRDefault="00AA3776" w:rsidP="00A62FFE">
      <w:pPr>
        <w:spacing w:line="360" w:lineRule="auto"/>
      </w:pPr>
      <w:r>
        <w:t>This report provides a comprehensive analysis of the United Kingdom's advancements towards attaining the objectives of eradicating hunger and reducing obesity. It assesses the efficacy of various strategies implemented and their influence on the domains of health, wellbeing, and sustainable development within the healthcare sectors</w:t>
      </w:r>
      <w:r w:rsidR="000E0BD1">
        <w:t xml:space="preserve"> </w:t>
      </w:r>
      <w:r w:rsidR="000E0BD1" w:rsidRPr="000E0BD1">
        <w:t>(Amorim et al., 2022)</w:t>
      </w:r>
      <w:r>
        <w:t>. Gaining a comprehensive understanding of the obstacles encountered during the implementation process is crucial in order to develop well-informed and flexible strategies to effectively address them. The report seeks to offer evidence-based recommendations for improving efforts towards achieving the Sustainable Development Goals (SDGs) of No Hunger and Obesity by analysing the outcomes of these initiatives</w:t>
      </w:r>
      <w:r w:rsidR="000E0BD1">
        <w:t xml:space="preserve"> </w:t>
      </w:r>
      <w:r w:rsidR="000E0BD1" w:rsidRPr="000E0BD1">
        <w:t>(Otekunrin et al., 2020)</w:t>
      </w:r>
      <w:r>
        <w:t xml:space="preserve">. The United Kingdom's dedication to </w:t>
      </w:r>
      <w:r>
        <w:lastRenderedPageBreak/>
        <w:t>sustainable development and comprehensive well-being is of utmost importance in cultivating constructive transformation and instilling inspiration on a global scale</w:t>
      </w:r>
      <w:r w:rsidR="000E0BD1">
        <w:t xml:space="preserve"> </w:t>
      </w:r>
      <w:r w:rsidR="000E0BD1" w:rsidRPr="000E0BD1">
        <w:t>(Van Zanten &amp; Van Tulder, 2018)</w:t>
      </w:r>
      <w:r>
        <w:t>.</w:t>
      </w:r>
    </w:p>
    <w:p w:rsidR="00E567E0" w:rsidRPr="00E567E0" w:rsidRDefault="00AA3776" w:rsidP="00A62FFE">
      <w:pPr>
        <w:spacing w:line="360" w:lineRule="auto"/>
      </w:pPr>
      <w:r>
        <w:t>This report makes a valuable contribution to the ongoing discourse surrounding the implementation of Sustainable Development Goals (SDGs), placing particular emphasis on the importance of making decisions based on empirical evidence and fostering collaborative efforts</w:t>
      </w:r>
      <w:r w:rsidR="000E0BD1">
        <w:t xml:space="preserve"> </w:t>
      </w:r>
      <w:r w:rsidR="000E0BD1" w:rsidRPr="000E0BD1">
        <w:t>(Banik, 2019)</w:t>
      </w:r>
      <w:r>
        <w:t>. By providing a detailed analysis of the trajectory pursued and presenting valuable perspectives for forthcoming undertakings, the report reinforces the United Kingdom's commitment to sustainable development and the welfare of its populace</w:t>
      </w:r>
      <w:r w:rsidR="000E0BD1">
        <w:t xml:space="preserve"> </w:t>
      </w:r>
      <w:r w:rsidR="000E0BD1" w:rsidRPr="000E0BD1">
        <w:t>(Nilsson et al., 2016)</w:t>
      </w:r>
      <w:r>
        <w:t>.</w:t>
      </w:r>
    </w:p>
    <w:p w:rsidR="00E567E0" w:rsidRDefault="00E567E0" w:rsidP="00A62FFE">
      <w:pPr>
        <w:pStyle w:val="Heading1"/>
        <w:spacing w:line="360" w:lineRule="auto"/>
      </w:pPr>
      <w:r>
        <w:t>Sustainable Goal 2: No Hunger</w:t>
      </w:r>
    </w:p>
    <w:p w:rsidR="00FE7808" w:rsidRDefault="00FE7808" w:rsidP="00A62FFE">
      <w:pPr>
        <w:spacing w:line="360" w:lineRule="auto"/>
      </w:pPr>
      <w:r>
        <w:t>Sustainable Development Goal 2 (SDG 2) aims to end hunger in all its forms by 2030 and establish global food security (Otekunrin et al., 2020). The major objective is to provide equal access to a nutritious food supply, enabling communities to sustain optimum health and well-being. Increase food accessibility and promote sustainable agriculture to achieve this goal (Grosso et al., 2020). Small-scale farmers' productivity and income, egalitarian land, technology, and market access, and resilient agricultural systems are the main initiatives. International coordination is needed to allocate agricultural investments to poor states (Baye, 2017a).</w:t>
      </w:r>
    </w:p>
    <w:p w:rsidR="00FE7808" w:rsidRDefault="00FE7808" w:rsidP="00A62FFE">
      <w:pPr>
        <w:spacing w:line="360" w:lineRule="auto"/>
      </w:pPr>
      <w:r>
        <w:t>Over 790 million people globally are food insecure, despite progress in the fight against hunger over the last 15 years. Malnutrition dropped from 15% in 2000-2002 to 11% in 2014-2016 (Amorim et al., 2022). From current trends, eliminating hunger by 2030 is unlikely</w:t>
      </w:r>
      <w:r w:rsidR="003A38C7">
        <w:t xml:space="preserve"> </w:t>
      </w:r>
      <w:r w:rsidR="003A38C7" w:rsidRPr="003A38C7">
        <w:t>(Bodirsky et al., 2020)</w:t>
      </w:r>
      <w:r>
        <w:t>. Notably, hunger is now a complex problem that goes beyond food. Natural catastrophes, human-induced crises, and political instability caused food insecurity in several countries that could not meet the Millennium Development Goals (MDGs) hunger goal (Kumanyika &amp; Dietz, 2020).  Sub-Saharan Africa has the highest prevalence of food insecurity, with over 50% of adults experiencing moderate to severe food insecurity (Nunes et al., 2016).</w:t>
      </w:r>
    </w:p>
    <w:p w:rsidR="0012678F" w:rsidRDefault="0012678F" w:rsidP="00A62FFE">
      <w:pPr>
        <w:spacing w:line="360" w:lineRule="auto"/>
      </w:pPr>
      <w:r>
        <w:t>The Sustainable Development Goal 2, commonly referred to as Zero Hunger, is a pivotal objective on a global scale that seeks to eradicate hunger, attain food security, enhance nutrition, and foster sustainable agricultural practises within the timeframe of 2030</w:t>
      </w:r>
      <w:r w:rsidR="003A38C7">
        <w:t xml:space="preserve"> </w:t>
      </w:r>
      <w:r w:rsidR="003A38C7" w:rsidRPr="003A38C7">
        <w:t>(Nicholls et al., 2020)</w:t>
      </w:r>
      <w:r>
        <w:t xml:space="preserve">. </w:t>
      </w:r>
      <w:r>
        <w:lastRenderedPageBreak/>
        <w:t>The pursuit of this objective holds significant significance for nations such as the United Kingdom (UK), which demonstrate a robust dedication to tackling issues of food insecurity and malnutrition both domestically and internationally</w:t>
      </w:r>
      <w:r w:rsidR="003A38C7">
        <w:t xml:space="preserve"> </w:t>
      </w:r>
      <w:r w:rsidR="003A38C7" w:rsidRPr="003A38C7">
        <w:t>(Blicharska et al., 2019)</w:t>
      </w:r>
      <w:r>
        <w:t>.</w:t>
      </w:r>
    </w:p>
    <w:p w:rsidR="0012678F" w:rsidRDefault="0012678F" w:rsidP="00A62FFE">
      <w:pPr>
        <w:spacing w:line="360" w:lineRule="auto"/>
      </w:pPr>
      <w:r>
        <w:t>In the United Kingdom, endeavours to address the issue of hunger and food insecurity are characterised by a multifaceted approach that encompasses a blend of governmental policies, community-driven initiatives, and private sector involvement</w:t>
      </w:r>
      <w:r w:rsidR="003A38C7">
        <w:t xml:space="preserve"> </w:t>
      </w:r>
      <w:r w:rsidR="003A38C7" w:rsidRPr="003A38C7">
        <w:t>(Fanzo et al., 2022)</w:t>
      </w:r>
      <w:r>
        <w:t>. One of the primary tactics involves the adoption of social safety nets, which encompass initiatives like food assistance programmes and cash transfer schemes, aimed at providing assistance to marginalised communities. The primary objective of these programmes is to guarantee that individuals and families are able to obtain an adequate and nourishing food supply, particularly in instances of economic adversity or emergency situations</w:t>
      </w:r>
      <w:r w:rsidR="003A38C7">
        <w:t xml:space="preserve"> </w:t>
      </w:r>
      <w:r w:rsidR="003A38C7" w:rsidRPr="003A38C7">
        <w:t>(Lusseau &amp; Mancini, 2019)</w:t>
      </w:r>
      <w:r>
        <w:t>.</w:t>
      </w:r>
    </w:p>
    <w:p w:rsidR="0012678F" w:rsidRDefault="0012678F" w:rsidP="00A62FFE">
      <w:pPr>
        <w:spacing w:line="360" w:lineRule="auto"/>
      </w:pPr>
      <w:r>
        <w:t>The United Kingdom government also places emphasis on enhancing domestic food production and implementing sustainable agriculture practises. The United Kingdom endeavours to enhance agricultural productivity and mitigate environmental consequences through the allocation of resources towards research, technology, and innovation</w:t>
      </w:r>
      <w:r w:rsidR="003A38C7">
        <w:t xml:space="preserve"> </w:t>
      </w:r>
      <w:r w:rsidR="003A38C7" w:rsidRPr="003A38C7">
        <w:t>(Nunes et al., 2016)</w:t>
      </w:r>
      <w:r>
        <w:t>. This approach not only facilitates the achievement of food security but also promotes the responsible management of natural resources, thereby aligning with other Sustainable Development Goals pertaining to climate action and environmental preservation</w:t>
      </w:r>
      <w:r w:rsidR="003A38C7">
        <w:t xml:space="preserve"> </w:t>
      </w:r>
      <w:r w:rsidR="003A38C7" w:rsidRPr="003A38C7">
        <w:t>(Kumanyika &amp; Dietz, 2020)</w:t>
      </w:r>
      <w:r>
        <w:t>.</w:t>
      </w:r>
    </w:p>
    <w:p w:rsidR="0012678F" w:rsidRDefault="0012678F" w:rsidP="00A62FFE">
      <w:pPr>
        <w:spacing w:line="360" w:lineRule="auto"/>
      </w:pPr>
      <w:r>
        <w:t>Moreover, the United Kingdom places considerable importance on the promotion of nutritious and environmentally-friendly dietary patterns. Education campaigns and policies are designed with the objective of increasing knowledge and understanding regarding the significance of maintaining a well-balanced diet and the consequential effects of dietary decisions on individual well-being as well as the environment</w:t>
      </w:r>
      <w:r w:rsidR="00A46050">
        <w:t xml:space="preserve"> </w:t>
      </w:r>
      <w:r w:rsidR="00A46050" w:rsidRPr="00A46050">
        <w:t>(Amorim et al., 2022)</w:t>
      </w:r>
      <w:r>
        <w:t>. Promoting the consumption of locally sourced, seasonal, and plant-based foods contributes to the mitigation of the carbon footprint linked to food production and distribution, thereby bolstering the nation's endeavours to address climate change</w:t>
      </w:r>
      <w:r w:rsidR="00A46050">
        <w:t xml:space="preserve"> </w:t>
      </w:r>
      <w:r w:rsidR="00A46050" w:rsidRPr="00A46050">
        <w:t>(Otekunrin et al., 2020)</w:t>
      </w:r>
      <w:r>
        <w:t>.</w:t>
      </w:r>
    </w:p>
    <w:p w:rsidR="0012678F" w:rsidRDefault="0012678F" w:rsidP="00A62FFE">
      <w:pPr>
        <w:spacing w:line="360" w:lineRule="auto"/>
      </w:pPr>
      <w:r>
        <w:t>The matter of food waste is a crucial component of the United Kingdom's strategy in attaining Goal 2. The reduction of food waste is not solely a matter of ethics, but also encompasses economic and environmental considerations</w:t>
      </w:r>
      <w:r w:rsidR="00A46050">
        <w:t xml:space="preserve"> </w:t>
      </w:r>
      <w:r w:rsidR="00A46050" w:rsidRPr="00A46050">
        <w:t>(Van Zanten &amp; Van Tulder, 2018)</w:t>
      </w:r>
      <w:r>
        <w:t xml:space="preserve">. The United </w:t>
      </w:r>
      <w:r>
        <w:lastRenderedPageBreak/>
        <w:t>Kingdom government engages in partnerships with various stakeholders, including businesses, non-governmental organisations (NGOs), and individuals, in order to effectively execute strategies aimed at mitigating food waste throughout the entirety of the supply chain, spanning from production to consumption</w:t>
      </w:r>
      <w:r w:rsidR="00A46050">
        <w:t xml:space="preserve"> </w:t>
      </w:r>
      <w:r w:rsidR="00A46050" w:rsidRPr="00A46050">
        <w:t>(Nilsson et al., 2016)</w:t>
      </w:r>
      <w:r>
        <w:t>. This entails the promotion of more informed consumer decision-making, enhancement of storage and transportation methodologies, and the redirection of excess food to individuals in need via food redistribution initiatives</w:t>
      </w:r>
      <w:r w:rsidR="00A46050">
        <w:t xml:space="preserve"> </w:t>
      </w:r>
      <w:r w:rsidR="00A46050" w:rsidRPr="00A46050">
        <w:t>(Banik, 2019)</w:t>
      </w:r>
      <w:r>
        <w:t>.</w:t>
      </w:r>
    </w:p>
    <w:p w:rsidR="0012678F" w:rsidRDefault="0012678F" w:rsidP="00A62FFE">
      <w:pPr>
        <w:spacing w:line="360" w:lineRule="auto"/>
      </w:pPr>
      <w:r>
        <w:t>In addition to its domestic endeavours, the United Kingdom actively engages in international initiatives aimed at addressing the issues of hunger and malnutrition in developing nations. International aid programmes primarily prioritise the provision of assistance towards the promotion and maintenance of sustainable agricultural practises, the enhancement of rural livelihoods, and the establishment of mechanisms to withstand the adverse effects of climate change</w:t>
      </w:r>
      <w:r w:rsidR="00A46050">
        <w:t xml:space="preserve"> </w:t>
      </w:r>
      <w:r w:rsidR="00A46050" w:rsidRPr="00A46050">
        <w:t>(Sachs et al., 2019)</w:t>
      </w:r>
      <w:r>
        <w:t>. The United Kingdom's efforts to tackle food security challenges on a global scale contribute to the achievement of the Sustainable Development Goals, both domestically and internationally</w:t>
      </w:r>
      <w:r w:rsidR="00A46050">
        <w:t xml:space="preserve"> </w:t>
      </w:r>
      <w:r w:rsidR="00A46050" w:rsidRPr="00A46050">
        <w:t>(Grosso et al., 2020)</w:t>
      </w:r>
      <w:r>
        <w:t>.</w:t>
      </w:r>
    </w:p>
    <w:p w:rsidR="0012678F" w:rsidRDefault="0012678F" w:rsidP="00A62FFE">
      <w:pPr>
        <w:spacing w:line="360" w:lineRule="auto"/>
      </w:pPr>
      <w:r>
        <w:t>Despite making commendable progress, there are still persistent challenges that hinder the achievement of Goal 2 in the United Kingdom. Food insecurity can be intensified by economic inequalities, shifts in food consumption behaviours, and external disturbances such as pandemics or climate-related occurrences</w:t>
      </w:r>
      <w:r w:rsidR="00A46050">
        <w:t xml:space="preserve"> </w:t>
      </w:r>
      <w:r w:rsidR="00A46050" w:rsidRPr="00A46050">
        <w:t>(Nunes et al., 2016)</w:t>
      </w:r>
      <w:r>
        <w:t>. To effectively tackle these challenges, it is imperative to foster ongoing collaboration among key stakeholders, including the government, civil society organisations, private sector entities, and the general public</w:t>
      </w:r>
      <w:r w:rsidR="00A46050">
        <w:t xml:space="preserve"> </w:t>
      </w:r>
      <w:r w:rsidR="00A46050" w:rsidRPr="00A46050">
        <w:t>(Soergel et al., 2021)</w:t>
      </w:r>
      <w:r>
        <w:t>.</w:t>
      </w:r>
    </w:p>
    <w:p w:rsidR="00FE7808" w:rsidRPr="00FE7808" w:rsidRDefault="0012678F" w:rsidP="00A62FFE">
      <w:pPr>
        <w:spacing w:line="360" w:lineRule="auto"/>
      </w:pPr>
      <w:r>
        <w:t>Hence, the Sustainable Development Goal 2, which aims to achieve Zero Hunger, holds significant importance for both the United Kingdom and the global community</w:t>
      </w:r>
      <w:r w:rsidR="00A46050">
        <w:t xml:space="preserve"> </w:t>
      </w:r>
      <w:r w:rsidR="00A46050" w:rsidRPr="00A46050">
        <w:t>(Alcantara et al., 2022)</w:t>
      </w:r>
      <w:r>
        <w:t>. The United Kingdom's stance on this objective entails adopting a comprehensive and integrated strategy that encompasses various dimensions, including social, economic, and environmental aspects</w:t>
      </w:r>
      <w:r w:rsidR="00A46050">
        <w:t xml:space="preserve"> </w:t>
      </w:r>
      <w:r w:rsidR="00A46050" w:rsidRPr="00A46050">
        <w:t>(Hunger et al., 2020)</w:t>
      </w:r>
      <w:r>
        <w:t>. The United Kingdom is actively engaged in endeavours aimed at achieving a future characterised by the elimination of hunger and the provision of accessible, safe, nutritious, and sustainable food sources</w:t>
      </w:r>
      <w:r w:rsidR="00A46050">
        <w:t xml:space="preserve"> </w:t>
      </w:r>
      <w:r w:rsidR="00A46050" w:rsidRPr="00A46050">
        <w:t>(Hunger et al., 2020)</w:t>
      </w:r>
      <w:r>
        <w:t xml:space="preserve">. This is being pursued through various means, including the establishment of food security measures, the promotion of sustainable agricultural practises, the reduction of food waste, and the support </w:t>
      </w:r>
      <w:r>
        <w:lastRenderedPageBreak/>
        <w:t>of nutrition education initiatives</w:t>
      </w:r>
      <w:r w:rsidR="00A46050">
        <w:t xml:space="preserve"> </w:t>
      </w:r>
      <w:r w:rsidR="00A46050" w:rsidRPr="00A46050">
        <w:t>(Grosso et al., 2020)</w:t>
      </w:r>
      <w:r>
        <w:t>. In the pursuit of Goal 2, which entails the elimination of hunger, the United Kingdom must prioritise collaboration, innovation, and a collective dedication to constructing a food system that is both resilient and equitable. These factors will play a crucial role in the realisation of a world free from hunger by the year 2030</w:t>
      </w:r>
      <w:r w:rsidR="00A46050">
        <w:t xml:space="preserve"> </w:t>
      </w:r>
      <w:r w:rsidR="00A46050" w:rsidRPr="00A46050">
        <w:t>(Alcantara et al., 2022)</w:t>
      </w:r>
      <w:r>
        <w:t>.</w:t>
      </w:r>
    </w:p>
    <w:p w:rsidR="00E567E0" w:rsidRDefault="00E567E0" w:rsidP="00A62FFE">
      <w:pPr>
        <w:pStyle w:val="Heading1"/>
        <w:spacing w:line="360" w:lineRule="auto"/>
      </w:pPr>
      <w:r>
        <w:t>Sustainable Goal 3: Obesity</w:t>
      </w:r>
    </w:p>
    <w:p w:rsidR="007036C2" w:rsidRDefault="007036C2" w:rsidP="00A62FFE">
      <w:pPr>
        <w:spacing w:line="360" w:lineRule="auto"/>
      </w:pPr>
      <w:r>
        <w:t>The United Nations introduced the Sustainable Development Goals (SDGs) in 2015 with the objective of tackling a range of global issues, including but not limited to health, education, poverty, and climate change</w:t>
      </w:r>
      <w:r w:rsidR="00D823D0">
        <w:t xml:space="preserve"> </w:t>
      </w:r>
      <w:r w:rsidR="00D823D0" w:rsidRPr="00D823D0">
        <w:t>(Sachs et al., 2022)</w:t>
      </w:r>
      <w:r>
        <w:t>. Nevertheless, a notable oversight in these objectives is the lack of explicit mention of obesity, an escalating global health concern. Despite the global prevalence of over 1.9 billion adults affected by overweight or obesity, the Sustainable Development Goals (SDGs) primarily prioritise addressing undernutrition, with the inclusion of overweight as a concern being a relatively recent addition to the agenda of eradicating hunger</w:t>
      </w:r>
      <w:r w:rsidR="000E0BD1">
        <w:t xml:space="preserve"> </w:t>
      </w:r>
      <w:r w:rsidR="000E0BD1" w:rsidRPr="000E0BD1">
        <w:t>(Fanzo, 2015)</w:t>
      </w:r>
      <w:r>
        <w:t>. However, the complex nature of obesity requires a comprehensive approach that involves multiple sectors, resulting in its close connection to various Sustainable Development Goals (SDGs</w:t>
      </w:r>
      <w:r w:rsidR="000E0BD1">
        <w:t xml:space="preserve"> </w:t>
      </w:r>
      <w:r w:rsidR="000E0BD1" w:rsidRPr="000E0BD1">
        <w:t>(Gil et al., 2019)</w:t>
      </w:r>
      <w:r>
        <w:t>. Deliberate endeavours aimed at attaining a minimum of 14 out of the 17 Sustainable Development Goals (SDGs) would yield favourable consequences in the context of combating obesity. This article examines the correlation between obesity and the Sustainable Development Goals (SDGs), the factors contributing to the initial omission of obesity from the goals, and the possible approaches to raise the prominence of obesity as a worldwide concern</w:t>
      </w:r>
      <w:r w:rsidR="000E0BD1">
        <w:t xml:space="preserve"> </w:t>
      </w:r>
      <w:r w:rsidR="000E0BD1" w:rsidRPr="000E0BD1">
        <w:t>(Swinburn et al., 2019)</w:t>
      </w:r>
      <w:r>
        <w:t>.</w:t>
      </w:r>
    </w:p>
    <w:p w:rsidR="007036C2" w:rsidRDefault="007036C2" w:rsidP="00A62FFE">
      <w:pPr>
        <w:spacing w:line="360" w:lineRule="auto"/>
      </w:pPr>
      <w:r>
        <w:t>The issue of obesity, although not explicitly addressed in the Sustainable Development Goals (SDGs), exhibits direct or indirect connections to several of these goals. Sustainable Development Goal 3 places emphasis on the imperative of guaranteeing the attainment of good health and well-being for individuals across all stages of lif</w:t>
      </w:r>
      <w:r w:rsidR="00E17FE2">
        <w:t xml:space="preserve"> </w:t>
      </w:r>
      <w:r w:rsidR="00E17FE2" w:rsidRPr="00E17FE2">
        <w:t>(Sachs et al., 2019)</w:t>
      </w:r>
      <w:r>
        <w:t>e. One of the objectives of the initiative focuses on non-communicable diseases (NCDs) and seeks to decrease premature mortality caused by NCDs by 33% by the year 2030</w:t>
      </w:r>
      <w:r w:rsidR="000E0BD1">
        <w:t xml:space="preserve"> </w:t>
      </w:r>
      <w:r w:rsidR="000E0BD1" w:rsidRPr="000E0BD1">
        <w:t>(Zeng et al., 2020)</w:t>
      </w:r>
      <w:r>
        <w:t>. Obesity, being a significant determinant of non-communicable diseases such as diabetes and cardiovascular disease, is highly correlated with the aforementioned objective</w:t>
      </w:r>
      <w:r w:rsidR="000E0BD1">
        <w:t xml:space="preserve"> </w:t>
      </w:r>
      <w:r w:rsidR="000E0BD1" w:rsidRPr="000E0BD1">
        <w:t xml:space="preserve">(Sachs et al., </w:t>
      </w:r>
      <w:r w:rsidR="000E0BD1" w:rsidRPr="000E0BD1">
        <w:lastRenderedPageBreak/>
        <w:t>2019)</w:t>
      </w:r>
      <w:r>
        <w:t>. Furthermore, Sustainable Development Goal 2 (SDG 2) not only seeks to eradicate hunger and ensure food security but also encompasses the objective of eliminating all manifestations of malnutrition. While the central objective of this goal primarily addresses the issue of undernutrition, it also indirectly encompasses concerns associated with overnutrition, such as obesity</w:t>
      </w:r>
      <w:r w:rsidR="000E0BD1">
        <w:t xml:space="preserve"> </w:t>
      </w:r>
      <w:r w:rsidR="000E0BD1" w:rsidRPr="000E0BD1">
        <w:t>(Morton et al., 2017)</w:t>
      </w:r>
      <w:r>
        <w:t>.</w:t>
      </w:r>
    </w:p>
    <w:p w:rsidR="007036C2" w:rsidRDefault="007036C2" w:rsidP="00A62FFE">
      <w:pPr>
        <w:pStyle w:val="Heading2"/>
        <w:spacing w:line="360" w:lineRule="auto"/>
      </w:pPr>
      <w:r>
        <w:t>Justifications for Exclusion and Continual Endeavours</w:t>
      </w:r>
    </w:p>
    <w:p w:rsidR="007036C2" w:rsidRDefault="007036C2" w:rsidP="00A62FFE">
      <w:pPr>
        <w:spacing w:line="360" w:lineRule="auto"/>
      </w:pPr>
      <w:r>
        <w:t>The omission of obesity from the original Millennium Development Goals (MDGs) and subsequently the Sustainable Development Goals (SDGs) can be ascribed to the temporal progression of their formulation</w:t>
      </w:r>
      <w:r w:rsidR="000E0BD1">
        <w:t xml:space="preserve"> </w:t>
      </w:r>
      <w:r w:rsidR="000E0BD1" w:rsidRPr="000E0BD1">
        <w:t>(Szabo et al., 2018)</w:t>
      </w:r>
      <w:r>
        <w:t>. The primary emphasis of the Millennium Development Goals (MDGs) was directed towards developing nations</w:t>
      </w:r>
      <w:r w:rsidR="000E0BD1">
        <w:t xml:space="preserve"> </w:t>
      </w:r>
      <w:r w:rsidR="000E0BD1" w:rsidRPr="000E0BD1">
        <w:t>(Fritz et al., 2019)</w:t>
      </w:r>
      <w:r>
        <w:t>. During their inception in the 1990s, the comprehensive acknowledgement of non-communicable diseases (NCDs), such as obesity, had not yet been fully acknowledged on a global scale. Furthermore, there was a prevalent lack of understanding and inadequate recognition of obesity as a multifaceted ailment, resulting in its exclusion from the global objectives</w:t>
      </w:r>
      <w:r w:rsidR="000E0BD1">
        <w:t xml:space="preserve"> </w:t>
      </w:r>
      <w:r w:rsidR="000E0BD1" w:rsidRPr="000E0BD1">
        <w:t>(Lang &amp; Heasman, 2015)</w:t>
      </w:r>
      <w:r>
        <w:t>.</w:t>
      </w:r>
    </w:p>
    <w:p w:rsidR="007036C2" w:rsidRDefault="007036C2" w:rsidP="00A62FFE">
      <w:pPr>
        <w:spacing w:line="360" w:lineRule="auto"/>
      </w:pPr>
      <w:r>
        <w:t>Current initiatives are being implemented to prioritise obesity on a global scale. The international community focused on obesity is advocating for a resolution from the World Health Organisation (WHO) that specifically addresses the issue of obesity, with the aim of increasing awareness and allocating additional resources to effectively address this problem. Furthermore, comprehending the economic ramifications of obesity serves as a compelling means to underscore its significance</w:t>
      </w:r>
      <w:r w:rsidR="000E0BD1">
        <w:t xml:space="preserve"> </w:t>
      </w:r>
      <w:r w:rsidR="000E0BD1" w:rsidRPr="000E0BD1">
        <w:t>(Xu et al., 2020)</w:t>
      </w:r>
      <w:r>
        <w:t>. Numerous nations have endeavoured to quantify the economic ramifications of obesity, thereby emphasising the societal burden it imposes. Nevertheless, it is imperative to establish a universally accepted approach in order to consistently evaluate costs across diverse nations.</w:t>
      </w:r>
      <w:r w:rsidR="00E17FE2">
        <w:t xml:space="preserve"> </w:t>
      </w:r>
      <w:r w:rsidR="00E17FE2" w:rsidRPr="00E17FE2">
        <w:t>(Soergel et al., 2021)</w:t>
      </w:r>
      <w:r>
        <w:t xml:space="preserve"> This comprehensive economic modelling aims to offer evidence-based estimates and enable cross-country comparisons, thereby advocating for more robust measures to prevent, manage, and treat obesity</w:t>
      </w:r>
      <w:r w:rsidR="000E0BD1">
        <w:t xml:space="preserve"> </w:t>
      </w:r>
      <w:r w:rsidR="000E0BD1" w:rsidRPr="000E0BD1">
        <w:t>(Sachs et al., 2019)</w:t>
      </w:r>
      <w:r>
        <w:t>.</w:t>
      </w:r>
    </w:p>
    <w:p w:rsidR="007036C2" w:rsidRDefault="007036C2" w:rsidP="00A62FFE">
      <w:pPr>
        <w:spacing w:line="360" w:lineRule="auto"/>
      </w:pPr>
      <w:r>
        <w:t>The prevalence of obesity and other non-communicable diseases can often be attributed to the dominant economic development models that prioritise financial gain and commercial interests over the promotion of public health and overall societal well-being</w:t>
      </w:r>
      <w:r w:rsidR="000E0BD1">
        <w:t xml:space="preserve"> </w:t>
      </w:r>
      <w:r w:rsidR="000E0BD1" w:rsidRPr="000E0BD1">
        <w:t>(Morton et al., 2017)</w:t>
      </w:r>
      <w:r>
        <w:t xml:space="preserve">. The implementation of a people-centric economic framework is imperative in order to effectively </w:t>
      </w:r>
      <w:r>
        <w:lastRenderedPageBreak/>
        <w:t>tackle the underlying causes of obesity and other health-related issues</w:t>
      </w:r>
      <w:r w:rsidR="00E17FE2">
        <w:t xml:space="preserve"> </w:t>
      </w:r>
      <w:r w:rsidR="00E17FE2" w:rsidRPr="00E17FE2">
        <w:t>(Nunes et al., 2016)</w:t>
      </w:r>
      <w:r>
        <w:t>. This novel methodology would place emphasis on the well-being of society and the environment, fostering sustainable development and improved standards of living</w:t>
      </w:r>
      <w:r w:rsidR="000E0BD1">
        <w:t xml:space="preserve"> </w:t>
      </w:r>
      <w:r w:rsidR="000E0BD1" w:rsidRPr="000E0BD1">
        <w:t>(Zeng et al., 2020)</w:t>
      </w:r>
      <w:r>
        <w:t>.</w:t>
      </w:r>
    </w:p>
    <w:p w:rsidR="007036C2" w:rsidRDefault="007036C2" w:rsidP="00A62FFE">
      <w:pPr>
        <w:spacing w:line="360" w:lineRule="auto"/>
      </w:pPr>
      <w:r>
        <w:t>The correlation between economic development and public health is apparent, as sustained fiscal consolidation and social and economic progress necessitate the prioritisation of long-term population health. Hence, the advancement in mitigating premature mortality caused by non-communicable diseases (SDG 3.4) holds substantial potential to influence the achievement of other Sustainable Development Goals, including SDG 8, which endeavours to foster sustainable economic growth</w:t>
      </w:r>
      <w:r w:rsidR="000E0BD1">
        <w:t xml:space="preserve"> </w:t>
      </w:r>
      <w:r w:rsidR="000E0BD1" w:rsidRPr="000E0BD1">
        <w:t>(Swinburn et al., 2019)</w:t>
      </w:r>
      <w:r>
        <w:t>.</w:t>
      </w:r>
    </w:p>
    <w:p w:rsidR="008B60CB" w:rsidRDefault="007036C2" w:rsidP="00A62FFE">
      <w:pPr>
        <w:spacing w:line="360" w:lineRule="auto"/>
      </w:pPr>
      <w:r>
        <w:t>Hence, the issue of obesity, which was initially disregarded in the Sustainable Development Goals (SDGs), has gained significant recognition as a pressing global health concern. The intricate and diverse characteristics of the subject require an interdisciplinary approach, connecting it to multiple Sustainable Development Goals (SDGs)</w:t>
      </w:r>
      <w:r w:rsidR="000E0BD1">
        <w:t xml:space="preserve"> </w:t>
      </w:r>
      <w:r w:rsidR="000E0BD1" w:rsidRPr="000E0BD1">
        <w:t>(Gil et al., 2019)</w:t>
      </w:r>
      <w:r>
        <w:t>. Continued endeavours are being made to prioritise the issue of obesity, encompassing endeavours such as advocating for a World Health Organisation (WHO) Resolution specifically addressing obesity, as well as comprehending its economic ramifications</w:t>
      </w:r>
      <w:r w:rsidR="000E0BD1">
        <w:t xml:space="preserve"> </w:t>
      </w:r>
      <w:r w:rsidR="000E0BD1" w:rsidRPr="000E0BD1">
        <w:t>(Sachs et al., 2022)</w:t>
      </w:r>
      <w:r>
        <w:t>. The adoption of a people-centered economic model is imperative in order to effectively tackle the underlying factors contributing to obesity and other non-communicable diseases. This approach is in line with the overarching goals of the Sustainable Development Goals (SDGs), which aim to promote a healthier and more sustainable global environment</w:t>
      </w:r>
      <w:r w:rsidR="000E0BD1">
        <w:t xml:space="preserve"> </w:t>
      </w:r>
      <w:r w:rsidR="000E0BD1" w:rsidRPr="000E0BD1">
        <w:t>(Fanzo, 2015)</w:t>
      </w:r>
      <w:r>
        <w:t>.</w:t>
      </w:r>
    </w:p>
    <w:p w:rsidR="007036C2" w:rsidRDefault="007036C2" w:rsidP="00A62FFE">
      <w:pPr>
        <w:pStyle w:val="Heading1"/>
        <w:spacing w:line="360" w:lineRule="auto"/>
      </w:pPr>
      <w:r w:rsidRPr="007036C2">
        <w:t>Comparison and Evaluation of SDG 2 Progress and the UK's Global Contribution</w:t>
      </w:r>
    </w:p>
    <w:p w:rsidR="003A3D27" w:rsidRDefault="003A3D27" w:rsidP="00A62FFE">
      <w:pPr>
        <w:spacing w:line="360" w:lineRule="auto"/>
      </w:pPr>
      <w:r>
        <w:t>Sustainable Development Goal 2 (SDG 2) endeavours to effectively address the issue of hunger, by attaining food security and enhancing nutrition, while concurrently fostering sustainable agricultural practises</w:t>
      </w:r>
      <w:r w:rsidR="000E0BD1">
        <w:t xml:space="preserve"> </w:t>
      </w:r>
      <w:r w:rsidR="000E0BD1" w:rsidRPr="000E0BD1">
        <w:t>(McCollum et al., 2018)</w:t>
      </w:r>
      <w:r>
        <w:t>. The objective acknowledges the interconnectedness among sustainable agriculture, malnutrition, poverty alleviation, gender parity, and other concerns addressed throughout the Sustainable Development Goals (SDGs).</w:t>
      </w:r>
      <w:r w:rsidR="000E0BD1">
        <w:t xml:space="preserve"> </w:t>
      </w:r>
      <w:r w:rsidR="000E0BD1" w:rsidRPr="000E0BD1">
        <w:t>(Bodirsky et al., 2020)</w:t>
      </w:r>
      <w:r>
        <w:t xml:space="preserve"> This section aims to conduct a comparative analysis and assessment of </w:t>
      </w:r>
      <w:r>
        <w:lastRenderedPageBreak/>
        <w:t>the advancements made on a global scale towards the attainment of Sustainable Development Goal 2 (SDG 2), as well as the specific efforts undertaken by the United Kingdom in the year 2022 to contribute towards the realisation of this goal</w:t>
      </w:r>
      <w:r w:rsidR="000E0BD1">
        <w:t xml:space="preserve"> </w:t>
      </w:r>
      <w:r w:rsidR="000E0BD1" w:rsidRPr="000E0BD1">
        <w:t>(Nicholls et al., 2020)</w:t>
      </w:r>
      <w:r>
        <w:t>.</w:t>
      </w:r>
    </w:p>
    <w:p w:rsidR="003A3D27" w:rsidRDefault="003A3D27" w:rsidP="00A62FFE">
      <w:pPr>
        <w:spacing w:line="360" w:lineRule="auto"/>
      </w:pPr>
      <w:r>
        <w:t>The global advancement and obstacles pertaining to Sustainable Development Goal 2 (SDG 2) have been profoundly impacted by the COVID-19 pandemic, leading to substantial disruptions in efforts to address hunger and malnutrition on a global scale. In the year 2020, a notable rise in the number of individuals experiencing hunger was observed, with estimates ranging from 720 to 811 million people</w:t>
      </w:r>
      <w:r w:rsidR="000E0BD1">
        <w:t xml:space="preserve"> </w:t>
      </w:r>
      <w:r w:rsidR="000E0BD1" w:rsidRPr="000E0BD1">
        <w:t>(Blicharska et al., 2019)</w:t>
      </w:r>
      <w:r>
        <w:t>. This represents an increase of approximately 118 million individuals compared to the preceding year, 2019</w:t>
      </w:r>
      <w:r w:rsidR="00E17FE2">
        <w:t xml:space="preserve"> </w:t>
      </w:r>
      <w:r w:rsidR="00E17FE2" w:rsidRPr="00E17FE2">
        <w:t>(Hunger et al., 2020)</w:t>
      </w:r>
      <w:r>
        <w:t>. In 2021, a notable rise in acute food insecurity was observed, impacting approximately 193 million individuals. This represents a substantial increase of 40 million individuals compared to the previous year. It is anticipated that this figure will further deteriorate, primarily due to ongoing conflicts such as the situation in Ukraine</w:t>
      </w:r>
      <w:r w:rsidR="00E17FE2">
        <w:t xml:space="preserve"> </w:t>
      </w:r>
      <w:r w:rsidR="00E17FE2" w:rsidRPr="00E17FE2">
        <w:t>(Alcantara et al., 2022)</w:t>
      </w:r>
      <w:r>
        <w:t>. The Global Nutrition Report for the year 2021 presents concerning statistics, which encompass 149.2 million children under the age of 5 experiencing stunted growth, 45.4 million children affected by wasting, and 38.9 million children grappling with overweight conditions</w:t>
      </w:r>
      <w:r w:rsidR="00E17FE2">
        <w:t xml:space="preserve"> </w:t>
      </w:r>
      <w:r w:rsidR="00E17FE2" w:rsidRPr="00E17FE2">
        <w:t>(Hunger et al., 2020)</w:t>
      </w:r>
      <w:r>
        <w:t>. Anaemia exhibits a high prevalence among a substantial population of 570.8 million girls and women within the reproductive age range of 15 to 49 years</w:t>
      </w:r>
      <w:r w:rsidR="000E0BD1" w:rsidRPr="000E0BD1">
        <w:t xml:space="preserve"> (Lowe, 2021)</w:t>
      </w:r>
      <w:r>
        <w:t>.</w:t>
      </w:r>
    </w:p>
    <w:p w:rsidR="003A3D27" w:rsidRDefault="003A3D27" w:rsidP="00A62FFE">
      <w:pPr>
        <w:spacing w:line="360" w:lineRule="auto"/>
      </w:pPr>
      <w:r>
        <w:t>The complexities and multi-sectoral nature of addressing hunger and malnutrition necessitate the consideration of both direct and underlying causes. The phenomenon of climate change, coupled with various conflicts, is exerting a substantial influence on the escalation of global hunger</w:t>
      </w:r>
      <w:r w:rsidR="00E17FE2">
        <w:t xml:space="preserve"> </w:t>
      </w:r>
      <w:r w:rsidR="00E17FE2" w:rsidRPr="00E17FE2">
        <w:t>(Soergel et al., 2021)</w:t>
      </w:r>
      <w:r>
        <w:t>. Currently, there exists a situation of acute food insecurity in the Horn of Africa region, affecting a significant population of up to 20 million individuals. Among them, a considerable number are on the verge of experiencing famine</w:t>
      </w:r>
      <w:r w:rsidR="000E0BD1" w:rsidRPr="000E0BD1">
        <w:t xml:space="preserve"> (Fanzo et al., 2022)</w:t>
      </w:r>
      <w:r>
        <w:t>.</w:t>
      </w:r>
    </w:p>
    <w:p w:rsidR="003A3D27" w:rsidRDefault="003A3D27" w:rsidP="00A62FFE">
      <w:pPr>
        <w:pStyle w:val="Heading2"/>
        <w:spacing w:line="360" w:lineRule="auto"/>
      </w:pPr>
      <w:r>
        <w:t>The United Kingdom's Global Contribution to Sustainable Development Goal 2 in the year 2022</w:t>
      </w:r>
    </w:p>
    <w:p w:rsidR="003A3D27" w:rsidRDefault="003A3D27" w:rsidP="00A62FFE">
      <w:pPr>
        <w:spacing w:line="360" w:lineRule="auto"/>
      </w:pPr>
      <w:r>
        <w:t xml:space="preserve">The United Kingdom has demonstrated a steadfast dedication to tackling the issues of hunger and malnutrition through a range of strategic endeavours. In the year 2021, it took the initiative to establish the G7 Famine Prevention and Humanitarian Crises Compact, which involved a </w:t>
      </w:r>
      <w:r>
        <w:lastRenderedPageBreak/>
        <w:t>commitment of $7 billion towards the prevention and response to famine in 42 countries experiencing severe food insecurity. Nevertheless, the compact exhibited a deficiency in terms of clearly defined and transparent objectives, thereby posing challenges for civil society in effectively ensuring the accountability of G7 nations</w:t>
      </w:r>
      <w:r w:rsidR="000E0BD1" w:rsidRPr="000E0BD1">
        <w:t xml:space="preserve"> (Baye, 2017b)</w:t>
      </w:r>
      <w:r>
        <w:t>.</w:t>
      </w:r>
    </w:p>
    <w:p w:rsidR="003A3D27" w:rsidRDefault="003A3D27" w:rsidP="00A62FFE">
      <w:pPr>
        <w:spacing w:line="360" w:lineRule="auto"/>
      </w:pPr>
      <w:r>
        <w:t>The United Kingdom made a financial contribution of £1.5 billion towards nutrition initiatives spanning the period from 2022 to 2030</w:t>
      </w:r>
      <w:r w:rsidR="000E0BD1">
        <w:t xml:space="preserve"> </w:t>
      </w:r>
      <w:r w:rsidR="000E0BD1" w:rsidRPr="000E0BD1">
        <w:t>(Xu et al., 2020)</w:t>
      </w:r>
      <w:r>
        <w:t>. The adoption of the OECD policy marker for nutrition is a commendable measure. However, it is important to note that the current funding level is lower than previous commitments. Consequently, there is a concern that this funding may not adequately address the increasing demand for nutrition interventions caused by the COVID-19 pandemic, particularly in contexts affected by conflict and vulnerability.</w:t>
      </w:r>
    </w:p>
    <w:p w:rsidR="003A3D27" w:rsidRDefault="003A3D27" w:rsidP="00A62FFE">
      <w:pPr>
        <w:spacing w:line="360" w:lineRule="auto"/>
      </w:pPr>
      <w:r>
        <w:t>A comparative analysis reveals that while certain aspects of SDG 2 have witnessed advancements, the persistence of challenges can be attributed to the intricate nature of hunger and malnutrition</w:t>
      </w:r>
      <w:r w:rsidR="000E0BD1">
        <w:t xml:space="preserve"> </w:t>
      </w:r>
      <w:r w:rsidR="000E0BD1" w:rsidRPr="000E0BD1">
        <w:t>(Zeng et al., 2020)</w:t>
      </w:r>
      <w:r>
        <w:t>. The global food crisis has been intensified by the pandemic, conflicts, and climate change, necessitating immediate and continuous endeavours to alleviate acute food insecurity and provide assistance to vulnerable populations.</w:t>
      </w:r>
      <w:r w:rsidR="000E0BD1">
        <w:t xml:space="preserve"> </w:t>
      </w:r>
      <w:r w:rsidR="000E0BD1" w:rsidRPr="000E0BD1">
        <w:t>(Sachs et al., 2022)</w:t>
      </w:r>
    </w:p>
    <w:p w:rsidR="003A3D27" w:rsidRDefault="003A3D27" w:rsidP="00A62FFE">
      <w:pPr>
        <w:spacing w:line="360" w:lineRule="auto"/>
      </w:pPr>
      <w:r>
        <w:t>The United Kingdom's involvement in Sustainable Development Goal 2 signifies a dedication to tackling the issues of hunger and malnutrition. Nevertheless, there exists a potential for enhancement, specifically in relation to the adequacy of financial resources allocated to nutrition interventions and the transparency of reporting on agricultural and food system expenditures in accordance with the criteria set forth by the Food and Agriculture Organisation (FAO).</w:t>
      </w:r>
      <w:r w:rsidR="000E0BD1">
        <w:t xml:space="preserve"> </w:t>
      </w:r>
      <w:r w:rsidR="000E0BD1" w:rsidRPr="000E0BD1">
        <w:t>(Fanzo et al., 2022)</w:t>
      </w:r>
      <w:r>
        <w:t xml:space="preserve"> It is recommended that the United Kingdom align its international development strategy with the G7 Food Security Working Group and enhance its assistance towards sustainable agriculture</w:t>
      </w:r>
      <w:r w:rsidR="000E0BD1">
        <w:t xml:space="preserve"> </w:t>
      </w:r>
      <w:r w:rsidR="000E0BD1" w:rsidRPr="000E0BD1">
        <w:t>(Nicholls et al., 2020)</w:t>
      </w:r>
      <w:r>
        <w:t>.</w:t>
      </w:r>
    </w:p>
    <w:p w:rsidR="003A3D27" w:rsidRDefault="003A3D27" w:rsidP="00A62FFE">
      <w:pPr>
        <w:spacing w:line="360" w:lineRule="auto"/>
      </w:pPr>
      <w:r>
        <w:t>In light of the context provided, it is suggested that the United Kingdom (UK) consider implementing the following recommendations</w:t>
      </w:r>
      <w:r w:rsidR="000E0BD1">
        <w:t xml:space="preserve"> </w:t>
      </w:r>
      <w:r w:rsidR="000E0BD1" w:rsidRPr="000E0BD1">
        <w:t>(Kumanyika &amp; Dietz, 2020)</w:t>
      </w:r>
      <w:r>
        <w:t>.</w:t>
      </w:r>
    </w:p>
    <w:p w:rsidR="003A3D27" w:rsidRDefault="003A3D27" w:rsidP="00A62FFE">
      <w:pPr>
        <w:pStyle w:val="ListParagraph"/>
        <w:numPr>
          <w:ilvl w:val="0"/>
          <w:numId w:val="1"/>
        </w:numPr>
        <w:spacing w:line="360" w:lineRule="auto"/>
      </w:pPr>
      <w:r>
        <w:t>It is imperative to promptly allocate the allocated nutrition funding commitment for the year 2022 under the N4G initiative. Furthermore, it is recommended to review and augment this commitment in anticipation of the forthcoming N4G event in 2024, in order to ensure its congruence with global nutrition targets</w:t>
      </w:r>
      <w:r w:rsidR="000E0BD1">
        <w:t xml:space="preserve"> </w:t>
      </w:r>
      <w:r w:rsidR="000E0BD1" w:rsidRPr="000E0BD1">
        <w:t>(Amorim et al., 2022)</w:t>
      </w:r>
      <w:r>
        <w:t>.</w:t>
      </w:r>
    </w:p>
    <w:p w:rsidR="003A3D27" w:rsidRDefault="003A3D27" w:rsidP="00A62FFE">
      <w:pPr>
        <w:pStyle w:val="ListParagraph"/>
        <w:numPr>
          <w:ilvl w:val="0"/>
          <w:numId w:val="1"/>
        </w:numPr>
        <w:spacing w:line="360" w:lineRule="auto"/>
      </w:pPr>
      <w:r>
        <w:lastRenderedPageBreak/>
        <w:t>There is a need to increase the allocation of financial resources towards humanitarian aid in order to effectively address persistent hunger crises. Additionally, it is crucial to allocate resources towards implementing preventive measures that can enhance the resilience of vulnerable communities</w:t>
      </w:r>
      <w:r w:rsidR="000E0BD1">
        <w:t xml:space="preserve"> </w:t>
      </w:r>
      <w:r w:rsidR="000E0BD1" w:rsidRPr="000E0BD1">
        <w:t>(Otekunrin et al., 2020)</w:t>
      </w:r>
      <w:r>
        <w:t>.</w:t>
      </w:r>
    </w:p>
    <w:p w:rsidR="003A3D27" w:rsidRDefault="003A3D27" w:rsidP="00A62FFE">
      <w:pPr>
        <w:pStyle w:val="ListParagraph"/>
        <w:numPr>
          <w:ilvl w:val="0"/>
          <w:numId w:val="1"/>
        </w:numPr>
        <w:spacing w:line="360" w:lineRule="auto"/>
      </w:pPr>
      <w:r>
        <w:t>This report examines the Official Development Assistance (ODA) allocated to agriculture and food systems, in accordance with the Food and Agriculture Organization's (FAO) Technical Assistance and Programme Evaluation (TAPE) criteria. It encompasses an analysis of ODA contributions towards the second replenishment of the Global Agriculture and Food Security Programme (GAFSP)</w:t>
      </w:r>
      <w:r w:rsidR="000E0BD1">
        <w:t xml:space="preserve"> </w:t>
      </w:r>
      <w:r w:rsidR="000E0BD1" w:rsidRPr="000E0BD1">
        <w:t>(Van Zanten &amp; Van Tulder, 2018)</w:t>
      </w:r>
      <w:r>
        <w:t>.</w:t>
      </w:r>
    </w:p>
    <w:p w:rsidR="003A3D27" w:rsidRDefault="003A3D27" w:rsidP="00A62FFE">
      <w:pPr>
        <w:pStyle w:val="ListParagraph"/>
        <w:numPr>
          <w:ilvl w:val="0"/>
          <w:numId w:val="1"/>
        </w:numPr>
        <w:spacing w:line="360" w:lineRule="auto"/>
      </w:pPr>
      <w:r>
        <w:t>The objective is to harmonise the international development strategy with the G7 Food Security Working Group and enhance assistance for the promotion of sustainable agriculture</w:t>
      </w:r>
      <w:r w:rsidR="000E0BD1">
        <w:t xml:space="preserve"> </w:t>
      </w:r>
      <w:r w:rsidR="000E0BD1" w:rsidRPr="000E0BD1">
        <w:t>(Nilsson et al., 2016)</w:t>
      </w:r>
      <w:r>
        <w:t>.</w:t>
      </w:r>
    </w:p>
    <w:p w:rsidR="003A3D27" w:rsidRDefault="003A3D27" w:rsidP="00A62FFE">
      <w:pPr>
        <w:pStyle w:val="ListParagraph"/>
        <w:numPr>
          <w:ilvl w:val="0"/>
          <w:numId w:val="1"/>
        </w:numPr>
        <w:spacing w:line="360" w:lineRule="auto"/>
      </w:pPr>
      <w:r>
        <w:t>Develop an all-encompassing data strategy for the purpose of gathering and presenting disaggregated data pertaining to populations that have been left behind, in accordance with the specifications outlined in SDG Indicator 2.3.2</w:t>
      </w:r>
      <w:r w:rsidR="000E0BD1">
        <w:t xml:space="preserve"> </w:t>
      </w:r>
      <w:r w:rsidR="000E0BD1" w:rsidRPr="000E0BD1">
        <w:t>(Banik, 2019)</w:t>
      </w:r>
      <w:r>
        <w:t>.</w:t>
      </w:r>
    </w:p>
    <w:p w:rsidR="007036C2" w:rsidRPr="007036C2" w:rsidRDefault="003A3D27" w:rsidP="00A62FFE">
      <w:pPr>
        <w:spacing w:line="360" w:lineRule="auto"/>
      </w:pPr>
      <w:r>
        <w:t>The advancement of Sustainable Development Goal 2 (SDG 2) has encountered obstacles due to various global challenges, such as the COVID-19 pandemic, conflicts, and climate change. The United Kingdom's efforts to address the issues of hunger and malnutrition demonstrate a commendable level of dedication</w:t>
      </w:r>
      <w:r w:rsidR="000E0BD1">
        <w:t xml:space="preserve"> </w:t>
      </w:r>
      <w:r w:rsidR="000E0BD1" w:rsidRPr="000E0BD1">
        <w:t>(Grosso et al., 2020)</w:t>
      </w:r>
      <w:r>
        <w:t>. However, there is room for improvement, particularly in the areas of nutrition funding and the transparency of reporting on agricultural expenditures. By implementing the prescribed measures, the United Kingdom can assume a more efficacious role in the attainment of Sustainable Development Goal 2 and make a meaningful contribution towards the realisation of a world that is free from hunger and sustainable</w:t>
      </w:r>
      <w:r w:rsidR="000E0BD1">
        <w:t xml:space="preserve"> </w:t>
      </w:r>
      <w:r w:rsidR="000E0BD1" w:rsidRPr="000E0BD1">
        <w:t>(Sachs et al., 2019)</w:t>
      </w:r>
      <w:r>
        <w:t>.</w:t>
      </w:r>
    </w:p>
    <w:p w:rsidR="007036C2" w:rsidRPr="008B60CB" w:rsidRDefault="007036C2" w:rsidP="00A62FFE">
      <w:pPr>
        <w:spacing w:line="360" w:lineRule="auto"/>
      </w:pPr>
    </w:p>
    <w:p w:rsidR="00E567E0" w:rsidRDefault="00E567E0" w:rsidP="00A62FFE">
      <w:pPr>
        <w:pStyle w:val="Heading1"/>
        <w:spacing w:line="360" w:lineRule="auto"/>
      </w:pPr>
      <w:r>
        <w:t>Challenges and Limitations</w:t>
      </w:r>
    </w:p>
    <w:p w:rsidR="00A33EEA" w:rsidRDefault="00A33EEA" w:rsidP="00A62FFE">
      <w:pPr>
        <w:spacing w:line="360" w:lineRule="auto"/>
      </w:pPr>
      <w:r>
        <w:t xml:space="preserve">The Sustainable Development Goals (SDGs) encompass a comprehensive and ambitious agenda aimed at addressing urgent global challenges, which span from poverty and hunger to climate change and inequality. Although these goals offer a strategic plan for a more favourable future, </w:t>
      </w:r>
      <w:r>
        <w:lastRenderedPageBreak/>
        <w:t>their attainment is accompanied by a multitude of obstacles and constraints. This section will examine several significant challenges in achieving the Sustainable Development Goals (SDGs)</w:t>
      </w:r>
      <w:r w:rsidR="000E0BD1">
        <w:t xml:space="preserve"> </w:t>
      </w:r>
      <w:r w:rsidR="000E0BD1" w:rsidRPr="000E0BD1">
        <w:t>(Soergel et al., 2021)</w:t>
      </w:r>
    </w:p>
    <w:p w:rsidR="00A33EEA" w:rsidRDefault="00A33EEA" w:rsidP="00A62FFE">
      <w:pPr>
        <w:spacing w:line="360" w:lineRule="auto"/>
      </w:pPr>
      <w:r>
        <w:t>The complexity and interconnectedness of the Sustainable Development Goals (SDGs) present a significant challenge. The advancement towards a particular objective can unintentionally have both beneficial and detrimental consequences on other related goals. For instance, endeavours aimed at enhancing agricultural productivity with the objective of eradicating hunger could potentially result in escalated water consumption or deforestation, thereby exerting an influence on the sustainability of the environment, as outlined in Sustainable Development Goal 15. The task of governments and international organisations to balance multiple objectives and maintain coherence across policies is a multifaceted and intricate undertaking</w:t>
      </w:r>
      <w:r w:rsidR="000E0BD1">
        <w:t xml:space="preserve"> </w:t>
      </w:r>
      <w:r w:rsidR="000E0BD1" w:rsidRPr="000E0BD1">
        <w:t>(Alcantara et al., 2022)</w:t>
      </w:r>
      <w:r>
        <w:t>.</w:t>
      </w:r>
    </w:p>
    <w:p w:rsidR="00A33EEA" w:rsidRDefault="00A33EEA" w:rsidP="00A62FFE">
      <w:pPr>
        <w:pStyle w:val="ListParagraph"/>
        <w:numPr>
          <w:ilvl w:val="0"/>
          <w:numId w:val="2"/>
        </w:numPr>
        <w:spacing w:line="360" w:lineRule="auto"/>
        <w:ind w:left="360"/>
      </w:pPr>
      <w:r>
        <w:t>The magnitude of financial resources needed to accomplish the Sustainable Development Goals (SDGs) is substantial. Despite the pledges made by governments and international institutions, there continue to be substantial gaps in funding. The implementation of crucial projects and initiatives, especially in developing nations, is impeded by the constraints imposed by limited financial resources. Furthermore, the reallocation of financial resources towards unforeseen circumstances and other urgent matters has the potential to compromise endeavours aimed at achieving sustainable development in the long run</w:t>
      </w:r>
      <w:r w:rsidR="000E0BD1">
        <w:t xml:space="preserve"> </w:t>
      </w:r>
      <w:r w:rsidR="000E0BD1" w:rsidRPr="000E0BD1">
        <w:t>(Hunger et al., 2020)</w:t>
      </w:r>
      <w:r>
        <w:t>.</w:t>
      </w:r>
    </w:p>
    <w:p w:rsidR="00A33EEA" w:rsidRDefault="00A33EEA" w:rsidP="00A62FFE">
      <w:pPr>
        <w:pStyle w:val="ListParagraph"/>
        <w:numPr>
          <w:ilvl w:val="0"/>
          <w:numId w:val="2"/>
        </w:numPr>
        <w:spacing w:line="360" w:lineRule="auto"/>
        <w:ind w:left="360"/>
      </w:pPr>
      <w:r>
        <w:t>The acquisition of precise and dependable data plays a pivotal role in monitoring advancements and formulating efficacious policies. Nevertheless, numerous nations, particularly those with low-income levels, encounter difficulties in the realm of data collection and monitoring systems. Insufficient data can result in ill-informed decisions, posing challenges in evaluating the effectiveness of interventions and accurately gauging progress</w:t>
      </w:r>
      <w:r w:rsidR="000E0BD1">
        <w:t xml:space="preserve"> </w:t>
      </w:r>
      <w:r w:rsidR="000E0BD1" w:rsidRPr="000E0BD1">
        <w:t>(Nunes et al., 2016)</w:t>
      </w:r>
      <w:r>
        <w:t>.</w:t>
      </w:r>
    </w:p>
    <w:p w:rsidR="00A33EEA" w:rsidRDefault="00A33EEA" w:rsidP="00A62FFE">
      <w:pPr>
        <w:pStyle w:val="ListParagraph"/>
        <w:numPr>
          <w:ilvl w:val="0"/>
          <w:numId w:val="2"/>
        </w:numPr>
        <w:spacing w:line="360" w:lineRule="auto"/>
        <w:ind w:left="360"/>
      </w:pPr>
      <w:r>
        <w:t>The successful implementation of the Sustainable Development Goals (SDGs) necessitates a robust demonstration of political will and unwavering commitment from all nations involved. Nevertheless, it is frequently observed that political agendas and immediate concerns tend to take precedence over the pursuit of long-term objectives related to sustainable development. The implementation of SDG-related policies may experience disruptions and variations due to shifts in leadership and political landscapes</w:t>
      </w:r>
      <w:r w:rsidR="000E0BD1">
        <w:t xml:space="preserve"> </w:t>
      </w:r>
      <w:r w:rsidR="000E0BD1" w:rsidRPr="000E0BD1">
        <w:t>(Soergel et al., 2021)</w:t>
      </w:r>
      <w:r>
        <w:t>.</w:t>
      </w:r>
    </w:p>
    <w:p w:rsidR="00A33EEA" w:rsidRDefault="00A33EEA" w:rsidP="00A62FFE">
      <w:pPr>
        <w:pStyle w:val="ListParagraph"/>
        <w:numPr>
          <w:ilvl w:val="0"/>
          <w:numId w:val="2"/>
        </w:numPr>
        <w:spacing w:line="360" w:lineRule="auto"/>
        <w:ind w:left="360"/>
      </w:pPr>
      <w:r>
        <w:lastRenderedPageBreak/>
        <w:t>The presence of socioeconomic disparities within and among nations presents substantial obstacles in the pursuit of the Sustainable Development Goals (SDGs), leading to inequality and marginalisation. Marginalised and vulnerable populations, including women, children, minorities, and individuals with disabilities, frequently encounter exclusion and neglect within development endeavours. Promoting equity and fostering inclusiveness are imperative for the attainment of sustainable advancement</w:t>
      </w:r>
      <w:r w:rsidR="000E0BD1">
        <w:t xml:space="preserve"> </w:t>
      </w:r>
      <w:r w:rsidR="000E0BD1" w:rsidRPr="000E0BD1">
        <w:t>(Sachs et al., 2019)</w:t>
      </w:r>
      <w:r>
        <w:t>.</w:t>
      </w:r>
    </w:p>
    <w:p w:rsidR="00A33EEA" w:rsidRDefault="00A33EEA" w:rsidP="00A62FFE">
      <w:pPr>
        <w:pStyle w:val="ListParagraph"/>
        <w:numPr>
          <w:ilvl w:val="0"/>
          <w:numId w:val="2"/>
        </w:numPr>
        <w:spacing w:line="360" w:lineRule="auto"/>
        <w:ind w:left="360"/>
      </w:pPr>
      <w:r>
        <w:t>Climate change and environmental degradation pose a significant risk to the advancement of various Sustainable Development Goals (SDGs). The escalation of temperatures, occurrence of severe weather phenomena, and degradation of ecosystems have the potential to result in limited availability of food and water resources, displacement of populations, and heightened susceptibility to adverse circumstances. Consequently, these factors can intensify the prevalence of poverty and inequality</w:t>
      </w:r>
      <w:r w:rsidR="000E0BD1">
        <w:t xml:space="preserve"> </w:t>
      </w:r>
      <w:r w:rsidR="000E0BD1" w:rsidRPr="000E0BD1">
        <w:t>(Grosso et al., 2020)</w:t>
      </w:r>
      <w:r>
        <w:t>.</w:t>
      </w:r>
    </w:p>
    <w:p w:rsidR="00A33EEA" w:rsidRDefault="00A33EEA" w:rsidP="00A62FFE">
      <w:pPr>
        <w:pStyle w:val="ListParagraph"/>
        <w:numPr>
          <w:ilvl w:val="0"/>
          <w:numId w:val="2"/>
        </w:numPr>
        <w:spacing w:line="360" w:lineRule="auto"/>
        <w:ind w:left="360"/>
      </w:pPr>
      <w:r>
        <w:t>The presence of armed conflicts and political instability hinders development endeavours and intensifies humanitarian crises. In regions affected by conflict, the attainment of sustainable development is further complicated by the extensive damage to infrastructure, interruption of essential services, and forced displacement of populations</w:t>
      </w:r>
      <w:r w:rsidR="000E0BD1">
        <w:t xml:space="preserve"> </w:t>
      </w:r>
      <w:r w:rsidR="000E0BD1" w:rsidRPr="000E0BD1">
        <w:t>(Banik, 2019)</w:t>
      </w:r>
      <w:r>
        <w:t>.</w:t>
      </w:r>
    </w:p>
    <w:p w:rsidR="00A33EEA" w:rsidRDefault="00A33EEA" w:rsidP="00A62FFE">
      <w:pPr>
        <w:pStyle w:val="ListParagraph"/>
        <w:numPr>
          <w:ilvl w:val="0"/>
          <w:numId w:val="2"/>
        </w:numPr>
        <w:spacing w:line="360" w:lineRule="auto"/>
        <w:ind w:left="360"/>
      </w:pPr>
      <w:r>
        <w:t>The achievement of the Sustainable Development Goals necessitates the engagement of multiple stakeholders and the establishment of international collaborations</w:t>
      </w:r>
      <w:r w:rsidR="000E0BD1">
        <w:t xml:space="preserve"> </w:t>
      </w:r>
      <w:r w:rsidR="000E0BD1" w:rsidRPr="000E0BD1">
        <w:t>(Fanzo et al., 2022)</w:t>
      </w:r>
      <w:r>
        <w:t>. Nevertheless, the efficacy of international initiatives may be impeded and their influence restricted due to geopolitical tensions, protectionist policies, and conflicting national interests</w:t>
      </w:r>
      <w:r w:rsidR="000E0BD1">
        <w:t xml:space="preserve"> </w:t>
      </w:r>
      <w:r w:rsidR="000E0BD1" w:rsidRPr="000E0BD1">
        <w:t>(Nilsson et al., 2016)</w:t>
      </w:r>
      <w:r>
        <w:t>.</w:t>
      </w:r>
    </w:p>
    <w:p w:rsidR="00A33EEA" w:rsidRDefault="00A33EEA" w:rsidP="00A62FFE">
      <w:pPr>
        <w:pStyle w:val="ListParagraph"/>
        <w:numPr>
          <w:ilvl w:val="0"/>
          <w:numId w:val="2"/>
        </w:numPr>
        <w:spacing w:line="360" w:lineRule="auto"/>
        <w:ind w:left="360"/>
      </w:pPr>
      <w:r>
        <w:t>The attainment of certain Sustainable Development Goals (SDGs) requires substantial modifications in both individual behaviour and societal culture.</w:t>
      </w:r>
      <w:r w:rsidR="000E0BD1">
        <w:t xml:space="preserve"> </w:t>
      </w:r>
      <w:r w:rsidR="000E0BD1" w:rsidRPr="000E0BD1">
        <w:t>(Kumanyika &amp; Dietz, 2020)</w:t>
      </w:r>
      <w:r>
        <w:t xml:space="preserve"> The promotion of sustainable consumption patterns, the advancement of gender equality, and the adoption of climate-friendly practises necessitate broad societal transformations and the dissemination of knowledge</w:t>
      </w:r>
      <w:r w:rsidR="000E0BD1">
        <w:t xml:space="preserve"> </w:t>
      </w:r>
      <w:r w:rsidR="000E0BD1" w:rsidRPr="000E0BD1">
        <w:t>(Van Zanten &amp; Van Tulder, 2018)</w:t>
      </w:r>
      <w:r>
        <w:t>.</w:t>
      </w:r>
    </w:p>
    <w:p w:rsidR="003A3D27" w:rsidRPr="003A3D27" w:rsidRDefault="00A33EEA" w:rsidP="00A62FFE">
      <w:pPr>
        <w:pStyle w:val="ListParagraph"/>
        <w:numPr>
          <w:ilvl w:val="0"/>
          <w:numId w:val="2"/>
        </w:numPr>
        <w:spacing w:line="360" w:lineRule="auto"/>
        <w:ind w:left="360"/>
      </w:pPr>
      <w:r>
        <w:t>The achievement of sustainable development necessitates long-term commitments, as evidenced by the ambitious targets set for 2030 in the Sustainable Development Goals (SDGs)</w:t>
      </w:r>
      <w:r w:rsidR="000E0BD1">
        <w:t xml:space="preserve"> </w:t>
      </w:r>
      <w:r w:rsidR="000E0BD1" w:rsidRPr="000E0BD1">
        <w:t>(Amorim et al., 2022)</w:t>
      </w:r>
      <w:r>
        <w:t>. Sustaining dedication over extended periods and amidst diverse governmental regimes and administrations is imperative for attaining substantial advancements</w:t>
      </w:r>
      <w:r w:rsidR="000E0BD1">
        <w:t xml:space="preserve"> </w:t>
      </w:r>
      <w:r w:rsidR="000E0BD1" w:rsidRPr="000E0BD1">
        <w:t>(Otekunrin et al., 2020)</w:t>
      </w:r>
      <w:r>
        <w:t>.</w:t>
      </w:r>
    </w:p>
    <w:p w:rsidR="00E567E0" w:rsidRDefault="00E567E0" w:rsidP="00A62FFE">
      <w:pPr>
        <w:pStyle w:val="Heading1"/>
        <w:spacing w:line="360" w:lineRule="auto"/>
      </w:pPr>
      <w:r>
        <w:lastRenderedPageBreak/>
        <w:t>Recommendations</w:t>
      </w:r>
    </w:p>
    <w:p w:rsidR="00A6144B" w:rsidRDefault="00A6144B" w:rsidP="00A62FFE">
      <w:pPr>
        <w:spacing w:line="360" w:lineRule="auto"/>
      </w:pPr>
      <w:r>
        <w:t xml:space="preserve">Both national and global initiatives are needed to achieve the Sustainable Development Goals (SDGs). Key SDG recommendations: SDG implementation requires more funding from governments, international organisations, and the business sector. This involves creative finance, public-private collaborations, and ethical investing. Donor countries should execute their assistance promises to help poor nations achieve the SDGs. Developing nations must improve data collecting and statistical capacity. To measure progress and identify problem areas, governments should invest in trustworthy data collecting. International organisations may help with capacity-building and technical assistance. National development strategies and policies should include the SDGs. Sector-specific strategies must match with sustainable development objectives. Coordination between government entities improves SDG implementation. Marginalised and disadvantaged people require targeted actions. Policies and programmes should reduce inequality and leave no one behind. Equality requires gender-responsive programmes, social safety, and inclusive education. To achieve the SDGs, governments, international organisations, civil society, and the commercial sector must collaborate. </w:t>
      </w:r>
    </w:p>
    <w:p w:rsidR="00A6144B" w:rsidRPr="00A6144B" w:rsidRDefault="00A6144B" w:rsidP="00A62FFE">
      <w:pPr>
        <w:spacing w:line="360" w:lineRule="auto"/>
      </w:pPr>
      <w:r>
        <w:t>To help poor nations achieve sustainable development, global collaborations should prioritise information exchange, technology transfer, and capacity-building. Countries must expedite climate change and environmental protection. For climatic and environmental objectives, renewable energy, sustainable land use, and circular economic practises are essential. SDG awareness and sustainable development are vital. Educational institutions, media, and civil society can help individuals and communities adopt sustainable practises.Sustainable development requires resolving disputes. For steady, sustainable development, the international community should engage in conflict prevention, peacebuilding, and post-war rebuilding. By establishing policies and programmes that outlast political cycles, governments may show their SDG commitment. Multi-stakeholder participation and participatory decision-making helps maintain momentum towards objectives. Technology can speed SDG development. Governments and the business sector should fund research and development of sustainable technologies like renewable energy and climate-resilient agriculture. The international community can achieve the Sustainable Development Goals and create a more sustainable, equitable, and affluent world by following these ideas and resolving difficulties and restrictions.</w:t>
      </w:r>
    </w:p>
    <w:p w:rsidR="00C60168" w:rsidRDefault="00E567E0" w:rsidP="00A62FFE">
      <w:pPr>
        <w:pStyle w:val="Heading1"/>
        <w:spacing w:line="360" w:lineRule="auto"/>
      </w:pPr>
      <w:r>
        <w:lastRenderedPageBreak/>
        <w:t>Conclusion</w:t>
      </w:r>
    </w:p>
    <w:p w:rsidR="006743AD" w:rsidRDefault="006743AD" w:rsidP="00A62FFE">
      <w:pPr>
        <w:spacing w:line="360" w:lineRule="auto"/>
      </w:pPr>
      <w:r>
        <w:t>Finally, the Sustainable Development Goals (SDGs) are a worldwide commitment to address poverty, inequality, climate change, and environmental degradation. Since their adoption in 2015, the SDGs have made progress in several areas, but major problems and limits remain that prevent their complete realisation by 2030. Despite attempts, funding remains a key SDG obstacle. Many poor nations lack resources to execute comprehensive sustainable development initiatives. Increased alliances, novel financial arrangements, and developed country help are needed to close the financing gap. Aligning private sector investments with the SDGs and encouraging good business practises may also help support sustainable development.</w:t>
      </w:r>
    </w:p>
    <w:p w:rsidR="006743AD" w:rsidRDefault="006743AD" w:rsidP="00A62FFE">
      <w:pPr>
        <w:spacing w:line="360" w:lineRule="auto"/>
      </w:pPr>
      <w:r>
        <w:t>Monitoring progress requires trustworthy, disaggregated data. Data gathering systems in many nations are inadequate, hindering evidence-based policymaking. To correctly assess progress, governments, international organisations, and development partners must prioritise statistical capacity and data gathering methods.</w:t>
      </w:r>
    </w:p>
    <w:p w:rsidR="006743AD" w:rsidRDefault="006743AD" w:rsidP="00A62FFE">
      <w:pPr>
        <w:spacing w:line="360" w:lineRule="auto"/>
      </w:pPr>
      <w:r>
        <w:t>SDG achievement requires addressing inequality and increasing diversity. Women, children, and minorities still struggle to obtain basic services and opportunities. Governments must create focused policies that prioritise these groups' needs and enable them to participate fully in development. Climate change and environmental deterioration threaten sustainable development. To minimise climate change, expedite climate action, embrace sustainable practises, and invest in renewable energy alternatives. Biodiversity conservation and sustainable land use protect ecosystems and people and the world.</w:t>
      </w:r>
    </w:p>
    <w:p w:rsidR="006743AD" w:rsidRDefault="006743AD" w:rsidP="00A62FFE">
      <w:pPr>
        <w:spacing w:line="360" w:lineRule="auto"/>
      </w:pPr>
      <w:r>
        <w:t>All stakeholders must collaborate and reform to achieve the SDGs. Governments, civic society, the commercial sector, and international organisations must form global partnerships to share information, technology, and ability. Collaboration may expedite sustainable development and guarantee no one is left behind.</w:t>
      </w:r>
    </w:p>
    <w:p w:rsidR="00C60168" w:rsidRDefault="006743AD" w:rsidP="00A62FFE">
      <w:pPr>
        <w:spacing w:line="360" w:lineRule="auto"/>
      </w:pPr>
      <w:r>
        <w:t xml:space="preserve">Education and awareness motivate action and behaviour. Individuals and groups may help achieve the SDGs through spreading knowledge of the SDGs and sustainable practises. The SDGs offer a framework for collective action and a path to a more sustainable, egalitarian, and prosperous future, despite difficulties and constraints. The international community can achieve the SDGs by 2030 and create a better world by solving issues, mobilising resources, and </w:t>
      </w:r>
      <w:r>
        <w:lastRenderedPageBreak/>
        <w:t xml:space="preserve">developing global partnerships. </w:t>
      </w:r>
      <w:r w:rsidR="003E2E78">
        <w:t>One</w:t>
      </w:r>
      <w:r>
        <w:t xml:space="preserve"> can only achieve prosperity, well-being, and environmental stewardship through concentrated efforts and persistent devotion.</w:t>
      </w:r>
    </w:p>
    <w:p w:rsidR="007818EA" w:rsidRDefault="007818EA" w:rsidP="00A62FFE">
      <w:pPr>
        <w:spacing w:line="360" w:lineRule="auto"/>
        <w:jc w:val="left"/>
      </w:pPr>
      <w:r>
        <w:br w:type="page"/>
      </w:r>
    </w:p>
    <w:p w:rsidR="007818EA" w:rsidRDefault="007818EA" w:rsidP="00A62FFE">
      <w:pPr>
        <w:pStyle w:val="Heading1"/>
        <w:spacing w:line="360" w:lineRule="auto"/>
      </w:pPr>
      <w:r>
        <w:lastRenderedPageBreak/>
        <w:t>References</w:t>
      </w:r>
    </w:p>
    <w:p w:rsidR="00991B49" w:rsidRPr="008B0A41" w:rsidRDefault="00991B49" w:rsidP="00A62FFE">
      <w:pPr>
        <w:spacing w:line="360" w:lineRule="auto"/>
        <w:ind w:left="720" w:hanging="720"/>
        <w:rPr>
          <w:shd w:val="clear" w:color="auto" w:fill="FFFFFF"/>
        </w:rPr>
      </w:pPr>
      <w:r w:rsidRPr="008B0A41">
        <w:rPr>
          <w:shd w:val="clear" w:color="auto" w:fill="FFFFFF"/>
        </w:rPr>
        <w:t>Alcantara, I. C., Tapia, A. P. M., Aponte, Y., &amp; Krashes, M. J. (2022). Acts of appetite: neural circuits governing the appetitive, consummatory, and terminating phases of feeding. </w:t>
      </w:r>
      <w:r w:rsidRPr="008B0A41">
        <w:rPr>
          <w:i/>
          <w:iCs/>
          <w:shd w:val="clear" w:color="auto" w:fill="FFFFFF"/>
        </w:rPr>
        <w:t>Nature Metabolism</w:t>
      </w:r>
      <w:r w:rsidRPr="008B0A41">
        <w:rPr>
          <w:shd w:val="clear" w:color="auto" w:fill="FFFFFF"/>
        </w:rPr>
        <w:t>, </w:t>
      </w:r>
      <w:r w:rsidRPr="008B0A41">
        <w:rPr>
          <w:i/>
          <w:iCs/>
          <w:shd w:val="clear" w:color="auto" w:fill="FFFFFF"/>
        </w:rPr>
        <w:t>4</w:t>
      </w:r>
      <w:r w:rsidRPr="008B0A41">
        <w:rPr>
          <w:shd w:val="clear" w:color="auto" w:fill="FFFFFF"/>
        </w:rPr>
        <w:t>(7), 836-847.</w:t>
      </w:r>
    </w:p>
    <w:p w:rsidR="00991B49" w:rsidRPr="008B0A41" w:rsidRDefault="00991B49" w:rsidP="00A62FFE">
      <w:pPr>
        <w:spacing w:line="360" w:lineRule="auto"/>
        <w:ind w:left="720" w:hanging="720"/>
        <w:rPr>
          <w:shd w:val="clear" w:color="auto" w:fill="FFFFFF"/>
        </w:rPr>
      </w:pPr>
      <w:r w:rsidRPr="008B0A41">
        <w:rPr>
          <w:shd w:val="clear" w:color="auto" w:fill="FFFFFF"/>
        </w:rPr>
        <w:t>Amorim, A., Barbosa, A. D. H., &amp; Sobral, P. J. D. A. (2022). Hunger, obesity, public policies, and food-based dietary guidelines: a reflection considering the socio-environmental world context. </w:t>
      </w:r>
      <w:r w:rsidRPr="008B0A41">
        <w:rPr>
          <w:i/>
          <w:iCs/>
          <w:shd w:val="clear" w:color="auto" w:fill="FFFFFF"/>
        </w:rPr>
        <w:t>Frontiers in Nutrition</w:t>
      </w:r>
      <w:r w:rsidRPr="008B0A41">
        <w:rPr>
          <w:shd w:val="clear" w:color="auto" w:fill="FFFFFF"/>
        </w:rPr>
        <w:t>, </w:t>
      </w:r>
      <w:r w:rsidRPr="008B0A41">
        <w:rPr>
          <w:i/>
          <w:iCs/>
          <w:shd w:val="clear" w:color="auto" w:fill="FFFFFF"/>
        </w:rPr>
        <w:t>8</w:t>
      </w:r>
      <w:r w:rsidRPr="008B0A41">
        <w:rPr>
          <w:shd w:val="clear" w:color="auto" w:fill="FFFFFF"/>
        </w:rPr>
        <w:t>, 805569.</w:t>
      </w:r>
    </w:p>
    <w:p w:rsidR="00991B49" w:rsidRPr="008B0A41" w:rsidRDefault="00991B49" w:rsidP="00A62FFE">
      <w:pPr>
        <w:spacing w:line="360" w:lineRule="auto"/>
        <w:ind w:left="720" w:hanging="720"/>
        <w:rPr>
          <w:shd w:val="clear" w:color="auto" w:fill="FFFFFF"/>
        </w:rPr>
      </w:pPr>
      <w:r w:rsidRPr="008B0A41">
        <w:rPr>
          <w:shd w:val="clear" w:color="auto" w:fill="FFFFFF"/>
        </w:rPr>
        <w:t>Banik, D. (2019). Achieving food security in a sustainable development era. </w:t>
      </w:r>
      <w:r w:rsidRPr="008B0A41">
        <w:rPr>
          <w:i/>
          <w:iCs/>
          <w:shd w:val="clear" w:color="auto" w:fill="FFFFFF"/>
        </w:rPr>
        <w:t>Food Ethics</w:t>
      </w:r>
      <w:r w:rsidRPr="008B0A41">
        <w:rPr>
          <w:shd w:val="clear" w:color="auto" w:fill="FFFFFF"/>
        </w:rPr>
        <w:t>, </w:t>
      </w:r>
      <w:r w:rsidRPr="008B0A41">
        <w:rPr>
          <w:i/>
          <w:iCs/>
          <w:shd w:val="clear" w:color="auto" w:fill="FFFFFF"/>
        </w:rPr>
        <w:t>4</w:t>
      </w:r>
      <w:r w:rsidRPr="008B0A41">
        <w:rPr>
          <w:shd w:val="clear" w:color="auto" w:fill="FFFFFF"/>
        </w:rPr>
        <w:t>, 117-121.</w:t>
      </w:r>
    </w:p>
    <w:p w:rsidR="00991B49" w:rsidRPr="008B0A41" w:rsidRDefault="00991B49" w:rsidP="00A62FFE">
      <w:pPr>
        <w:spacing w:line="360" w:lineRule="auto"/>
        <w:ind w:left="720" w:hanging="720"/>
        <w:rPr>
          <w:shd w:val="clear" w:color="auto" w:fill="FFFFFF"/>
        </w:rPr>
      </w:pPr>
      <w:r w:rsidRPr="008B0A41">
        <w:rPr>
          <w:shd w:val="clear" w:color="auto" w:fill="FFFFFF"/>
        </w:rPr>
        <w:t>Baye, K. (2017). The Sustainable Development Goals cannot be achieved without improving maternal and child nutrition. </w:t>
      </w:r>
      <w:r w:rsidRPr="008B0A41">
        <w:rPr>
          <w:i/>
          <w:iCs/>
          <w:shd w:val="clear" w:color="auto" w:fill="FFFFFF"/>
        </w:rPr>
        <w:t>Journal of public health policy</w:t>
      </w:r>
      <w:r w:rsidRPr="008B0A41">
        <w:rPr>
          <w:shd w:val="clear" w:color="auto" w:fill="FFFFFF"/>
        </w:rPr>
        <w:t>, </w:t>
      </w:r>
      <w:r w:rsidRPr="008B0A41">
        <w:rPr>
          <w:i/>
          <w:iCs/>
          <w:shd w:val="clear" w:color="auto" w:fill="FFFFFF"/>
        </w:rPr>
        <w:t>38</w:t>
      </w:r>
      <w:r w:rsidRPr="008B0A41">
        <w:rPr>
          <w:shd w:val="clear" w:color="auto" w:fill="FFFFFF"/>
        </w:rPr>
        <w:t>, 137-145.</w:t>
      </w:r>
    </w:p>
    <w:p w:rsidR="00991B49" w:rsidRPr="008B0A41" w:rsidRDefault="00991B49" w:rsidP="00A62FFE">
      <w:pPr>
        <w:spacing w:line="360" w:lineRule="auto"/>
        <w:ind w:left="720" w:hanging="720"/>
        <w:rPr>
          <w:shd w:val="clear" w:color="auto" w:fill="FFFFFF"/>
        </w:rPr>
      </w:pPr>
      <w:r w:rsidRPr="008B0A41">
        <w:rPr>
          <w:shd w:val="clear" w:color="auto" w:fill="FFFFFF"/>
        </w:rPr>
        <w:t>Baye, K. (2017). The Sustainable Development Goals cannot be achieved without improving maternal and child nutrition. </w:t>
      </w:r>
      <w:r w:rsidRPr="008B0A41">
        <w:rPr>
          <w:i/>
          <w:iCs/>
          <w:shd w:val="clear" w:color="auto" w:fill="FFFFFF"/>
        </w:rPr>
        <w:t>Journal of public health policy</w:t>
      </w:r>
      <w:r w:rsidRPr="008B0A41">
        <w:rPr>
          <w:shd w:val="clear" w:color="auto" w:fill="FFFFFF"/>
        </w:rPr>
        <w:t>, </w:t>
      </w:r>
      <w:r w:rsidRPr="008B0A41">
        <w:rPr>
          <w:i/>
          <w:iCs/>
          <w:shd w:val="clear" w:color="auto" w:fill="FFFFFF"/>
        </w:rPr>
        <w:t>38</w:t>
      </w:r>
      <w:r w:rsidRPr="008B0A41">
        <w:rPr>
          <w:shd w:val="clear" w:color="auto" w:fill="FFFFFF"/>
        </w:rPr>
        <w:t>, 137-145.</w:t>
      </w:r>
    </w:p>
    <w:p w:rsidR="00991B49" w:rsidRPr="008B0A41" w:rsidRDefault="00991B49" w:rsidP="00A62FFE">
      <w:pPr>
        <w:spacing w:line="360" w:lineRule="auto"/>
        <w:ind w:left="720" w:hanging="720"/>
        <w:rPr>
          <w:shd w:val="clear" w:color="auto" w:fill="FFFFFF"/>
        </w:rPr>
      </w:pPr>
      <w:r w:rsidRPr="008B0A41">
        <w:rPr>
          <w:shd w:val="clear" w:color="auto" w:fill="FFFFFF"/>
        </w:rPr>
        <w:t>Blicharska, M., Smithers, R. J., Mikusiński, G., Rönnbäck, P., Harrison, P. A., Nilsson, M., &amp; Sutherland, W. J. (2019). Biodiversity’s contributions to sustainable development. </w:t>
      </w:r>
      <w:r w:rsidRPr="008B0A41">
        <w:rPr>
          <w:i/>
          <w:iCs/>
          <w:shd w:val="clear" w:color="auto" w:fill="FFFFFF"/>
        </w:rPr>
        <w:t>Nature sustainability</w:t>
      </w:r>
      <w:r w:rsidRPr="008B0A41">
        <w:rPr>
          <w:shd w:val="clear" w:color="auto" w:fill="FFFFFF"/>
        </w:rPr>
        <w:t>, </w:t>
      </w:r>
      <w:r w:rsidRPr="008B0A41">
        <w:rPr>
          <w:i/>
          <w:iCs/>
          <w:shd w:val="clear" w:color="auto" w:fill="FFFFFF"/>
        </w:rPr>
        <w:t>2</w:t>
      </w:r>
      <w:r w:rsidRPr="008B0A41">
        <w:rPr>
          <w:shd w:val="clear" w:color="auto" w:fill="FFFFFF"/>
        </w:rPr>
        <w:t>(12), 1083-1093.</w:t>
      </w:r>
    </w:p>
    <w:p w:rsidR="00991B49" w:rsidRPr="008B0A41" w:rsidRDefault="00991B49" w:rsidP="00A62FFE">
      <w:pPr>
        <w:spacing w:line="360" w:lineRule="auto"/>
        <w:ind w:left="720" w:hanging="720"/>
        <w:rPr>
          <w:shd w:val="clear" w:color="auto" w:fill="FFFFFF"/>
        </w:rPr>
      </w:pPr>
      <w:r w:rsidRPr="008B0A41">
        <w:rPr>
          <w:shd w:val="clear" w:color="auto" w:fill="FFFFFF"/>
        </w:rPr>
        <w:t>Bodirsky, B. L., Dietrich, J. P., Martinelli, E., Stenstad, A., Pradhan, P., Gabrysch, S., ... &amp; Popp, A. (2020). The ongoing nutrition transition thwarts long-term targets for food security, public health and environmental protection. </w:t>
      </w:r>
      <w:r w:rsidRPr="008B0A41">
        <w:rPr>
          <w:i/>
          <w:iCs/>
          <w:shd w:val="clear" w:color="auto" w:fill="FFFFFF"/>
        </w:rPr>
        <w:t>Scientific reports</w:t>
      </w:r>
      <w:r w:rsidRPr="008B0A41">
        <w:rPr>
          <w:shd w:val="clear" w:color="auto" w:fill="FFFFFF"/>
        </w:rPr>
        <w:t>, </w:t>
      </w:r>
      <w:r w:rsidRPr="008B0A41">
        <w:rPr>
          <w:i/>
          <w:iCs/>
          <w:shd w:val="clear" w:color="auto" w:fill="FFFFFF"/>
        </w:rPr>
        <w:t>10</w:t>
      </w:r>
      <w:r w:rsidRPr="008B0A41">
        <w:rPr>
          <w:shd w:val="clear" w:color="auto" w:fill="FFFFFF"/>
        </w:rPr>
        <w:t>(1), 19778.</w:t>
      </w:r>
    </w:p>
    <w:p w:rsidR="00991B49" w:rsidRPr="008B0A41" w:rsidRDefault="00991B49" w:rsidP="00A62FFE">
      <w:pPr>
        <w:spacing w:line="360" w:lineRule="auto"/>
        <w:ind w:left="720" w:hanging="720"/>
        <w:rPr>
          <w:shd w:val="clear" w:color="auto" w:fill="FFFFFF"/>
        </w:rPr>
      </w:pPr>
      <w:r w:rsidRPr="008B0A41">
        <w:rPr>
          <w:shd w:val="clear" w:color="auto" w:fill="FFFFFF"/>
        </w:rPr>
        <w:t>Fanzo, J. (2015). Ethical issues for human nutrition in the context of global food security and sustainable development. </w:t>
      </w:r>
      <w:r w:rsidRPr="008B0A41">
        <w:rPr>
          <w:i/>
          <w:iCs/>
          <w:shd w:val="clear" w:color="auto" w:fill="FFFFFF"/>
        </w:rPr>
        <w:t>Global Food Security</w:t>
      </w:r>
      <w:r w:rsidRPr="008B0A41">
        <w:rPr>
          <w:shd w:val="clear" w:color="auto" w:fill="FFFFFF"/>
        </w:rPr>
        <w:t>, </w:t>
      </w:r>
      <w:r w:rsidRPr="008B0A41">
        <w:rPr>
          <w:i/>
          <w:iCs/>
          <w:shd w:val="clear" w:color="auto" w:fill="FFFFFF"/>
        </w:rPr>
        <w:t>7</w:t>
      </w:r>
      <w:r w:rsidRPr="008B0A41">
        <w:rPr>
          <w:shd w:val="clear" w:color="auto" w:fill="FFFFFF"/>
        </w:rPr>
        <w:t>, 15-23.</w:t>
      </w:r>
    </w:p>
    <w:p w:rsidR="00991B49" w:rsidRPr="008B0A41" w:rsidRDefault="00991B49" w:rsidP="00A62FFE">
      <w:pPr>
        <w:spacing w:line="360" w:lineRule="auto"/>
        <w:ind w:left="720" w:hanging="720"/>
        <w:rPr>
          <w:shd w:val="clear" w:color="auto" w:fill="FFFFFF"/>
        </w:rPr>
      </w:pPr>
      <w:r w:rsidRPr="008B0A41">
        <w:rPr>
          <w:shd w:val="clear" w:color="auto" w:fill="FFFFFF"/>
        </w:rPr>
        <w:t>Fanzo, J., Rudie, C., Sigman, I., Grinspoon, S., Benton, T. G., Brown, M. E., ... &amp; Willett, W. C. (2022). Sustainable food systems and nutrition in the 21st century: A report from the 22nd annual Harvard Nutrition Obesity Symposium. </w:t>
      </w:r>
      <w:r w:rsidRPr="008B0A41">
        <w:rPr>
          <w:i/>
          <w:iCs/>
          <w:shd w:val="clear" w:color="auto" w:fill="FFFFFF"/>
        </w:rPr>
        <w:t>The American Journal of Clinical Nutrition</w:t>
      </w:r>
      <w:r w:rsidRPr="008B0A41">
        <w:rPr>
          <w:shd w:val="clear" w:color="auto" w:fill="FFFFFF"/>
        </w:rPr>
        <w:t>, </w:t>
      </w:r>
      <w:r w:rsidRPr="008B0A41">
        <w:rPr>
          <w:i/>
          <w:iCs/>
          <w:shd w:val="clear" w:color="auto" w:fill="FFFFFF"/>
        </w:rPr>
        <w:t>115</w:t>
      </w:r>
      <w:r w:rsidRPr="008B0A41">
        <w:rPr>
          <w:shd w:val="clear" w:color="auto" w:fill="FFFFFF"/>
        </w:rPr>
        <w:t>(1), 18-33.</w:t>
      </w:r>
    </w:p>
    <w:p w:rsidR="00991B49" w:rsidRPr="008B0A41" w:rsidRDefault="00991B49" w:rsidP="00A62FFE">
      <w:pPr>
        <w:spacing w:line="360" w:lineRule="auto"/>
        <w:ind w:left="720" w:hanging="720"/>
        <w:rPr>
          <w:shd w:val="clear" w:color="auto" w:fill="FFFFFF"/>
        </w:rPr>
      </w:pPr>
      <w:r w:rsidRPr="008B0A41">
        <w:rPr>
          <w:shd w:val="clear" w:color="auto" w:fill="FFFFFF"/>
        </w:rPr>
        <w:lastRenderedPageBreak/>
        <w:t>Fritz, S., See, L., Carlson, T., Haklay, M., Oliver, J. L., Fraisl, D., ... &amp; West, S. (2019). Citizen science and the United Nations sustainable development goals. </w:t>
      </w:r>
      <w:r w:rsidRPr="008B0A41">
        <w:rPr>
          <w:i/>
          <w:iCs/>
          <w:shd w:val="clear" w:color="auto" w:fill="FFFFFF"/>
        </w:rPr>
        <w:t>Nature Sustainability</w:t>
      </w:r>
      <w:r w:rsidRPr="008B0A41">
        <w:rPr>
          <w:shd w:val="clear" w:color="auto" w:fill="FFFFFF"/>
        </w:rPr>
        <w:t>, </w:t>
      </w:r>
      <w:r w:rsidRPr="008B0A41">
        <w:rPr>
          <w:i/>
          <w:iCs/>
          <w:shd w:val="clear" w:color="auto" w:fill="FFFFFF"/>
        </w:rPr>
        <w:t>2</w:t>
      </w:r>
      <w:r w:rsidRPr="008B0A41">
        <w:rPr>
          <w:shd w:val="clear" w:color="auto" w:fill="FFFFFF"/>
        </w:rPr>
        <w:t>(10), 922-930.</w:t>
      </w:r>
    </w:p>
    <w:p w:rsidR="00991B49" w:rsidRPr="008B0A41" w:rsidRDefault="00991B49" w:rsidP="00A62FFE">
      <w:pPr>
        <w:spacing w:line="360" w:lineRule="auto"/>
        <w:ind w:left="720" w:hanging="720"/>
        <w:rPr>
          <w:shd w:val="clear" w:color="auto" w:fill="FFFFFF"/>
        </w:rPr>
      </w:pPr>
      <w:r w:rsidRPr="008B0A41">
        <w:rPr>
          <w:shd w:val="clear" w:color="auto" w:fill="FFFFFF"/>
        </w:rPr>
        <w:t>Gil, J. D. B., Reidsma, P., Giller, K., Todman, L., Whitmore, A., &amp; van Ittersum, M. (2019). Sustainable development goal 2: Improved targets and indicators for agriculture and food security. </w:t>
      </w:r>
      <w:r w:rsidRPr="008B0A41">
        <w:rPr>
          <w:i/>
          <w:iCs/>
          <w:shd w:val="clear" w:color="auto" w:fill="FFFFFF"/>
        </w:rPr>
        <w:t>Ambio</w:t>
      </w:r>
      <w:r w:rsidRPr="008B0A41">
        <w:rPr>
          <w:shd w:val="clear" w:color="auto" w:fill="FFFFFF"/>
        </w:rPr>
        <w:t>, </w:t>
      </w:r>
      <w:r w:rsidRPr="008B0A41">
        <w:rPr>
          <w:i/>
          <w:iCs/>
          <w:shd w:val="clear" w:color="auto" w:fill="FFFFFF"/>
        </w:rPr>
        <w:t>48</w:t>
      </w:r>
      <w:r w:rsidRPr="008B0A41">
        <w:rPr>
          <w:shd w:val="clear" w:color="auto" w:fill="FFFFFF"/>
        </w:rPr>
        <w:t>(7), 685-698.</w:t>
      </w:r>
    </w:p>
    <w:p w:rsidR="00991B49" w:rsidRPr="008B0A41" w:rsidRDefault="00991B49" w:rsidP="00A62FFE">
      <w:pPr>
        <w:spacing w:line="360" w:lineRule="auto"/>
        <w:ind w:left="720" w:hanging="720"/>
        <w:rPr>
          <w:shd w:val="clear" w:color="auto" w:fill="FFFFFF"/>
        </w:rPr>
      </w:pPr>
      <w:r w:rsidRPr="008B0A41">
        <w:rPr>
          <w:shd w:val="clear" w:color="auto" w:fill="FFFFFF"/>
        </w:rPr>
        <w:t>Grosso, G., Mateo, A., Rangelov, N., Buzeti, T., &amp; Birt, C. (2020). Nutrition in the context of the Sustainable Development Goals. </w:t>
      </w:r>
      <w:r w:rsidRPr="008B0A41">
        <w:rPr>
          <w:i/>
          <w:iCs/>
          <w:shd w:val="clear" w:color="auto" w:fill="FFFFFF"/>
        </w:rPr>
        <w:t>European journal of public health</w:t>
      </w:r>
      <w:r w:rsidRPr="008B0A41">
        <w:rPr>
          <w:shd w:val="clear" w:color="auto" w:fill="FFFFFF"/>
        </w:rPr>
        <w:t>, </w:t>
      </w:r>
      <w:r w:rsidRPr="008B0A41">
        <w:rPr>
          <w:i/>
          <w:iCs/>
          <w:shd w:val="clear" w:color="auto" w:fill="FFFFFF"/>
        </w:rPr>
        <w:t>30</w:t>
      </w:r>
      <w:r w:rsidRPr="008B0A41">
        <w:rPr>
          <w:shd w:val="clear" w:color="auto" w:fill="FFFFFF"/>
        </w:rPr>
        <w:t>(Supplement_1), i19-i23.</w:t>
      </w:r>
    </w:p>
    <w:p w:rsidR="00991B49" w:rsidRPr="008B0A41" w:rsidRDefault="00991B49" w:rsidP="00A62FFE">
      <w:pPr>
        <w:spacing w:line="360" w:lineRule="auto"/>
        <w:ind w:left="720" w:hanging="720"/>
        <w:rPr>
          <w:shd w:val="clear" w:color="auto" w:fill="FFFFFF"/>
        </w:rPr>
      </w:pPr>
      <w:r w:rsidRPr="008B0A41">
        <w:rPr>
          <w:shd w:val="clear" w:color="auto" w:fill="FFFFFF"/>
        </w:rPr>
        <w:t>Haddad, L. J., Hawkes, C., Achadi, E., Ahuja, A., Ag Bendech, M., Bhatia, K., ... &amp; Flores-Ayala, R. (2015). </w:t>
      </w:r>
      <w:r w:rsidRPr="008B0A41">
        <w:rPr>
          <w:i/>
          <w:iCs/>
          <w:shd w:val="clear" w:color="auto" w:fill="FFFFFF"/>
        </w:rPr>
        <w:t>Global Nutrition Report 2015: Actions and accountability to advance nutrition and sustainable development</w:t>
      </w:r>
      <w:r w:rsidRPr="008B0A41">
        <w:rPr>
          <w:shd w:val="clear" w:color="auto" w:fill="FFFFFF"/>
        </w:rPr>
        <w:t>. Intl Food Policy Res Inst.</w:t>
      </w:r>
    </w:p>
    <w:p w:rsidR="00991B49" w:rsidRPr="008B0A41" w:rsidRDefault="00991B49" w:rsidP="00A62FFE">
      <w:pPr>
        <w:spacing w:line="360" w:lineRule="auto"/>
        <w:ind w:left="720" w:hanging="720"/>
        <w:rPr>
          <w:shd w:val="clear" w:color="auto" w:fill="FFFFFF"/>
        </w:rPr>
      </w:pPr>
      <w:r w:rsidRPr="008B0A41">
        <w:rPr>
          <w:shd w:val="clear" w:color="auto" w:fill="FFFFFF"/>
        </w:rPr>
        <w:t>Hunger, J. M., Smith, J. P., &amp; Tomiyama, A. J. (2020). An evidence</w:t>
      </w:r>
      <w:r w:rsidRPr="008B0A41">
        <w:rPr>
          <w:rFonts w:ascii="Cambria Math" w:hAnsi="Cambria Math" w:cs="Cambria Math"/>
          <w:shd w:val="clear" w:color="auto" w:fill="FFFFFF"/>
        </w:rPr>
        <w:t>‐</w:t>
      </w:r>
      <w:r w:rsidRPr="008B0A41">
        <w:rPr>
          <w:shd w:val="clear" w:color="auto" w:fill="FFFFFF"/>
        </w:rPr>
        <w:t>based rationale for adopting weight</w:t>
      </w:r>
      <w:r w:rsidRPr="008B0A41">
        <w:rPr>
          <w:rFonts w:ascii="Cambria Math" w:hAnsi="Cambria Math" w:cs="Cambria Math"/>
          <w:shd w:val="clear" w:color="auto" w:fill="FFFFFF"/>
        </w:rPr>
        <w:t>‐</w:t>
      </w:r>
      <w:r w:rsidRPr="008B0A41">
        <w:rPr>
          <w:shd w:val="clear" w:color="auto" w:fill="FFFFFF"/>
        </w:rPr>
        <w:t>inclusive health policy. </w:t>
      </w:r>
      <w:r w:rsidRPr="008B0A41">
        <w:rPr>
          <w:i/>
          <w:iCs/>
          <w:shd w:val="clear" w:color="auto" w:fill="FFFFFF"/>
        </w:rPr>
        <w:t>Social Issues and Policy Review</w:t>
      </w:r>
      <w:r w:rsidRPr="008B0A41">
        <w:rPr>
          <w:shd w:val="clear" w:color="auto" w:fill="FFFFFF"/>
        </w:rPr>
        <w:t>, </w:t>
      </w:r>
      <w:r w:rsidRPr="008B0A41">
        <w:rPr>
          <w:i/>
          <w:iCs/>
          <w:shd w:val="clear" w:color="auto" w:fill="FFFFFF"/>
        </w:rPr>
        <w:t>14</w:t>
      </w:r>
      <w:r w:rsidRPr="008B0A41">
        <w:rPr>
          <w:shd w:val="clear" w:color="auto" w:fill="FFFFFF"/>
        </w:rPr>
        <w:t>(1), 73-107.</w:t>
      </w:r>
    </w:p>
    <w:p w:rsidR="00991B49" w:rsidRPr="008B0A41" w:rsidRDefault="00991B49" w:rsidP="00A62FFE">
      <w:pPr>
        <w:spacing w:line="360" w:lineRule="auto"/>
        <w:ind w:left="720" w:hanging="720"/>
        <w:rPr>
          <w:shd w:val="clear" w:color="auto" w:fill="FFFFFF"/>
        </w:rPr>
      </w:pPr>
      <w:r w:rsidRPr="008B0A41">
        <w:rPr>
          <w:shd w:val="clear" w:color="auto" w:fill="FFFFFF"/>
        </w:rPr>
        <w:t>Kumanyika, S., &amp; Dietz, W. H. (2020). Solving population-wide obesity-progress and future prospects. </w:t>
      </w:r>
      <w:r w:rsidRPr="008B0A41">
        <w:rPr>
          <w:i/>
          <w:iCs/>
          <w:shd w:val="clear" w:color="auto" w:fill="FFFFFF"/>
        </w:rPr>
        <w:t>N Engl J Med</w:t>
      </w:r>
      <w:r w:rsidRPr="008B0A41">
        <w:rPr>
          <w:shd w:val="clear" w:color="auto" w:fill="FFFFFF"/>
        </w:rPr>
        <w:t>, </w:t>
      </w:r>
      <w:r w:rsidRPr="008B0A41">
        <w:rPr>
          <w:i/>
          <w:iCs/>
          <w:shd w:val="clear" w:color="auto" w:fill="FFFFFF"/>
        </w:rPr>
        <w:t>383</w:t>
      </w:r>
      <w:r w:rsidRPr="008B0A41">
        <w:rPr>
          <w:shd w:val="clear" w:color="auto" w:fill="FFFFFF"/>
        </w:rPr>
        <w:t>(23), 2197-2200.</w:t>
      </w:r>
    </w:p>
    <w:p w:rsidR="00991B49" w:rsidRPr="008B0A41" w:rsidRDefault="00991B49" w:rsidP="00A62FFE">
      <w:pPr>
        <w:spacing w:line="360" w:lineRule="auto"/>
        <w:ind w:left="720" w:hanging="720"/>
        <w:rPr>
          <w:shd w:val="clear" w:color="auto" w:fill="FFFFFF"/>
        </w:rPr>
      </w:pPr>
      <w:r w:rsidRPr="008B0A41">
        <w:rPr>
          <w:shd w:val="clear" w:color="auto" w:fill="FFFFFF"/>
        </w:rPr>
        <w:t>Lang, T., &amp; Heasman, M. (2015). </w:t>
      </w:r>
      <w:r w:rsidRPr="008B0A41">
        <w:rPr>
          <w:i/>
          <w:iCs/>
          <w:shd w:val="clear" w:color="auto" w:fill="FFFFFF"/>
        </w:rPr>
        <w:t>Food wars: the global battle for mouths, minds and markets</w:t>
      </w:r>
      <w:r w:rsidRPr="008B0A41">
        <w:rPr>
          <w:shd w:val="clear" w:color="auto" w:fill="FFFFFF"/>
        </w:rPr>
        <w:t>. Routledge.</w:t>
      </w:r>
    </w:p>
    <w:p w:rsidR="00991B49" w:rsidRPr="008B0A41" w:rsidRDefault="00991B49" w:rsidP="00A62FFE">
      <w:pPr>
        <w:spacing w:line="360" w:lineRule="auto"/>
        <w:ind w:left="720" w:hanging="720"/>
        <w:rPr>
          <w:shd w:val="clear" w:color="auto" w:fill="FFFFFF"/>
        </w:rPr>
      </w:pPr>
      <w:r w:rsidRPr="008B0A41">
        <w:rPr>
          <w:shd w:val="clear" w:color="auto" w:fill="FFFFFF"/>
        </w:rPr>
        <w:t>Lowe, N. M. (2021). The global challenge of hidden hunger: Perspectives from the field. </w:t>
      </w:r>
      <w:r w:rsidRPr="008B0A41">
        <w:rPr>
          <w:i/>
          <w:iCs/>
          <w:shd w:val="clear" w:color="auto" w:fill="FFFFFF"/>
        </w:rPr>
        <w:t>Proceedings of the Nutrition Society</w:t>
      </w:r>
      <w:r w:rsidRPr="008B0A41">
        <w:rPr>
          <w:shd w:val="clear" w:color="auto" w:fill="FFFFFF"/>
        </w:rPr>
        <w:t>, </w:t>
      </w:r>
      <w:r w:rsidRPr="008B0A41">
        <w:rPr>
          <w:i/>
          <w:iCs/>
          <w:shd w:val="clear" w:color="auto" w:fill="FFFFFF"/>
        </w:rPr>
        <w:t>80</w:t>
      </w:r>
      <w:r w:rsidRPr="008B0A41">
        <w:rPr>
          <w:shd w:val="clear" w:color="auto" w:fill="FFFFFF"/>
        </w:rPr>
        <w:t>(3), 283-289.</w:t>
      </w:r>
    </w:p>
    <w:p w:rsidR="00991B49" w:rsidRPr="008B0A41" w:rsidRDefault="00991B49" w:rsidP="00A62FFE">
      <w:pPr>
        <w:spacing w:line="360" w:lineRule="auto"/>
        <w:ind w:left="720" w:hanging="720"/>
        <w:rPr>
          <w:shd w:val="clear" w:color="auto" w:fill="FFFFFF"/>
        </w:rPr>
      </w:pPr>
      <w:r w:rsidRPr="008B0A41">
        <w:rPr>
          <w:shd w:val="clear" w:color="auto" w:fill="FFFFFF"/>
        </w:rPr>
        <w:t>Lusseau, D., &amp; Mancini, F. (2019). Income-based variation in Sustainable Development Goal interaction networks. </w:t>
      </w:r>
      <w:r w:rsidRPr="008B0A41">
        <w:rPr>
          <w:i/>
          <w:iCs/>
          <w:shd w:val="clear" w:color="auto" w:fill="FFFFFF"/>
        </w:rPr>
        <w:t>Nature Sustainability</w:t>
      </w:r>
      <w:r w:rsidRPr="008B0A41">
        <w:rPr>
          <w:shd w:val="clear" w:color="auto" w:fill="FFFFFF"/>
        </w:rPr>
        <w:t>, </w:t>
      </w:r>
      <w:r w:rsidRPr="008B0A41">
        <w:rPr>
          <w:i/>
          <w:iCs/>
          <w:shd w:val="clear" w:color="auto" w:fill="FFFFFF"/>
        </w:rPr>
        <w:t>2</w:t>
      </w:r>
      <w:r w:rsidRPr="008B0A41">
        <w:rPr>
          <w:shd w:val="clear" w:color="auto" w:fill="FFFFFF"/>
        </w:rPr>
        <w:t>(3), 242-247.</w:t>
      </w:r>
    </w:p>
    <w:p w:rsidR="00991B49" w:rsidRPr="008B0A41" w:rsidRDefault="00991B49" w:rsidP="00A62FFE">
      <w:pPr>
        <w:spacing w:line="360" w:lineRule="auto"/>
        <w:ind w:left="720" w:hanging="720"/>
        <w:rPr>
          <w:shd w:val="clear" w:color="auto" w:fill="FFFFFF"/>
        </w:rPr>
      </w:pPr>
      <w:r w:rsidRPr="008B0A41">
        <w:rPr>
          <w:shd w:val="clear" w:color="auto" w:fill="FFFFFF"/>
        </w:rPr>
        <w:t>Luyckx, V. A., Al-Aly, Z., Bello, A. K., Bellorin-Font, E., Carlini, R. G., Fabian, J., ... &amp; Stanifer, J. (2021). Sustainable development goals relevant to kidney health: an update on progress. </w:t>
      </w:r>
      <w:r w:rsidRPr="008B0A41">
        <w:rPr>
          <w:i/>
          <w:iCs/>
          <w:shd w:val="clear" w:color="auto" w:fill="FFFFFF"/>
        </w:rPr>
        <w:t>Nature Reviews Nephrology</w:t>
      </w:r>
      <w:r w:rsidRPr="008B0A41">
        <w:rPr>
          <w:shd w:val="clear" w:color="auto" w:fill="FFFFFF"/>
        </w:rPr>
        <w:t>, </w:t>
      </w:r>
      <w:r w:rsidRPr="008B0A41">
        <w:rPr>
          <w:i/>
          <w:iCs/>
          <w:shd w:val="clear" w:color="auto" w:fill="FFFFFF"/>
        </w:rPr>
        <w:t>17</w:t>
      </w:r>
      <w:r w:rsidRPr="008B0A41">
        <w:rPr>
          <w:shd w:val="clear" w:color="auto" w:fill="FFFFFF"/>
        </w:rPr>
        <w:t>(1), 15-32.</w:t>
      </w:r>
    </w:p>
    <w:p w:rsidR="00991B49" w:rsidRPr="008B0A41" w:rsidRDefault="00991B49" w:rsidP="00A62FFE">
      <w:pPr>
        <w:spacing w:line="360" w:lineRule="auto"/>
        <w:ind w:left="720" w:hanging="720"/>
        <w:rPr>
          <w:shd w:val="clear" w:color="auto" w:fill="FFFFFF"/>
        </w:rPr>
      </w:pPr>
      <w:r w:rsidRPr="008B0A41">
        <w:rPr>
          <w:shd w:val="clear" w:color="auto" w:fill="FFFFFF"/>
        </w:rPr>
        <w:lastRenderedPageBreak/>
        <w:t>McCollum, D. L., Zhou, W., Bertram, C., De Boer, H. S., Bosetti, V., Busch, S., ... &amp; Riahi, K. (2018). Energy investment needs for fulfilling the Paris Agreement and achieving the Sustainable Development Goals. </w:t>
      </w:r>
      <w:r w:rsidRPr="008B0A41">
        <w:rPr>
          <w:i/>
          <w:iCs/>
          <w:shd w:val="clear" w:color="auto" w:fill="FFFFFF"/>
        </w:rPr>
        <w:t>Nature Energy</w:t>
      </w:r>
      <w:r w:rsidRPr="008B0A41">
        <w:rPr>
          <w:shd w:val="clear" w:color="auto" w:fill="FFFFFF"/>
        </w:rPr>
        <w:t>, </w:t>
      </w:r>
      <w:r w:rsidRPr="008B0A41">
        <w:rPr>
          <w:i/>
          <w:iCs/>
          <w:shd w:val="clear" w:color="auto" w:fill="FFFFFF"/>
        </w:rPr>
        <w:t>3</w:t>
      </w:r>
      <w:r w:rsidRPr="008B0A41">
        <w:rPr>
          <w:shd w:val="clear" w:color="auto" w:fill="FFFFFF"/>
        </w:rPr>
        <w:t>(7), 589-599.</w:t>
      </w:r>
    </w:p>
    <w:p w:rsidR="00991B49" w:rsidRPr="008B0A41" w:rsidRDefault="00991B49" w:rsidP="00A62FFE">
      <w:pPr>
        <w:spacing w:line="360" w:lineRule="auto"/>
        <w:ind w:left="720" w:hanging="720"/>
        <w:rPr>
          <w:shd w:val="clear" w:color="auto" w:fill="FFFFFF"/>
        </w:rPr>
      </w:pPr>
      <w:r w:rsidRPr="008B0A41">
        <w:rPr>
          <w:shd w:val="clear" w:color="auto" w:fill="FFFFFF"/>
        </w:rPr>
        <w:t>Morton, S., Pencheon, D., &amp; Squires, N. (2017). Sustainable Development Goals (SDGs), and their implementation: A national global framework for health, development and equity needs a systems approach at every level. </w:t>
      </w:r>
      <w:r w:rsidRPr="008B0A41">
        <w:rPr>
          <w:i/>
          <w:iCs/>
          <w:shd w:val="clear" w:color="auto" w:fill="FFFFFF"/>
        </w:rPr>
        <w:t>British medical bulletin</w:t>
      </w:r>
      <w:r w:rsidRPr="008B0A41">
        <w:rPr>
          <w:shd w:val="clear" w:color="auto" w:fill="FFFFFF"/>
        </w:rPr>
        <w:t>, </w:t>
      </w:r>
      <w:r w:rsidRPr="008B0A41">
        <w:rPr>
          <w:i/>
          <w:iCs/>
          <w:shd w:val="clear" w:color="auto" w:fill="FFFFFF"/>
        </w:rPr>
        <w:t>124</w:t>
      </w:r>
      <w:r w:rsidRPr="008B0A41">
        <w:rPr>
          <w:shd w:val="clear" w:color="auto" w:fill="FFFFFF"/>
        </w:rPr>
        <w:t>(1), 81-90.</w:t>
      </w:r>
    </w:p>
    <w:p w:rsidR="00991B49" w:rsidRPr="008B0A41" w:rsidRDefault="00991B49" w:rsidP="00A62FFE">
      <w:pPr>
        <w:spacing w:line="360" w:lineRule="auto"/>
        <w:ind w:left="720" w:hanging="720"/>
        <w:rPr>
          <w:shd w:val="clear" w:color="auto" w:fill="FFFFFF"/>
        </w:rPr>
      </w:pPr>
      <w:r w:rsidRPr="008B0A41">
        <w:rPr>
          <w:shd w:val="clear" w:color="auto" w:fill="FFFFFF"/>
        </w:rPr>
        <w:t>Müller, T. D., Blüher, M., Tschöp, M. H., &amp; DiMarchi, R. D. (2022). Anti-obesity drug discovery: advances and challenges. </w:t>
      </w:r>
      <w:r w:rsidRPr="008B0A41">
        <w:rPr>
          <w:i/>
          <w:iCs/>
          <w:shd w:val="clear" w:color="auto" w:fill="FFFFFF"/>
        </w:rPr>
        <w:t>Nature Reviews Drug Discovery</w:t>
      </w:r>
      <w:r w:rsidRPr="008B0A41">
        <w:rPr>
          <w:shd w:val="clear" w:color="auto" w:fill="FFFFFF"/>
        </w:rPr>
        <w:t>, </w:t>
      </w:r>
      <w:r w:rsidRPr="008B0A41">
        <w:rPr>
          <w:i/>
          <w:iCs/>
          <w:shd w:val="clear" w:color="auto" w:fill="FFFFFF"/>
        </w:rPr>
        <w:t>21</w:t>
      </w:r>
      <w:r w:rsidRPr="008B0A41">
        <w:rPr>
          <w:shd w:val="clear" w:color="auto" w:fill="FFFFFF"/>
        </w:rPr>
        <w:t>(3), 201-223.</w:t>
      </w:r>
    </w:p>
    <w:p w:rsidR="00991B49" w:rsidRPr="008B0A41" w:rsidRDefault="00991B49" w:rsidP="00A62FFE">
      <w:pPr>
        <w:spacing w:line="360" w:lineRule="auto"/>
        <w:ind w:left="720" w:hanging="720"/>
        <w:rPr>
          <w:shd w:val="clear" w:color="auto" w:fill="FFFFFF"/>
        </w:rPr>
      </w:pPr>
      <w:r w:rsidRPr="008B0A41">
        <w:rPr>
          <w:shd w:val="clear" w:color="auto" w:fill="FFFFFF"/>
        </w:rPr>
        <w:t>Nicholls, E., Ely, A., Birkin, L., Basu, P., &amp; Goulson, D. (2020). The contribution of small-scale food production in urban areas to the sustainable development goals: A review and case study. </w:t>
      </w:r>
      <w:r w:rsidRPr="008B0A41">
        <w:rPr>
          <w:i/>
          <w:iCs/>
          <w:shd w:val="clear" w:color="auto" w:fill="FFFFFF"/>
        </w:rPr>
        <w:t>Sustainability Science</w:t>
      </w:r>
      <w:r w:rsidRPr="008B0A41">
        <w:rPr>
          <w:shd w:val="clear" w:color="auto" w:fill="FFFFFF"/>
        </w:rPr>
        <w:t>, </w:t>
      </w:r>
      <w:r w:rsidRPr="008B0A41">
        <w:rPr>
          <w:i/>
          <w:iCs/>
          <w:shd w:val="clear" w:color="auto" w:fill="FFFFFF"/>
        </w:rPr>
        <w:t>15</w:t>
      </w:r>
      <w:r w:rsidRPr="008B0A41">
        <w:rPr>
          <w:shd w:val="clear" w:color="auto" w:fill="FFFFFF"/>
        </w:rPr>
        <w:t>, 1585-1599.</w:t>
      </w:r>
    </w:p>
    <w:p w:rsidR="00991B49" w:rsidRPr="008B0A41" w:rsidRDefault="00991B49" w:rsidP="00A62FFE">
      <w:pPr>
        <w:spacing w:line="360" w:lineRule="auto"/>
        <w:ind w:left="720" w:hanging="720"/>
        <w:rPr>
          <w:shd w:val="clear" w:color="auto" w:fill="FFFFFF"/>
        </w:rPr>
      </w:pPr>
      <w:r w:rsidRPr="008B0A41">
        <w:rPr>
          <w:shd w:val="clear" w:color="auto" w:fill="FFFFFF"/>
        </w:rPr>
        <w:t>Nilsson, M., Griggs, D., &amp; Visbeck, M. (2016). Policy: map the interactions between Sustainable Development Goals. </w:t>
      </w:r>
      <w:r w:rsidRPr="008B0A41">
        <w:rPr>
          <w:i/>
          <w:iCs/>
          <w:shd w:val="clear" w:color="auto" w:fill="FFFFFF"/>
        </w:rPr>
        <w:t>Nature</w:t>
      </w:r>
      <w:r w:rsidRPr="008B0A41">
        <w:rPr>
          <w:shd w:val="clear" w:color="auto" w:fill="FFFFFF"/>
        </w:rPr>
        <w:t>, </w:t>
      </w:r>
      <w:r w:rsidRPr="008B0A41">
        <w:rPr>
          <w:i/>
          <w:iCs/>
          <w:shd w:val="clear" w:color="auto" w:fill="FFFFFF"/>
        </w:rPr>
        <w:t>534</w:t>
      </w:r>
      <w:r w:rsidRPr="008B0A41">
        <w:rPr>
          <w:shd w:val="clear" w:color="auto" w:fill="FFFFFF"/>
        </w:rPr>
        <w:t>(7607), 320-322.</w:t>
      </w:r>
    </w:p>
    <w:p w:rsidR="00991B49" w:rsidRPr="008B0A41" w:rsidRDefault="00991B49" w:rsidP="00A62FFE">
      <w:pPr>
        <w:spacing w:line="360" w:lineRule="auto"/>
        <w:ind w:left="720" w:hanging="720"/>
        <w:rPr>
          <w:shd w:val="clear" w:color="auto" w:fill="FFFFFF"/>
        </w:rPr>
      </w:pPr>
      <w:r w:rsidRPr="008B0A41">
        <w:rPr>
          <w:shd w:val="clear" w:color="auto" w:fill="FFFFFF"/>
        </w:rPr>
        <w:t>Nunes, A. R., Lee, K., &amp; O'Riordan, T. (2016). The importance of an integrating framework for achieving the Sustainable Development Goals: the example of health and well-being. </w:t>
      </w:r>
      <w:r w:rsidRPr="008B0A41">
        <w:rPr>
          <w:i/>
          <w:iCs/>
          <w:shd w:val="clear" w:color="auto" w:fill="FFFFFF"/>
        </w:rPr>
        <w:t>BMJ global health</w:t>
      </w:r>
      <w:r w:rsidRPr="008B0A41">
        <w:rPr>
          <w:shd w:val="clear" w:color="auto" w:fill="FFFFFF"/>
        </w:rPr>
        <w:t>, </w:t>
      </w:r>
      <w:r w:rsidRPr="008B0A41">
        <w:rPr>
          <w:i/>
          <w:iCs/>
          <w:shd w:val="clear" w:color="auto" w:fill="FFFFFF"/>
        </w:rPr>
        <w:t>1</w:t>
      </w:r>
      <w:r w:rsidRPr="008B0A41">
        <w:rPr>
          <w:shd w:val="clear" w:color="auto" w:fill="FFFFFF"/>
        </w:rPr>
        <w:t>(3), e000068.</w:t>
      </w:r>
    </w:p>
    <w:p w:rsidR="00991B49" w:rsidRPr="008B0A41" w:rsidRDefault="00991B49" w:rsidP="00A62FFE">
      <w:pPr>
        <w:spacing w:line="360" w:lineRule="auto"/>
        <w:ind w:left="720" w:hanging="720"/>
        <w:rPr>
          <w:shd w:val="clear" w:color="auto" w:fill="FFFFFF"/>
        </w:rPr>
      </w:pPr>
      <w:r w:rsidRPr="008B0A41">
        <w:rPr>
          <w:shd w:val="clear" w:color="auto" w:fill="FFFFFF"/>
        </w:rPr>
        <w:t>Otekunrin, O. A., Otekunrin, O. A., Sawicka, B., &amp; Ayinde, I. A. (2020). Three decades of fighting against hunger in Africa: Progress, challenges and opportunities. </w:t>
      </w:r>
      <w:r w:rsidRPr="008B0A41">
        <w:rPr>
          <w:i/>
          <w:iCs/>
          <w:shd w:val="clear" w:color="auto" w:fill="FFFFFF"/>
        </w:rPr>
        <w:t>World Nutrition</w:t>
      </w:r>
      <w:r w:rsidRPr="008B0A41">
        <w:rPr>
          <w:shd w:val="clear" w:color="auto" w:fill="FFFFFF"/>
        </w:rPr>
        <w:t>, </w:t>
      </w:r>
      <w:r w:rsidRPr="008B0A41">
        <w:rPr>
          <w:i/>
          <w:iCs/>
          <w:shd w:val="clear" w:color="auto" w:fill="FFFFFF"/>
        </w:rPr>
        <w:t>11</w:t>
      </w:r>
      <w:r w:rsidRPr="008B0A41">
        <w:rPr>
          <w:shd w:val="clear" w:color="auto" w:fill="FFFFFF"/>
        </w:rPr>
        <w:t>(3), 86-111.</w:t>
      </w:r>
    </w:p>
    <w:p w:rsidR="00991B49" w:rsidRPr="008B0A41" w:rsidRDefault="00991B49" w:rsidP="00A62FFE">
      <w:pPr>
        <w:spacing w:line="360" w:lineRule="auto"/>
        <w:ind w:left="720" w:hanging="720"/>
        <w:rPr>
          <w:shd w:val="clear" w:color="auto" w:fill="FFFFFF"/>
        </w:rPr>
      </w:pPr>
      <w:r w:rsidRPr="008B0A41">
        <w:rPr>
          <w:shd w:val="clear" w:color="auto" w:fill="FFFFFF"/>
        </w:rPr>
        <w:t>Sachs, J. D., Kroll, C., Lafortune, G., Fuller, G., &amp; Woelm, F. (2022). </w:t>
      </w:r>
      <w:r w:rsidRPr="008B0A41">
        <w:rPr>
          <w:i/>
          <w:iCs/>
          <w:shd w:val="clear" w:color="auto" w:fill="FFFFFF"/>
        </w:rPr>
        <w:t>Sustainable development report 2022</w:t>
      </w:r>
      <w:r w:rsidRPr="008B0A41">
        <w:rPr>
          <w:shd w:val="clear" w:color="auto" w:fill="FFFFFF"/>
        </w:rPr>
        <w:t>. Cambridge University Press.</w:t>
      </w:r>
    </w:p>
    <w:p w:rsidR="00991B49" w:rsidRPr="008B0A41" w:rsidRDefault="00991B49" w:rsidP="00A62FFE">
      <w:pPr>
        <w:spacing w:line="360" w:lineRule="auto"/>
        <w:ind w:left="720" w:hanging="720"/>
        <w:rPr>
          <w:shd w:val="clear" w:color="auto" w:fill="FFFFFF"/>
        </w:rPr>
      </w:pPr>
      <w:r w:rsidRPr="008B0A41">
        <w:rPr>
          <w:shd w:val="clear" w:color="auto" w:fill="FFFFFF"/>
        </w:rPr>
        <w:t>Sachs, J. D., Schmidt-Traub, G., Mazzucato, M., Messner, D., Nakicenovic, N., &amp; Rockström, J. (2019). Six transformations to achieve the sustainable development goals. </w:t>
      </w:r>
      <w:r w:rsidRPr="008B0A41">
        <w:rPr>
          <w:i/>
          <w:iCs/>
          <w:shd w:val="clear" w:color="auto" w:fill="FFFFFF"/>
        </w:rPr>
        <w:t>Nature sustainability</w:t>
      </w:r>
      <w:r w:rsidRPr="008B0A41">
        <w:rPr>
          <w:shd w:val="clear" w:color="auto" w:fill="FFFFFF"/>
        </w:rPr>
        <w:t>, </w:t>
      </w:r>
      <w:r w:rsidRPr="008B0A41">
        <w:rPr>
          <w:i/>
          <w:iCs/>
          <w:shd w:val="clear" w:color="auto" w:fill="FFFFFF"/>
        </w:rPr>
        <w:t>2</w:t>
      </w:r>
      <w:r w:rsidRPr="008B0A41">
        <w:rPr>
          <w:shd w:val="clear" w:color="auto" w:fill="FFFFFF"/>
        </w:rPr>
        <w:t>(9), 805-814.</w:t>
      </w:r>
    </w:p>
    <w:p w:rsidR="00991B49" w:rsidRPr="008B0A41" w:rsidRDefault="00991B49" w:rsidP="00A62FFE">
      <w:pPr>
        <w:spacing w:line="360" w:lineRule="auto"/>
        <w:ind w:left="720" w:hanging="720"/>
        <w:rPr>
          <w:shd w:val="clear" w:color="auto" w:fill="FFFFFF"/>
        </w:rPr>
      </w:pPr>
      <w:r w:rsidRPr="008B0A41">
        <w:rPr>
          <w:shd w:val="clear" w:color="auto" w:fill="FFFFFF"/>
        </w:rPr>
        <w:t>Schmidt-Traub, G., Kroll, C., Teksoz, K., Durand-Delacre, D., &amp; Sachs, J. D. (2017). National baselines for the Sustainable Development Goals assessed in the SDG Index and Dashboards. </w:t>
      </w:r>
      <w:r w:rsidRPr="008B0A41">
        <w:rPr>
          <w:i/>
          <w:iCs/>
          <w:shd w:val="clear" w:color="auto" w:fill="FFFFFF"/>
        </w:rPr>
        <w:t>Nature geoscience</w:t>
      </w:r>
      <w:r w:rsidRPr="008B0A41">
        <w:rPr>
          <w:shd w:val="clear" w:color="auto" w:fill="FFFFFF"/>
        </w:rPr>
        <w:t>, </w:t>
      </w:r>
      <w:r w:rsidRPr="008B0A41">
        <w:rPr>
          <w:i/>
          <w:iCs/>
          <w:shd w:val="clear" w:color="auto" w:fill="FFFFFF"/>
        </w:rPr>
        <w:t>10</w:t>
      </w:r>
      <w:r w:rsidRPr="008B0A41">
        <w:rPr>
          <w:shd w:val="clear" w:color="auto" w:fill="FFFFFF"/>
        </w:rPr>
        <w:t>(8), 547-555.</w:t>
      </w:r>
    </w:p>
    <w:p w:rsidR="00991B49" w:rsidRPr="008B0A41" w:rsidRDefault="00991B49" w:rsidP="00A62FFE">
      <w:pPr>
        <w:spacing w:line="360" w:lineRule="auto"/>
        <w:ind w:left="720" w:hanging="720"/>
        <w:rPr>
          <w:shd w:val="clear" w:color="auto" w:fill="FFFFFF"/>
        </w:rPr>
      </w:pPr>
      <w:r w:rsidRPr="008B0A41">
        <w:rPr>
          <w:shd w:val="clear" w:color="auto" w:fill="FFFFFF"/>
        </w:rPr>
        <w:lastRenderedPageBreak/>
        <w:t>Soergel, B., Kriegler, E., Weindl, I., Rauner, S., Dirnaichner, A., Ruhe, C., ... &amp; Popp, A. (2021). A sustainable development pathway for climate action within the UN 2030 Agenda. </w:t>
      </w:r>
      <w:r w:rsidRPr="008B0A41">
        <w:rPr>
          <w:i/>
          <w:iCs/>
          <w:shd w:val="clear" w:color="auto" w:fill="FFFFFF"/>
        </w:rPr>
        <w:t>Nature Climate Change</w:t>
      </w:r>
      <w:r w:rsidRPr="008B0A41">
        <w:rPr>
          <w:shd w:val="clear" w:color="auto" w:fill="FFFFFF"/>
        </w:rPr>
        <w:t>, </w:t>
      </w:r>
      <w:r w:rsidRPr="008B0A41">
        <w:rPr>
          <w:i/>
          <w:iCs/>
          <w:shd w:val="clear" w:color="auto" w:fill="FFFFFF"/>
        </w:rPr>
        <w:t>11</w:t>
      </w:r>
      <w:r w:rsidRPr="008B0A41">
        <w:rPr>
          <w:shd w:val="clear" w:color="auto" w:fill="FFFFFF"/>
        </w:rPr>
        <w:t>(8), 656-664.</w:t>
      </w:r>
    </w:p>
    <w:p w:rsidR="00991B49" w:rsidRPr="008B0A41" w:rsidRDefault="00991B49" w:rsidP="00A62FFE">
      <w:pPr>
        <w:spacing w:line="360" w:lineRule="auto"/>
        <w:ind w:left="720" w:hanging="720"/>
        <w:rPr>
          <w:shd w:val="clear" w:color="auto" w:fill="FFFFFF"/>
        </w:rPr>
      </w:pPr>
      <w:r w:rsidRPr="008B0A41">
        <w:rPr>
          <w:shd w:val="clear" w:color="auto" w:fill="FFFFFF"/>
        </w:rPr>
        <w:t>Swinburn, B. A., Kraak, V. I., Allender, S., Atkins, V. J., Baker, P. I., Bogard, J. R., ... &amp; Dietz, W. H. (2019). The global syndemic of obesity, undernutrition, and climate change: the Lancet Commission report. </w:t>
      </w:r>
      <w:r w:rsidRPr="008B0A41">
        <w:rPr>
          <w:i/>
          <w:iCs/>
          <w:shd w:val="clear" w:color="auto" w:fill="FFFFFF"/>
        </w:rPr>
        <w:t>The lancet</w:t>
      </w:r>
      <w:r w:rsidRPr="008B0A41">
        <w:rPr>
          <w:shd w:val="clear" w:color="auto" w:fill="FFFFFF"/>
        </w:rPr>
        <w:t>, </w:t>
      </w:r>
      <w:r w:rsidRPr="008B0A41">
        <w:rPr>
          <w:i/>
          <w:iCs/>
          <w:shd w:val="clear" w:color="auto" w:fill="FFFFFF"/>
        </w:rPr>
        <w:t>393</w:t>
      </w:r>
      <w:r w:rsidRPr="008B0A41">
        <w:rPr>
          <w:shd w:val="clear" w:color="auto" w:fill="FFFFFF"/>
        </w:rPr>
        <w:t>(10173), 791-846.</w:t>
      </w:r>
    </w:p>
    <w:p w:rsidR="00991B49" w:rsidRPr="008B0A41" w:rsidRDefault="00991B49" w:rsidP="00A62FFE">
      <w:pPr>
        <w:spacing w:line="360" w:lineRule="auto"/>
        <w:ind w:left="720" w:hanging="720"/>
        <w:rPr>
          <w:shd w:val="clear" w:color="auto" w:fill="FFFFFF"/>
        </w:rPr>
      </w:pPr>
      <w:r w:rsidRPr="008B0A41">
        <w:rPr>
          <w:shd w:val="clear" w:color="auto" w:fill="FFFFFF"/>
        </w:rPr>
        <w:t>Swinburn, B., Kraak, V., Rutter, H., Vandevijvere, S., Lobstein, T., Sacks, G., ... &amp; Magnusson, R. (2015). Strengthening of accountability systems to create healthy food environments and reduce global obesity. </w:t>
      </w:r>
      <w:r w:rsidRPr="008B0A41">
        <w:rPr>
          <w:i/>
          <w:iCs/>
          <w:shd w:val="clear" w:color="auto" w:fill="FFFFFF"/>
        </w:rPr>
        <w:t>The Lancet</w:t>
      </w:r>
      <w:r w:rsidRPr="008B0A41">
        <w:rPr>
          <w:shd w:val="clear" w:color="auto" w:fill="FFFFFF"/>
        </w:rPr>
        <w:t>, </w:t>
      </w:r>
      <w:r w:rsidRPr="008B0A41">
        <w:rPr>
          <w:i/>
          <w:iCs/>
          <w:shd w:val="clear" w:color="auto" w:fill="FFFFFF"/>
        </w:rPr>
        <w:t>385</w:t>
      </w:r>
      <w:r w:rsidRPr="008B0A41">
        <w:rPr>
          <w:shd w:val="clear" w:color="auto" w:fill="FFFFFF"/>
        </w:rPr>
        <w:t>(9986), 2534-2545.</w:t>
      </w:r>
    </w:p>
    <w:p w:rsidR="00991B49" w:rsidRPr="008B0A41" w:rsidRDefault="00991B49" w:rsidP="00A62FFE">
      <w:pPr>
        <w:spacing w:line="360" w:lineRule="auto"/>
        <w:ind w:left="720" w:hanging="720"/>
        <w:rPr>
          <w:shd w:val="clear" w:color="auto" w:fill="FFFFFF"/>
        </w:rPr>
      </w:pPr>
      <w:r w:rsidRPr="008B0A41">
        <w:rPr>
          <w:shd w:val="clear" w:color="auto" w:fill="FFFFFF"/>
        </w:rPr>
        <w:t>Szabo, S., Hossain, M. S., Renaud, F., Traore, D., Hussain, A., Matczak, P., ... &amp; Matthews, Z. (2018). Accelerating progress toward the zero hunger goal in cross-boundary climate change hotspots. </w:t>
      </w:r>
      <w:r w:rsidRPr="008B0A41">
        <w:rPr>
          <w:i/>
          <w:iCs/>
          <w:shd w:val="clear" w:color="auto" w:fill="FFFFFF"/>
        </w:rPr>
        <w:t>Environment: science and policy for sustainable development</w:t>
      </w:r>
      <w:r w:rsidRPr="008B0A41">
        <w:rPr>
          <w:shd w:val="clear" w:color="auto" w:fill="FFFFFF"/>
        </w:rPr>
        <w:t>, </w:t>
      </w:r>
      <w:r w:rsidRPr="008B0A41">
        <w:rPr>
          <w:i/>
          <w:iCs/>
          <w:shd w:val="clear" w:color="auto" w:fill="FFFFFF"/>
        </w:rPr>
        <w:t>60</w:t>
      </w:r>
      <w:r w:rsidRPr="008B0A41">
        <w:rPr>
          <w:shd w:val="clear" w:color="auto" w:fill="FFFFFF"/>
        </w:rPr>
        <w:t>(3), 18-27.</w:t>
      </w:r>
    </w:p>
    <w:p w:rsidR="00991B49" w:rsidRPr="008B0A41" w:rsidRDefault="00991B49" w:rsidP="00A62FFE">
      <w:pPr>
        <w:spacing w:line="360" w:lineRule="auto"/>
        <w:ind w:left="720" w:hanging="720"/>
        <w:rPr>
          <w:shd w:val="clear" w:color="auto" w:fill="FFFFFF"/>
        </w:rPr>
      </w:pPr>
      <w:r w:rsidRPr="008B0A41">
        <w:rPr>
          <w:shd w:val="clear" w:color="auto" w:fill="FFFFFF"/>
        </w:rPr>
        <w:t>Van Zanten, J. A., &amp; Van Tulder, R. (2018). Multinational enterprises and the Sustainable Development Goals: An institutional approach to corporate engagement. </w:t>
      </w:r>
      <w:r w:rsidRPr="008B0A41">
        <w:rPr>
          <w:i/>
          <w:iCs/>
          <w:shd w:val="clear" w:color="auto" w:fill="FFFFFF"/>
        </w:rPr>
        <w:t>Journal of International Business Policy</w:t>
      </w:r>
      <w:r w:rsidRPr="008B0A41">
        <w:rPr>
          <w:shd w:val="clear" w:color="auto" w:fill="FFFFFF"/>
        </w:rPr>
        <w:t>, </w:t>
      </w:r>
      <w:r w:rsidRPr="008B0A41">
        <w:rPr>
          <w:i/>
          <w:iCs/>
          <w:shd w:val="clear" w:color="auto" w:fill="FFFFFF"/>
        </w:rPr>
        <w:t>1</w:t>
      </w:r>
      <w:r w:rsidRPr="008B0A41">
        <w:rPr>
          <w:shd w:val="clear" w:color="auto" w:fill="FFFFFF"/>
        </w:rPr>
        <w:t>, 208-233.</w:t>
      </w:r>
    </w:p>
    <w:p w:rsidR="00991B49" w:rsidRPr="008B0A41" w:rsidRDefault="00991B49" w:rsidP="00A62FFE">
      <w:pPr>
        <w:spacing w:line="360" w:lineRule="auto"/>
        <w:ind w:left="720" w:hanging="720"/>
        <w:rPr>
          <w:shd w:val="clear" w:color="auto" w:fill="FFFFFF"/>
        </w:rPr>
      </w:pPr>
      <w:r w:rsidRPr="008B0A41">
        <w:rPr>
          <w:shd w:val="clear" w:color="auto" w:fill="FFFFFF"/>
        </w:rPr>
        <w:t>Xu, Z., Chau, S. N., Chen, X., Zhang, J., Li, Y., Dietz, T., ... &amp; Liu, J. (2020). Assessing progress towards sustainable development over space and time. </w:t>
      </w:r>
      <w:r w:rsidRPr="008B0A41">
        <w:rPr>
          <w:i/>
          <w:iCs/>
          <w:shd w:val="clear" w:color="auto" w:fill="FFFFFF"/>
        </w:rPr>
        <w:t>Nature</w:t>
      </w:r>
      <w:r w:rsidRPr="008B0A41">
        <w:rPr>
          <w:shd w:val="clear" w:color="auto" w:fill="FFFFFF"/>
        </w:rPr>
        <w:t>, </w:t>
      </w:r>
      <w:r w:rsidRPr="008B0A41">
        <w:rPr>
          <w:i/>
          <w:iCs/>
          <w:shd w:val="clear" w:color="auto" w:fill="FFFFFF"/>
        </w:rPr>
        <w:t>577</w:t>
      </w:r>
      <w:r w:rsidRPr="008B0A41">
        <w:rPr>
          <w:shd w:val="clear" w:color="auto" w:fill="FFFFFF"/>
        </w:rPr>
        <w:t>(7788), 74-78.</w:t>
      </w:r>
    </w:p>
    <w:p w:rsidR="00991B49" w:rsidRPr="008B0A41" w:rsidRDefault="00991B49" w:rsidP="00A62FFE">
      <w:pPr>
        <w:spacing w:line="360" w:lineRule="auto"/>
        <w:ind w:left="720" w:hanging="720"/>
        <w:rPr>
          <w:shd w:val="clear" w:color="auto" w:fill="FFFFFF"/>
        </w:rPr>
      </w:pPr>
      <w:r w:rsidRPr="008B0A41">
        <w:rPr>
          <w:shd w:val="clear" w:color="auto" w:fill="FFFFFF"/>
        </w:rPr>
        <w:t>Zeng, Y., Maxwell, S., Runting, R. K., Venter, O., Watson, J. E., &amp; Carrasco, L. R. (2020). Environmental destruction not avoided with the Sustainable Development Goals. </w:t>
      </w:r>
      <w:r w:rsidRPr="008B0A41">
        <w:rPr>
          <w:i/>
          <w:iCs/>
          <w:shd w:val="clear" w:color="auto" w:fill="FFFFFF"/>
        </w:rPr>
        <w:t>Nature Sustainability</w:t>
      </w:r>
      <w:r w:rsidRPr="008B0A41">
        <w:rPr>
          <w:shd w:val="clear" w:color="auto" w:fill="FFFFFF"/>
        </w:rPr>
        <w:t>, </w:t>
      </w:r>
      <w:r w:rsidRPr="008B0A41">
        <w:rPr>
          <w:i/>
          <w:iCs/>
          <w:shd w:val="clear" w:color="auto" w:fill="FFFFFF"/>
        </w:rPr>
        <w:t>3</w:t>
      </w:r>
      <w:r w:rsidRPr="008B0A41">
        <w:rPr>
          <w:shd w:val="clear" w:color="auto" w:fill="FFFFFF"/>
        </w:rPr>
        <w:t>(10), 795-798.</w:t>
      </w:r>
    </w:p>
    <w:p w:rsidR="00C16C50" w:rsidRDefault="00C16C50" w:rsidP="00A62FFE">
      <w:pPr>
        <w:spacing w:line="360" w:lineRule="auto"/>
        <w:rPr>
          <w:rFonts w:ascii="Arial" w:hAnsi="Arial" w:cs="Arial"/>
          <w:color w:val="222222"/>
          <w:shd w:val="clear" w:color="auto" w:fill="FFFFFF"/>
        </w:rPr>
      </w:pPr>
    </w:p>
    <w:p w:rsidR="00C16C50" w:rsidRDefault="00C16C50" w:rsidP="00A62FFE">
      <w:pPr>
        <w:spacing w:line="360" w:lineRule="auto"/>
        <w:rPr>
          <w:rFonts w:ascii="Arial" w:hAnsi="Arial" w:cs="Arial"/>
          <w:color w:val="222222"/>
          <w:shd w:val="clear" w:color="auto" w:fill="FFFFFF"/>
        </w:rPr>
      </w:pPr>
    </w:p>
    <w:p w:rsidR="007818EA" w:rsidRPr="007818EA" w:rsidRDefault="007818EA" w:rsidP="00A62FFE">
      <w:pPr>
        <w:spacing w:line="360" w:lineRule="auto"/>
      </w:pPr>
    </w:p>
    <w:sectPr w:rsidR="007818EA" w:rsidRPr="007818EA" w:rsidSect="00C60168">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017DF" w:rsidRDefault="008017DF" w:rsidP="00C60168">
      <w:pPr>
        <w:spacing w:after="0"/>
      </w:pPr>
      <w:r>
        <w:separator/>
      </w:r>
    </w:p>
  </w:endnote>
  <w:endnote w:type="continuationSeparator" w:id="1">
    <w:p w:rsidR="008017DF" w:rsidRDefault="008017DF" w:rsidP="00C60168">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017DF" w:rsidRDefault="008017DF" w:rsidP="00C60168">
      <w:pPr>
        <w:spacing w:after="0"/>
      </w:pPr>
      <w:r>
        <w:separator/>
      </w:r>
    </w:p>
  </w:footnote>
  <w:footnote w:type="continuationSeparator" w:id="1">
    <w:p w:rsidR="008017DF" w:rsidRDefault="008017DF" w:rsidP="00C60168">
      <w:pPr>
        <w:spacing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196407"/>
      <w:docPartObj>
        <w:docPartGallery w:val="Page Numbers (Top of Page)"/>
        <w:docPartUnique/>
      </w:docPartObj>
    </w:sdtPr>
    <w:sdtContent>
      <w:p w:rsidR="00C60168" w:rsidRDefault="007C4456">
        <w:pPr>
          <w:pStyle w:val="Header"/>
          <w:jc w:val="right"/>
        </w:pPr>
        <w:fldSimple w:instr=" PAGE   \* MERGEFORMAT ">
          <w:r w:rsidR="00542CA0">
            <w:rPr>
              <w:noProof/>
            </w:rPr>
            <w:t>1</w:t>
          </w:r>
        </w:fldSimple>
      </w:p>
    </w:sdtContent>
  </w:sdt>
  <w:p w:rsidR="00C60168" w:rsidRDefault="00C6016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7B409B"/>
    <w:multiLevelType w:val="hybridMultilevel"/>
    <w:tmpl w:val="5D1EA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BB7B1A"/>
    <w:multiLevelType w:val="hybridMultilevel"/>
    <w:tmpl w:val="C0B8D0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CC30FB2"/>
    <w:multiLevelType w:val="hybridMultilevel"/>
    <w:tmpl w:val="9DEC11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80"/>
  <w:defaultTabStop w:val="720"/>
  <w:characterSpacingControl w:val="doNotCompress"/>
  <w:footnotePr>
    <w:footnote w:id="0"/>
    <w:footnote w:id="1"/>
  </w:footnotePr>
  <w:endnotePr>
    <w:endnote w:id="0"/>
    <w:endnote w:id="1"/>
  </w:endnotePr>
  <w:compat/>
  <w:rsids>
    <w:rsidRoot w:val="00C60168"/>
    <w:rsid w:val="000638C2"/>
    <w:rsid w:val="000B32A4"/>
    <w:rsid w:val="000E0BD1"/>
    <w:rsid w:val="0012678F"/>
    <w:rsid w:val="00340EAB"/>
    <w:rsid w:val="003711E9"/>
    <w:rsid w:val="003A38C7"/>
    <w:rsid w:val="003A3D27"/>
    <w:rsid w:val="003E2E78"/>
    <w:rsid w:val="004E6181"/>
    <w:rsid w:val="00503FA1"/>
    <w:rsid w:val="00542CA0"/>
    <w:rsid w:val="0063131D"/>
    <w:rsid w:val="00663F4B"/>
    <w:rsid w:val="006743AD"/>
    <w:rsid w:val="006C0806"/>
    <w:rsid w:val="006C21F2"/>
    <w:rsid w:val="007036C2"/>
    <w:rsid w:val="007818EA"/>
    <w:rsid w:val="007C4456"/>
    <w:rsid w:val="008017DF"/>
    <w:rsid w:val="00824EE7"/>
    <w:rsid w:val="008A669E"/>
    <w:rsid w:val="008B0A41"/>
    <w:rsid w:val="008B60CB"/>
    <w:rsid w:val="008E6918"/>
    <w:rsid w:val="009260B7"/>
    <w:rsid w:val="00991B49"/>
    <w:rsid w:val="009E1143"/>
    <w:rsid w:val="00A33EEA"/>
    <w:rsid w:val="00A46050"/>
    <w:rsid w:val="00A6144B"/>
    <w:rsid w:val="00A62FFE"/>
    <w:rsid w:val="00AA3776"/>
    <w:rsid w:val="00B215CB"/>
    <w:rsid w:val="00B610C7"/>
    <w:rsid w:val="00C16C50"/>
    <w:rsid w:val="00C60168"/>
    <w:rsid w:val="00D5261A"/>
    <w:rsid w:val="00D823D0"/>
    <w:rsid w:val="00E113EE"/>
    <w:rsid w:val="00E17FE2"/>
    <w:rsid w:val="00E567E0"/>
    <w:rsid w:val="00FE78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inorHAnsi" w:hAnsiTheme="majorHAnsi" w:cstheme="maj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3F4B"/>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C60168"/>
    <w:pPr>
      <w:spacing w:before="480" w:after="0"/>
      <w:contextualSpacing/>
      <w:outlineLvl w:val="0"/>
    </w:pPr>
    <w:rPr>
      <w:b/>
      <w:smallCaps/>
      <w:spacing w:val="5"/>
      <w:sz w:val="32"/>
      <w:szCs w:val="36"/>
    </w:rPr>
  </w:style>
  <w:style w:type="paragraph" w:styleId="Heading2">
    <w:name w:val="heading 2"/>
    <w:basedOn w:val="Normal"/>
    <w:next w:val="Normal"/>
    <w:link w:val="Heading2Char"/>
    <w:uiPriority w:val="9"/>
    <w:unhideWhenUsed/>
    <w:qFormat/>
    <w:rsid w:val="00C60168"/>
    <w:pPr>
      <w:spacing w:before="200" w:after="0"/>
      <w:outlineLvl w:val="1"/>
    </w:pPr>
    <w:rPr>
      <w:b/>
      <w:smallCaps/>
      <w:sz w:val="28"/>
      <w:szCs w:val="28"/>
    </w:rPr>
  </w:style>
  <w:style w:type="paragraph" w:styleId="Heading3">
    <w:name w:val="heading 3"/>
    <w:basedOn w:val="Normal"/>
    <w:next w:val="Normal"/>
    <w:link w:val="Heading3Char"/>
    <w:uiPriority w:val="9"/>
    <w:semiHidden/>
    <w:unhideWhenUsed/>
    <w:qFormat/>
    <w:rsid w:val="00663F4B"/>
    <w:pPr>
      <w:spacing w:before="200" w:after="0" w:line="271" w:lineRule="auto"/>
      <w:outlineLvl w:val="2"/>
    </w:pPr>
    <w:rPr>
      <w:rFonts w:asciiTheme="majorHAnsi" w:hAnsiTheme="majorHAnsi"/>
      <w:i/>
      <w:iCs/>
      <w:smallCaps/>
      <w:spacing w:val="5"/>
      <w:sz w:val="26"/>
      <w:szCs w:val="26"/>
    </w:rPr>
  </w:style>
  <w:style w:type="paragraph" w:styleId="Heading4">
    <w:name w:val="heading 4"/>
    <w:basedOn w:val="Normal"/>
    <w:next w:val="Normal"/>
    <w:link w:val="Heading4Char"/>
    <w:uiPriority w:val="9"/>
    <w:semiHidden/>
    <w:unhideWhenUsed/>
    <w:qFormat/>
    <w:rsid w:val="00663F4B"/>
    <w:pPr>
      <w:spacing w:after="0" w:line="271" w:lineRule="auto"/>
      <w:outlineLvl w:val="3"/>
    </w:pPr>
    <w:rPr>
      <w:rFonts w:asciiTheme="majorHAnsi" w:hAnsiTheme="majorHAnsi"/>
      <w:b/>
      <w:bCs/>
      <w:spacing w:val="5"/>
      <w:szCs w:val="24"/>
    </w:rPr>
  </w:style>
  <w:style w:type="paragraph" w:styleId="Heading5">
    <w:name w:val="heading 5"/>
    <w:basedOn w:val="Normal"/>
    <w:next w:val="Normal"/>
    <w:link w:val="Heading5Char"/>
    <w:uiPriority w:val="9"/>
    <w:semiHidden/>
    <w:unhideWhenUsed/>
    <w:qFormat/>
    <w:rsid w:val="00663F4B"/>
    <w:pPr>
      <w:spacing w:after="0" w:line="271" w:lineRule="auto"/>
      <w:outlineLvl w:val="4"/>
    </w:pPr>
    <w:rPr>
      <w:rFonts w:asciiTheme="majorHAnsi" w:hAnsiTheme="majorHAnsi"/>
      <w:i/>
      <w:iCs/>
      <w:szCs w:val="24"/>
    </w:rPr>
  </w:style>
  <w:style w:type="paragraph" w:styleId="Heading6">
    <w:name w:val="heading 6"/>
    <w:basedOn w:val="Normal"/>
    <w:next w:val="Normal"/>
    <w:link w:val="Heading6Char"/>
    <w:uiPriority w:val="9"/>
    <w:semiHidden/>
    <w:unhideWhenUsed/>
    <w:qFormat/>
    <w:rsid w:val="00663F4B"/>
    <w:pPr>
      <w:shd w:val="clear" w:color="auto" w:fill="FFFFFF" w:themeFill="background1"/>
      <w:spacing w:after="0" w:line="271" w:lineRule="auto"/>
      <w:outlineLvl w:val="5"/>
    </w:pPr>
    <w:rPr>
      <w:rFonts w:asciiTheme="majorHAnsi" w:hAnsiTheme="majorHAnsi"/>
      <w:b/>
      <w:bCs/>
      <w:color w:val="595959" w:themeColor="text1" w:themeTint="A6"/>
      <w:spacing w:val="5"/>
      <w:sz w:val="22"/>
    </w:rPr>
  </w:style>
  <w:style w:type="paragraph" w:styleId="Heading7">
    <w:name w:val="heading 7"/>
    <w:basedOn w:val="Normal"/>
    <w:next w:val="Normal"/>
    <w:link w:val="Heading7Char"/>
    <w:uiPriority w:val="9"/>
    <w:semiHidden/>
    <w:unhideWhenUsed/>
    <w:qFormat/>
    <w:rsid w:val="00663F4B"/>
    <w:pPr>
      <w:spacing w:after="0"/>
      <w:outlineLvl w:val="6"/>
    </w:pPr>
    <w:rPr>
      <w:rFonts w:asciiTheme="majorHAnsi" w:hAnsiTheme="majorHAnsi"/>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663F4B"/>
    <w:pPr>
      <w:spacing w:after="0"/>
      <w:outlineLvl w:val="7"/>
    </w:pPr>
    <w:rPr>
      <w:rFonts w:asciiTheme="majorHAnsi" w:hAnsiTheme="majorHAnsi"/>
      <w:b/>
      <w:bCs/>
      <w:color w:val="7F7F7F" w:themeColor="text1" w:themeTint="80"/>
      <w:sz w:val="20"/>
      <w:szCs w:val="20"/>
    </w:rPr>
  </w:style>
  <w:style w:type="paragraph" w:styleId="Heading9">
    <w:name w:val="heading 9"/>
    <w:basedOn w:val="Normal"/>
    <w:next w:val="Normal"/>
    <w:link w:val="Heading9Char"/>
    <w:uiPriority w:val="9"/>
    <w:semiHidden/>
    <w:unhideWhenUsed/>
    <w:qFormat/>
    <w:rsid w:val="00663F4B"/>
    <w:pPr>
      <w:spacing w:after="0" w:line="271" w:lineRule="auto"/>
      <w:outlineLvl w:val="8"/>
    </w:pPr>
    <w:rPr>
      <w:rFonts w:asciiTheme="majorHAnsi" w:hAnsiTheme="majorHAnsi"/>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168"/>
    <w:rPr>
      <w:rFonts w:ascii="Times New Roman" w:hAnsi="Times New Roman"/>
      <w:b/>
      <w:smallCaps/>
      <w:spacing w:val="5"/>
      <w:sz w:val="32"/>
      <w:szCs w:val="36"/>
    </w:rPr>
  </w:style>
  <w:style w:type="character" w:customStyle="1" w:styleId="Heading2Char">
    <w:name w:val="Heading 2 Char"/>
    <w:basedOn w:val="DefaultParagraphFont"/>
    <w:link w:val="Heading2"/>
    <w:uiPriority w:val="9"/>
    <w:rsid w:val="00C60168"/>
    <w:rPr>
      <w:rFonts w:ascii="Times New Roman" w:hAnsi="Times New Roman"/>
      <w:b/>
      <w:smallCaps/>
      <w:sz w:val="28"/>
      <w:szCs w:val="28"/>
    </w:rPr>
  </w:style>
  <w:style w:type="character" w:customStyle="1" w:styleId="Heading3Char">
    <w:name w:val="Heading 3 Char"/>
    <w:basedOn w:val="DefaultParagraphFont"/>
    <w:link w:val="Heading3"/>
    <w:uiPriority w:val="9"/>
    <w:semiHidden/>
    <w:rsid w:val="00663F4B"/>
    <w:rPr>
      <w:i/>
      <w:iCs/>
      <w:smallCaps/>
      <w:spacing w:val="5"/>
      <w:sz w:val="26"/>
      <w:szCs w:val="26"/>
    </w:rPr>
  </w:style>
  <w:style w:type="character" w:customStyle="1" w:styleId="Heading4Char">
    <w:name w:val="Heading 4 Char"/>
    <w:basedOn w:val="DefaultParagraphFont"/>
    <w:link w:val="Heading4"/>
    <w:uiPriority w:val="9"/>
    <w:semiHidden/>
    <w:rsid w:val="00663F4B"/>
    <w:rPr>
      <w:b/>
      <w:bCs/>
      <w:spacing w:val="5"/>
      <w:sz w:val="24"/>
      <w:szCs w:val="24"/>
    </w:rPr>
  </w:style>
  <w:style w:type="character" w:customStyle="1" w:styleId="Heading5Char">
    <w:name w:val="Heading 5 Char"/>
    <w:basedOn w:val="DefaultParagraphFont"/>
    <w:link w:val="Heading5"/>
    <w:uiPriority w:val="9"/>
    <w:semiHidden/>
    <w:rsid w:val="00663F4B"/>
    <w:rPr>
      <w:i/>
      <w:iCs/>
      <w:sz w:val="24"/>
      <w:szCs w:val="24"/>
    </w:rPr>
  </w:style>
  <w:style w:type="character" w:customStyle="1" w:styleId="Heading6Char">
    <w:name w:val="Heading 6 Char"/>
    <w:basedOn w:val="DefaultParagraphFont"/>
    <w:link w:val="Heading6"/>
    <w:uiPriority w:val="9"/>
    <w:semiHidden/>
    <w:rsid w:val="00663F4B"/>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663F4B"/>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663F4B"/>
    <w:rPr>
      <w:b/>
      <w:bCs/>
      <w:color w:val="7F7F7F" w:themeColor="text1" w:themeTint="80"/>
      <w:sz w:val="20"/>
      <w:szCs w:val="20"/>
    </w:rPr>
  </w:style>
  <w:style w:type="character" w:customStyle="1" w:styleId="Heading9Char">
    <w:name w:val="Heading 9 Char"/>
    <w:basedOn w:val="DefaultParagraphFont"/>
    <w:link w:val="Heading9"/>
    <w:uiPriority w:val="9"/>
    <w:semiHidden/>
    <w:rsid w:val="00663F4B"/>
    <w:rPr>
      <w:b/>
      <w:bCs/>
      <w:i/>
      <w:iCs/>
      <w:color w:val="7F7F7F" w:themeColor="text1" w:themeTint="80"/>
      <w:sz w:val="18"/>
      <w:szCs w:val="18"/>
    </w:rPr>
  </w:style>
  <w:style w:type="paragraph" w:styleId="Title">
    <w:name w:val="Title"/>
    <w:basedOn w:val="Normal"/>
    <w:next w:val="Normal"/>
    <w:link w:val="TitleChar"/>
    <w:uiPriority w:val="10"/>
    <w:qFormat/>
    <w:rsid w:val="00663F4B"/>
    <w:pPr>
      <w:spacing w:after="300"/>
      <w:contextualSpacing/>
      <w:jc w:val="center"/>
    </w:pPr>
    <w:rPr>
      <w:b/>
      <w:smallCaps/>
      <w:sz w:val="40"/>
      <w:szCs w:val="52"/>
    </w:rPr>
  </w:style>
  <w:style w:type="character" w:customStyle="1" w:styleId="TitleChar">
    <w:name w:val="Title Char"/>
    <w:basedOn w:val="DefaultParagraphFont"/>
    <w:link w:val="Title"/>
    <w:uiPriority w:val="10"/>
    <w:rsid w:val="00663F4B"/>
    <w:rPr>
      <w:rFonts w:ascii="Times New Roman" w:hAnsi="Times New Roman"/>
      <w:b/>
      <w:smallCaps/>
      <w:sz w:val="40"/>
      <w:szCs w:val="52"/>
    </w:rPr>
  </w:style>
  <w:style w:type="paragraph" w:styleId="Subtitle">
    <w:name w:val="Subtitle"/>
    <w:basedOn w:val="Normal"/>
    <w:next w:val="Normal"/>
    <w:link w:val="SubtitleChar"/>
    <w:uiPriority w:val="11"/>
    <w:qFormat/>
    <w:rsid w:val="00663F4B"/>
    <w:rPr>
      <w:rFonts w:asciiTheme="majorHAnsi" w:hAnsiTheme="majorHAnsi"/>
      <w:i/>
      <w:iCs/>
      <w:smallCaps/>
      <w:spacing w:val="10"/>
      <w:sz w:val="28"/>
      <w:szCs w:val="28"/>
    </w:rPr>
  </w:style>
  <w:style w:type="character" w:customStyle="1" w:styleId="SubtitleChar">
    <w:name w:val="Subtitle Char"/>
    <w:basedOn w:val="DefaultParagraphFont"/>
    <w:link w:val="Subtitle"/>
    <w:uiPriority w:val="11"/>
    <w:rsid w:val="00663F4B"/>
    <w:rPr>
      <w:i/>
      <w:iCs/>
      <w:smallCaps/>
      <w:spacing w:val="10"/>
      <w:sz w:val="28"/>
      <w:szCs w:val="28"/>
    </w:rPr>
  </w:style>
  <w:style w:type="character" w:styleId="Strong">
    <w:name w:val="Strong"/>
    <w:uiPriority w:val="22"/>
    <w:qFormat/>
    <w:rsid w:val="00663F4B"/>
    <w:rPr>
      <w:b/>
      <w:bCs/>
    </w:rPr>
  </w:style>
  <w:style w:type="character" w:styleId="Emphasis">
    <w:name w:val="Emphasis"/>
    <w:uiPriority w:val="20"/>
    <w:qFormat/>
    <w:rsid w:val="00663F4B"/>
    <w:rPr>
      <w:b/>
      <w:bCs/>
      <w:i/>
      <w:iCs/>
      <w:spacing w:val="10"/>
    </w:rPr>
  </w:style>
  <w:style w:type="paragraph" w:styleId="NoSpacing">
    <w:name w:val="No Spacing"/>
    <w:basedOn w:val="Normal"/>
    <w:uiPriority w:val="1"/>
    <w:qFormat/>
    <w:rsid w:val="00663F4B"/>
    <w:pPr>
      <w:spacing w:after="0"/>
    </w:pPr>
  </w:style>
  <w:style w:type="paragraph" w:styleId="ListParagraph">
    <w:name w:val="List Paragraph"/>
    <w:basedOn w:val="Normal"/>
    <w:uiPriority w:val="34"/>
    <w:qFormat/>
    <w:rsid w:val="00663F4B"/>
    <w:pPr>
      <w:ind w:left="720"/>
      <w:contextualSpacing/>
    </w:pPr>
  </w:style>
  <w:style w:type="paragraph" w:styleId="Quote">
    <w:name w:val="Quote"/>
    <w:basedOn w:val="Normal"/>
    <w:next w:val="Normal"/>
    <w:link w:val="QuoteChar"/>
    <w:uiPriority w:val="29"/>
    <w:qFormat/>
    <w:rsid w:val="00663F4B"/>
    <w:rPr>
      <w:rFonts w:asciiTheme="majorHAnsi" w:hAnsiTheme="majorHAnsi"/>
      <w:i/>
      <w:iCs/>
      <w:sz w:val="22"/>
    </w:rPr>
  </w:style>
  <w:style w:type="character" w:customStyle="1" w:styleId="QuoteChar">
    <w:name w:val="Quote Char"/>
    <w:basedOn w:val="DefaultParagraphFont"/>
    <w:link w:val="Quote"/>
    <w:uiPriority w:val="29"/>
    <w:rsid w:val="00663F4B"/>
    <w:rPr>
      <w:i/>
      <w:iCs/>
    </w:rPr>
  </w:style>
  <w:style w:type="paragraph" w:styleId="IntenseQuote">
    <w:name w:val="Intense Quote"/>
    <w:basedOn w:val="Normal"/>
    <w:next w:val="Normal"/>
    <w:link w:val="IntenseQuoteChar"/>
    <w:uiPriority w:val="30"/>
    <w:qFormat/>
    <w:rsid w:val="00663F4B"/>
    <w:pPr>
      <w:pBdr>
        <w:top w:val="single" w:sz="4" w:space="10" w:color="auto"/>
        <w:bottom w:val="single" w:sz="4" w:space="10" w:color="auto"/>
      </w:pBdr>
      <w:spacing w:before="240" w:after="240" w:line="300" w:lineRule="auto"/>
      <w:ind w:left="1152" w:right="1152"/>
    </w:pPr>
    <w:rPr>
      <w:rFonts w:asciiTheme="majorHAnsi" w:hAnsiTheme="majorHAnsi"/>
      <w:i/>
      <w:iCs/>
      <w:sz w:val="22"/>
    </w:rPr>
  </w:style>
  <w:style w:type="character" w:customStyle="1" w:styleId="IntenseQuoteChar">
    <w:name w:val="Intense Quote Char"/>
    <w:basedOn w:val="DefaultParagraphFont"/>
    <w:link w:val="IntenseQuote"/>
    <w:uiPriority w:val="30"/>
    <w:rsid w:val="00663F4B"/>
    <w:rPr>
      <w:i/>
      <w:iCs/>
    </w:rPr>
  </w:style>
  <w:style w:type="character" w:styleId="SubtleEmphasis">
    <w:name w:val="Subtle Emphasis"/>
    <w:uiPriority w:val="19"/>
    <w:qFormat/>
    <w:rsid w:val="00663F4B"/>
    <w:rPr>
      <w:i/>
      <w:iCs/>
    </w:rPr>
  </w:style>
  <w:style w:type="character" w:styleId="IntenseEmphasis">
    <w:name w:val="Intense Emphasis"/>
    <w:uiPriority w:val="21"/>
    <w:qFormat/>
    <w:rsid w:val="00663F4B"/>
    <w:rPr>
      <w:b/>
      <w:bCs/>
      <w:i/>
      <w:iCs/>
    </w:rPr>
  </w:style>
  <w:style w:type="character" w:styleId="SubtleReference">
    <w:name w:val="Subtle Reference"/>
    <w:basedOn w:val="DefaultParagraphFont"/>
    <w:uiPriority w:val="31"/>
    <w:qFormat/>
    <w:rsid w:val="00663F4B"/>
    <w:rPr>
      <w:smallCaps/>
    </w:rPr>
  </w:style>
  <w:style w:type="character" w:styleId="IntenseReference">
    <w:name w:val="Intense Reference"/>
    <w:uiPriority w:val="32"/>
    <w:qFormat/>
    <w:rsid w:val="00663F4B"/>
    <w:rPr>
      <w:b/>
      <w:bCs/>
      <w:smallCaps/>
    </w:rPr>
  </w:style>
  <w:style w:type="character" w:styleId="BookTitle">
    <w:name w:val="Book Title"/>
    <w:basedOn w:val="DefaultParagraphFont"/>
    <w:uiPriority w:val="33"/>
    <w:qFormat/>
    <w:rsid w:val="00663F4B"/>
    <w:rPr>
      <w:i/>
      <w:iCs/>
      <w:smallCaps/>
      <w:spacing w:val="5"/>
    </w:rPr>
  </w:style>
  <w:style w:type="paragraph" w:styleId="TOCHeading">
    <w:name w:val="TOC Heading"/>
    <w:basedOn w:val="Heading1"/>
    <w:next w:val="Normal"/>
    <w:uiPriority w:val="39"/>
    <w:semiHidden/>
    <w:unhideWhenUsed/>
    <w:qFormat/>
    <w:rsid w:val="00663F4B"/>
    <w:pPr>
      <w:outlineLvl w:val="9"/>
    </w:pPr>
  </w:style>
  <w:style w:type="paragraph" w:styleId="Header">
    <w:name w:val="header"/>
    <w:basedOn w:val="Normal"/>
    <w:link w:val="HeaderChar"/>
    <w:uiPriority w:val="99"/>
    <w:unhideWhenUsed/>
    <w:rsid w:val="00C60168"/>
    <w:pPr>
      <w:tabs>
        <w:tab w:val="center" w:pos="4680"/>
        <w:tab w:val="right" w:pos="9360"/>
      </w:tabs>
      <w:spacing w:after="0"/>
    </w:pPr>
  </w:style>
  <w:style w:type="character" w:customStyle="1" w:styleId="HeaderChar">
    <w:name w:val="Header Char"/>
    <w:basedOn w:val="DefaultParagraphFont"/>
    <w:link w:val="Header"/>
    <w:uiPriority w:val="99"/>
    <w:rsid w:val="00C60168"/>
    <w:rPr>
      <w:rFonts w:ascii="Times New Roman" w:hAnsi="Times New Roman"/>
      <w:sz w:val="24"/>
    </w:rPr>
  </w:style>
  <w:style w:type="paragraph" w:styleId="Footer">
    <w:name w:val="footer"/>
    <w:basedOn w:val="Normal"/>
    <w:link w:val="FooterChar"/>
    <w:uiPriority w:val="99"/>
    <w:semiHidden/>
    <w:unhideWhenUsed/>
    <w:rsid w:val="00C60168"/>
    <w:pPr>
      <w:tabs>
        <w:tab w:val="center" w:pos="4680"/>
        <w:tab w:val="right" w:pos="9360"/>
      </w:tabs>
      <w:spacing w:after="0"/>
    </w:pPr>
  </w:style>
  <w:style w:type="character" w:customStyle="1" w:styleId="FooterChar">
    <w:name w:val="Footer Char"/>
    <w:basedOn w:val="DefaultParagraphFont"/>
    <w:link w:val="Footer"/>
    <w:uiPriority w:val="99"/>
    <w:semiHidden/>
    <w:rsid w:val="00C60168"/>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4378BB-7C36-4369-BB85-63FE30C4E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22</Pages>
  <Words>6827</Words>
  <Characters>38919</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WORD 2007</dc:creator>
  <cp:lastModifiedBy>MS WORD 2007</cp:lastModifiedBy>
  <cp:revision>7</cp:revision>
  <dcterms:created xsi:type="dcterms:W3CDTF">2023-07-27T16:05:00Z</dcterms:created>
  <dcterms:modified xsi:type="dcterms:W3CDTF">2023-07-28T11:42:00Z</dcterms:modified>
</cp:coreProperties>
</file>