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5B9" w:rsidRPr="008E25B9" w:rsidRDefault="008E25B9" w:rsidP="008E25B9">
      <w:pPr>
        <w:spacing w:after="0" w:line="240" w:lineRule="auto"/>
        <w:jc w:val="right"/>
        <w:rPr>
          <w:rFonts w:ascii="Arial" w:eastAsia="Times New Roman" w:hAnsi="Arial" w:cs="Arial"/>
          <w:b/>
          <w:sz w:val="28"/>
          <w:szCs w:val="28"/>
          <w:lang w:eastAsia="en-GB"/>
        </w:rPr>
      </w:pPr>
      <w:r w:rsidRPr="008E25B9">
        <w:rPr>
          <w:rFonts w:eastAsia="Times New Roman" w:cs="Times New Roman"/>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5B9">
        <w:rPr>
          <w:rFonts w:ascii="Arial" w:eastAsia="Times New Roman" w:hAnsi="Arial" w:cs="Arial"/>
          <w:sz w:val="20"/>
          <w:szCs w:val="20"/>
          <w:lang w:eastAsia="en-GB"/>
        </w:rPr>
        <w:t xml:space="preserve"> </w:t>
      </w:r>
      <w:r w:rsidRPr="008E25B9">
        <w:rPr>
          <w:rFonts w:ascii="Arial" w:eastAsia="Times New Roman" w:hAnsi="Arial" w:cs="Arial"/>
          <w:sz w:val="20"/>
          <w:szCs w:val="20"/>
          <w:lang w:eastAsia="en-GB"/>
        </w:rPr>
        <w:br w:type="textWrapping" w:clear="all"/>
      </w:r>
      <w:r w:rsidRPr="008E25B9">
        <w:rPr>
          <w:rFonts w:ascii="Arial" w:eastAsia="Times New Roman" w:hAnsi="Arial" w:cs="Arial"/>
          <w:b/>
          <w:sz w:val="28"/>
          <w:szCs w:val="28"/>
          <w:lang w:eastAsia="en-GB"/>
        </w:rPr>
        <w:t>APPENDIX GA36b</w:t>
      </w:r>
    </w:p>
    <w:p w:rsidR="008E25B9" w:rsidRPr="008E25B9" w:rsidRDefault="008E25B9" w:rsidP="008E25B9">
      <w:pPr>
        <w:spacing w:after="0" w:line="240" w:lineRule="auto"/>
        <w:rPr>
          <w:rFonts w:ascii="Arial" w:eastAsia="Times New Roman" w:hAnsi="Arial" w:cs="Arial"/>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4"/>
      </w:tblGrid>
      <w:tr w:rsidR="008E25B9" w:rsidRPr="008E25B9" w:rsidTr="008E25B9">
        <w:tc>
          <w:tcPr>
            <w:tcW w:w="8624" w:type="dxa"/>
            <w:shd w:val="clear" w:color="auto" w:fill="C0C0C0"/>
          </w:tcPr>
          <w:p w:rsidR="008E25B9" w:rsidRPr="008E25B9" w:rsidRDefault="008E25B9" w:rsidP="008E25B9">
            <w:pPr>
              <w:keepNext/>
              <w:spacing w:before="120" w:after="120" w:line="240" w:lineRule="auto"/>
              <w:jc w:val="center"/>
              <w:outlineLvl w:val="3"/>
              <w:rPr>
                <w:rFonts w:ascii="Arial" w:eastAsia="Times New Roman" w:hAnsi="Arial" w:cs="Arial"/>
                <w:b/>
                <w:sz w:val="40"/>
                <w:szCs w:val="20"/>
                <w:lang w:eastAsia="en-GB"/>
              </w:rPr>
            </w:pPr>
            <w:r w:rsidRPr="008E25B9">
              <w:rPr>
                <w:rFonts w:ascii="Arial" w:eastAsia="Times New Roman" w:hAnsi="Arial" w:cs="Arial"/>
                <w:b/>
                <w:sz w:val="40"/>
                <w:szCs w:val="20"/>
                <w:lang w:eastAsia="en-GB"/>
              </w:rPr>
              <w:t xml:space="preserve">LEVEL 5 ASSESSMENT SPECIFICATION </w:t>
            </w:r>
          </w:p>
        </w:tc>
      </w:tr>
    </w:tbl>
    <w:p w:rsidR="008E25B9" w:rsidRPr="008E25B9" w:rsidRDefault="008E25B9" w:rsidP="008E25B9">
      <w:pPr>
        <w:spacing w:after="0" w:line="240" w:lineRule="auto"/>
        <w:jc w:val="center"/>
        <w:rPr>
          <w:rFonts w:ascii="Arial" w:eastAsia="Times New Roman" w:hAnsi="Arial" w:cs="Arial"/>
          <w:b/>
          <w:i/>
          <w:sz w:val="32"/>
          <w:szCs w:val="20"/>
          <w:lang w:eastAsia="en-GB"/>
        </w:rPr>
      </w:pPr>
    </w:p>
    <w:tbl>
      <w:tblPr>
        <w:tblW w:w="99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Student name:</w:t>
            </w:r>
          </w:p>
        </w:tc>
        <w:tc>
          <w:tcPr>
            <w:tcW w:w="3303" w:type="dxa"/>
          </w:tcPr>
          <w:p w:rsidR="008E25B9" w:rsidRPr="008E25B9" w:rsidRDefault="008E25B9" w:rsidP="008E25B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David GRIFFITHS</w:t>
            </w:r>
          </w:p>
        </w:tc>
        <w:tc>
          <w:tcPr>
            <w:tcW w:w="2275" w:type="dxa"/>
            <w:shd w:val="clear" w:color="auto" w:fill="D9D9D9" w:themeFill="background1" w:themeFillShade="D9"/>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Student ID number:</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1815837</w:t>
            </w: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Programme:</w:t>
            </w:r>
          </w:p>
        </w:tc>
        <w:tc>
          <w:tcPr>
            <w:tcW w:w="7853" w:type="dxa"/>
            <w:gridSpan w:val="3"/>
          </w:tcPr>
          <w:p w:rsidR="008E25B9" w:rsidRPr="008E25B9" w:rsidRDefault="008E25B9" w:rsidP="008E25B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Police Constable Degree Apprenticeship </w:t>
            </w: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Module:</w:t>
            </w:r>
          </w:p>
        </w:tc>
        <w:tc>
          <w:tcPr>
            <w:tcW w:w="7853" w:type="dxa"/>
            <w:gridSpan w:val="3"/>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 xml:space="preserve">Operational Policing Practice 2 </w:t>
            </w: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Module code:</w:t>
            </w:r>
          </w:p>
        </w:tc>
        <w:tc>
          <w:tcPr>
            <w:tcW w:w="3303" w:type="dxa"/>
          </w:tcPr>
          <w:p w:rsidR="008E25B9" w:rsidRPr="008E25B9" w:rsidRDefault="008E25B9" w:rsidP="008E25B9">
            <w:pPr>
              <w:spacing w:before="120" w:after="120" w:line="240" w:lineRule="auto"/>
              <w:jc w:val="both"/>
              <w:rPr>
                <w:rFonts w:ascii="Arial" w:eastAsia="Times New Roman" w:hAnsi="Arial" w:cs="Arial"/>
                <w:b/>
                <w:lang w:eastAsia="en-GB"/>
              </w:rPr>
            </w:pPr>
            <w:bookmarkStart w:id="0" w:name="_GoBack"/>
            <w:r w:rsidRPr="008E25B9">
              <w:rPr>
                <w:rFonts w:ascii="Arial" w:eastAsia="Times New Roman" w:hAnsi="Arial" w:cs="Arial"/>
                <w:b/>
                <w:lang w:eastAsia="en-GB"/>
              </w:rPr>
              <w:t>BMPP5002D</w:t>
            </w:r>
            <w:bookmarkEnd w:id="0"/>
          </w:p>
        </w:tc>
        <w:tc>
          <w:tcPr>
            <w:tcW w:w="2275" w:type="dxa"/>
            <w:shd w:val="clear" w:color="auto" w:fill="D9D9D9" w:themeFill="background1" w:themeFillShade="D9"/>
          </w:tcPr>
          <w:p w:rsidR="008E25B9" w:rsidRPr="008E25B9" w:rsidRDefault="008E25B9" w:rsidP="008E25B9">
            <w:pPr>
              <w:keepNext/>
              <w:spacing w:after="0" w:line="240" w:lineRule="auto"/>
              <w:jc w:val="both"/>
              <w:outlineLvl w:val="1"/>
              <w:rPr>
                <w:rFonts w:ascii="Arial" w:eastAsia="Times New Roman" w:hAnsi="Arial" w:cs="Arial"/>
                <w:b/>
                <w:lang w:eastAsia="en-GB"/>
              </w:rPr>
            </w:pPr>
            <w:r w:rsidRPr="008E25B9">
              <w:rPr>
                <w:rFonts w:ascii="Arial" w:eastAsia="Times New Roman" w:hAnsi="Arial" w:cs="Arial"/>
                <w:b/>
                <w:lang w:eastAsia="en-GB"/>
              </w:rPr>
              <w:t>Contribution to Overall Module Assessment (%):</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50%</w:t>
            </w: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p>
        </w:tc>
        <w:tc>
          <w:tcPr>
            <w:tcW w:w="3303" w:type="dxa"/>
          </w:tcPr>
          <w:p w:rsidR="008E25B9" w:rsidRPr="008E25B9" w:rsidRDefault="008E25B9" w:rsidP="008E25B9">
            <w:pPr>
              <w:spacing w:before="120" w:after="120" w:line="240" w:lineRule="auto"/>
              <w:jc w:val="both"/>
              <w:rPr>
                <w:rFonts w:ascii="Arial" w:eastAsia="Times New Roman" w:hAnsi="Arial" w:cs="Arial"/>
                <w:b/>
                <w:lang w:eastAsia="en-GB"/>
              </w:rPr>
            </w:pPr>
          </w:p>
        </w:tc>
        <w:tc>
          <w:tcPr>
            <w:tcW w:w="2275" w:type="dxa"/>
            <w:shd w:val="clear" w:color="auto" w:fill="D9D9D9" w:themeFill="background1" w:themeFillShade="D9"/>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Internal Verifier:</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Assignment Title:</w:t>
            </w:r>
          </w:p>
        </w:tc>
        <w:tc>
          <w:tcPr>
            <w:tcW w:w="3303"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Assignment 2</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Word count (or equivalent):</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4000 Words</w:t>
            </w:r>
          </w:p>
        </w:tc>
      </w:tr>
      <w:tr w:rsidR="008E25B9" w:rsidRPr="008E25B9" w:rsidTr="008E25B9">
        <w:tc>
          <w:tcPr>
            <w:tcW w:w="2098"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Submission deadline:</w:t>
            </w:r>
          </w:p>
        </w:tc>
        <w:tc>
          <w:tcPr>
            <w:tcW w:w="3303"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11</w:t>
            </w:r>
            <w:r w:rsidRPr="008E25B9">
              <w:rPr>
                <w:rFonts w:ascii="Arial" w:eastAsia="Times New Roman" w:hAnsi="Arial" w:cs="Arial"/>
                <w:b/>
                <w:vertAlign w:val="superscript"/>
                <w:lang w:eastAsia="en-GB"/>
              </w:rPr>
              <w:t>th</w:t>
            </w:r>
            <w:r w:rsidRPr="008E25B9">
              <w:rPr>
                <w:rFonts w:ascii="Arial" w:eastAsia="Times New Roman" w:hAnsi="Arial" w:cs="Arial"/>
                <w:b/>
                <w:lang w:eastAsia="en-GB"/>
              </w:rPr>
              <w:t xml:space="preserve"> January 2021</w:t>
            </w:r>
          </w:p>
        </w:tc>
        <w:tc>
          <w:tcPr>
            <w:tcW w:w="2275" w:type="dxa"/>
          </w:tcPr>
          <w:p w:rsidR="008E25B9" w:rsidRPr="008E25B9" w:rsidRDefault="008E25B9" w:rsidP="008E25B9">
            <w:pPr>
              <w:spacing w:before="120" w:after="120" w:line="240" w:lineRule="auto"/>
              <w:jc w:val="both"/>
              <w:rPr>
                <w:rFonts w:ascii="Arial" w:eastAsia="Times New Roman" w:hAnsi="Arial" w:cs="Arial"/>
                <w:b/>
                <w:lang w:eastAsia="en-GB"/>
              </w:rPr>
            </w:pPr>
            <w:r w:rsidRPr="008E25B9">
              <w:rPr>
                <w:rFonts w:ascii="Arial" w:eastAsia="Times New Roman" w:hAnsi="Arial" w:cs="Arial"/>
                <w:b/>
                <w:lang w:eastAsia="en-GB"/>
              </w:rPr>
              <w:t>Return date of provisional marks &amp; written feedback:</w:t>
            </w:r>
          </w:p>
        </w:tc>
        <w:tc>
          <w:tcPr>
            <w:tcW w:w="2275" w:type="dxa"/>
          </w:tcPr>
          <w:p w:rsidR="008E25B9" w:rsidRPr="008E25B9" w:rsidRDefault="008E25B9" w:rsidP="008E25B9">
            <w:pPr>
              <w:spacing w:before="120" w:after="120" w:line="240" w:lineRule="auto"/>
              <w:jc w:val="both"/>
              <w:rPr>
                <w:rFonts w:ascii="Arial" w:eastAsia="Times New Roman" w:hAnsi="Arial" w:cs="Arial"/>
                <w:b/>
                <w:bCs/>
                <w:lang w:eastAsia="en-GB"/>
              </w:rPr>
            </w:pPr>
            <w:r w:rsidRPr="008E25B9">
              <w:rPr>
                <w:rFonts w:ascii="Arial" w:eastAsia="Times New Roman" w:hAnsi="Arial" w:cs="Arial"/>
                <w:b/>
                <w:bCs/>
                <w:lang w:eastAsia="en-GB"/>
              </w:rPr>
              <w:t>20 working days</w:t>
            </w:r>
          </w:p>
        </w:tc>
      </w:tr>
    </w:tbl>
    <w:p w:rsidR="00955EA8" w:rsidRDefault="008E25B9"/>
    <w:p w:rsidR="008E25B9" w:rsidRDefault="008E25B9">
      <w:pPr>
        <w:rPr>
          <w:b/>
          <w:u w:val="single"/>
        </w:rPr>
      </w:pPr>
      <w:r w:rsidRPr="008E25B9">
        <w:rPr>
          <w:b/>
          <w:u w:val="single"/>
        </w:rPr>
        <w:t xml:space="preserve">Title 1 </w:t>
      </w:r>
    </w:p>
    <w:p w:rsidR="008E25B9" w:rsidRPr="008E25B9" w:rsidRDefault="008E25B9" w:rsidP="008E25B9">
      <w:pPr>
        <w:spacing w:line="480" w:lineRule="auto"/>
        <w:rPr>
          <w:rFonts w:eastAsia="Times New Roman" w:cs="Times New Roman"/>
        </w:rPr>
      </w:pPr>
      <w:r w:rsidRPr="008E25B9">
        <w:rPr>
          <w:rFonts w:eastAsia="Times New Roman" w:cs="Times New Roman"/>
        </w:rPr>
        <w:t>Community engagement can be defined as ‘the process of enabling the participation of citizens and communities in policing’ (</w:t>
      </w:r>
      <w:proofErr w:type="spellStart"/>
      <w:r w:rsidRPr="008E25B9">
        <w:rPr>
          <w:rFonts w:eastAsia="Times New Roman" w:cs="Times New Roman"/>
        </w:rPr>
        <w:t>Myhill</w:t>
      </w:r>
      <w:proofErr w:type="spellEnd"/>
      <w:r w:rsidRPr="008E25B9">
        <w:rPr>
          <w:rFonts w:eastAsia="Times New Roman" w:cs="Times New Roman"/>
        </w:rPr>
        <w:t xml:space="preserve">, 2006). There have been a number of events that have had a damaging effect on community engagement with the police, ranging from the Stephen Lawrence investigation in 1993, Fiona Pilkington in 2007, and most recently George Floyd in 2020, the latter having effecting police services internationally as well as in America where the incident occurred. What all three of these incident shave in common is that they relate to the trust and effectiveness of the police, </w:t>
      </w:r>
      <w:proofErr w:type="spellStart"/>
      <w:r w:rsidRPr="008E25B9">
        <w:rPr>
          <w:rFonts w:eastAsia="Times New Roman" w:cs="Times New Roman"/>
        </w:rPr>
        <w:t>Myhill</w:t>
      </w:r>
      <w:proofErr w:type="spellEnd"/>
      <w:r w:rsidRPr="008E25B9">
        <w:rPr>
          <w:rFonts w:eastAsia="Times New Roman" w:cs="Times New Roman"/>
        </w:rPr>
        <w:t xml:space="preserve"> (2006) stated that ‘the police should not underestimate the effect of previous poor relations, especially with minority communities’.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The Stephen Lawrence investigations had a profound impact on policing. The subsequent Macpherson Report (1999) found that the Metropolitan Police was institutionally racist. The </w:t>
      </w:r>
      <w:r w:rsidRPr="008E25B9">
        <w:rPr>
          <w:rFonts w:eastAsia="Times New Roman" w:cs="Times New Roman"/>
        </w:rPr>
        <w:lastRenderedPageBreak/>
        <w:t xml:space="preserve">communities had these views prior to the report being published, however the report confirmed what the communities believed. If the communities feel that the police are untrustworthy and unethical they will be less likely to engage with officers.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Similarly, the George Floyd incident which took place in the United States, had repercussions across the world in the way of the black lives matter movement. What this movement exposed is that there have been a number of incidents involving minority members of the community who have come to harm at the hands of police officers, again, leading to a distrust of officers who act unlawfully. Although not all officers fall within this bracket it leads to members of the community not wanting to engage with officers believing they are being unfairly and disproportionately treated by the police. In 2020, Sir Thomas Winsor, Her Majesty’s Chief Inspector of Constabulary, said disproportionate treatment especially towards black men would lead to resentment towards officers (BBC, 2020).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When we look at a case such as Fiona Pilkington we can see why communities would not engage with police, as they may feel they are not being listened to or taken seriously. Fiona Pilkington killed herself and her daughter following making numerous calls to police regarding on-going antisocial behaviour from a group of youths. ‘Leicester Police failed investigate these reports causing Fiona to carry out the actions she did’ (The Guardian, 2011). What a case like this could tell members of the public is that what is perhaps not seen as a priority or high profile crime may appear to be unworthy of a police response and members of the community may ask themselves why and be unwilling to engage with police either as victims, witnesses or intelligence sources.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What both of these events show is that from previous incidents where a minority of police officers have acted in a manner in which the public may see them as unapproachable or if officers appear disinterested then the public is less likely to engage which could lead to cries going unreported, vulnerable people exploited and communities. The lack of engagement can also lead to missed opportunities in obtaining and developing intelligence which allows criminality to operate and take place within communities. </w:t>
      </w:r>
    </w:p>
    <w:p w:rsidR="008E25B9" w:rsidRPr="008E25B9" w:rsidRDefault="008E25B9" w:rsidP="008E25B9">
      <w:pPr>
        <w:spacing w:line="480" w:lineRule="auto"/>
        <w:rPr>
          <w:rFonts w:eastAsia="Times New Roman" w:cs="Times New Roman"/>
        </w:rPr>
      </w:pPr>
      <w:r w:rsidRPr="008E25B9">
        <w:rPr>
          <w:rFonts w:eastAsia="Times New Roman" w:cs="Times New Roman"/>
        </w:rPr>
        <w:lastRenderedPageBreak/>
        <w:t xml:space="preserve">‘Community cohesion is the ability for communities to function in harmony together rather than in conflict’ (Wrexham County Borough Council, 2019). Policing has a role to play in establishing and maintaining community cohesion. Research shows that police engaging with the community strengthens communities by the development of social controls (Rogers and Robinson, 2004). Also, by the police partnering with the community, the community has an element of control over crime and disorder in their area. The community are able to identify problems within their area that cause concern and be concerned in the efforts to find a solution. As well as involving the community in decision making the police can also make community impact assessment regarding issues which may cause a breakdown in community cohesion. A community impact assessment is sued to identify issues that may arise in the community, and also identify issues that may affect the community’s confidence in the police (College of Policing, 2013). A current example of when a community impact assessment would be required would be the current </w:t>
      </w:r>
      <w:proofErr w:type="spellStart"/>
      <w:r w:rsidRPr="008E25B9">
        <w:rPr>
          <w:rFonts w:eastAsia="Times New Roman" w:cs="Times New Roman"/>
        </w:rPr>
        <w:t>Brexit</w:t>
      </w:r>
      <w:proofErr w:type="spellEnd"/>
      <w:r w:rsidRPr="008E25B9">
        <w:rPr>
          <w:rFonts w:eastAsia="Times New Roman" w:cs="Times New Roman"/>
        </w:rPr>
        <w:t xml:space="preserve"> situation, research conducted by New Local found that over 58% of councils believed </w:t>
      </w:r>
      <w:proofErr w:type="spellStart"/>
      <w:r w:rsidRPr="008E25B9">
        <w:rPr>
          <w:rFonts w:eastAsia="Times New Roman" w:cs="Times New Roman"/>
        </w:rPr>
        <w:t>Brexit</w:t>
      </w:r>
      <w:proofErr w:type="spellEnd"/>
      <w:r w:rsidRPr="008E25B9">
        <w:rPr>
          <w:rFonts w:eastAsia="Times New Roman" w:cs="Times New Roman"/>
        </w:rPr>
        <w:t xml:space="preserve"> was having a negative effect on community cohesion (New Local, 2019). The role the police would take on in these council areas would be to conduct the assessment and identify opportunities to unite both parties and reduce any opportunities for crime and disorder, although it should be noted this is not the sole responsibility of the police. </w:t>
      </w:r>
    </w:p>
    <w:p w:rsidR="008E25B9" w:rsidRPr="008E25B9" w:rsidRDefault="008E25B9" w:rsidP="008E25B9">
      <w:pPr>
        <w:spacing w:line="480" w:lineRule="auto"/>
        <w:rPr>
          <w:rFonts w:eastAsia="Times New Roman" w:cs="Times New Roman"/>
        </w:rPr>
      </w:pPr>
      <w:proofErr w:type="spellStart"/>
      <w:r w:rsidRPr="008E25B9">
        <w:rPr>
          <w:rFonts w:eastAsia="Times New Roman" w:cs="Times New Roman"/>
        </w:rPr>
        <w:t>Bassler</w:t>
      </w:r>
      <w:proofErr w:type="spellEnd"/>
      <w:r w:rsidRPr="008E25B9">
        <w:rPr>
          <w:rFonts w:eastAsia="Times New Roman" w:cs="Times New Roman"/>
        </w:rPr>
        <w:t xml:space="preserve"> et al. (2008) state that there are 5 principles to effective community engagement. These include increasing knowledge about the community and its issues, encourage the community to gain further knowledge about itself, use that knowledge to improve the community or solve an identified problem, create further opportunities of engagement, and ensure the effective communication become a regular and on-going process.  As previously mentioned, these principles relate to the communities and police working in partnership to identify key problems within that area and come to an agreed solution to tackle the problem. In order to apply these principles the police employ a number a range of tactics from high visibility patrols in the area to organised events where the public can attend at a specific time and location in order to liaise with officers. An effective method </w:t>
      </w:r>
      <w:r w:rsidRPr="008E25B9">
        <w:rPr>
          <w:rFonts w:eastAsia="Times New Roman" w:cs="Times New Roman"/>
        </w:rPr>
        <w:lastRenderedPageBreak/>
        <w:t xml:space="preserve">of the police applying these principles is through the Police and Communities Together (PACT) meetings. PACT meetings allow for the </w:t>
      </w:r>
      <w:proofErr w:type="spellStart"/>
      <w:r w:rsidRPr="008E25B9">
        <w:rPr>
          <w:rFonts w:eastAsia="Times New Roman" w:cs="Times New Roman"/>
        </w:rPr>
        <w:t>Bassler’s</w:t>
      </w:r>
      <w:proofErr w:type="spellEnd"/>
      <w:r w:rsidRPr="008E25B9">
        <w:rPr>
          <w:rFonts w:eastAsia="Times New Roman" w:cs="Times New Roman"/>
        </w:rPr>
        <w:t xml:space="preserve"> principles to be conducted from start to finish. Communities and officers can meet to discuss the community, allowing various members to voice concerns which increases everyone’s knowledge of the community. Problems are identified and solutions are discussed aiming to achieve the best outcome for all parties. PACT meetings are held regularly which allows for that continued effective communication and engagement between communities and police.  </w:t>
      </w:r>
    </w:p>
    <w:p w:rsidR="008E25B9" w:rsidRDefault="008E25B9" w:rsidP="008E25B9">
      <w:pPr>
        <w:spacing w:line="480" w:lineRule="auto"/>
        <w:rPr>
          <w:rFonts w:eastAsia="Times New Roman" w:cs="Times New Roman"/>
        </w:rPr>
      </w:pPr>
      <w:r w:rsidRPr="008E25B9">
        <w:rPr>
          <w:rFonts w:eastAsia="Times New Roman" w:cs="Times New Roman"/>
        </w:rPr>
        <w:t>978</w:t>
      </w: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b/>
          <w:u w:val="single"/>
        </w:rPr>
      </w:pPr>
      <w:r w:rsidRPr="008E25B9">
        <w:rPr>
          <w:rFonts w:eastAsia="Times New Roman" w:cs="Times New Roman"/>
          <w:b/>
          <w:u w:val="single"/>
        </w:rPr>
        <w:lastRenderedPageBreak/>
        <w:t>Title 2</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Policing in the United Kingdom employs a number of different policing models in order to effectively investigate and prevent crime, and also support victims of crime that has taken place. The three policing models UK police use are problem orientated policing, community led policing and intelligence led policing. All three have unique strengths and weaknesses, however there are also occasions when they overlap and have similarities.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Gaines and </w:t>
      </w:r>
      <w:proofErr w:type="spellStart"/>
      <w:r w:rsidRPr="008E25B9">
        <w:rPr>
          <w:rFonts w:eastAsia="Times New Roman" w:cs="Times New Roman"/>
        </w:rPr>
        <w:t>Kappeler</w:t>
      </w:r>
      <w:proofErr w:type="spellEnd"/>
      <w:r w:rsidRPr="008E25B9">
        <w:rPr>
          <w:rFonts w:eastAsia="Times New Roman" w:cs="Times New Roman"/>
        </w:rPr>
        <w:t xml:space="preserve"> (2014) describe problem orientated policing (POP) as a method of focussing on the problem and finding a solution to solve the problem rather than focus on the crime. The theory behind this thought is that by focussing on the cause of the crime rather than the crime itself will reduce the criminality. The strengths of problem orientated policing is that employs partnership working with other agencies and the community itself to identify the problem initially. A vast amount of research has been conducted to show that POP has been successful in addressing criminality (Scott and Clarke, 2020).  There are however a few weaknesses that could hinder the POP model. Scott (2006) states that training is important to ensure the success of the POP model, however research conducted by the College of Policing suggests that training amongst forces is variable, with some forces providing no training at all in relation to how to solve a problem once one has been identified (College of Policing, 2019). Where officers have been trained in POP there is always a risk that these officers will apply for new roles within the police, officers trained in POP need to be committed to solving the problem they are involved in (</w:t>
      </w:r>
      <w:proofErr w:type="spellStart"/>
      <w:r w:rsidRPr="008E25B9">
        <w:rPr>
          <w:rFonts w:eastAsia="Times New Roman" w:cs="Times New Roman"/>
        </w:rPr>
        <w:t>Bullcok</w:t>
      </w:r>
      <w:proofErr w:type="spellEnd"/>
      <w:r w:rsidRPr="008E25B9">
        <w:rPr>
          <w:rFonts w:eastAsia="Times New Roman" w:cs="Times New Roman"/>
        </w:rPr>
        <w:t xml:space="preserve"> et al. 2006).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Community led policing is a model which relies on a close working relationship between the community and the police (Carter et al. 2014). Community led policing is a model which allows the public to work with the police, identifying issues and be part of the solution.  The strengths of community policing is that the police maintain a visible presence on the community, naturally this would reduce crime and disorder and instil confidence in the community.  One of the major weaknesses of community policing is that there must be an active partnership between the police </w:t>
      </w:r>
      <w:r w:rsidRPr="008E25B9">
        <w:rPr>
          <w:rFonts w:eastAsia="Times New Roman" w:cs="Times New Roman"/>
        </w:rPr>
        <w:lastRenderedPageBreak/>
        <w:t xml:space="preserve">and community, not only that Thatcher (2001) states that ‘police and their partners do not always value the same, or even compatible, things’. What this suggests is that there may be instances when the issues that the public raise to the police may not be an issue that the police can solve or assist with solving. Not only that the expectation the community may have of the police may exceed what the police can actually do. The community policing model tends to focus more of community issues targeting nuisance and anti-social behaviour rather than focussing on crime, unless a spike of a certain crime occurs in a single area, burglaries for example.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Intelligence led policing is a combination of both POP and community policing. Gaines and </w:t>
      </w:r>
      <w:proofErr w:type="spellStart"/>
      <w:r w:rsidRPr="008E25B9">
        <w:rPr>
          <w:rFonts w:eastAsia="Times New Roman" w:cs="Times New Roman"/>
        </w:rPr>
        <w:t>Keppeler</w:t>
      </w:r>
      <w:proofErr w:type="spellEnd"/>
      <w:r w:rsidRPr="008E25B9">
        <w:rPr>
          <w:rFonts w:eastAsia="Times New Roman" w:cs="Times New Roman"/>
        </w:rPr>
        <w:t xml:space="preserve"> (2014) discuss intelligence as ‘turning it into knowledge while ensuring that the information is collected, stored, and disseminated appropriately’. Intelligence led policing in theory should reduce crime, and in response to a reduction in crime should see a reduction in victimisation. </w:t>
      </w:r>
    </w:p>
    <w:p w:rsidR="008E25B9" w:rsidRPr="008E25B9" w:rsidRDefault="008E25B9" w:rsidP="008E25B9">
      <w:pPr>
        <w:spacing w:line="480" w:lineRule="auto"/>
        <w:rPr>
          <w:rFonts w:eastAsia="Times New Roman" w:cs="Calibri"/>
        </w:rPr>
      </w:pPr>
      <w:r w:rsidRPr="008E25B9">
        <w:rPr>
          <w:rFonts w:eastAsia="Times New Roman" w:cs="Times New Roman"/>
        </w:rPr>
        <w:t xml:space="preserve">The best way to reduce crime and victimisation is through effective crime prevention. White and </w:t>
      </w:r>
      <w:proofErr w:type="spellStart"/>
      <w:r w:rsidRPr="008E25B9">
        <w:rPr>
          <w:rFonts w:eastAsia="Times New Roman" w:cs="Times New Roman"/>
        </w:rPr>
        <w:t>Perrone</w:t>
      </w:r>
      <w:proofErr w:type="spellEnd"/>
      <w:r w:rsidRPr="008E25B9">
        <w:rPr>
          <w:rFonts w:eastAsia="Times New Roman" w:cs="Times New Roman"/>
        </w:rPr>
        <w:t xml:space="preserve"> (2005) define crime prevention as ‘</w:t>
      </w:r>
      <w:r w:rsidRPr="008E25B9">
        <w:rPr>
          <w:rFonts w:eastAsia="Times New Roman" w:cs="Calibri"/>
        </w:rPr>
        <w:t xml:space="preserve">the creation and implementation of proactive programmes and strategies which are designed to prevent crime and address the fear of crime’. There are a number of crime prevention theories, the simplest being the routine activity theory. The routine activity theory was first proposed by </w:t>
      </w:r>
      <w:proofErr w:type="spellStart"/>
      <w:r w:rsidRPr="008E25B9">
        <w:rPr>
          <w:rFonts w:eastAsia="Times New Roman" w:cs="Calibri"/>
        </w:rPr>
        <w:t>Felson</w:t>
      </w:r>
      <w:proofErr w:type="spellEnd"/>
      <w:r w:rsidRPr="008E25B9">
        <w:rPr>
          <w:rFonts w:eastAsia="Times New Roman" w:cs="Calibri"/>
        </w:rPr>
        <w:t xml:space="preserve"> and Cohen (1979). It states for a crime to take place you need a likely offender, the lack of a suitable guardian and a suitable target. The theory suggests that for a crime to take place all three elements need to be in place. The idea regarding crime prevention and the routine activity theory suggests that if you remove one of the elements the crime cannot take place. In relation to crime prevention the easiest element to remove would be the suitable target. A simple strategy and technique would be target hardening and utilising the ten principles of crime prevention. Target hardening would be considered a situational crime prevention strategy. </w:t>
      </w:r>
    </w:p>
    <w:p w:rsidR="008E25B9" w:rsidRPr="008E25B9" w:rsidRDefault="008E25B9" w:rsidP="008E25B9">
      <w:pPr>
        <w:spacing w:line="480" w:lineRule="auto"/>
        <w:rPr>
          <w:rFonts w:eastAsia="Times New Roman" w:cs="Calibri"/>
        </w:rPr>
      </w:pPr>
      <w:r w:rsidRPr="008E25B9">
        <w:rPr>
          <w:rFonts w:eastAsia="Times New Roman" w:cs="Calibri"/>
        </w:rPr>
        <w:t xml:space="preserve">Another theory to consider would be </w:t>
      </w:r>
      <w:proofErr w:type="spellStart"/>
      <w:r w:rsidRPr="008E25B9">
        <w:rPr>
          <w:rFonts w:eastAsia="Times New Roman" w:cs="Calibri"/>
        </w:rPr>
        <w:t>Kelling</w:t>
      </w:r>
      <w:proofErr w:type="spellEnd"/>
      <w:r w:rsidRPr="008E25B9">
        <w:rPr>
          <w:rFonts w:eastAsia="Times New Roman" w:cs="Calibri"/>
        </w:rPr>
        <w:t xml:space="preserve"> and Wilsons (1982) Broken window theory which discusses how signs of crime and disorder in an area encourage further instances of crime and </w:t>
      </w:r>
      <w:r w:rsidRPr="008E25B9">
        <w:rPr>
          <w:rFonts w:eastAsia="Times New Roman" w:cs="Calibri"/>
        </w:rPr>
        <w:lastRenderedPageBreak/>
        <w:t xml:space="preserve">disorder. Although a target hardening strategy would assist in crime prevention in this instance, environmental crime prevention strategies would also work. These include more robust actions being taken by police such as a zero tolerance approach, and utilising antisocial behaviour orders or public space protection orders. </w:t>
      </w:r>
    </w:p>
    <w:p w:rsidR="008E25B9" w:rsidRPr="008E25B9" w:rsidRDefault="008E25B9" w:rsidP="008E25B9">
      <w:pPr>
        <w:spacing w:line="480" w:lineRule="auto"/>
        <w:rPr>
          <w:rFonts w:eastAsia="Times New Roman" w:cs="Calibri"/>
        </w:rPr>
      </w:pPr>
      <w:r w:rsidRPr="008E25B9">
        <w:rPr>
          <w:rFonts w:eastAsia="Times New Roman" w:cs="Calibri"/>
        </w:rPr>
        <w:t xml:space="preserve">During investigations there are a number of analytical products that intelligence specialists can use. The College of Policing (2019) state there are four core intelligence products outlined within the national intelligence model. These are subject profile, problem profile, tactical assessment and strategic assessment. Each product assists in decision making and can be particularly helpful during major and serious investigations. The products are commissioned by the tasking and co-ordination group. Tactical tasking and co-ordination process allows senior managers to consider and agree tactical options and align resources to priorities (College of Policing, 2015).  The products can be used to develop profiles of subjects or victims, allowing officers to create a personal record of a person. In turn this can be analysed to predict any patterns of crime or modus operandi for a subject or help to determine vulnerability for a victim. Not only that to can open up new lines of enquiry or further avenues to gather further intelligence through associates or habits. The problem profiles can be analysed to assist in prioritising problems or shared with other forces to establish whether the problem is cross border. Once again it allows for further avenues or intelligence sources to be established allowing investigations to be progressed. Both the tactical and strategic assessments allow for performance to be measured against priorities and objectives. Both assessments look to identify emerging trends, which again allows for the prediction of crimes or victims. </w:t>
      </w:r>
    </w:p>
    <w:p w:rsidR="008E25B9" w:rsidRPr="008E25B9" w:rsidRDefault="008E25B9" w:rsidP="008E25B9">
      <w:pPr>
        <w:spacing w:line="480" w:lineRule="auto"/>
        <w:rPr>
          <w:rFonts w:eastAsia="Times New Roman" w:cs="Calibri"/>
        </w:rPr>
      </w:pPr>
      <w:r w:rsidRPr="008E25B9">
        <w:rPr>
          <w:rFonts w:eastAsia="Times New Roman" w:cs="Calibri"/>
        </w:rPr>
        <w:t xml:space="preserve">When we look at the content of the each product we can see how, if conducted correctly they can benefit investigations by allowing investigators to predict and evaluate trends but also open up new investigative avenues and intelligence sources. </w:t>
      </w:r>
    </w:p>
    <w:p w:rsidR="008E25B9" w:rsidRPr="008E25B9" w:rsidRDefault="008E25B9" w:rsidP="008E25B9">
      <w:pPr>
        <w:spacing w:line="480" w:lineRule="auto"/>
        <w:rPr>
          <w:rFonts w:eastAsia="Times New Roman" w:cs="Calibri"/>
        </w:rPr>
      </w:pPr>
    </w:p>
    <w:p w:rsidR="008E25B9" w:rsidRPr="008E25B9" w:rsidRDefault="008E25B9" w:rsidP="008E25B9">
      <w:pPr>
        <w:spacing w:line="480" w:lineRule="auto"/>
        <w:rPr>
          <w:rFonts w:eastAsia="Times New Roman" w:cs="Calibri"/>
        </w:rPr>
      </w:pPr>
      <w:r w:rsidRPr="008E25B9">
        <w:rPr>
          <w:rFonts w:eastAsia="Times New Roman" w:cs="Calibri"/>
        </w:rPr>
        <w:t>1066</w:t>
      </w:r>
    </w:p>
    <w:p w:rsidR="008E25B9" w:rsidRDefault="008E25B9" w:rsidP="008E25B9">
      <w:pPr>
        <w:spacing w:line="480" w:lineRule="auto"/>
        <w:rPr>
          <w:rFonts w:eastAsia="Times New Roman" w:cs="Times New Roman"/>
          <w:b/>
          <w:u w:val="single"/>
        </w:rPr>
      </w:pPr>
      <w:r w:rsidRPr="008E25B9">
        <w:rPr>
          <w:rFonts w:eastAsia="Times New Roman" w:cs="Times New Roman"/>
          <w:b/>
          <w:u w:val="single"/>
        </w:rPr>
        <w:lastRenderedPageBreak/>
        <w:t>Title 3</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Operational policing in the United Kingdom face a series of challenging and complex issues over the coming years. Current events such as the coronavirus pandemic, black lives matter movement and </w:t>
      </w:r>
      <w:proofErr w:type="spellStart"/>
      <w:r w:rsidRPr="008E25B9">
        <w:rPr>
          <w:rFonts w:eastAsia="Times New Roman" w:cs="Times New Roman"/>
        </w:rPr>
        <w:t>Brexit</w:t>
      </w:r>
      <w:proofErr w:type="spellEnd"/>
      <w:r w:rsidRPr="008E25B9">
        <w:rPr>
          <w:rFonts w:eastAsia="Times New Roman" w:cs="Times New Roman"/>
        </w:rPr>
        <w:t xml:space="preserve"> are just a few examples of the ever changing challenges police officers face, however there are also the day to day challenges that evolve as time goes on. </w:t>
      </w:r>
    </w:p>
    <w:p w:rsidR="008E25B9" w:rsidRPr="008E25B9" w:rsidRDefault="008E25B9" w:rsidP="008E25B9">
      <w:pPr>
        <w:spacing w:line="480" w:lineRule="auto"/>
        <w:rPr>
          <w:rFonts w:eastAsia="Times New Roman" w:cs="Times New Roman"/>
        </w:rPr>
      </w:pPr>
      <w:r w:rsidRPr="008E25B9">
        <w:rPr>
          <w:rFonts w:eastAsia="Times New Roman" w:cs="Times New Roman"/>
        </w:rPr>
        <w:t>In 2015 then chair of the National Police Chiefs Council (NPCC) Sara Thornton said resources have had to be moved ‘increases</w:t>
      </w:r>
      <w:r w:rsidRPr="008E25B9">
        <w:rPr>
          <w:rFonts w:ascii="Calibri" w:eastAsia="Times New Roman" w:hAnsi="Calibri" w:cs="Calibri"/>
        </w:rPr>
        <w:t xml:space="preserve"> in complex, high-risk crime like sexual offences, cybercrime and terrorism</w:t>
      </w:r>
      <w:r w:rsidRPr="008E25B9">
        <w:rPr>
          <w:rFonts w:eastAsia="Times New Roman" w:cs="Times New Roman"/>
        </w:rPr>
        <w:t xml:space="preserve">’ (NPCC, 2015). This shows that even in 2015 sexual offences and cybercrime are becoming more complex to deal with and investigate, and there is an increasing need to utilise more officers to investigate these types of crime, potentially taking these officers from response duties or neighbourhood policing teams, not only that technology is constantly evolving and forces must keep up with the changing face of technology to conduct effective investigations.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Thornton (NPCC, 2015) also discusses austerity as being a focal challenge for policing in 2015. The National Debate Advisory Group published a report ‘Reshaping policing for the public’ (2015). Within this report it states that funding for police forces was reduced between 12% and 23% which equated to a total reduction of approximately £299 million.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On the other hand, in 2020 the UK government proposed an increase in police funding on £15.2 billion, which included an extra £700 million for the recruitment of extra officers, £516 million for police technologies and £906 million for counter terrorism policing   (Home Officer, 2020). This extra funding that was cut in 2015 allows for more officers to be recruited to response duties and other departments which allows more officers to be trained and be available for the investigation of complex crimes such as sexual offences and cybercrime. Also, the extra funding for police technologies means that forces can keep up with the technological advances that the future holds, however it is worth commenting that technology is a constantly changing and growing industry and this funding will need to be constantly provided to keep up with the advances. Terrorism, both far </w:t>
      </w:r>
      <w:r w:rsidRPr="008E25B9">
        <w:rPr>
          <w:rFonts w:eastAsia="Times New Roman" w:cs="Times New Roman"/>
        </w:rPr>
        <w:lastRenderedPageBreak/>
        <w:t xml:space="preserve">right and internationally is a constant threat to the United Kingdom, at the moment the biggest terror threat is domestic far right extremism, in the wake of the UK’s exit from the European Union and black lives matter movement. The additional funding will allow for additional officers and resources to be utilised to investigate and apprehend terror subjects. Although policing will always be a complex and challenging field, providing the funding is provided officers should be able to conduct investigations thoroughly and expeditiously with the correct number of resources available.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The United Kingdom has been has been through some high profile major incidents in recent years. The London bombings of 7/7, the Manchester Arena bombings May 2017 and even natural incidents such as flooding require a multi-agency approach in order to deal with these, and similar, circumstances, what these events also show is that emergency services are co-responding on an ever increasing basis. </w:t>
      </w:r>
    </w:p>
    <w:p w:rsidR="008E25B9" w:rsidRPr="008E25B9" w:rsidRDefault="008E25B9" w:rsidP="008E25B9">
      <w:pPr>
        <w:spacing w:line="480" w:lineRule="auto"/>
        <w:rPr>
          <w:rFonts w:eastAsia="Times New Roman" w:cs="Calibri"/>
        </w:rPr>
      </w:pPr>
      <w:r w:rsidRPr="008E25B9">
        <w:rPr>
          <w:rFonts w:eastAsia="Times New Roman" w:cs="Times New Roman"/>
        </w:rPr>
        <w:t>In order to achieve best practice in multi-agency incidents the Joint Emergency Service Interoperability Programme (JESIP) was established.  ‘</w:t>
      </w:r>
      <w:r w:rsidRPr="008E25B9">
        <w:rPr>
          <w:rFonts w:eastAsia="Times New Roman" w:cs="Calibri"/>
        </w:rPr>
        <w:t xml:space="preserve">The findings from a number of reviews of major national emergencies and disasters made clear that the emergency services carry out their individual roles efficiently and professionally .However, there were some common themes relating to joint working where improvement was needed’ (JESIP, 2021). </w:t>
      </w:r>
    </w:p>
    <w:p w:rsidR="008E25B9" w:rsidRPr="008E25B9" w:rsidRDefault="008E25B9" w:rsidP="008E25B9">
      <w:pPr>
        <w:spacing w:line="480" w:lineRule="auto"/>
        <w:rPr>
          <w:rFonts w:eastAsia="Times New Roman" w:cs="Calibri"/>
        </w:rPr>
      </w:pPr>
      <w:r w:rsidRPr="008E25B9">
        <w:rPr>
          <w:rFonts w:eastAsia="Times New Roman" w:cs="Calibri"/>
        </w:rPr>
        <w:t xml:space="preserve">The 7/7 London bombings were one of the first incidents of the 2000s where a multi-agency response was required for a major incident, however the complex nature of the events and geographical scale of the incidents caused issues regarding locations, hazards, and locations of commanders. The London Assembly commissioned a report into the 7/7 bombings and this report was published in June 2006. The findings of the report state that all 3 emergency services declared major incidents and different times, this led to a delay in responses reaching locations and mixed messages being given to the public regarding safety. Key recommendations were made which included that once one service declares a major incident, the other two will also declare major </w:t>
      </w:r>
      <w:r w:rsidRPr="008E25B9">
        <w:rPr>
          <w:rFonts w:eastAsia="Times New Roman" w:cs="Calibri"/>
        </w:rPr>
        <w:lastRenderedPageBreak/>
        <w:t xml:space="preserve">incidents. This ensures that procedures are followed and strategic commanders can collaborate and lead an effective response (London Assembly, 2006). </w:t>
      </w:r>
    </w:p>
    <w:p w:rsidR="008E25B9" w:rsidRPr="008E25B9" w:rsidRDefault="008E25B9" w:rsidP="008E25B9">
      <w:pPr>
        <w:spacing w:line="480" w:lineRule="auto"/>
        <w:rPr>
          <w:rFonts w:eastAsia="Times New Roman" w:cs="Calibri"/>
        </w:rPr>
      </w:pPr>
      <w:r w:rsidRPr="008E25B9">
        <w:rPr>
          <w:rFonts w:eastAsia="Times New Roman" w:cs="Calibri"/>
        </w:rPr>
        <w:t xml:space="preserve">Looking specifically at the role of the police in this incident, it is clear that the best practice recommendations can apply to major incidents as a whole. Recommendations were made that the Metropolitan Police Service communicate with the public via the media on an hourly basis. This keeps the public informed of key safety messages and also updates in regards to restrictions. The police are designated the lead agency in regards to communication with the media this is due to the prominence that their message carries as the police can relay messages authoritatively on topics that are also of a non-policing nature. </w:t>
      </w:r>
    </w:p>
    <w:p w:rsidR="008E25B9" w:rsidRPr="008E25B9" w:rsidRDefault="008E25B9" w:rsidP="008E25B9">
      <w:pPr>
        <w:spacing w:line="480" w:lineRule="auto"/>
        <w:rPr>
          <w:rFonts w:eastAsia="Times New Roman" w:cs="Calibri"/>
        </w:rPr>
      </w:pPr>
      <w:r w:rsidRPr="008E25B9">
        <w:rPr>
          <w:rFonts w:eastAsia="Times New Roman" w:cs="Calibri"/>
        </w:rPr>
        <w:t xml:space="preserve">The </w:t>
      </w:r>
      <w:proofErr w:type="spellStart"/>
      <w:r w:rsidRPr="008E25B9">
        <w:rPr>
          <w:rFonts w:eastAsia="Times New Roman" w:cs="Calibri"/>
        </w:rPr>
        <w:t>Kerslake</w:t>
      </w:r>
      <w:proofErr w:type="spellEnd"/>
      <w:r w:rsidRPr="008E25B9">
        <w:rPr>
          <w:rFonts w:eastAsia="Times New Roman" w:cs="Calibri"/>
        </w:rPr>
        <w:t xml:space="preserve"> Report (2018) was commissioned to assess the response of emergency services to the Manchester Arena bombings. The principle findings in regards to the police found that there was a lack of communication between the police and fire service in regards to operational needs, this led to a delay in fire service personnel attending the scene, these personnel could have been used to administer first aid or assist with removing casualties to triage points.</w:t>
      </w:r>
    </w:p>
    <w:p w:rsidR="008E25B9" w:rsidRPr="008E25B9" w:rsidRDefault="008E25B9" w:rsidP="008E25B9">
      <w:pPr>
        <w:spacing w:line="480" w:lineRule="auto"/>
        <w:rPr>
          <w:rFonts w:eastAsia="Times New Roman" w:cs="Calibri"/>
        </w:rPr>
      </w:pPr>
      <w:r w:rsidRPr="008E25B9">
        <w:rPr>
          <w:rFonts w:eastAsia="Times New Roman" w:cs="Calibri"/>
        </w:rPr>
        <w:t xml:space="preserve">Although police duties largely remain preservation of life and securing of crime scenes at critical and major incidents the police also have a unique role to play that is not undertaken in day to day policing, such as the recommendation that the police become the lead agency for the media in large scale multi agency major incidents. Communication between the police and other emergency services is also paramount, especially in the two cases discussed as mixed messages either lead to a delay in services attending, as was the case in Manchester, or potentially lives being risked due to the full facts regarding the nature of the incident being misunderstood, such as marauding terrorist incidents.    </w:t>
      </w:r>
    </w:p>
    <w:p w:rsidR="008E25B9" w:rsidRPr="008E25B9" w:rsidRDefault="008E25B9" w:rsidP="008E25B9">
      <w:pPr>
        <w:spacing w:line="480" w:lineRule="auto"/>
        <w:rPr>
          <w:rFonts w:eastAsia="Times New Roman" w:cs="Calibri"/>
        </w:rPr>
      </w:pPr>
    </w:p>
    <w:p w:rsidR="008E25B9" w:rsidRPr="008E25B9" w:rsidRDefault="008E25B9" w:rsidP="008E25B9">
      <w:pPr>
        <w:spacing w:line="480" w:lineRule="auto"/>
        <w:rPr>
          <w:rFonts w:eastAsia="Times New Roman" w:cs="Calibri"/>
        </w:rPr>
      </w:pPr>
      <w:r w:rsidRPr="008E25B9">
        <w:rPr>
          <w:rFonts w:eastAsia="Times New Roman" w:cs="Calibri"/>
        </w:rPr>
        <w:t>1001</w:t>
      </w:r>
    </w:p>
    <w:p w:rsidR="008E25B9" w:rsidRDefault="008E25B9" w:rsidP="008E25B9">
      <w:pPr>
        <w:spacing w:line="480" w:lineRule="auto"/>
        <w:rPr>
          <w:rFonts w:eastAsia="Times New Roman" w:cs="Times New Roman"/>
          <w:b/>
          <w:u w:val="single"/>
        </w:rPr>
      </w:pPr>
      <w:r w:rsidRPr="008E25B9">
        <w:rPr>
          <w:rFonts w:eastAsia="Times New Roman" w:cs="Times New Roman"/>
          <w:b/>
          <w:u w:val="single"/>
        </w:rPr>
        <w:lastRenderedPageBreak/>
        <w:t>Title 4</w:t>
      </w:r>
    </w:p>
    <w:p w:rsidR="008E25B9" w:rsidRPr="008E25B9" w:rsidRDefault="008E25B9" w:rsidP="008E25B9">
      <w:pPr>
        <w:spacing w:line="480" w:lineRule="auto"/>
        <w:rPr>
          <w:rFonts w:eastAsia="Times New Roman" w:cs="Calibri"/>
          <w:lang w:val="en"/>
        </w:rPr>
      </w:pPr>
      <w:r w:rsidRPr="008E25B9">
        <w:rPr>
          <w:rFonts w:eastAsia="Times New Roman" w:cs="Calibri"/>
          <w:color w:val="333333"/>
          <w:lang w:val="en"/>
        </w:rPr>
        <w:t>‘</w:t>
      </w:r>
      <w:r w:rsidRPr="008E25B9">
        <w:rPr>
          <w:rFonts w:eastAsia="Times New Roman" w:cs="Calibri"/>
          <w:lang w:val="en"/>
        </w:rPr>
        <w:t xml:space="preserve">It is common practice for terrorists to engage in a myriad of organized criminal activities such as prostitution, the sale of human organs, weapons, antiquities, the taxation of drugs and people smuggling routes, kidnap for ransom, and money laundering to raise funds for terror-related activities’ (Malik, 2019). Although different in their agendas, terrorist groups using violence and fear of violence in order to highlight perceived political injustices and organized groups generally committing criminality for financial purpose, there is an overlap in how the 2 operate. In order to carry out terrorist attacks the organization will first need funds in order to sustain the travelling to and from the target and also the materials needed to carry out the attack. The two main sources of income for terrorist organizations appear to be drug trafficking and kidnap for ransom offences. </w:t>
      </w:r>
    </w:p>
    <w:p w:rsidR="008E25B9" w:rsidRPr="008E25B9" w:rsidRDefault="008E25B9" w:rsidP="008E25B9">
      <w:pPr>
        <w:spacing w:line="480" w:lineRule="auto"/>
        <w:rPr>
          <w:rFonts w:eastAsia="Times New Roman" w:cs="Calibri"/>
          <w:lang w:val="en"/>
        </w:rPr>
      </w:pPr>
      <w:r w:rsidRPr="008E25B9">
        <w:rPr>
          <w:rFonts w:eastAsia="Times New Roman" w:cs="Calibri"/>
          <w:lang w:val="en"/>
        </w:rPr>
        <w:t>Terrorist involvement in kidnap for ransom has been heavily reported in the last decade due to the terrorist organization Boko Haram kidnapping 276 school girls in Nigeria in 2014 and most recently claiming responsibility for the abduction of hundreds of students in the country as well (The Guardian, 2020). The article discusses how the students may have kidnapped in exchange with other groups for weapons, money and other resources, a link which shows organized criminal groups and terror groups engaging in trades and business. In her Forbes article, Malik (2019) discusses how terrorist organization Islamic State earned £20-£45 million through kidnap for ransom of western journalists in 2014 which goes to show how lucrative this source of income is.</w:t>
      </w:r>
    </w:p>
    <w:p w:rsidR="008E25B9" w:rsidRPr="008E25B9" w:rsidRDefault="008E25B9" w:rsidP="008E25B9">
      <w:pPr>
        <w:spacing w:line="480" w:lineRule="auto"/>
        <w:rPr>
          <w:rFonts w:eastAsia="Times New Roman" w:cs="Calibri"/>
          <w:lang w:val="en"/>
        </w:rPr>
      </w:pPr>
      <w:r w:rsidRPr="008E25B9">
        <w:rPr>
          <w:rFonts w:eastAsia="Times New Roman" w:cs="Calibri"/>
          <w:lang w:val="en"/>
        </w:rPr>
        <w:t xml:space="preserve">There are however issues in regards to the divergence of terror groups and organized crime groups. Shelley (2005) discusses how the older crime groups such as the Chinese Triads and Italian Mafia are not willing to ally with terror groups as both groups have completely different end goals, however some of the newer organized crime groups are establishing links with terror groups as they stand to benefit financially from the disorder terror organizations can bring through coordinated and targeted attacks. </w:t>
      </w:r>
      <w:proofErr w:type="spellStart"/>
      <w:r w:rsidRPr="008E25B9">
        <w:rPr>
          <w:rFonts w:eastAsia="Times New Roman" w:cs="Calibri"/>
          <w:lang w:val="en"/>
        </w:rPr>
        <w:t>Marenko</w:t>
      </w:r>
      <w:proofErr w:type="spellEnd"/>
      <w:r w:rsidRPr="008E25B9">
        <w:rPr>
          <w:rFonts w:eastAsia="Times New Roman" w:cs="Calibri"/>
          <w:lang w:val="en"/>
        </w:rPr>
        <w:t xml:space="preserve"> (2004) discusses this further that crime and terror groups will arrive at a </w:t>
      </w:r>
      <w:r w:rsidRPr="008E25B9">
        <w:rPr>
          <w:rFonts w:eastAsia="Times New Roman" w:cs="Calibri"/>
          <w:lang w:val="en"/>
        </w:rPr>
        <w:lastRenderedPageBreak/>
        <w:t xml:space="preserve">convergence meaning they can form into one crime group displaying both group’s characteristics seeking political and financial gain from their actions.  </w:t>
      </w:r>
    </w:p>
    <w:p w:rsidR="008E25B9" w:rsidRPr="008E25B9" w:rsidRDefault="008E25B9" w:rsidP="008E25B9">
      <w:pPr>
        <w:spacing w:line="480" w:lineRule="auto"/>
        <w:rPr>
          <w:rFonts w:eastAsia="Times New Roman" w:cs="Calibri"/>
          <w:lang w:val="en"/>
        </w:rPr>
      </w:pPr>
      <w:r w:rsidRPr="008E25B9">
        <w:rPr>
          <w:rFonts w:eastAsia="Times New Roman" w:cs="Calibri"/>
          <w:lang w:val="en"/>
        </w:rPr>
        <w:t xml:space="preserve">The road network is being used more in the commission of terrorist offences, not necessarily by terror groups but by ‘lone wolf’ perpetrators with terror ideologies. There have been 3 recent instances where these lone wolf attackers have used vehicles and the road network as weapons, Westminster Bridge and Borough Market and </w:t>
      </w:r>
      <w:proofErr w:type="spellStart"/>
      <w:r w:rsidRPr="008E25B9">
        <w:rPr>
          <w:rFonts w:eastAsia="Times New Roman" w:cs="Calibri"/>
          <w:lang w:val="en"/>
        </w:rPr>
        <w:t>Finsbury</w:t>
      </w:r>
      <w:proofErr w:type="spellEnd"/>
      <w:r w:rsidRPr="008E25B9">
        <w:rPr>
          <w:rFonts w:eastAsia="Times New Roman" w:cs="Calibri"/>
          <w:lang w:val="en"/>
        </w:rPr>
        <w:t xml:space="preserve"> Park Mosque all taking place in 2017. On all three occasions the perpetrators used vehicles to mount the kerb and drive into their victims.  In the case of the </w:t>
      </w:r>
      <w:proofErr w:type="spellStart"/>
      <w:r w:rsidRPr="008E25B9">
        <w:rPr>
          <w:rFonts w:eastAsia="Times New Roman" w:cs="Calibri"/>
          <w:lang w:val="en"/>
        </w:rPr>
        <w:t>Finsbury</w:t>
      </w:r>
      <w:proofErr w:type="spellEnd"/>
      <w:r w:rsidRPr="008E25B9">
        <w:rPr>
          <w:rFonts w:eastAsia="Times New Roman" w:cs="Calibri"/>
          <w:lang w:val="en"/>
        </w:rPr>
        <w:t xml:space="preserve"> Park Mosque attack the perpetrator travelled from Cardiff to London to conduct his attack. </w:t>
      </w:r>
    </w:p>
    <w:p w:rsidR="008E25B9" w:rsidRPr="008E25B9" w:rsidRDefault="008E25B9" w:rsidP="008E25B9">
      <w:pPr>
        <w:spacing w:line="480" w:lineRule="auto"/>
        <w:rPr>
          <w:rFonts w:eastAsia="Times New Roman" w:cs="Times New Roman"/>
        </w:rPr>
      </w:pPr>
      <w:r w:rsidRPr="008E25B9">
        <w:rPr>
          <w:rFonts w:eastAsia="Times New Roman" w:cs="Calibri"/>
          <w:lang w:val="en"/>
        </w:rPr>
        <w:t>The College of Policing (2019) states that ‘f</w:t>
      </w:r>
      <w:proofErr w:type="spellStart"/>
      <w:r w:rsidRPr="008E25B9">
        <w:rPr>
          <w:rFonts w:eastAsia="Times New Roman" w:cs="Times New Roman"/>
        </w:rPr>
        <w:t>orces</w:t>
      </w:r>
      <w:proofErr w:type="spellEnd"/>
      <w:r w:rsidRPr="008E25B9">
        <w:rPr>
          <w:rFonts w:eastAsia="Times New Roman" w:cs="Times New Roman"/>
        </w:rPr>
        <w:t xml:space="preserve"> should use intelligence and enforcement to disrupt criminality’. Intelligence is a big tool to be utilised in the fight against terrorism. In the United Kingdom there are approximately 3000 names on a list that MI5 are reportedly ‘very concerned’ about (BBC, 2017). Intelligence will be gathered regarding these names, and others and shared on a regional and national level. Vehicles that these subjects have to will be analysed and automatic number plate recognition (ANPR) cameras checked nationally to gather intelligence on these vehicles movements. This vital piece of intelligence builds a picture as to where these people are travelling, and are they travelling there regularly, stills can be obtained as to whether these people travel alone or with other people, does this vehicle stop and meet anybody else on the route.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As well as ANPR the police national computer (PNC) system can be utilised by placing action (ACT) markers on vehicles. As it is a national system these ACT markers will alert other forces of any action that needs to be taken against that vehicle. In the case of the Finsbury Park Mosque attack the perpetrator, Darren Osborne, hired a van drove along the M4 which would have activated numerous ANPR cameras. Had Osborne been on this list intelligence may have been gathered regarding him hiring the van and shared nationally allowing officers to take action should they have come across Osborne on the road network. </w:t>
      </w:r>
    </w:p>
    <w:p w:rsidR="008E25B9" w:rsidRPr="008E25B9" w:rsidRDefault="008E25B9" w:rsidP="008E25B9">
      <w:pPr>
        <w:spacing w:line="480" w:lineRule="auto"/>
        <w:rPr>
          <w:rFonts w:eastAsia="Times New Roman" w:cs="Times New Roman"/>
        </w:rPr>
      </w:pPr>
      <w:r w:rsidRPr="008E25B9">
        <w:rPr>
          <w:rFonts w:eastAsia="Times New Roman" w:cs="Times New Roman"/>
        </w:rPr>
        <w:lastRenderedPageBreak/>
        <w:t xml:space="preserve">The National Police Chief Councils (NPCC) 3 year strategy for roads policing (2018) prioritised 4 areas of road policing, 1 of which was counter terrorism. The strategy discusses gaining the best outcomes through intelligence led policing and partnership working, utilising the National Roads Policing Intelligence Forum (NRPIF). This forum allows intelligence to be shared amongst all law enforcement agencies, including Border Force, NCA and other agencies such as the DVSA and highways. One method which the Metropolitan Police employed in December 2020 was the launching a new counter terrorism team for London’s road network (Met Police, 2020). The aim of this team is to deter and disrupt criminality including terrorism on the London road network by conducting proactive stop checks on vehicles. By having this dedicated team assigned to the roads it reduces opportunity for terrorist groups or lone attackers. Not only does this team disrupt and deter all would be terrorist it also allows for intelligence to be developed regarding criminal use of the road network. </w:t>
      </w:r>
    </w:p>
    <w:p w:rsidR="008E25B9" w:rsidRPr="008E25B9" w:rsidRDefault="008E25B9" w:rsidP="008E25B9">
      <w:pPr>
        <w:spacing w:line="480" w:lineRule="auto"/>
        <w:rPr>
          <w:rFonts w:eastAsia="Times New Roman" w:cs="Times New Roman"/>
        </w:rPr>
      </w:pPr>
      <w:r w:rsidRPr="008E25B9">
        <w:rPr>
          <w:rFonts w:eastAsia="Times New Roman" w:cs="Times New Roman"/>
        </w:rPr>
        <w:t xml:space="preserve">In conclusion, roads policing and use of the ANPR camera network are a vital tool in the development of intelligence, regionally and nationally. Intelligence can be gathered, developed and disseminated to all law enforcement agencies which lead to proactive operations taking place to disrupt and apprehend terror subjects. </w:t>
      </w:r>
    </w:p>
    <w:p w:rsidR="008E25B9" w:rsidRP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r w:rsidRPr="008E25B9">
        <w:rPr>
          <w:rFonts w:eastAsia="Times New Roman" w:cs="Times New Roman"/>
        </w:rPr>
        <w:t>928</w:t>
      </w: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p>
    <w:p w:rsidR="008E25B9" w:rsidRDefault="008E25B9" w:rsidP="008E25B9">
      <w:pPr>
        <w:spacing w:line="480" w:lineRule="auto"/>
        <w:rPr>
          <w:rFonts w:eastAsia="Times New Roman" w:cs="Times New Roman"/>
        </w:rPr>
      </w:pPr>
      <w:r>
        <w:rPr>
          <w:rFonts w:eastAsia="Times New Roman" w:cs="Times New Roman"/>
        </w:rPr>
        <w:lastRenderedPageBreak/>
        <w:t xml:space="preserve">Reference List </w:t>
      </w:r>
    </w:p>
    <w:p w:rsidR="008E25B9" w:rsidRPr="008E25B9" w:rsidRDefault="008E25B9" w:rsidP="008E25B9">
      <w:pPr>
        <w:autoSpaceDE w:val="0"/>
        <w:autoSpaceDN w:val="0"/>
        <w:adjustRightInd w:val="0"/>
        <w:spacing w:before="100" w:after="100" w:line="240" w:lineRule="auto"/>
        <w:rPr>
          <w:rFonts w:eastAsia="Times New Roman" w:cs="Calibri"/>
        </w:rPr>
      </w:pPr>
      <w:proofErr w:type="spellStart"/>
      <w:r w:rsidRPr="008E25B9">
        <w:rPr>
          <w:rFonts w:eastAsia="Times New Roman" w:cs="Calibri"/>
        </w:rPr>
        <w:t>Bassler</w:t>
      </w:r>
      <w:proofErr w:type="spellEnd"/>
      <w:r w:rsidRPr="008E25B9">
        <w:rPr>
          <w:rFonts w:eastAsia="Times New Roman" w:cs="Calibri"/>
        </w:rPr>
        <w:t xml:space="preserve">, A. et al. (2008), Developing Effective Citizen Engagement: A How-to Guide for Community Leaders. </w:t>
      </w:r>
      <w:r w:rsidRPr="008E25B9">
        <w:rPr>
          <w:rFonts w:eastAsia="Times New Roman" w:cs="Calibri"/>
          <w:iCs/>
        </w:rPr>
        <w:t>Centre for Rural Pennsylvania</w:t>
      </w:r>
      <w:r w:rsidRPr="008E25B9">
        <w:rPr>
          <w:rFonts w:eastAsia="Times New Roman" w:cs="Calibri"/>
        </w:rPr>
        <w:t>.</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BBC News. 2017. Does a terror watch list exist in the UK and how is it used by police? [ONLINE] Available at: </w:t>
      </w:r>
      <w:hyperlink r:id="rId6" w:history="1">
        <w:r w:rsidRPr="008E25B9">
          <w:rPr>
            <w:rFonts w:eastAsia="Times New Roman" w:cs="Calibri"/>
            <w:color w:val="0000FF"/>
            <w:u w:val="single"/>
          </w:rPr>
          <w:t>https://www.bbc.co.uk/news/newsbeat-40158730</w:t>
        </w:r>
      </w:hyperlink>
      <w:r w:rsidRPr="008E25B9">
        <w:rPr>
          <w:rFonts w:eastAsia="Times New Roman" w:cs="Calibri"/>
        </w:rPr>
        <w:t xml:space="preserve">. [Accessed 5 January 2021].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BBC News. 2020. Police racism inquiries in the UK: Do they change how things work?. [ONLINE] Available at: </w:t>
      </w:r>
      <w:hyperlink r:id="rId7" w:history="1">
        <w:r w:rsidRPr="008E25B9">
          <w:rPr>
            <w:rFonts w:eastAsia="Times New Roman" w:cs="Calibri"/>
            <w:color w:val="0000FF"/>
            <w:u w:val="single"/>
          </w:rPr>
          <w:t>https://www.bbc.co.uk/news/newsbeat-53365011</w:t>
        </w:r>
      </w:hyperlink>
      <w:r w:rsidRPr="008E25B9">
        <w:rPr>
          <w:rFonts w:eastAsia="Times New Roman" w:cs="Calibri"/>
        </w:rPr>
        <w:t xml:space="preserve">. [Accessed 22 December 2020].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Times New Roman"/>
          <w:sz w:val="23"/>
          <w:szCs w:val="23"/>
        </w:rPr>
      </w:pPr>
      <w:r w:rsidRPr="008E25B9">
        <w:rPr>
          <w:rFonts w:eastAsia="Times New Roman" w:cs="Times New Roman"/>
          <w:sz w:val="23"/>
          <w:szCs w:val="23"/>
        </w:rPr>
        <w:t xml:space="preserve">Bullock, K., </w:t>
      </w:r>
      <w:proofErr w:type="spellStart"/>
      <w:r w:rsidRPr="008E25B9">
        <w:rPr>
          <w:rFonts w:eastAsia="Times New Roman" w:cs="Times New Roman"/>
          <w:sz w:val="23"/>
          <w:szCs w:val="23"/>
        </w:rPr>
        <w:t>Erol</w:t>
      </w:r>
      <w:proofErr w:type="spellEnd"/>
      <w:r w:rsidRPr="008E25B9">
        <w:rPr>
          <w:rFonts w:eastAsia="Times New Roman" w:cs="Times New Roman"/>
          <w:sz w:val="23"/>
          <w:szCs w:val="23"/>
        </w:rPr>
        <w:t xml:space="preserve">, R., &amp; Tilley, N. (2006). </w:t>
      </w:r>
      <w:r w:rsidRPr="008E25B9">
        <w:rPr>
          <w:rFonts w:eastAsia="Times New Roman" w:cs="Times New Roman"/>
          <w:iCs/>
          <w:sz w:val="23"/>
          <w:szCs w:val="23"/>
        </w:rPr>
        <w:t>Problem-oriented policing and Partnership</w:t>
      </w:r>
      <w:r w:rsidRPr="008E25B9">
        <w:rPr>
          <w:rFonts w:eastAsia="Times New Roman" w:cs="Times New Roman"/>
          <w:sz w:val="23"/>
          <w:szCs w:val="23"/>
        </w:rPr>
        <w:t xml:space="preserve">. </w:t>
      </w:r>
      <w:proofErr w:type="spellStart"/>
      <w:r w:rsidRPr="008E25B9">
        <w:rPr>
          <w:rFonts w:eastAsia="Times New Roman" w:cs="Times New Roman"/>
          <w:sz w:val="23"/>
          <w:szCs w:val="23"/>
        </w:rPr>
        <w:t>Cullompton</w:t>
      </w:r>
      <w:proofErr w:type="spellEnd"/>
      <w:r w:rsidRPr="008E25B9">
        <w:rPr>
          <w:rFonts w:eastAsia="Times New Roman" w:cs="Times New Roman"/>
          <w:sz w:val="23"/>
          <w:szCs w:val="23"/>
        </w:rPr>
        <w:t xml:space="preserve">: </w:t>
      </w:r>
      <w:proofErr w:type="spellStart"/>
      <w:r w:rsidRPr="008E25B9">
        <w:rPr>
          <w:rFonts w:eastAsia="Times New Roman" w:cs="Times New Roman"/>
          <w:sz w:val="23"/>
          <w:szCs w:val="23"/>
        </w:rPr>
        <w:t>Willan</w:t>
      </w:r>
      <w:proofErr w:type="spellEnd"/>
      <w:r w:rsidRPr="008E25B9">
        <w:rPr>
          <w:rFonts w:eastAsia="Times New Roman" w:cs="Times New Roman"/>
          <w:sz w:val="23"/>
          <w:szCs w:val="23"/>
        </w:rPr>
        <w:t xml:space="preserve"> Publishing.</w:t>
      </w:r>
    </w:p>
    <w:p w:rsidR="008E25B9" w:rsidRPr="008E25B9" w:rsidRDefault="008E25B9" w:rsidP="008E25B9">
      <w:pPr>
        <w:autoSpaceDE w:val="0"/>
        <w:autoSpaceDN w:val="0"/>
        <w:adjustRightInd w:val="0"/>
        <w:spacing w:before="100" w:after="100" w:line="240" w:lineRule="auto"/>
        <w:rPr>
          <w:rFonts w:ascii="Times New Roman" w:eastAsia="Times New Roman" w:hAnsi="Times New Roman" w:cs="Times New Roman"/>
          <w:sz w:val="24"/>
          <w:szCs w:val="24"/>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Carter, J. G., Phillips, S. W., &amp; </w:t>
      </w:r>
      <w:proofErr w:type="spellStart"/>
      <w:r w:rsidRPr="008E25B9">
        <w:rPr>
          <w:rFonts w:eastAsia="Times New Roman" w:cs="Calibri"/>
        </w:rPr>
        <w:t>Gayadeen</w:t>
      </w:r>
      <w:proofErr w:type="spellEnd"/>
      <w:r w:rsidRPr="008E25B9">
        <w:rPr>
          <w:rFonts w:eastAsia="Times New Roman" w:cs="Calibri"/>
        </w:rPr>
        <w:t xml:space="preserve">, S. M. (2014). Implementing Intelligence-Led Policing: An Application of Loose-Coupling Theory. </w:t>
      </w:r>
      <w:r w:rsidRPr="008E25B9">
        <w:rPr>
          <w:rFonts w:eastAsia="Times New Roman" w:cs="Calibri"/>
          <w:i/>
          <w:iCs/>
        </w:rPr>
        <w:t>Journal of Criminal Justice, 42</w:t>
      </w:r>
      <w:r w:rsidRPr="008E25B9">
        <w:rPr>
          <w:rFonts w:eastAsia="Times New Roman" w:cs="Calibri"/>
        </w:rPr>
        <w:t>(6), 433-442</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2013. Engagement. [ONLINE] Available at: </w:t>
      </w:r>
      <w:hyperlink r:id="rId8" w:anchor="community-impact-assessment" w:history="1">
        <w:r w:rsidRPr="008E25B9">
          <w:rPr>
            <w:rFonts w:eastAsia="Times New Roman" w:cs="Calibri"/>
            <w:color w:val="0000FF"/>
            <w:u w:val="single"/>
          </w:rPr>
          <w:t>https://www.app.college.police.uk/app-content/engagement-and-communication/engaging-with-communities/#community-impact-assessment</w:t>
        </w:r>
      </w:hyperlink>
      <w:r w:rsidRPr="008E25B9">
        <w:rPr>
          <w:rFonts w:eastAsia="Times New Roman" w:cs="Calibri"/>
        </w:rPr>
        <w:t xml:space="preserve">. [Accessed 23 December 2020].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2015. Governance. [ONLINE] Available at: </w:t>
      </w:r>
      <w:hyperlink r:id="rId9" w:anchor="tactical-tasking-and-coordination-group" w:history="1">
        <w:r w:rsidRPr="008E25B9">
          <w:rPr>
            <w:rFonts w:eastAsia="Times New Roman" w:cs="Calibri"/>
            <w:color w:val="0000FF"/>
            <w:u w:val="single"/>
          </w:rPr>
          <w:t>https://www.app.college.police.uk/app-content/intelligence-management/governance/#tactical-tasking-and-coordination-group</w:t>
        </w:r>
      </w:hyperlink>
      <w:r w:rsidRPr="008E25B9">
        <w:rPr>
          <w:rFonts w:eastAsia="Times New Roman" w:cs="Calibri"/>
        </w:rPr>
        <w:t xml:space="preserve">. [Accessed 29 December 2020].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2018. Policing Roads Together - 3 year strategy 2018-2021. [ONLINE] Available at: </w:t>
      </w:r>
      <w:hyperlink r:id="rId10" w:history="1">
        <w:r w:rsidRPr="008E25B9">
          <w:rPr>
            <w:rFonts w:eastAsia="Times New Roman" w:cs="Calibri"/>
            <w:color w:val="0000FF"/>
            <w:u w:val="single"/>
          </w:rPr>
          <w:t>http://library.college.police.uk/docs/appref/Policing-our-Roads-Together-partners-copy.pdf</w:t>
        </w:r>
      </w:hyperlink>
      <w:r w:rsidRPr="008E25B9">
        <w:rPr>
          <w:rFonts w:eastAsia="Times New Roman" w:cs="Calibri"/>
        </w:rPr>
        <w:t xml:space="preserve">. [Accessed 5 January 2021].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2019. Intelligence products. [ONLINE] Available at: </w:t>
      </w:r>
      <w:hyperlink r:id="rId11" w:history="1">
        <w:r w:rsidRPr="008E25B9">
          <w:rPr>
            <w:rFonts w:eastAsia="Times New Roman" w:cs="Calibri"/>
            <w:color w:val="0000FF"/>
            <w:u w:val="single"/>
          </w:rPr>
          <w:t>https://www.app.college.police.uk/app-content/intelligence-management/analysis/intelligence-products/</w:t>
        </w:r>
      </w:hyperlink>
      <w:r w:rsidRPr="008E25B9">
        <w:rPr>
          <w:rFonts w:eastAsia="Times New Roman" w:cs="Calibri"/>
        </w:rPr>
        <w:t xml:space="preserve">. [Accessed 29 December 2020].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2019. Problem Orientated Policing England and Wales 2019. [ONLINE] Available at: </w:t>
      </w:r>
      <w:hyperlink r:id="rId12" w:history="1">
        <w:r w:rsidRPr="008E25B9">
          <w:rPr>
            <w:rFonts w:eastAsia="Times New Roman" w:cs="Calibri"/>
            <w:color w:val="0000FF"/>
            <w:u w:val="single"/>
          </w:rPr>
          <w:t>https://whatworks.college.police.uk/Research/Documents/Problem-oriented_policing.pdf</w:t>
        </w:r>
      </w:hyperlink>
      <w:r w:rsidRPr="008E25B9">
        <w:rPr>
          <w:rFonts w:eastAsia="Times New Roman" w:cs="Calibri"/>
        </w:rPr>
        <w:t xml:space="preserve">. [Accessed 28 December 2020].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College of Policing. 2019. Roads policing - Disrupting criminality. [ONLINE] Available at: </w:t>
      </w:r>
      <w:hyperlink r:id="rId13" w:history="1">
        <w:r w:rsidRPr="008E25B9">
          <w:rPr>
            <w:rFonts w:eastAsia="Times New Roman" w:cs="Calibri"/>
            <w:color w:val="0000FF"/>
            <w:u w:val="single"/>
          </w:rPr>
          <w:t>https://www.app.college.police.uk/app-content/road-policing-2/disrupting-criminality/</w:t>
        </w:r>
      </w:hyperlink>
      <w:r w:rsidRPr="008E25B9">
        <w:rPr>
          <w:rFonts w:eastAsia="Times New Roman" w:cs="Calibri"/>
        </w:rPr>
        <w:t>. [Accessed 5 January 2021].</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proofErr w:type="spellStart"/>
      <w:r w:rsidRPr="008E25B9">
        <w:rPr>
          <w:rFonts w:eastAsia="Times New Roman" w:cs="Calibri"/>
        </w:rPr>
        <w:t>Felson</w:t>
      </w:r>
      <w:proofErr w:type="spellEnd"/>
      <w:r w:rsidRPr="008E25B9">
        <w:rPr>
          <w:rFonts w:eastAsia="Times New Roman" w:cs="Calibri"/>
        </w:rPr>
        <w:t>, M., &amp; Cohen, L. E. (1980). Human ecology and crime: A routine activity approach. Human Ecology,8(4), 389–405</w:t>
      </w: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lastRenderedPageBreak/>
        <w:t xml:space="preserve">Gaines, L. K., &amp; </w:t>
      </w:r>
      <w:proofErr w:type="spellStart"/>
      <w:r w:rsidRPr="008E25B9">
        <w:rPr>
          <w:rFonts w:eastAsia="Times New Roman" w:cs="Calibri"/>
        </w:rPr>
        <w:t>Kappeler</w:t>
      </w:r>
      <w:proofErr w:type="spellEnd"/>
      <w:r w:rsidRPr="008E25B9">
        <w:rPr>
          <w:rFonts w:eastAsia="Times New Roman" w:cs="Calibri"/>
        </w:rPr>
        <w:t xml:space="preserve">, V. E. (2014). </w:t>
      </w:r>
      <w:r w:rsidRPr="008E25B9">
        <w:rPr>
          <w:rFonts w:eastAsia="Times New Roman" w:cs="Calibri"/>
          <w:i/>
          <w:iCs/>
        </w:rPr>
        <w:t>Policing in America</w:t>
      </w:r>
      <w:r w:rsidRPr="008E25B9">
        <w:rPr>
          <w:rFonts w:eastAsia="Times New Roman" w:cs="Calibri"/>
        </w:rPr>
        <w:t xml:space="preserve"> (8th ed.). Waltham, MA: Anderson.</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Home Office Media. 2020. Factsheet: Police Funding Settlement 2020-21. [ONLINE] Available at: </w:t>
      </w:r>
      <w:hyperlink r:id="rId14" w:history="1">
        <w:r w:rsidRPr="008E25B9">
          <w:rPr>
            <w:rFonts w:eastAsia="Times New Roman" w:cs="Calibri"/>
            <w:color w:val="0000FF"/>
            <w:u w:val="single"/>
          </w:rPr>
          <w:t>https://homeofficemedia.blog.gov.uk/2020/01/22/factsheet-police-funding-settlement-2020-21/</w:t>
        </w:r>
      </w:hyperlink>
      <w:r w:rsidRPr="008E25B9">
        <w:rPr>
          <w:rFonts w:eastAsia="Times New Roman" w:cs="Calibri"/>
        </w:rPr>
        <w:t>. [Accessed 2 January 2021]</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JESIP. 2018. The </w:t>
      </w:r>
      <w:proofErr w:type="spellStart"/>
      <w:r w:rsidRPr="008E25B9">
        <w:rPr>
          <w:rFonts w:eastAsia="Times New Roman" w:cs="Calibri"/>
        </w:rPr>
        <w:t>Kerslake</w:t>
      </w:r>
      <w:proofErr w:type="spellEnd"/>
      <w:r w:rsidRPr="008E25B9">
        <w:rPr>
          <w:rFonts w:eastAsia="Times New Roman" w:cs="Calibri"/>
        </w:rPr>
        <w:t xml:space="preserve"> Report. [ONLINE] Available at: </w:t>
      </w:r>
      <w:hyperlink r:id="rId15" w:history="1">
        <w:r w:rsidRPr="008E25B9">
          <w:rPr>
            <w:rFonts w:eastAsia="Times New Roman" w:cs="Calibri"/>
            <w:color w:val="0000FF"/>
            <w:u w:val="single"/>
          </w:rPr>
          <w:t>https://www.jesip.org.uk/uploads/media/Documents%20Products/Kerslake_Report_Manchester_Are.pdf</w:t>
        </w:r>
      </w:hyperlink>
      <w:r w:rsidRPr="008E25B9">
        <w:rPr>
          <w:rFonts w:eastAsia="Times New Roman" w:cs="Calibri"/>
        </w:rPr>
        <w:t xml:space="preserve">. [Accessed 2 January 2021].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JESIP. 2021. Why do we need JESIP? [ONLINE] Available at: </w:t>
      </w:r>
      <w:hyperlink r:id="rId16" w:history="1">
        <w:r w:rsidRPr="008E25B9">
          <w:rPr>
            <w:rFonts w:eastAsia="Times New Roman" w:cs="Calibri"/>
            <w:color w:val="0000FF"/>
            <w:u w:val="single"/>
          </w:rPr>
          <w:t>https://www.jesip.org.uk/why-do-we-need-jesip</w:t>
        </w:r>
      </w:hyperlink>
      <w:r w:rsidRPr="008E25B9">
        <w:rPr>
          <w:rFonts w:eastAsia="Times New Roman" w:cs="Calibri"/>
        </w:rPr>
        <w:t xml:space="preserve">. [Accessed 2 January 2021].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proofErr w:type="spellStart"/>
      <w:r w:rsidRPr="008E25B9">
        <w:rPr>
          <w:rFonts w:eastAsia="Times New Roman" w:cs="Calibri"/>
        </w:rPr>
        <w:t>Kelling</w:t>
      </w:r>
      <w:proofErr w:type="spellEnd"/>
      <w:r w:rsidRPr="008E25B9">
        <w:rPr>
          <w:rFonts w:eastAsia="Times New Roman" w:cs="Calibri"/>
        </w:rPr>
        <w:t xml:space="preserve"> G, Wilson Q (1982) Broken Windows. The Atlantic monthly, 127 (2).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London Assembly. 2006. Report 7 July Review Committee. [ONLINE] Available at: </w:t>
      </w:r>
      <w:hyperlink r:id="rId17" w:history="1">
        <w:r w:rsidRPr="008E25B9">
          <w:rPr>
            <w:rFonts w:eastAsia="Times New Roman" w:cs="Calibri"/>
            <w:color w:val="0000FF"/>
            <w:u w:val="single"/>
          </w:rPr>
          <w:t>https://www.london.gov.uk/sites/default/files/gla_migrate_files_destination/archives/assembly-reports-7july-report.pdf</w:t>
        </w:r>
      </w:hyperlink>
      <w:r w:rsidRPr="008E25B9">
        <w:rPr>
          <w:rFonts w:eastAsia="Times New Roman" w:cs="Calibri"/>
        </w:rPr>
        <w:t>. [Accessed 2 January 2021].</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lang w:val="en"/>
        </w:rPr>
      </w:pPr>
      <w:r w:rsidRPr="008E25B9">
        <w:rPr>
          <w:rFonts w:eastAsia="Times New Roman" w:cs="Calibri"/>
          <w:lang w:val="en"/>
        </w:rPr>
        <w:t xml:space="preserve">MacPherson, W., (1999). </w:t>
      </w:r>
      <w:r w:rsidRPr="008E25B9">
        <w:rPr>
          <w:rFonts w:eastAsia="Times New Roman" w:cs="Calibri"/>
          <w:iCs/>
          <w:lang w:val="en"/>
        </w:rPr>
        <w:t>The Stephen Lawrence Inquiry</w:t>
      </w:r>
      <w:r w:rsidRPr="008E25B9">
        <w:rPr>
          <w:rFonts w:eastAsia="Times New Roman" w:cs="Calibri"/>
          <w:lang w:val="en"/>
        </w:rPr>
        <w:t>. Report of an Inquiry. [online] Gov.uk. Available at: https://www.gov.uk/government/publications/the-stephen-lawrence-inquiry [Accessed 22 December 2020]</w:t>
      </w:r>
    </w:p>
    <w:p w:rsidR="008E25B9" w:rsidRPr="008E25B9" w:rsidRDefault="008E25B9" w:rsidP="008E25B9">
      <w:pPr>
        <w:autoSpaceDE w:val="0"/>
        <w:autoSpaceDN w:val="0"/>
        <w:adjustRightInd w:val="0"/>
        <w:spacing w:before="100" w:after="100" w:line="240" w:lineRule="auto"/>
        <w:rPr>
          <w:rFonts w:eastAsia="Times New Roman" w:cs="Calibri"/>
          <w:lang w:val="en"/>
        </w:rPr>
      </w:pPr>
    </w:p>
    <w:p w:rsidR="008E25B9" w:rsidRPr="008E25B9" w:rsidRDefault="008E25B9" w:rsidP="008E25B9">
      <w:pPr>
        <w:autoSpaceDE w:val="0"/>
        <w:autoSpaceDN w:val="0"/>
        <w:adjustRightInd w:val="0"/>
        <w:spacing w:before="100" w:after="100" w:line="240" w:lineRule="auto"/>
        <w:rPr>
          <w:rFonts w:eastAsia="Times New Roman" w:cs="Calibri"/>
          <w:lang w:val="en"/>
        </w:rPr>
      </w:pPr>
      <w:r w:rsidRPr="008E25B9">
        <w:rPr>
          <w:rFonts w:eastAsia="Times New Roman" w:cs="Calibri"/>
          <w:lang w:val="en"/>
        </w:rPr>
        <w:t>Malik, N. 2019. How Does Terrorism Overlap With Criminality? Forbes, 9 January. Available at: https://www.forbes.com/sites/nikitamalik/2019/01/09/how-does-terrorism-overlap-with-criminality/ [Accessed 7 January 2021]</w:t>
      </w:r>
    </w:p>
    <w:p w:rsidR="008E25B9" w:rsidRPr="008E25B9" w:rsidRDefault="008E25B9" w:rsidP="008E25B9">
      <w:pPr>
        <w:autoSpaceDE w:val="0"/>
        <w:autoSpaceDN w:val="0"/>
        <w:adjustRightInd w:val="0"/>
        <w:spacing w:after="0" w:line="240" w:lineRule="auto"/>
        <w:rPr>
          <w:rFonts w:eastAsia="Times New Roman" w:cs="Calibri"/>
          <w:lang w:val="en"/>
        </w:rPr>
      </w:pPr>
    </w:p>
    <w:p w:rsidR="008E25B9" w:rsidRPr="008E25B9" w:rsidRDefault="008E25B9" w:rsidP="008E25B9">
      <w:pPr>
        <w:autoSpaceDE w:val="0"/>
        <w:autoSpaceDN w:val="0"/>
        <w:adjustRightInd w:val="0"/>
        <w:spacing w:after="0" w:line="240" w:lineRule="auto"/>
        <w:rPr>
          <w:rFonts w:eastAsia="Times New Roman" w:cs="Calibri"/>
        </w:rPr>
      </w:pPr>
      <w:r w:rsidRPr="008E25B9">
        <w:rPr>
          <w:rFonts w:eastAsia="Times New Roman" w:cs="Calibri"/>
        </w:rPr>
        <w:t xml:space="preserve">Makarenko, T. (2004). The Crime-Terror Continuum: Tracing the Interplay between Transnational Organized Crime and Terrorism. </w:t>
      </w:r>
      <w:r w:rsidRPr="008E25B9">
        <w:rPr>
          <w:rFonts w:eastAsia="Times New Roman" w:cs="Calibri"/>
          <w:iCs/>
        </w:rPr>
        <w:t xml:space="preserve">Global crime, </w:t>
      </w:r>
      <w:r w:rsidRPr="008E25B9">
        <w:rPr>
          <w:rFonts w:eastAsia="Times New Roman" w:cs="Calibri"/>
        </w:rPr>
        <w:t>6(1): 129-145.</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Metropolitan Police. 2020. Met launches new counter terrorism team for London’s roads and transport hubs. [ONLINE] Available at: </w:t>
      </w:r>
      <w:hyperlink r:id="rId18" w:history="1">
        <w:r w:rsidRPr="008E25B9">
          <w:rPr>
            <w:rFonts w:eastAsia="Times New Roman" w:cs="Calibri"/>
            <w:color w:val="0000FF"/>
            <w:u w:val="single"/>
          </w:rPr>
          <w:t>https://news.met.police.uk/news/met-launches-new-counter-terrorism-team-for-londons-roads-and-transport-hubs-417439</w:t>
        </w:r>
      </w:hyperlink>
      <w:r w:rsidRPr="008E25B9">
        <w:rPr>
          <w:rFonts w:eastAsia="Times New Roman" w:cs="Calibri"/>
        </w:rPr>
        <w:t xml:space="preserve">. [Accessed 5 January 2021]. </w:t>
      </w:r>
    </w:p>
    <w:p w:rsidR="008E25B9" w:rsidRPr="008E25B9" w:rsidRDefault="008E25B9" w:rsidP="008E25B9">
      <w:pPr>
        <w:rPr>
          <w:rFonts w:eastAsia="Times New Roman" w:cs="Calibri"/>
        </w:rPr>
      </w:pPr>
    </w:p>
    <w:p w:rsidR="008E25B9" w:rsidRPr="008E25B9" w:rsidRDefault="008E25B9" w:rsidP="008E25B9">
      <w:pPr>
        <w:rPr>
          <w:rFonts w:eastAsia="Times New Roman" w:cs="Calibri"/>
        </w:rPr>
      </w:pPr>
      <w:proofErr w:type="spellStart"/>
      <w:r w:rsidRPr="008E25B9">
        <w:rPr>
          <w:rFonts w:eastAsia="Times New Roman" w:cs="Calibri"/>
        </w:rPr>
        <w:t>Myhill</w:t>
      </w:r>
      <w:proofErr w:type="spellEnd"/>
      <w:r w:rsidRPr="008E25B9">
        <w:rPr>
          <w:rFonts w:eastAsia="Times New Roman" w:cs="Calibri"/>
        </w:rPr>
        <w:t>, A. 2006. Community Engagement in Policing: Lessons from the Literature London: Home Office</w:t>
      </w:r>
    </w:p>
    <w:p w:rsidR="008E25B9" w:rsidRPr="008E25B9" w:rsidRDefault="008E25B9" w:rsidP="008E25B9">
      <w:pPr>
        <w:rPr>
          <w:rFonts w:eastAsia="Times New Roman" w:cs="Calibri"/>
        </w:rPr>
      </w:pPr>
    </w:p>
    <w:p w:rsidR="008E25B9" w:rsidRPr="008E25B9" w:rsidRDefault="008E25B9" w:rsidP="008E25B9">
      <w:pPr>
        <w:rPr>
          <w:rFonts w:eastAsia="Times New Roman" w:cs="Calibri"/>
        </w:rPr>
      </w:pPr>
      <w:r w:rsidRPr="008E25B9">
        <w:rPr>
          <w:rFonts w:eastAsia="Times New Roman" w:cs="Calibri"/>
        </w:rPr>
        <w:t xml:space="preserve">New Local. 2019. Edition 4: The Impact of </w:t>
      </w:r>
      <w:proofErr w:type="spellStart"/>
      <w:r w:rsidRPr="008E25B9">
        <w:rPr>
          <w:rFonts w:eastAsia="Times New Roman" w:cs="Calibri"/>
        </w:rPr>
        <w:t>Brexit</w:t>
      </w:r>
      <w:proofErr w:type="spellEnd"/>
      <w:r w:rsidRPr="008E25B9">
        <w:rPr>
          <w:rFonts w:eastAsia="Times New Roman" w:cs="Calibri"/>
        </w:rPr>
        <w:t xml:space="preserve"> on Community Cohesion. [ONLINE] Available at: </w:t>
      </w:r>
      <w:hyperlink r:id="rId19" w:history="1">
        <w:r w:rsidRPr="008E25B9">
          <w:rPr>
            <w:rFonts w:eastAsia="Times New Roman" w:cs="Calibri"/>
            <w:color w:val="0000FF"/>
            <w:u w:val="single"/>
          </w:rPr>
          <w:t>https://www.newlocal.org.uk/publications/leadership-index-publications/nlgn-leadership-index-january-2019/</w:t>
        </w:r>
      </w:hyperlink>
      <w:r w:rsidRPr="008E25B9">
        <w:rPr>
          <w:rFonts w:eastAsia="Times New Roman" w:cs="Calibri"/>
        </w:rPr>
        <w:t>. [Accessed 23 December 2020].</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lastRenderedPageBreak/>
        <w:t xml:space="preserve">NPCC. 2015. Transforming policing for 2020. [ONLINE] Available at: </w:t>
      </w:r>
      <w:hyperlink r:id="rId20" w:history="1">
        <w:r w:rsidRPr="008E25B9">
          <w:rPr>
            <w:rFonts w:eastAsia="Times New Roman" w:cs="Calibri"/>
            <w:color w:val="0000FF"/>
            <w:u w:val="single"/>
          </w:rPr>
          <w:t>https://news.npcc.police.uk/releases/transforming-policing-for-2020-1</w:t>
        </w:r>
      </w:hyperlink>
      <w:r w:rsidRPr="008E25B9">
        <w:rPr>
          <w:rFonts w:eastAsia="Times New Roman" w:cs="Calibri"/>
        </w:rPr>
        <w:t xml:space="preserve">. [Accessed 2 January 2021]. </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Rogers, B. &amp; Robinson, E. (2004). The Benefits of Community Engagement: A Review of the Evidence London: Home Office</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Times New Roman"/>
        </w:rPr>
      </w:pPr>
      <w:r w:rsidRPr="008E25B9">
        <w:rPr>
          <w:rFonts w:eastAsia="Times New Roman" w:cs="Times New Roman"/>
        </w:rPr>
        <w:t xml:space="preserve">Scott, M. (2006). Implementing crime prevention: Lessons learned from problem-oriented policing projects. </w:t>
      </w:r>
      <w:r w:rsidRPr="008E25B9">
        <w:rPr>
          <w:rFonts w:eastAsia="Times New Roman" w:cs="Times New Roman"/>
          <w:iCs/>
        </w:rPr>
        <w:t>Crime Prevention Studies</w:t>
      </w:r>
      <w:r w:rsidRPr="008E25B9">
        <w:rPr>
          <w:rFonts w:eastAsia="Times New Roman" w:cs="Times New Roman"/>
        </w:rPr>
        <w:t xml:space="preserve">, </w:t>
      </w:r>
      <w:r w:rsidRPr="008E25B9">
        <w:rPr>
          <w:rFonts w:eastAsia="Times New Roman" w:cs="Times New Roman"/>
          <w:i/>
          <w:iCs/>
        </w:rPr>
        <w:t>20</w:t>
      </w:r>
      <w:r w:rsidRPr="008E25B9">
        <w:rPr>
          <w:rFonts w:eastAsia="Times New Roman" w:cs="Times New Roman"/>
        </w:rPr>
        <w:t>, 9.</w:t>
      </w:r>
    </w:p>
    <w:p w:rsidR="008E25B9" w:rsidRPr="008E25B9" w:rsidRDefault="008E25B9" w:rsidP="008E25B9">
      <w:pPr>
        <w:autoSpaceDE w:val="0"/>
        <w:autoSpaceDN w:val="0"/>
        <w:adjustRightInd w:val="0"/>
        <w:spacing w:before="100" w:after="100" w:line="240" w:lineRule="auto"/>
        <w:rPr>
          <w:rFonts w:eastAsia="Times New Roman" w:cs="Times New Roman"/>
        </w:rPr>
      </w:pPr>
    </w:p>
    <w:p w:rsidR="008E25B9" w:rsidRPr="008E25B9" w:rsidRDefault="008E25B9" w:rsidP="008E25B9">
      <w:pPr>
        <w:autoSpaceDE w:val="0"/>
        <w:autoSpaceDN w:val="0"/>
        <w:adjustRightInd w:val="0"/>
        <w:spacing w:before="100" w:after="100" w:line="240" w:lineRule="auto"/>
        <w:rPr>
          <w:rFonts w:eastAsia="Times New Roman" w:cs="Times New Roman"/>
          <w:sz w:val="23"/>
          <w:szCs w:val="23"/>
        </w:rPr>
      </w:pPr>
      <w:r w:rsidRPr="008E25B9">
        <w:rPr>
          <w:rFonts w:eastAsia="Times New Roman" w:cs="Times New Roman"/>
          <w:sz w:val="23"/>
          <w:szCs w:val="23"/>
        </w:rPr>
        <w:t xml:space="preserve">Scott, M. and Clarke, R. (2020). </w:t>
      </w:r>
      <w:r w:rsidRPr="008E25B9">
        <w:rPr>
          <w:rFonts w:eastAsia="Times New Roman" w:cs="Times New Roman"/>
          <w:iCs/>
          <w:sz w:val="23"/>
          <w:szCs w:val="23"/>
        </w:rPr>
        <w:t>Problem-oriented Policing: Successful case studies</w:t>
      </w:r>
      <w:r w:rsidRPr="008E25B9">
        <w:rPr>
          <w:rFonts w:eastAsia="Times New Roman" w:cs="Times New Roman"/>
          <w:sz w:val="23"/>
          <w:szCs w:val="23"/>
        </w:rPr>
        <w:t>. Routledge</w:t>
      </w:r>
    </w:p>
    <w:p w:rsidR="008E25B9" w:rsidRPr="008E25B9" w:rsidRDefault="008E25B9" w:rsidP="008E25B9">
      <w:pPr>
        <w:autoSpaceDE w:val="0"/>
        <w:autoSpaceDN w:val="0"/>
        <w:adjustRightInd w:val="0"/>
        <w:spacing w:after="0" w:line="240" w:lineRule="auto"/>
        <w:rPr>
          <w:rFonts w:eastAsia="Times New Roman" w:cs="Times New Roman"/>
          <w:sz w:val="23"/>
          <w:szCs w:val="23"/>
        </w:rPr>
      </w:pPr>
    </w:p>
    <w:p w:rsidR="008E25B9" w:rsidRPr="008E25B9" w:rsidRDefault="008E25B9" w:rsidP="008E25B9">
      <w:pPr>
        <w:autoSpaceDE w:val="0"/>
        <w:autoSpaceDN w:val="0"/>
        <w:adjustRightInd w:val="0"/>
        <w:spacing w:after="0" w:line="240" w:lineRule="auto"/>
        <w:rPr>
          <w:rFonts w:eastAsia="Times New Roman" w:cs="Calibri"/>
          <w:iCs/>
        </w:rPr>
      </w:pPr>
      <w:r w:rsidRPr="008E25B9">
        <w:rPr>
          <w:rFonts w:eastAsia="Times New Roman" w:cs="Calibri"/>
        </w:rPr>
        <w:t xml:space="preserve">Shelley, L. I. (2005). The Unholy Trinity: Transnational Crime, Corruption, and Terrorism. </w:t>
      </w:r>
      <w:r w:rsidRPr="008E25B9">
        <w:rPr>
          <w:rFonts w:eastAsia="Times New Roman" w:cs="Calibri"/>
          <w:iCs/>
        </w:rPr>
        <w:t>Brown Journal of World Affairs</w:t>
      </w:r>
      <w:r w:rsidRPr="008E25B9">
        <w:rPr>
          <w:rFonts w:eastAsia="Times New Roman" w:cs="Calibri"/>
        </w:rPr>
        <w:t>, 11(2): 101-111.</w:t>
      </w:r>
    </w:p>
    <w:p w:rsidR="008E25B9" w:rsidRPr="008E25B9" w:rsidRDefault="008E25B9" w:rsidP="008E25B9">
      <w:pPr>
        <w:autoSpaceDE w:val="0"/>
        <w:autoSpaceDN w:val="0"/>
        <w:adjustRightInd w:val="0"/>
        <w:spacing w:before="100" w:after="100" w:line="240" w:lineRule="auto"/>
        <w:rPr>
          <w:rFonts w:eastAsia="Times New Roman" w:cs="Times New Roman"/>
          <w:sz w:val="23"/>
          <w:szCs w:val="23"/>
        </w:rPr>
      </w:pPr>
    </w:p>
    <w:p w:rsidR="008E25B9" w:rsidRPr="008E25B9" w:rsidRDefault="008E25B9" w:rsidP="008E25B9">
      <w:pPr>
        <w:autoSpaceDE w:val="0"/>
        <w:autoSpaceDN w:val="0"/>
        <w:adjustRightInd w:val="0"/>
        <w:spacing w:before="100" w:after="100" w:line="240" w:lineRule="auto"/>
        <w:rPr>
          <w:rFonts w:eastAsia="Times New Roman" w:cs="Calibri"/>
        </w:rPr>
      </w:pPr>
      <w:proofErr w:type="spellStart"/>
      <w:r w:rsidRPr="008E25B9">
        <w:rPr>
          <w:rFonts w:eastAsia="Times New Roman" w:cs="Calibri"/>
          <w:shd w:val="clear" w:color="auto" w:fill="FFFFFF"/>
        </w:rPr>
        <w:t>Thacher</w:t>
      </w:r>
      <w:proofErr w:type="spellEnd"/>
      <w:r w:rsidRPr="008E25B9">
        <w:rPr>
          <w:rFonts w:eastAsia="Times New Roman" w:cs="Calibri"/>
          <w:shd w:val="clear" w:color="auto" w:fill="FFFFFF"/>
        </w:rPr>
        <w:t>, D., (2001). Conflicting Values in Community Policing. </w:t>
      </w:r>
      <w:r w:rsidRPr="008E25B9">
        <w:rPr>
          <w:rFonts w:eastAsia="Times New Roman" w:cs="Calibri"/>
          <w:i/>
          <w:iCs/>
          <w:shd w:val="clear" w:color="auto" w:fill="FFFFFF"/>
        </w:rPr>
        <w:t>Law &amp; society review</w:t>
      </w:r>
      <w:r w:rsidRPr="008E25B9">
        <w:rPr>
          <w:rFonts w:eastAsia="Times New Roman" w:cs="Calibri"/>
          <w:shd w:val="clear" w:color="auto" w:fill="FFFFFF"/>
        </w:rPr>
        <w:t>, 35(4), pp.765–798</w:t>
      </w:r>
    </w:p>
    <w:p w:rsidR="008E25B9" w:rsidRPr="008E25B9" w:rsidRDefault="008E25B9" w:rsidP="008E25B9">
      <w:pPr>
        <w:rPr>
          <w:rFonts w:eastAsia="Times New Roman" w:cs="Calibri"/>
        </w:rPr>
      </w:pPr>
    </w:p>
    <w:p w:rsidR="008E25B9" w:rsidRPr="008E25B9" w:rsidRDefault="008E25B9" w:rsidP="008E25B9">
      <w:pPr>
        <w:rPr>
          <w:rFonts w:eastAsia="Times New Roman" w:cs="Calibri"/>
          <w:lang w:val="en"/>
        </w:rPr>
      </w:pPr>
      <w:r w:rsidRPr="008E25B9">
        <w:rPr>
          <w:rFonts w:eastAsia="Times New Roman" w:cs="Calibri"/>
          <w:lang w:val="en"/>
        </w:rPr>
        <w:t>The Guardian. 2011. Fiona Pilkington case: police face misconduct proceedings. [ONLINE] Available at</w:t>
      </w:r>
      <w:r w:rsidRPr="008E25B9">
        <w:rPr>
          <w:rFonts w:eastAsia="Times New Roman" w:cs="Calibri"/>
          <w:color w:val="8A8A8A"/>
          <w:lang w:val="en"/>
        </w:rPr>
        <w:t xml:space="preserve">: </w:t>
      </w:r>
      <w:hyperlink r:id="rId21" w:history="1">
        <w:r w:rsidRPr="008E25B9">
          <w:rPr>
            <w:rFonts w:eastAsia="Times New Roman" w:cs="Calibri"/>
            <w:color w:val="0000FF"/>
            <w:u w:val="single"/>
            <w:lang w:val="en"/>
          </w:rPr>
          <w:t>https://www.theguardian.com/uk/2011/may/24/fiona-pilkington-police-misconduct-proceedings</w:t>
        </w:r>
      </w:hyperlink>
      <w:r w:rsidRPr="008E25B9">
        <w:rPr>
          <w:rFonts w:eastAsia="Times New Roman" w:cs="Calibri"/>
          <w:color w:val="8A8A8A"/>
          <w:lang w:val="en"/>
        </w:rPr>
        <w:t xml:space="preserve">. </w:t>
      </w:r>
      <w:r w:rsidRPr="008E25B9">
        <w:rPr>
          <w:rFonts w:eastAsia="Times New Roman" w:cs="Calibri"/>
          <w:lang w:val="en"/>
        </w:rPr>
        <w:t>[Accessed 22 December 2020].</w:t>
      </w:r>
    </w:p>
    <w:p w:rsidR="008E25B9" w:rsidRPr="008E25B9" w:rsidRDefault="008E25B9" w:rsidP="008E25B9">
      <w:pPr>
        <w:autoSpaceDE w:val="0"/>
        <w:autoSpaceDN w:val="0"/>
        <w:adjustRightInd w:val="0"/>
        <w:spacing w:before="100" w:after="100" w:line="240" w:lineRule="auto"/>
        <w:rPr>
          <w:rFonts w:eastAsia="Times New Roman" w:cs="Calibri"/>
          <w:lang w:val="en"/>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The Guardian. 2020. Boko Haram claims responsibility for kidnapping hundreds of boys in Nigeria. [ONLINE] Available at: </w:t>
      </w:r>
      <w:hyperlink r:id="rId22" w:history="1">
        <w:r w:rsidRPr="008E25B9">
          <w:rPr>
            <w:rFonts w:eastAsia="Times New Roman" w:cs="Calibri"/>
            <w:color w:val="0000FF"/>
            <w:u w:val="single"/>
          </w:rPr>
          <w:t>https://www.theguardian.com/world/2020/dec/15/boko-haram-claims-responsibility-for-kidnapping-hundreds-of-boys-in-nigeria</w:t>
        </w:r>
      </w:hyperlink>
      <w:r w:rsidRPr="008E25B9">
        <w:rPr>
          <w:rFonts w:eastAsia="Times New Roman" w:cs="Calibri"/>
        </w:rPr>
        <w:t xml:space="preserve">. [Accessed 5 January 2021]. </w:t>
      </w:r>
    </w:p>
    <w:p w:rsidR="008E25B9" w:rsidRPr="008E25B9" w:rsidRDefault="008E25B9" w:rsidP="008E25B9">
      <w:pPr>
        <w:autoSpaceDE w:val="0"/>
        <w:autoSpaceDN w:val="0"/>
        <w:adjustRightInd w:val="0"/>
        <w:spacing w:before="100" w:after="100" w:line="240" w:lineRule="auto"/>
        <w:rPr>
          <w:rFonts w:eastAsia="Times New Roman" w:cs="Calibri"/>
          <w:lang w:val="en"/>
        </w:rPr>
      </w:pPr>
    </w:p>
    <w:p w:rsidR="008E25B9" w:rsidRPr="008E25B9" w:rsidRDefault="008E25B9" w:rsidP="008E25B9">
      <w:pPr>
        <w:autoSpaceDE w:val="0"/>
        <w:autoSpaceDN w:val="0"/>
        <w:adjustRightInd w:val="0"/>
        <w:spacing w:before="100" w:after="100" w:line="240" w:lineRule="auto"/>
        <w:rPr>
          <w:rFonts w:eastAsia="Times New Roman" w:cs="Calibri"/>
        </w:rPr>
      </w:pPr>
      <w:r w:rsidRPr="008E25B9">
        <w:rPr>
          <w:rFonts w:eastAsia="Times New Roman" w:cs="Calibri"/>
        </w:rPr>
        <w:t xml:space="preserve">White, R. and </w:t>
      </w:r>
      <w:proofErr w:type="spellStart"/>
      <w:r w:rsidRPr="008E25B9">
        <w:rPr>
          <w:rFonts w:eastAsia="Times New Roman" w:cs="Calibri"/>
        </w:rPr>
        <w:t>Perrone</w:t>
      </w:r>
      <w:proofErr w:type="spellEnd"/>
      <w:r w:rsidRPr="008E25B9">
        <w:rPr>
          <w:rFonts w:eastAsia="Times New Roman" w:cs="Calibri"/>
        </w:rPr>
        <w:t xml:space="preserve">, S., (2005). </w:t>
      </w:r>
      <w:r w:rsidRPr="008E25B9">
        <w:rPr>
          <w:rFonts w:eastAsia="Times New Roman" w:cs="Calibri"/>
          <w:i/>
          <w:iCs/>
        </w:rPr>
        <w:t>Crime and Social Control</w:t>
      </w:r>
      <w:r w:rsidRPr="008E25B9">
        <w:rPr>
          <w:rFonts w:eastAsia="Times New Roman" w:cs="Calibri"/>
        </w:rPr>
        <w:t>. 2nd ed. London: Oxford University Press</w:t>
      </w:r>
    </w:p>
    <w:p w:rsidR="008E25B9" w:rsidRPr="008E25B9" w:rsidRDefault="008E25B9" w:rsidP="008E25B9">
      <w:pPr>
        <w:autoSpaceDE w:val="0"/>
        <w:autoSpaceDN w:val="0"/>
        <w:adjustRightInd w:val="0"/>
        <w:spacing w:before="100" w:after="100" w:line="240" w:lineRule="auto"/>
        <w:rPr>
          <w:rFonts w:eastAsia="Times New Roman" w:cs="Calibri"/>
        </w:rPr>
      </w:pPr>
    </w:p>
    <w:p w:rsidR="008E25B9" w:rsidRPr="008E25B9" w:rsidRDefault="008E25B9" w:rsidP="008E25B9">
      <w:pPr>
        <w:autoSpaceDE w:val="0"/>
        <w:autoSpaceDN w:val="0"/>
        <w:adjustRightInd w:val="0"/>
        <w:spacing w:before="100" w:after="100" w:line="240" w:lineRule="auto"/>
        <w:rPr>
          <w:rFonts w:eastAsia="Times New Roman" w:cs="Calibri"/>
        </w:rPr>
      </w:pPr>
      <w:proofErr w:type="spellStart"/>
      <w:r w:rsidRPr="008E25B9">
        <w:rPr>
          <w:rFonts w:eastAsia="Times New Roman" w:cs="Calibri"/>
          <w:lang w:val="en"/>
        </w:rPr>
        <w:t>Wrexham</w:t>
      </w:r>
      <w:proofErr w:type="spellEnd"/>
      <w:r w:rsidRPr="008E25B9">
        <w:rPr>
          <w:rFonts w:eastAsia="Times New Roman" w:cs="Calibri"/>
          <w:lang w:val="en"/>
        </w:rPr>
        <w:t xml:space="preserve"> County Borough Council. 2019. What is community cohesion. [ONLINE] Available at: </w:t>
      </w:r>
      <w:hyperlink r:id="rId23" w:history="1">
        <w:r w:rsidRPr="008E25B9">
          <w:rPr>
            <w:rFonts w:eastAsia="Times New Roman" w:cs="Calibri"/>
            <w:color w:val="0000FF"/>
            <w:u w:val="single"/>
            <w:lang w:val="en"/>
          </w:rPr>
          <w:t>http://old.wrexham.gov.uk/english/community/community_cohesion/community_cohesion.htm</w:t>
        </w:r>
      </w:hyperlink>
      <w:r w:rsidRPr="008E25B9">
        <w:rPr>
          <w:rFonts w:eastAsia="Times New Roman" w:cs="Calibri"/>
          <w:color w:val="8A8A8A"/>
          <w:lang w:val="en"/>
        </w:rPr>
        <w:t xml:space="preserve">. </w:t>
      </w:r>
      <w:r w:rsidRPr="008E25B9">
        <w:rPr>
          <w:rFonts w:eastAsia="Times New Roman" w:cs="Calibri"/>
          <w:lang w:val="en"/>
        </w:rPr>
        <w:t>[Accessed 22 December 2020].</w:t>
      </w:r>
    </w:p>
    <w:p w:rsidR="008E25B9" w:rsidRPr="008E25B9" w:rsidRDefault="008E25B9" w:rsidP="008E25B9">
      <w:pPr>
        <w:spacing w:line="480" w:lineRule="auto"/>
        <w:rPr>
          <w:rFonts w:eastAsia="Times New Roman" w:cs="Calibri"/>
          <w:lang w:val="en"/>
        </w:rPr>
      </w:pPr>
    </w:p>
    <w:p w:rsidR="008E25B9" w:rsidRPr="008E25B9" w:rsidRDefault="008E25B9" w:rsidP="008E25B9">
      <w:pPr>
        <w:spacing w:line="480" w:lineRule="auto"/>
        <w:rPr>
          <w:rFonts w:eastAsia="Times New Roman" w:cs="Times New Roman"/>
        </w:rPr>
      </w:pPr>
    </w:p>
    <w:p w:rsidR="008E25B9" w:rsidRPr="008E25B9" w:rsidRDefault="008E25B9" w:rsidP="008E25B9">
      <w:pPr>
        <w:spacing w:line="480" w:lineRule="auto"/>
        <w:rPr>
          <w:rFonts w:eastAsia="Times New Roman" w:cs="Times New Roman"/>
          <w:b/>
          <w:u w:val="single"/>
        </w:rPr>
      </w:pPr>
    </w:p>
    <w:sectPr w:rsidR="008E25B9" w:rsidRPr="008E2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5B9"/>
    <w:rsid w:val="008E25B9"/>
    <w:rsid w:val="00944508"/>
    <w:rsid w:val="009B6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CC433F"/>
  <w15:chartTrackingRefBased/>
  <w15:docId w15:val="{630A1A85-708D-4D5D-AF54-FA09FFDF9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8E25B9"/>
    <w:rPr>
      <w:rFonts w:cs="Times New Roman"/>
    </w:rPr>
  </w:style>
  <w:style w:type="character" w:styleId="Hyperlink">
    <w:name w:val="Hyperlink"/>
    <w:basedOn w:val="DefaultParagraphFont"/>
    <w:uiPriority w:val="99"/>
    <w:rsid w:val="008E25B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engagement-and-communication/engaging-with-communities/" TargetMode="External"/><Relationship Id="rId13" Type="http://schemas.openxmlformats.org/officeDocument/2006/relationships/hyperlink" Target="https://www.app.college.police.uk/app-content/road-policing-2/disrupting-criminality/" TargetMode="External"/><Relationship Id="rId18" Type="http://schemas.openxmlformats.org/officeDocument/2006/relationships/hyperlink" Target="https://news.met.police.uk/news/met-launches-new-counter-terrorism-team-for-londons-roads-and-transport-hubs-417439" TargetMode="External"/><Relationship Id="rId3" Type="http://schemas.openxmlformats.org/officeDocument/2006/relationships/webSettings" Target="webSettings.xml"/><Relationship Id="rId21" Type="http://schemas.openxmlformats.org/officeDocument/2006/relationships/hyperlink" Target="https://www.theguardian.com/uk/2011/may/24/fiona-pilkington-police-misconduct-proceedings" TargetMode="External"/><Relationship Id="rId7" Type="http://schemas.openxmlformats.org/officeDocument/2006/relationships/hyperlink" Target="https://www.bbc.co.uk/news/newsbeat-53365011" TargetMode="External"/><Relationship Id="rId12" Type="http://schemas.openxmlformats.org/officeDocument/2006/relationships/hyperlink" Target="https://whatworks.college.police.uk/Research/Documents/Problem-oriented_policing.pdf" TargetMode="External"/><Relationship Id="rId17" Type="http://schemas.openxmlformats.org/officeDocument/2006/relationships/hyperlink" Target="https://www.london.gov.uk/sites/default/files/gla_migrate_files_destination/archives/assembly-reports-7july-report.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jesip.org.uk/why-do-we-need-jesip" TargetMode="External"/><Relationship Id="rId20" Type="http://schemas.openxmlformats.org/officeDocument/2006/relationships/hyperlink" Target="https://news.npcc.police.uk/releases/transforming-policing-for-2020-1" TargetMode="External"/><Relationship Id="rId1" Type="http://schemas.openxmlformats.org/officeDocument/2006/relationships/styles" Target="styles.xml"/><Relationship Id="rId6" Type="http://schemas.openxmlformats.org/officeDocument/2006/relationships/hyperlink" Target="https://www.bbc.co.uk/news/newsbeat-40158730" TargetMode="External"/><Relationship Id="rId11" Type="http://schemas.openxmlformats.org/officeDocument/2006/relationships/hyperlink" Target="https://www.app.college.police.uk/app-content/intelligence-management/analysis/intelligence-products/" TargetMode="External"/><Relationship Id="rId24" Type="http://schemas.openxmlformats.org/officeDocument/2006/relationships/fontTable" Target="fontTable.xml"/><Relationship Id="rId5" Type="http://schemas.openxmlformats.org/officeDocument/2006/relationships/image" Target="cid:image001.png@01D0EA4A.2BD679A0" TargetMode="External"/><Relationship Id="rId15" Type="http://schemas.openxmlformats.org/officeDocument/2006/relationships/hyperlink" Target="https://www.jesip.org.uk/uploads/media/Documents%20Products/Kerslake_Report_Manchester_Are.pdf" TargetMode="External"/><Relationship Id="rId23" Type="http://schemas.openxmlformats.org/officeDocument/2006/relationships/hyperlink" Target="http://old.wrexham.gov.uk/english/community/community_cohesion/community_cohesion.htm" TargetMode="External"/><Relationship Id="rId10" Type="http://schemas.openxmlformats.org/officeDocument/2006/relationships/hyperlink" Target="http://library.college.police.uk/docs/appref/Policing-our-Roads-Together-partners-copy.pdf" TargetMode="External"/><Relationship Id="rId19" Type="http://schemas.openxmlformats.org/officeDocument/2006/relationships/hyperlink" Target="https://www.newlocal.org.uk/publications/leadership-index-publications/nlgn-leadership-index-january-2019/" TargetMode="External"/><Relationship Id="rId4" Type="http://schemas.openxmlformats.org/officeDocument/2006/relationships/image" Target="media/image1.png"/><Relationship Id="rId9" Type="http://schemas.openxmlformats.org/officeDocument/2006/relationships/hyperlink" Target="https://www.app.college.police.uk/app-content/intelligence-management/governance/" TargetMode="External"/><Relationship Id="rId14" Type="http://schemas.openxmlformats.org/officeDocument/2006/relationships/hyperlink" Target="https://homeofficemedia.blog.gov.uk/2020/01/22/factsheet-police-funding-settlement-2020-21/" TargetMode="External"/><Relationship Id="rId22" Type="http://schemas.openxmlformats.org/officeDocument/2006/relationships/hyperlink" Target="https://www.theguardian.com/world/2020/dec/15/boko-haram-claims-responsibility-for-kidnapping-hundreds-of-boys-in-nig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5030</Words>
  <Characters>28673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Griffiths,David swp6465</dc:creator>
  <cp:keywords/>
  <dc:description/>
  <cp:lastModifiedBy>Griffiths,David swp6465</cp:lastModifiedBy>
  <cp:revision>1</cp:revision>
  <dcterms:created xsi:type="dcterms:W3CDTF">2021-01-10T19:32:00Z</dcterms:created>
  <dcterms:modified xsi:type="dcterms:W3CDTF">2021-01-10T19:39:00Z</dcterms:modified>
</cp:coreProperties>
</file>