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EBE72" w14:textId="77777777" w:rsidR="00D75672" w:rsidRPr="00D75672" w:rsidRDefault="00D75672" w:rsidP="00D75672">
      <w:pPr>
        <w:spacing w:after="160" w:line="259" w:lineRule="auto"/>
        <w:jc w:val="center"/>
        <w:rPr>
          <w:rFonts w:cs="Arial"/>
          <w:b/>
          <w:sz w:val="40"/>
          <w:szCs w:val="40"/>
        </w:rPr>
      </w:pPr>
      <w:r w:rsidRPr="00D75672">
        <w:rPr>
          <w:rFonts w:cs="Arial"/>
          <w:b/>
          <w:sz w:val="40"/>
          <w:szCs w:val="40"/>
        </w:rPr>
        <w:t>Introduction to Physiology</w:t>
      </w:r>
    </w:p>
    <w:p w14:paraId="13F0B944" w14:textId="77777777" w:rsidR="00D75672" w:rsidRDefault="00D75672" w:rsidP="00D75672">
      <w:pPr>
        <w:spacing w:after="160" w:line="259" w:lineRule="auto"/>
        <w:jc w:val="center"/>
        <w:rPr>
          <w:b/>
          <w:bCs/>
          <w:sz w:val="40"/>
          <w:szCs w:val="40"/>
        </w:rPr>
      </w:pPr>
      <w:r w:rsidRPr="00D75672">
        <w:rPr>
          <w:b/>
          <w:bCs/>
          <w:sz w:val="40"/>
          <w:szCs w:val="40"/>
        </w:rPr>
        <w:t>Component 1: Written Assignment</w:t>
      </w:r>
    </w:p>
    <w:p w14:paraId="53910B78" w14:textId="15002625" w:rsidR="00781AC8" w:rsidRDefault="00D75672" w:rsidP="00D75672">
      <w:pPr>
        <w:spacing w:after="160" w:line="259" w:lineRule="auto"/>
        <w:jc w:val="center"/>
        <w:rPr>
          <w:b/>
          <w:bCs/>
          <w:sz w:val="32"/>
          <w:szCs w:val="32"/>
        </w:rPr>
      </w:pPr>
      <w:r w:rsidRPr="00D75672">
        <w:rPr>
          <w:b/>
          <w:bCs/>
          <w:sz w:val="40"/>
          <w:szCs w:val="40"/>
        </w:rPr>
        <w:t>Case Study Report</w:t>
      </w:r>
      <w:r w:rsidR="00781AC8">
        <w:rPr>
          <w:b/>
          <w:bCs/>
          <w:sz w:val="32"/>
          <w:szCs w:val="32"/>
        </w:rPr>
        <w:br w:type="page"/>
      </w:r>
    </w:p>
    <w:sdt>
      <w:sdtPr>
        <w:rPr>
          <w:rFonts w:ascii="Arial" w:eastAsiaTheme="minorHAnsi" w:hAnsi="Arial" w:cs="Arial"/>
          <w:b/>
          <w:bCs/>
          <w:color w:val="auto"/>
          <w:kern w:val="2"/>
          <w:sz w:val="24"/>
          <w:szCs w:val="22"/>
          <w14:ligatures w14:val="standardContextual"/>
        </w:rPr>
        <w:id w:val="1576707518"/>
        <w:docPartObj>
          <w:docPartGallery w:val="Table of Contents"/>
          <w:docPartUnique/>
        </w:docPartObj>
      </w:sdtPr>
      <w:sdtEndPr>
        <w:rPr>
          <w:rFonts w:cstheme="minorBidi"/>
          <w:noProof/>
        </w:rPr>
      </w:sdtEndPr>
      <w:sdtContent>
        <w:p w14:paraId="5A201C68" w14:textId="2EB9F520" w:rsidR="00781AC8" w:rsidRPr="00D75672" w:rsidRDefault="00781AC8" w:rsidP="00D75672">
          <w:pPr>
            <w:pStyle w:val="TOCHeading"/>
            <w:jc w:val="center"/>
            <w:rPr>
              <w:rFonts w:ascii="Arial" w:hAnsi="Arial" w:cs="Arial"/>
              <w:b/>
              <w:bCs/>
              <w:color w:val="auto"/>
            </w:rPr>
          </w:pPr>
          <w:r w:rsidRPr="00D75672">
            <w:rPr>
              <w:rFonts w:ascii="Arial" w:hAnsi="Arial" w:cs="Arial"/>
              <w:b/>
              <w:bCs/>
              <w:color w:val="auto"/>
            </w:rPr>
            <w:t>Table of Contents</w:t>
          </w:r>
        </w:p>
        <w:p w14:paraId="6D4B52AA" w14:textId="32C3D012" w:rsidR="00781AC8" w:rsidRDefault="00781AC8">
          <w:pPr>
            <w:pStyle w:val="TOC1"/>
            <w:tabs>
              <w:tab w:val="right" w:leader="dot" w:pos="9350"/>
            </w:tabs>
            <w:rPr>
              <w:noProof/>
            </w:rPr>
          </w:pPr>
          <w:r>
            <w:fldChar w:fldCharType="begin"/>
          </w:r>
          <w:r>
            <w:instrText xml:space="preserve"> TOC \o "1-3" \h \z \u </w:instrText>
          </w:r>
          <w:r>
            <w:fldChar w:fldCharType="separate"/>
          </w:r>
          <w:hyperlink w:anchor="_Toc213176315" w:history="1">
            <w:r w:rsidRPr="00F44843">
              <w:rPr>
                <w:rStyle w:val="Hyperlink"/>
                <w:noProof/>
              </w:rPr>
              <w:t>Introduction</w:t>
            </w:r>
            <w:r>
              <w:rPr>
                <w:noProof/>
                <w:webHidden/>
              </w:rPr>
              <w:tab/>
            </w:r>
            <w:r>
              <w:rPr>
                <w:noProof/>
                <w:webHidden/>
              </w:rPr>
              <w:fldChar w:fldCharType="begin"/>
            </w:r>
            <w:r>
              <w:rPr>
                <w:noProof/>
                <w:webHidden/>
              </w:rPr>
              <w:instrText xml:space="preserve"> PAGEREF _Toc213176315 \h </w:instrText>
            </w:r>
            <w:r>
              <w:rPr>
                <w:noProof/>
                <w:webHidden/>
              </w:rPr>
            </w:r>
            <w:r>
              <w:rPr>
                <w:noProof/>
                <w:webHidden/>
              </w:rPr>
              <w:fldChar w:fldCharType="separate"/>
            </w:r>
            <w:r>
              <w:rPr>
                <w:noProof/>
                <w:webHidden/>
              </w:rPr>
              <w:t>3</w:t>
            </w:r>
            <w:r>
              <w:rPr>
                <w:noProof/>
                <w:webHidden/>
              </w:rPr>
              <w:fldChar w:fldCharType="end"/>
            </w:r>
          </w:hyperlink>
        </w:p>
        <w:p w14:paraId="7DAF2B01" w14:textId="56D834F3" w:rsidR="00781AC8" w:rsidRDefault="00000000">
          <w:pPr>
            <w:pStyle w:val="TOC1"/>
            <w:tabs>
              <w:tab w:val="right" w:leader="dot" w:pos="9350"/>
            </w:tabs>
            <w:rPr>
              <w:noProof/>
            </w:rPr>
          </w:pPr>
          <w:hyperlink w:anchor="_Toc213176316" w:history="1">
            <w:r w:rsidR="00781AC8" w:rsidRPr="00F44843">
              <w:rPr>
                <w:rStyle w:val="Hyperlink"/>
                <w:noProof/>
              </w:rPr>
              <w:t>Blood Glucose Levels Regulations</w:t>
            </w:r>
            <w:r w:rsidR="00781AC8">
              <w:rPr>
                <w:noProof/>
                <w:webHidden/>
              </w:rPr>
              <w:tab/>
            </w:r>
            <w:r w:rsidR="00781AC8">
              <w:rPr>
                <w:noProof/>
                <w:webHidden/>
              </w:rPr>
              <w:fldChar w:fldCharType="begin"/>
            </w:r>
            <w:r w:rsidR="00781AC8">
              <w:rPr>
                <w:noProof/>
                <w:webHidden/>
              </w:rPr>
              <w:instrText xml:space="preserve"> PAGEREF _Toc213176316 \h </w:instrText>
            </w:r>
            <w:r w:rsidR="00781AC8">
              <w:rPr>
                <w:noProof/>
                <w:webHidden/>
              </w:rPr>
            </w:r>
            <w:r w:rsidR="00781AC8">
              <w:rPr>
                <w:noProof/>
                <w:webHidden/>
              </w:rPr>
              <w:fldChar w:fldCharType="separate"/>
            </w:r>
            <w:r w:rsidR="00781AC8">
              <w:rPr>
                <w:noProof/>
                <w:webHidden/>
              </w:rPr>
              <w:t>4</w:t>
            </w:r>
            <w:r w:rsidR="00781AC8">
              <w:rPr>
                <w:noProof/>
                <w:webHidden/>
              </w:rPr>
              <w:fldChar w:fldCharType="end"/>
            </w:r>
          </w:hyperlink>
        </w:p>
        <w:p w14:paraId="4411D141" w14:textId="6787094F" w:rsidR="00781AC8" w:rsidRDefault="00000000">
          <w:pPr>
            <w:pStyle w:val="TOC1"/>
            <w:tabs>
              <w:tab w:val="right" w:leader="dot" w:pos="9350"/>
            </w:tabs>
            <w:rPr>
              <w:noProof/>
            </w:rPr>
          </w:pPr>
          <w:hyperlink w:anchor="_Toc213176317" w:history="1">
            <w:r w:rsidR="00781AC8" w:rsidRPr="00F44843">
              <w:rPr>
                <w:rStyle w:val="Hyperlink"/>
                <w:noProof/>
              </w:rPr>
              <w:t>Oxygen and Glucose Role in Cell Metabolism</w:t>
            </w:r>
            <w:r w:rsidR="00781AC8">
              <w:rPr>
                <w:noProof/>
                <w:webHidden/>
              </w:rPr>
              <w:tab/>
            </w:r>
            <w:r w:rsidR="00781AC8">
              <w:rPr>
                <w:noProof/>
                <w:webHidden/>
              </w:rPr>
              <w:fldChar w:fldCharType="begin"/>
            </w:r>
            <w:r w:rsidR="00781AC8">
              <w:rPr>
                <w:noProof/>
                <w:webHidden/>
              </w:rPr>
              <w:instrText xml:space="preserve"> PAGEREF _Toc213176317 \h </w:instrText>
            </w:r>
            <w:r w:rsidR="00781AC8">
              <w:rPr>
                <w:noProof/>
                <w:webHidden/>
              </w:rPr>
            </w:r>
            <w:r w:rsidR="00781AC8">
              <w:rPr>
                <w:noProof/>
                <w:webHidden/>
              </w:rPr>
              <w:fldChar w:fldCharType="separate"/>
            </w:r>
            <w:r w:rsidR="00781AC8">
              <w:rPr>
                <w:noProof/>
                <w:webHidden/>
              </w:rPr>
              <w:t>4</w:t>
            </w:r>
            <w:r w:rsidR="00781AC8">
              <w:rPr>
                <w:noProof/>
                <w:webHidden/>
              </w:rPr>
              <w:fldChar w:fldCharType="end"/>
            </w:r>
          </w:hyperlink>
        </w:p>
        <w:p w14:paraId="7A95893F" w14:textId="50B06C1D" w:rsidR="00781AC8" w:rsidRDefault="00000000">
          <w:pPr>
            <w:pStyle w:val="TOC1"/>
            <w:tabs>
              <w:tab w:val="right" w:leader="dot" w:pos="9350"/>
            </w:tabs>
            <w:rPr>
              <w:noProof/>
            </w:rPr>
          </w:pPr>
          <w:hyperlink w:anchor="_Toc213176318" w:history="1">
            <w:r w:rsidR="00781AC8" w:rsidRPr="00F44843">
              <w:rPr>
                <w:rStyle w:val="Hyperlink"/>
                <w:noProof/>
              </w:rPr>
              <w:t>The Importance of Recording and Tracking Blood Sugar Levels</w:t>
            </w:r>
            <w:r w:rsidR="00781AC8">
              <w:rPr>
                <w:noProof/>
                <w:webHidden/>
              </w:rPr>
              <w:tab/>
            </w:r>
            <w:r w:rsidR="00781AC8">
              <w:rPr>
                <w:noProof/>
                <w:webHidden/>
              </w:rPr>
              <w:fldChar w:fldCharType="begin"/>
            </w:r>
            <w:r w:rsidR="00781AC8">
              <w:rPr>
                <w:noProof/>
                <w:webHidden/>
              </w:rPr>
              <w:instrText xml:space="preserve"> PAGEREF _Toc213176318 \h </w:instrText>
            </w:r>
            <w:r w:rsidR="00781AC8">
              <w:rPr>
                <w:noProof/>
                <w:webHidden/>
              </w:rPr>
            </w:r>
            <w:r w:rsidR="00781AC8">
              <w:rPr>
                <w:noProof/>
                <w:webHidden/>
              </w:rPr>
              <w:fldChar w:fldCharType="separate"/>
            </w:r>
            <w:r w:rsidR="00781AC8">
              <w:rPr>
                <w:noProof/>
                <w:webHidden/>
              </w:rPr>
              <w:t>5</w:t>
            </w:r>
            <w:r w:rsidR="00781AC8">
              <w:rPr>
                <w:noProof/>
                <w:webHidden/>
              </w:rPr>
              <w:fldChar w:fldCharType="end"/>
            </w:r>
          </w:hyperlink>
        </w:p>
        <w:p w14:paraId="55BF1F89" w14:textId="2AE1F7BD" w:rsidR="00781AC8" w:rsidRDefault="00000000">
          <w:pPr>
            <w:pStyle w:val="TOC1"/>
            <w:tabs>
              <w:tab w:val="right" w:leader="dot" w:pos="9350"/>
            </w:tabs>
            <w:rPr>
              <w:noProof/>
            </w:rPr>
          </w:pPr>
          <w:hyperlink w:anchor="_Toc213176319" w:history="1">
            <w:r w:rsidR="00781AC8" w:rsidRPr="00F44843">
              <w:rPr>
                <w:rStyle w:val="Hyperlink"/>
                <w:noProof/>
              </w:rPr>
              <w:t>Lifestyle Recommendations based on evidence</w:t>
            </w:r>
            <w:r w:rsidR="00781AC8">
              <w:rPr>
                <w:noProof/>
                <w:webHidden/>
              </w:rPr>
              <w:tab/>
            </w:r>
            <w:r w:rsidR="00781AC8">
              <w:rPr>
                <w:noProof/>
                <w:webHidden/>
              </w:rPr>
              <w:fldChar w:fldCharType="begin"/>
            </w:r>
            <w:r w:rsidR="00781AC8">
              <w:rPr>
                <w:noProof/>
                <w:webHidden/>
              </w:rPr>
              <w:instrText xml:space="preserve"> PAGEREF _Toc213176319 \h </w:instrText>
            </w:r>
            <w:r w:rsidR="00781AC8">
              <w:rPr>
                <w:noProof/>
                <w:webHidden/>
              </w:rPr>
            </w:r>
            <w:r w:rsidR="00781AC8">
              <w:rPr>
                <w:noProof/>
                <w:webHidden/>
              </w:rPr>
              <w:fldChar w:fldCharType="separate"/>
            </w:r>
            <w:r w:rsidR="00781AC8">
              <w:rPr>
                <w:noProof/>
                <w:webHidden/>
              </w:rPr>
              <w:t>6</w:t>
            </w:r>
            <w:r w:rsidR="00781AC8">
              <w:rPr>
                <w:noProof/>
                <w:webHidden/>
              </w:rPr>
              <w:fldChar w:fldCharType="end"/>
            </w:r>
          </w:hyperlink>
        </w:p>
        <w:p w14:paraId="2029A91B" w14:textId="5D126ECB" w:rsidR="00781AC8" w:rsidRDefault="00000000">
          <w:pPr>
            <w:pStyle w:val="TOC1"/>
            <w:tabs>
              <w:tab w:val="right" w:leader="dot" w:pos="9350"/>
            </w:tabs>
            <w:rPr>
              <w:noProof/>
            </w:rPr>
          </w:pPr>
          <w:hyperlink w:anchor="_Toc213176320" w:history="1">
            <w:r w:rsidR="00781AC8" w:rsidRPr="00F44843">
              <w:rPr>
                <w:rStyle w:val="Hyperlink"/>
                <w:noProof/>
              </w:rPr>
              <w:t>Conclusion</w:t>
            </w:r>
            <w:r w:rsidR="00781AC8">
              <w:rPr>
                <w:noProof/>
                <w:webHidden/>
              </w:rPr>
              <w:tab/>
            </w:r>
            <w:r w:rsidR="00781AC8">
              <w:rPr>
                <w:noProof/>
                <w:webHidden/>
              </w:rPr>
              <w:fldChar w:fldCharType="begin"/>
            </w:r>
            <w:r w:rsidR="00781AC8">
              <w:rPr>
                <w:noProof/>
                <w:webHidden/>
              </w:rPr>
              <w:instrText xml:space="preserve"> PAGEREF _Toc213176320 \h </w:instrText>
            </w:r>
            <w:r w:rsidR="00781AC8">
              <w:rPr>
                <w:noProof/>
                <w:webHidden/>
              </w:rPr>
            </w:r>
            <w:r w:rsidR="00781AC8">
              <w:rPr>
                <w:noProof/>
                <w:webHidden/>
              </w:rPr>
              <w:fldChar w:fldCharType="separate"/>
            </w:r>
            <w:r w:rsidR="00781AC8">
              <w:rPr>
                <w:noProof/>
                <w:webHidden/>
              </w:rPr>
              <w:t>8</w:t>
            </w:r>
            <w:r w:rsidR="00781AC8">
              <w:rPr>
                <w:noProof/>
                <w:webHidden/>
              </w:rPr>
              <w:fldChar w:fldCharType="end"/>
            </w:r>
          </w:hyperlink>
        </w:p>
        <w:p w14:paraId="79493E95" w14:textId="26C1FB6D" w:rsidR="00781AC8" w:rsidRDefault="00000000">
          <w:pPr>
            <w:pStyle w:val="TOC1"/>
            <w:tabs>
              <w:tab w:val="right" w:leader="dot" w:pos="9350"/>
            </w:tabs>
            <w:rPr>
              <w:noProof/>
            </w:rPr>
          </w:pPr>
          <w:hyperlink w:anchor="_Toc213176321" w:history="1">
            <w:r w:rsidR="00781AC8" w:rsidRPr="00F44843">
              <w:rPr>
                <w:rStyle w:val="Hyperlink"/>
                <w:noProof/>
              </w:rPr>
              <w:t>Reference List</w:t>
            </w:r>
            <w:r w:rsidR="00781AC8">
              <w:rPr>
                <w:noProof/>
                <w:webHidden/>
              </w:rPr>
              <w:tab/>
            </w:r>
            <w:r w:rsidR="00781AC8">
              <w:rPr>
                <w:noProof/>
                <w:webHidden/>
              </w:rPr>
              <w:fldChar w:fldCharType="begin"/>
            </w:r>
            <w:r w:rsidR="00781AC8">
              <w:rPr>
                <w:noProof/>
                <w:webHidden/>
              </w:rPr>
              <w:instrText xml:space="preserve"> PAGEREF _Toc213176321 \h </w:instrText>
            </w:r>
            <w:r w:rsidR="00781AC8">
              <w:rPr>
                <w:noProof/>
                <w:webHidden/>
              </w:rPr>
            </w:r>
            <w:r w:rsidR="00781AC8">
              <w:rPr>
                <w:noProof/>
                <w:webHidden/>
              </w:rPr>
              <w:fldChar w:fldCharType="separate"/>
            </w:r>
            <w:r w:rsidR="00781AC8">
              <w:rPr>
                <w:noProof/>
                <w:webHidden/>
              </w:rPr>
              <w:t>9</w:t>
            </w:r>
            <w:r w:rsidR="00781AC8">
              <w:rPr>
                <w:noProof/>
                <w:webHidden/>
              </w:rPr>
              <w:fldChar w:fldCharType="end"/>
            </w:r>
          </w:hyperlink>
        </w:p>
        <w:p w14:paraId="1CEEA19E" w14:textId="7AD73FDD" w:rsidR="00781AC8" w:rsidRDefault="00781AC8">
          <w:r>
            <w:rPr>
              <w:b/>
              <w:bCs/>
              <w:noProof/>
            </w:rPr>
            <w:fldChar w:fldCharType="end"/>
          </w:r>
        </w:p>
      </w:sdtContent>
    </w:sdt>
    <w:p w14:paraId="727BFAA3" w14:textId="77777777" w:rsidR="00781AC8" w:rsidRDefault="00781AC8">
      <w:pPr>
        <w:spacing w:after="160" w:line="259" w:lineRule="auto"/>
        <w:jc w:val="left"/>
        <w:rPr>
          <w:b/>
          <w:bCs/>
          <w:sz w:val="32"/>
          <w:szCs w:val="32"/>
        </w:rPr>
      </w:pPr>
      <w:r>
        <w:rPr>
          <w:b/>
          <w:bCs/>
          <w:sz w:val="32"/>
          <w:szCs w:val="32"/>
        </w:rPr>
        <w:br w:type="page"/>
      </w:r>
    </w:p>
    <w:p w14:paraId="2FE024F6" w14:textId="7E71E570" w:rsidR="00CC5DBC" w:rsidRPr="00183489" w:rsidRDefault="00CC5DBC" w:rsidP="00183489">
      <w:pPr>
        <w:jc w:val="center"/>
        <w:rPr>
          <w:b/>
          <w:bCs/>
          <w:sz w:val="32"/>
          <w:szCs w:val="32"/>
        </w:rPr>
      </w:pPr>
      <w:r w:rsidRPr="00183489">
        <w:rPr>
          <w:b/>
          <w:bCs/>
          <w:sz w:val="32"/>
          <w:szCs w:val="32"/>
        </w:rPr>
        <w:t>Understanding and Managing Type 2 Diabetes: A Physiological Perspective on Blood Glucose Regulation and Lifestyle Modification</w:t>
      </w:r>
    </w:p>
    <w:p w14:paraId="0A7B8BDF" w14:textId="78A1D722" w:rsidR="00F3769B" w:rsidRPr="00F3769B" w:rsidRDefault="00F3769B" w:rsidP="00F85498">
      <w:pPr>
        <w:pStyle w:val="Heading1"/>
      </w:pPr>
      <w:bookmarkStart w:id="0" w:name="_Toc213176315"/>
      <w:r w:rsidRPr="00F3769B">
        <w:t>Introduction</w:t>
      </w:r>
      <w:bookmarkEnd w:id="0"/>
    </w:p>
    <w:p w14:paraId="40B18F2D" w14:textId="42C97829" w:rsidR="00F3769B" w:rsidRDefault="00F3769B" w:rsidP="00F3769B">
      <w:r>
        <w:t xml:space="preserve">Diabetes mellitus is a long-term and multifactorial metabolic condition, which is associated with persistent </w:t>
      </w:r>
      <w:proofErr w:type="spellStart"/>
      <w:r>
        <w:t>hyperglycaemia</w:t>
      </w:r>
      <w:proofErr w:type="spellEnd"/>
      <w:r>
        <w:t xml:space="preserve"> due to the inability to secrete insulin, insulin action, or both (World Health </w:t>
      </w:r>
      <w:r w:rsidR="00782173">
        <w:t>Organisation</w:t>
      </w:r>
      <w:r>
        <w:t>, 2023). Insulin is a hormone produced by the beta cells of the pancreas</w:t>
      </w:r>
      <w:r w:rsidR="00782173">
        <w:t>,</w:t>
      </w:r>
      <w:r>
        <w:t xml:space="preserve"> and it is the main regulator of glucose homeostasis because it enhances the uptake of glucose by cells to generate energy and store it. In Type 1 diabetes, the pancreatic beta cells are destroyed in an autoimmune manner and </w:t>
      </w:r>
      <w:r w:rsidR="00782173">
        <w:t>resulting</w:t>
      </w:r>
      <w:r>
        <w:t xml:space="preserve"> in absolute insulin deficiency. Type 2 diabetes, which is the most prevalent type, is caused by insulin resistance and relative lack of insulin secretion (American Diabetes Association, 2024).</w:t>
      </w:r>
    </w:p>
    <w:p w14:paraId="76CE8EC8" w14:textId="77777777" w:rsidR="00F3769B" w:rsidRDefault="00F3769B" w:rsidP="00F3769B">
      <w:r>
        <w:t xml:space="preserve">Over the last 30 years, the number of diabetic people across the world has been rising exponentially because of ageing, </w:t>
      </w:r>
      <w:proofErr w:type="spellStart"/>
      <w:r>
        <w:t>urbanisation</w:t>
      </w:r>
      <w:proofErr w:type="spellEnd"/>
      <w:r>
        <w:t>, and lifestyle modifications of the population. According to the estimates provided by the International Diabetes Federation (IDF, 2023), about 537 million adults today live with diabetes, and nearly 90-95% of them are affected by Type 2 diabetes. One country, the United Kingdom, alone indicates a report of more than 4.3 million diagnosed cases (NHS, 2024).</w:t>
      </w:r>
    </w:p>
    <w:p w14:paraId="6D487BE6" w14:textId="55173DBA" w:rsidR="00F3769B" w:rsidRDefault="00F3769B" w:rsidP="00F3769B">
      <w:r>
        <w:t xml:space="preserve">Type 2 diabetes risk factors can be divided into modifiable and non-modifiable ones. The risk factors that can be altered are obesity, sedentary </w:t>
      </w:r>
      <w:proofErr w:type="spellStart"/>
      <w:r>
        <w:t>behaviour</w:t>
      </w:r>
      <w:proofErr w:type="spellEnd"/>
      <w:r>
        <w:t>, unhealthy dietary patterns, smoking and heavy use of alcohol. Some factors are non-modifiable, such as age, ethnicity, or genetic predisposition (Cho et al., 2018). In particular, central obesity correlates with insulin resistance as a result of the heightened inflammation of adipose tissue and hormonal disproportion (Al-</w:t>
      </w:r>
      <w:proofErr w:type="spellStart"/>
      <w:r>
        <w:t>Goblan</w:t>
      </w:r>
      <w:proofErr w:type="spellEnd"/>
      <w:r w:rsidR="007A0672">
        <w:t xml:space="preserve"> et al., </w:t>
      </w:r>
      <w:r>
        <w:t xml:space="preserve">2014). The long-term consequences of </w:t>
      </w:r>
      <w:proofErr w:type="spellStart"/>
      <w:r>
        <w:t>hyperglycaemia</w:t>
      </w:r>
      <w:proofErr w:type="spellEnd"/>
      <w:r>
        <w:t xml:space="preserve"> are the destruction of the blood vessels, nerves and organs, resulting in such complications as cardiovascular disease, neuropathy, nephropathy, and retinopathy. Consequently, it is important to comprehend the physiological aspects of blood glucose regulation and the significance of lifestyle management in order to enhance patient outcomes.</w:t>
      </w:r>
    </w:p>
    <w:p w14:paraId="10C62077" w14:textId="54DC85E3" w:rsidR="00F3769B" w:rsidRPr="00F3769B" w:rsidRDefault="00F3769B" w:rsidP="00F85498">
      <w:pPr>
        <w:pStyle w:val="Heading1"/>
      </w:pPr>
      <w:bookmarkStart w:id="1" w:name="_Toc213176316"/>
      <w:r w:rsidRPr="00F3769B">
        <w:t>Blood Glucose Levels Regulations</w:t>
      </w:r>
      <w:bookmarkEnd w:id="1"/>
    </w:p>
    <w:p w14:paraId="1BD83D17" w14:textId="04593B4C" w:rsidR="00F3769B" w:rsidRDefault="00F3769B" w:rsidP="00F3769B">
      <w:r>
        <w:t xml:space="preserve">Maintaining blood glucose at a normal level (between 4.0-7.0 mmol/L) is essential to the maintenance of cellular metabolism and the prevention of the deleterious consequences of both </w:t>
      </w:r>
      <w:proofErr w:type="spellStart"/>
      <w:r>
        <w:t>hyperglycaemia</w:t>
      </w:r>
      <w:proofErr w:type="spellEnd"/>
      <w:r>
        <w:t xml:space="preserve"> and </w:t>
      </w:r>
      <w:proofErr w:type="spellStart"/>
      <w:r>
        <w:t>hypoglycaemia</w:t>
      </w:r>
      <w:proofErr w:type="spellEnd"/>
      <w:r>
        <w:t xml:space="preserve"> (Hall and Hall, 2020). Hormonal interactions between insulin, glucagon, cortisol, adrenaline, and growth hormone are complex</w:t>
      </w:r>
      <w:r w:rsidR="00782173">
        <w:t>,</w:t>
      </w:r>
      <w:r>
        <w:t xml:space="preserve"> and they maintain this homeostatic balance.</w:t>
      </w:r>
    </w:p>
    <w:p w14:paraId="51AC5640" w14:textId="1E8CB618" w:rsidR="00F3769B" w:rsidRDefault="00F3769B" w:rsidP="00F3769B">
      <w:r>
        <w:t xml:space="preserve">The major </w:t>
      </w:r>
      <w:proofErr w:type="spellStart"/>
      <w:r>
        <w:t>hypoglycaemic</w:t>
      </w:r>
      <w:proofErr w:type="spellEnd"/>
      <w:r>
        <w:t xml:space="preserve"> hormone is insulin</w:t>
      </w:r>
      <w:r w:rsidR="00782173">
        <w:t>,</w:t>
      </w:r>
      <w:r>
        <w:t xml:space="preserve"> which facilitates the uptake of glucose by the skeletal muscle and adipose tissues, induces glycogen synthesis in the liver, and inhibits the production of glucose in the hepatic tissues. When glucose levels rise after the intake of food, insulin is released by the pancreatic beta cells and enters the cells through the glucose transporter (GLUT-4) channels (Guyton and Hall, 2021). On the other hand, glucagon, which is secreted by the pancreatic alpha cells during fasting or between meals</w:t>
      </w:r>
      <w:r w:rsidR="00782173">
        <w:t>,</w:t>
      </w:r>
      <w:r>
        <w:t xml:space="preserve"> causes glycogenolysis and gluconeogenesis in the liver and consequently raises the levels of blood glucose.</w:t>
      </w:r>
    </w:p>
    <w:p w14:paraId="5B75A63F" w14:textId="77777777" w:rsidR="00F3769B" w:rsidRDefault="00F3769B" w:rsidP="00F3769B">
      <w:r>
        <w:t xml:space="preserve">Type 2 diabetes in individuals is caused by insulin resistance, an inability of the target tissues to respond to insulin, which leads to a lack of glucose uptake and the continued presence of </w:t>
      </w:r>
      <w:proofErr w:type="spellStart"/>
      <w:r>
        <w:t>hyperglycaemia</w:t>
      </w:r>
      <w:proofErr w:type="spellEnd"/>
      <w:r>
        <w:t xml:space="preserve">. First, the pancreas attempts to counter this by producing more insulin, but eventually, the insulin levels start to decrease due to the dysfunction of beta-cells (American Diabetes Association, 2024). Besides, </w:t>
      </w:r>
      <w:proofErr w:type="spellStart"/>
      <w:r>
        <w:t>hyperglycaemia</w:t>
      </w:r>
      <w:proofErr w:type="spellEnd"/>
      <w:r>
        <w:t xml:space="preserve"> is further worsened by dysregulated glucagon secretion. Persistent glucose increase also facilitates oxidative stress and inflammation, which are also involved in endothelial dysfunction and microvascular damage.</w:t>
      </w:r>
    </w:p>
    <w:p w14:paraId="4B77A64A" w14:textId="42523823" w:rsidR="00F3769B" w:rsidRDefault="00F3769B" w:rsidP="00F3769B">
      <w:r>
        <w:t>Cortisol (adrenal cortex) and adrenaline (adrenal medulla) are also other hormones that regulate glucose levels in times of stress, disease or fasting and do so by augmenting the hepatic glucose production. The liver is therefore the major organ in glucose regulation, where glycogen is stored and glucose is released on demand. Altogether, such a perfectly orchestrated hormonal system guarantees an uninterrupted supply of glucose to the brain and other energy-consuming organs.</w:t>
      </w:r>
    </w:p>
    <w:p w14:paraId="483331D6" w14:textId="0360F342" w:rsidR="00F3769B" w:rsidRDefault="00F3769B" w:rsidP="00F85498">
      <w:pPr>
        <w:pStyle w:val="Heading1"/>
      </w:pPr>
      <w:bookmarkStart w:id="2" w:name="_Toc213176317"/>
      <w:r w:rsidRPr="00F3769B">
        <w:t>Oxygen and Glucose Role in Cell Metabolism</w:t>
      </w:r>
      <w:bookmarkEnd w:id="2"/>
    </w:p>
    <w:p w14:paraId="6F0BA71F" w14:textId="77777777" w:rsidR="00F3769B" w:rsidRDefault="00F3769B" w:rsidP="00F3769B">
      <w:r>
        <w:t>The human body relies on oxidation of glucose in the presence of oxygen- a process called cellular respiration to produce energy in the body. It is a metabolic process that follows three steps: glycolysis, the citric acid (Krebs) cycle, and oxidative phosphorylation (Nelson and Cox, 2017).</w:t>
      </w:r>
    </w:p>
    <w:p w14:paraId="2D173BEF" w14:textId="77777777" w:rsidR="00F3769B" w:rsidRDefault="00F3769B" w:rsidP="00F3769B">
      <w:r w:rsidRPr="00F3769B">
        <w:rPr>
          <w:b/>
          <w:bCs/>
        </w:rPr>
        <w:t>Glycolysis:</w:t>
      </w:r>
      <w:r>
        <w:t xml:space="preserve"> Glycolysis is a biochemical process that occurs in the cytoplasm; it is a process that breaks down one molecule of glucose (C 6 H 12 O </w:t>
      </w:r>
      <w:proofErr w:type="gramStart"/>
      <w:r>
        <w:t>6 )</w:t>
      </w:r>
      <w:proofErr w:type="gramEnd"/>
      <w:r>
        <w:t xml:space="preserve"> into two molecules of pyruvate and results in a net production of two molecules of ATP and two molecules of NADH. It is anaerobic and thus does not need oxygen to take place.</w:t>
      </w:r>
    </w:p>
    <w:p w14:paraId="6F631A69" w14:textId="77777777" w:rsidR="00F3769B" w:rsidRDefault="00F3769B" w:rsidP="00F3769B">
      <w:r w:rsidRPr="00F3769B">
        <w:rPr>
          <w:b/>
          <w:bCs/>
        </w:rPr>
        <w:t>Krebs Cycle:</w:t>
      </w:r>
      <w:r>
        <w:t xml:space="preserve"> At aerobic conditions, the pyruvate is transported to the mitochondria undergoes conversion to acetyl-CoA and is </w:t>
      </w:r>
      <w:proofErr w:type="spellStart"/>
      <w:r>
        <w:t>oxidised</w:t>
      </w:r>
      <w:proofErr w:type="spellEnd"/>
      <w:r>
        <w:t xml:space="preserve"> in the Krebs Cycle. This reaction emits CO2 and generates more NADH and FADH2 molecules.</w:t>
      </w:r>
    </w:p>
    <w:p w14:paraId="47F91F23" w14:textId="77777777" w:rsidR="00F3769B" w:rsidRDefault="00F3769B" w:rsidP="00F3769B">
      <w:r w:rsidRPr="00F3769B">
        <w:rPr>
          <w:b/>
          <w:bCs/>
        </w:rPr>
        <w:t>Oxidative Phosphorylation:</w:t>
      </w:r>
      <w:r>
        <w:t xml:space="preserve"> The electrons of NADH and FADH2 are moved through the mitochondrial electron transport chain, which leads to the synthesis of ATP via chemiosmosis. The last electron acceptor is oxygen, which reacts to produce water as a by-product (Berg, </w:t>
      </w:r>
      <w:proofErr w:type="spellStart"/>
      <w:r>
        <w:t>Tymoczko</w:t>
      </w:r>
      <w:proofErr w:type="spellEnd"/>
      <w:r>
        <w:t xml:space="preserve"> and </w:t>
      </w:r>
      <w:proofErr w:type="spellStart"/>
      <w:r>
        <w:t>Gatto</w:t>
      </w:r>
      <w:proofErr w:type="spellEnd"/>
      <w:r>
        <w:t>, 2019).</w:t>
      </w:r>
    </w:p>
    <w:p w14:paraId="3B2C5842" w14:textId="77777777" w:rsidR="00F3769B" w:rsidRDefault="00F3769B" w:rsidP="00F3769B">
      <w:r>
        <w:t>The net reaction can be summed up as:</w:t>
      </w:r>
    </w:p>
    <w:p w14:paraId="2F42ADF3" w14:textId="77777777" w:rsidR="00F3769B" w:rsidRDefault="00F3769B" w:rsidP="00F3769B">
      <w:r>
        <w:t>C6H12O6 + 6O2 - 6CO2 + 6H2O + Energy (ATP)</w:t>
      </w:r>
    </w:p>
    <w:p w14:paraId="6896A99F" w14:textId="39495493" w:rsidR="00F3769B" w:rsidRDefault="00F3769B" w:rsidP="00F3769B">
      <w:r>
        <w:t xml:space="preserve">Approximately 36-38 molecules of ATP per molecule of glucose are efficiently </w:t>
      </w:r>
      <w:proofErr w:type="spellStart"/>
      <w:r w:rsidR="00782173">
        <w:t>utilised</w:t>
      </w:r>
      <w:proofErr w:type="spellEnd"/>
      <w:r>
        <w:t xml:space="preserve"> in this process</w:t>
      </w:r>
      <w:r w:rsidR="00782173">
        <w:t>,</w:t>
      </w:r>
      <w:r>
        <w:t xml:space="preserve"> with the efficient </w:t>
      </w:r>
      <w:proofErr w:type="spellStart"/>
      <w:r w:rsidR="00782173">
        <w:t>utilisation</w:t>
      </w:r>
      <w:proofErr w:type="spellEnd"/>
      <w:r>
        <w:t xml:space="preserve"> of glucose and oxygen. In diabetic patients, however, the insulin resistance leads to decreased ATP production because of reduced glucose uptake. The body responds to this by breaking down fats and proteins at a greater rate</w:t>
      </w:r>
      <w:r w:rsidR="00782173">
        <w:t>,</w:t>
      </w:r>
      <w:r>
        <w:t xml:space="preserve"> resulting in ketone body production as a compensatory mechanism. In large amounts, they may lead to metabolic acidosis, a potentially life-threatening disorder called diabetic ketoacidosis (DKA) (Gropper and Smith, 2020). Optimal glucose and oxygenation </w:t>
      </w:r>
      <w:r w:rsidR="00782173">
        <w:t>are</w:t>
      </w:r>
      <w:r>
        <w:t xml:space="preserve"> thus crucial to the health and energy equilibrium of the cell.</w:t>
      </w:r>
    </w:p>
    <w:p w14:paraId="400B0119" w14:textId="787252FD" w:rsidR="00FB28E9" w:rsidRPr="00FB28E9" w:rsidRDefault="00FB28E9" w:rsidP="00F85498">
      <w:pPr>
        <w:pStyle w:val="Heading1"/>
      </w:pPr>
      <w:bookmarkStart w:id="3" w:name="_Toc213176318"/>
      <w:r w:rsidRPr="00FB28E9">
        <w:t>The Importance of Recording and Tracking Blood Sugar Levels</w:t>
      </w:r>
      <w:bookmarkEnd w:id="3"/>
    </w:p>
    <w:p w14:paraId="0C7EC38D" w14:textId="6F451D72" w:rsidR="00FB28E9" w:rsidRDefault="00FB28E9" w:rsidP="00FB28E9">
      <w:r>
        <w:t xml:space="preserve">The constant checking of blood sugar </w:t>
      </w:r>
      <w:r w:rsidR="007663E9">
        <w:t>levels</w:t>
      </w:r>
      <w:r>
        <w:t xml:space="preserve"> is one of the foundations of successful management and self-care of diabetes. It allows individuals and medical specialists to assess </w:t>
      </w:r>
      <w:proofErr w:type="spellStart"/>
      <w:r>
        <w:t>glycaemic</w:t>
      </w:r>
      <w:proofErr w:type="spellEnd"/>
      <w:r>
        <w:t xml:space="preserve"> control, detect fluctuations, and make reasonable changes to treatment plans (NHS, 2024).</w:t>
      </w:r>
    </w:p>
    <w:p w14:paraId="5DC116B3" w14:textId="17739662" w:rsidR="00FB28E9" w:rsidRDefault="00FB28E9" w:rsidP="00FB28E9">
      <w:r>
        <w:t xml:space="preserve">Regular self-monitoring with glucometers or continuous glucose monitoring (CGM) systems can assist patients to learn the effect of their diet, medication, stress, and physical activity on their blood sugar. CGM has a significant effect on </w:t>
      </w:r>
      <w:proofErr w:type="spellStart"/>
      <w:r>
        <w:t>glycaemic</w:t>
      </w:r>
      <w:proofErr w:type="spellEnd"/>
      <w:r>
        <w:t xml:space="preserve"> outcomes and self-management </w:t>
      </w:r>
      <w:proofErr w:type="spellStart"/>
      <w:r>
        <w:t>behaviour</w:t>
      </w:r>
      <w:proofErr w:type="spellEnd"/>
      <w:r>
        <w:t xml:space="preserve"> in patients with Type 2 diabetes (</w:t>
      </w:r>
      <w:r w:rsidRPr="00FB28E9">
        <w:t>Beck et al. 2019)</w:t>
      </w:r>
      <w:r>
        <w:t>.</w:t>
      </w:r>
    </w:p>
    <w:p w14:paraId="736D307C" w14:textId="02A070F9" w:rsidR="00FB28E9" w:rsidRDefault="00FB28E9" w:rsidP="00FB28E9">
      <w:proofErr w:type="spellStart"/>
      <w:r>
        <w:t>Diarying</w:t>
      </w:r>
      <w:proofErr w:type="spellEnd"/>
      <w:r>
        <w:t xml:space="preserve"> of blood glucose trends will also avoid dangerous conditions of </w:t>
      </w:r>
      <w:proofErr w:type="spellStart"/>
      <w:r>
        <w:t>hypoglycaemia</w:t>
      </w:r>
      <w:proofErr w:type="spellEnd"/>
      <w:r>
        <w:t xml:space="preserve"> (low blood sugar) and </w:t>
      </w:r>
      <w:proofErr w:type="spellStart"/>
      <w:r>
        <w:t>hyperglycaemia</w:t>
      </w:r>
      <w:proofErr w:type="spellEnd"/>
      <w:r>
        <w:t xml:space="preserve"> (high blood sugar). As an illustration, in case the levels of morning fasting glucose regularly exceed the target levels, the results could be interpreted as a requirement to change medication or implement a lifestyle change. This information is used by healthcare providers to </w:t>
      </w:r>
      <w:proofErr w:type="spellStart"/>
      <w:r>
        <w:t>individualise</w:t>
      </w:r>
      <w:proofErr w:type="spellEnd"/>
      <w:r>
        <w:t xml:space="preserve"> the treatment and aid in patient education.</w:t>
      </w:r>
    </w:p>
    <w:p w14:paraId="32488077" w14:textId="777783A4" w:rsidR="00FB28E9" w:rsidRDefault="00FB28E9" w:rsidP="00FB28E9">
      <w:r>
        <w:t xml:space="preserve">Further, the data </w:t>
      </w:r>
      <w:r w:rsidR="007663E9">
        <w:t>from</w:t>
      </w:r>
      <w:r>
        <w:t xml:space="preserve"> aggregated glucose monitoring in healthcare facilities also plays a role in population-level analysis. The effectiveness of clinical interventions, the identification of at-risk populations, and the development of the public health program to decrease the prevalence of diabetes can be assessed with the help of routine data (Simmons et al., 2021). As an example, the monitoring data on patients is used to promote the quality of care and resource distribution in large-scale NHS diabetes audits.</w:t>
      </w:r>
    </w:p>
    <w:p w14:paraId="01F8159B" w14:textId="605D3AEA" w:rsidR="00FB28E9" w:rsidRDefault="00FB28E9" w:rsidP="00FB28E9">
      <w:r>
        <w:t xml:space="preserve">Overall, </w:t>
      </w:r>
      <w:r w:rsidR="00DB15DC">
        <w:t>scientific</w:t>
      </w:r>
      <w:r>
        <w:t xml:space="preserve"> monitoring of the blood sugar will enable patients to play a significant role in the management of the condition and healthcare systems to achieve better clinical results.</w:t>
      </w:r>
    </w:p>
    <w:p w14:paraId="2C05974E" w14:textId="6881F2E1" w:rsidR="00FB28E9" w:rsidRDefault="00FB28E9" w:rsidP="00F85498">
      <w:pPr>
        <w:pStyle w:val="Heading1"/>
      </w:pPr>
      <w:bookmarkStart w:id="4" w:name="_Toc213176319"/>
      <w:r w:rsidRPr="00FB28E9">
        <w:t>Lifestyle Recommendations based on evidence</w:t>
      </w:r>
      <w:bookmarkEnd w:id="4"/>
    </w:p>
    <w:p w14:paraId="7038CDF3" w14:textId="3145B0DD" w:rsidR="00FB28E9" w:rsidRDefault="00FB28E9" w:rsidP="00FB28E9">
      <w:r>
        <w:t xml:space="preserve">Lifestyle change is commonly considered to be the best non-pharmacological approach to preventing and controlling Type 2 diabetes. It has been shown that insulin sensitivity, weight loss, and cardiovascular risk can be enhanced by means of </w:t>
      </w:r>
      <w:proofErr w:type="spellStart"/>
      <w:r w:rsidR="007663E9">
        <w:t>organised</w:t>
      </w:r>
      <w:proofErr w:type="spellEnd"/>
      <w:r>
        <w:t xml:space="preserve"> dietary, physical, and </w:t>
      </w:r>
      <w:proofErr w:type="spellStart"/>
      <w:r>
        <w:t>behavioural</w:t>
      </w:r>
      <w:proofErr w:type="spellEnd"/>
      <w:r>
        <w:t xml:space="preserve"> adjustments (Evert et al., 2019).</w:t>
      </w:r>
    </w:p>
    <w:p w14:paraId="4F39C905" w14:textId="7F4195A3" w:rsidR="00FB28E9" w:rsidRPr="00FB28E9" w:rsidRDefault="00FB28E9" w:rsidP="00FB28E9">
      <w:pPr>
        <w:rPr>
          <w:b/>
          <w:bCs/>
        </w:rPr>
      </w:pPr>
      <w:r w:rsidRPr="00FB28E9">
        <w:rPr>
          <w:b/>
          <w:bCs/>
        </w:rPr>
        <w:t>Dietary Management</w:t>
      </w:r>
    </w:p>
    <w:p w14:paraId="474B9351" w14:textId="5C0335F1" w:rsidR="00FB28E9" w:rsidRDefault="00FB28E9" w:rsidP="00FB28E9">
      <w:r>
        <w:t xml:space="preserve">Eating is the key to the regulation of blood sugar levels. The present nutrition guidelines promote the intake of whole grains, fruits, vegetables, lean protein and unsaturated fats and discourage refined carbohydrates and saturated fats. </w:t>
      </w:r>
      <w:r w:rsidR="007663E9">
        <w:t xml:space="preserve">The </w:t>
      </w:r>
      <w:r>
        <w:t xml:space="preserve">Mediterranean diet, which is high in olive oil, nuts, legumes, and fish, has been proven to enhance </w:t>
      </w:r>
      <w:proofErr w:type="spellStart"/>
      <w:r>
        <w:t>glycaemic</w:t>
      </w:r>
      <w:proofErr w:type="spellEnd"/>
      <w:r>
        <w:t xml:space="preserve"> control and reduce cardiovascular risk in diabetic patients (</w:t>
      </w:r>
      <w:proofErr w:type="spellStart"/>
      <w:r>
        <w:t>Estruch</w:t>
      </w:r>
      <w:proofErr w:type="spellEnd"/>
      <w:r>
        <w:t xml:space="preserve"> et al., 2018).</w:t>
      </w:r>
    </w:p>
    <w:p w14:paraId="1C540DD8" w14:textId="0D6F1B70" w:rsidR="00FB28E9" w:rsidRDefault="00FB28E9" w:rsidP="00FB28E9">
      <w:proofErr w:type="spellStart"/>
      <w:r>
        <w:t>Fibre</w:t>
      </w:r>
      <w:proofErr w:type="spellEnd"/>
      <w:r>
        <w:t xml:space="preserve"> foods have the effect of decelerating the rate of glucose absorption</w:t>
      </w:r>
      <w:r w:rsidR="007663E9">
        <w:t>,</w:t>
      </w:r>
      <w:r>
        <w:t xml:space="preserve"> resulting in more stable postprandial blood sugar. The sources of soluble </w:t>
      </w:r>
      <w:proofErr w:type="spellStart"/>
      <w:r w:rsidR="007663E9">
        <w:t>fibres</w:t>
      </w:r>
      <w:proofErr w:type="spellEnd"/>
      <w:r w:rsidR="007663E9">
        <w:t>,</w:t>
      </w:r>
      <w:r>
        <w:t xml:space="preserve"> like oats, beans, and flax</w:t>
      </w:r>
      <w:r w:rsidR="007663E9">
        <w:t>,</w:t>
      </w:r>
      <w:r>
        <w:t xml:space="preserve"> are the most effective ones. Regular </w:t>
      </w:r>
      <w:proofErr w:type="gramStart"/>
      <w:r>
        <w:t>meal time</w:t>
      </w:r>
      <w:proofErr w:type="gramEnd"/>
      <w:r>
        <w:t xml:space="preserve"> and portioning can stop the increase in glucose levels. Hydration, alcohol moderation, and sodium reduction also promote the well-being of the metabolic system.</w:t>
      </w:r>
    </w:p>
    <w:p w14:paraId="2917FE50" w14:textId="0F19ECF9" w:rsidR="00FB28E9" w:rsidRPr="00FB28E9" w:rsidRDefault="00FB28E9" w:rsidP="00FB28E9">
      <w:pPr>
        <w:rPr>
          <w:b/>
          <w:bCs/>
        </w:rPr>
      </w:pPr>
      <w:r w:rsidRPr="00FB28E9">
        <w:rPr>
          <w:b/>
          <w:bCs/>
        </w:rPr>
        <w:t>Physical Activity</w:t>
      </w:r>
    </w:p>
    <w:p w14:paraId="1CE2F7C9" w14:textId="5C4675D1" w:rsidR="00FB28E9" w:rsidRDefault="00FB28E9" w:rsidP="00FB28E9">
      <w:r>
        <w:t xml:space="preserve">Exercise promotes muscle cell glucose uptake in the absence of insulin and increases insulin sensitivity in the </w:t>
      </w:r>
      <w:r w:rsidR="007663E9">
        <w:t>long run</w:t>
      </w:r>
      <w:r>
        <w:t xml:space="preserve">. Aerobic and resistance training help in improving </w:t>
      </w:r>
      <w:proofErr w:type="spellStart"/>
      <w:r>
        <w:t>glycaemic</w:t>
      </w:r>
      <w:proofErr w:type="spellEnd"/>
      <w:r>
        <w:t xml:space="preserve"> control. At least 150 minutes of moderate-intensity physical activity each week, including brisk walking or cycling, with strength training two times a week</w:t>
      </w:r>
      <w:r w:rsidR="007663E9">
        <w:t>,</w:t>
      </w:r>
      <w:r>
        <w:t xml:space="preserve"> is recommended by the World Health Organisation (2020). The authors of the study conducted by </w:t>
      </w:r>
      <w:proofErr w:type="spellStart"/>
      <w:r>
        <w:t>Colberg</w:t>
      </w:r>
      <w:proofErr w:type="spellEnd"/>
      <w:r>
        <w:t xml:space="preserve"> et al. (2016) noted that structured exercise </w:t>
      </w:r>
      <w:proofErr w:type="spellStart"/>
      <w:r>
        <w:t>programmes</w:t>
      </w:r>
      <w:proofErr w:type="spellEnd"/>
      <w:r>
        <w:t xml:space="preserve"> lower HbA1c levels and lipid profiles of diabetic individuals.</w:t>
      </w:r>
    </w:p>
    <w:p w14:paraId="5EBEF7E8" w14:textId="7D9D2BE3" w:rsidR="00FB28E9" w:rsidRPr="00FB28E9" w:rsidRDefault="00FB28E9" w:rsidP="00FB28E9">
      <w:pPr>
        <w:rPr>
          <w:b/>
          <w:bCs/>
        </w:rPr>
      </w:pPr>
      <w:r w:rsidRPr="00FB28E9">
        <w:rPr>
          <w:b/>
          <w:bCs/>
        </w:rPr>
        <w:t>Smoking Cessation</w:t>
      </w:r>
    </w:p>
    <w:p w14:paraId="39D16142" w14:textId="11A998E1" w:rsidR="00FB28E9" w:rsidRDefault="00FB28E9" w:rsidP="00FB28E9">
      <w:r>
        <w:t xml:space="preserve">The insulin response to smoking is hyperirritable, and the progression of vascular complications in diabetes is accelerated (Pan et al., 2015). Nicotine causes endothelial dysfunction by causing oxidative stress and inflammation. Quitting smoking has a great effect on insulin and cardiovascular deaths. To provide cessation efforts, healthcare providers should provide </w:t>
      </w:r>
      <w:proofErr w:type="spellStart"/>
      <w:r>
        <w:t>behavioural</w:t>
      </w:r>
      <w:proofErr w:type="spellEnd"/>
      <w:r>
        <w:t xml:space="preserve"> counselling and nicotine replacement therapy.</w:t>
      </w:r>
    </w:p>
    <w:p w14:paraId="28D8941F" w14:textId="0BD7E177" w:rsidR="00FB28E9" w:rsidRDefault="00FB28E9" w:rsidP="00FB28E9">
      <w:r w:rsidRPr="00FB28E9">
        <w:rPr>
          <w:b/>
          <w:bCs/>
        </w:rPr>
        <w:t xml:space="preserve">Stress Management and </w:t>
      </w:r>
      <w:r w:rsidR="007663E9">
        <w:rPr>
          <w:b/>
          <w:bCs/>
        </w:rPr>
        <w:t xml:space="preserve">Weight </w:t>
      </w:r>
      <w:r w:rsidRPr="00FB28E9">
        <w:rPr>
          <w:b/>
          <w:bCs/>
        </w:rPr>
        <w:t>Reduction of weight</w:t>
      </w:r>
    </w:p>
    <w:p w14:paraId="68CA79D4" w14:textId="3895B152" w:rsidR="00FB28E9" w:rsidRDefault="00FB28E9" w:rsidP="00FB28E9">
      <w:r>
        <w:t xml:space="preserve">A healthy body mass index (BMI) is also necessary to enhance insulin sensitivity. The slightest amount of weight loss of 5-10 </w:t>
      </w:r>
      <w:r w:rsidR="007663E9">
        <w:t>per cent</w:t>
      </w:r>
      <w:r>
        <w:t xml:space="preserve"> can bring about great metabolic improvements. It is also important to manage stress, as </w:t>
      </w:r>
      <w:r w:rsidR="007663E9">
        <w:t>chronic</w:t>
      </w:r>
      <w:r>
        <w:t xml:space="preserve"> stress increases the level of cortisol, which further increases blood glucose. The intervention measures that have been shown to be effective in the treatment of stress-related </w:t>
      </w:r>
      <w:proofErr w:type="spellStart"/>
      <w:r>
        <w:t>hyperglycaemia</w:t>
      </w:r>
      <w:proofErr w:type="spellEnd"/>
      <w:r>
        <w:t xml:space="preserve"> include mindfulness, meditation, yoga, and cognitive-</w:t>
      </w:r>
      <w:proofErr w:type="spellStart"/>
      <w:r>
        <w:t>behavioural</w:t>
      </w:r>
      <w:proofErr w:type="spellEnd"/>
      <w:r>
        <w:t xml:space="preserve"> therapy (Anderson et al., 2018).</w:t>
      </w:r>
    </w:p>
    <w:p w14:paraId="24D9F693" w14:textId="41EF4328" w:rsidR="00FB28E9" w:rsidRDefault="00FB28E9" w:rsidP="00FB28E9">
      <w:r w:rsidRPr="00FB28E9">
        <w:rPr>
          <w:b/>
          <w:bCs/>
        </w:rPr>
        <w:t>Self-Management Support and Education</w:t>
      </w:r>
    </w:p>
    <w:p w14:paraId="5E146500" w14:textId="6A697278" w:rsidR="00FB28E9" w:rsidRDefault="00FB28E9" w:rsidP="00FB28E9">
      <w:r>
        <w:t xml:space="preserve">Through education, people can be informed about their state and make well-informed decisions. Educational interventions like DESMOND (Diabetes Education and Self-Management for Ongoing and Newly Diagnosed) have shown positive change in patient motivation, dietary adherence and health outcomes in the long run (Davies et al., 2008). The </w:t>
      </w:r>
      <w:proofErr w:type="spellStart"/>
      <w:r w:rsidR="007663E9">
        <w:t>organised</w:t>
      </w:r>
      <w:proofErr w:type="spellEnd"/>
      <w:r>
        <w:t xml:space="preserve"> educational programs assist people </w:t>
      </w:r>
      <w:r w:rsidR="007663E9">
        <w:t>in deciphering</w:t>
      </w:r>
      <w:r>
        <w:t xml:space="preserve"> glucose levels, comprehend the impacts of drugs, and make long-term lifestyle adjustments.</w:t>
      </w:r>
    </w:p>
    <w:p w14:paraId="75FB6487" w14:textId="3DB60F26" w:rsidR="00FB28E9" w:rsidRDefault="005B3A07" w:rsidP="00FB28E9">
      <w:r>
        <w:t>T</w:t>
      </w:r>
      <w:r w:rsidR="00FB28E9">
        <w:t>hese lifestyle interventions can be significantly used to postpone the advancement of the disease, decrease the level of medication dependence, and improve the quality of life of people with Type 2 diabetes.</w:t>
      </w:r>
    </w:p>
    <w:p w14:paraId="39E14F80" w14:textId="23147891" w:rsidR="00FB28E9" w:rsidRPr="00FB28E9" w:rsidRDefault="00FB28E9" w:rsidP="00F85498">
      <w:pPr>
        <w:pStyle w:val="Heading1"/>
      </w:pPr>
      <w:bookmarkStart w:id="5" w:name="_Toc213176320"/>
      <w:r w:rsidRPr="00FB28E9">
        <w:t>Conclusion</w:t>
      </w:r>
      <w:bookmarkEnd w:id="5"/>
    </w:p>
    <w:p w14:paraId="6F2A012A" w14:textId="63621762" w:rsidR="00FB28E9" w:rsidRDefault="00FB28E9" w:rsidP="00FB28E9">
      <w:r>
        <w:t xml:space="preserve">Type 2 diabetes mellitus is a complicated yet treatable metabolic condition that demands multi-dimensional treatment that involves physiological knowledge, routine checkups, and lifestyle management. The balance of insulin, glucagon, and other hormones that control energy balance is delicate in maintaining optimal levels of glucose in the blood. Alteration of these processes results in </w:t>
      </w:r>
      <w:proofErr w:type="spellStart"/>
      <w:r>
        <w:t>hyperglycaemia</w:t>
      </w:r>
      <w:proofErr w:type="spellEnd"/>
      <w:r>
        <w:t xml:space="preserve"> and complications.</w:t>
      </w:r>
    </w:p>
    <w:p w14:paraId="57FD6869" w14:textId="14FCB077" w:rsidR="00FB28E9" w:rsidRDefault="00FB28E9" w:rsidP="00FB28E9">
      <w:r>
        <w:t xml:space="preserve">An adequate knowledge of the role played by oxygen and glucose in the metabolism of cells helps to </w:t>
      </w:r>
      <w:proofErr w:type="spellStart"/>
      <w:r w:rsidR="007663E9">
        <w:t>emphasise</w:t>
      </w:r>
      <w:proofErr w:type="spellEnd"/>
      <w:r>
        <w:t xml:space="preserve"> the need to ensure that glucose concentrations remain balanced to promote effective production of energy. The ability to monitor and record blood glucose levels will enable patients and healthcare professionals to identify trends and </w:t>
      </w:r>
      <w:proofErr w:type="spellStart"/>
      <w:r w:rsidR="007663E9">
        <w:t>customise</w:t>
      </w:r>
      <w:proofErr w:type="spellEnd"/>
      <w:r>
        <w:t xml:space="preserve"> </w:t>
      </w:r>
      <w:proofErr w:type="gramStart"/>
      <w:r>
        <w:t>treatment</w:t>
      </w:r>
      <w:r w:rsidR="007663E9">
        <w:t>,</w:t>
      </w:r>
      <w:r>
        <w:t xml:space="preserve"> and</w:t>
      </w:r>
      <w:proofErr w:type="gramEnd"/>
      <w:r>
        <w:t xml:space="preserve"> prevent long-term complications.</w:t>
      </w:r>
    </w:p>
    <w:p w14:paraId="75C2061B" w14:textId="38897CC3" w:rsidR="00FB28E9" w:rsidRDefault="00FB28E9" w:rsidP="00FB28E9">
      <w:r>
        <w:t xml:space="preserve">Moreover, the basis of diabetes management is evidence-based lifestyle techniques, such as healthy dieting, exercise, quitting smoking, managing weight, and eliminating stress. Individuals should be empowered by educating them to increase the level of self-efficacy and compliance </w:t>
      </w:r>
      <w:r w:rsidR="007663E9">
        <w:t>with</w:t>
      </w:r>
      <w:r>
        <w:t xml:space="preserve"> treatment plans.</w:t>
      </w:r>
    </w:p>
    <w:p w14:paraId="2F712867" w14:textId="53876462" w:rsidR="00FB28E9" w:rsidRDefault="00FB28E9" w:rsidP="00FB28E9">
      <w:r>
        <w:t xml:space="preserve">The management of diabetes requires not only pharmacological intervention but also the active involvement of the patient, under the guidance of physiological knowledge and with the help of evidence-based practices. With the help of continuous education, monitoring, and lifestyle change, Type 2 diabetes patients could enjoy healthier and more rewarding lives and decrease the </w:t>
      </w:r>
      <w:r w:rsidR="007663E9">
        <w:t>risk</w:t>
      </w:r>
      <w:r>
        <w:t xml:space="preserve"> of complications.</w:t>
      </w:r>
    </w:p>
    <w:p w14:paraId="09F3D117" w14:textId="2327D528" w:rsidR="00CC5DBC" w:rsidRDefault="00FB28E9" w:rsidP="00FB28E9">
      <w:r>
        <w:t xml:space="preserve"> </w:t>
      </w:r>
    </w:p>
    <w:p w14:paraId="33BDD9A1" w14:textId="77777777" w:rsidR="00CC5DBC" w:rsidRDefault="00CC5DBC" w:rsidP="00CC5DBC">
      <w:pPr>
        <w:rPr>
          <w:b/>
          <w:bCs/>
        </w:rPr>
      </w:pPr>
    </w:p>
    <w:p w14:paraId="512CCD0D" w14:textId="64871486" w:rsidR="00CC5DBC" w:rsidRDefault="00CC5DBC">
      <w:pPr>
        <w:spacing w:after="160" w:line="259" w:lineRule="auto"/>
        <w:jc w:val="left"/>
        <w:rPr>
          <w:b/>
          <w:bCs/>
        </w:rPr>
      </w:pPr>
      <w:r>
        <w:rPr>
          <w:b/>
          <w:bCs/>
        </w:rPr>
        <w:br w:type="page"/>
      </w:r>
    </w:p>
    <w:p w14:paraId="1871EDF7" w14:textId="3AF7D82B" w:rsidR="00CC5DBC" w:rsidRPr="00CC5DBC" w:rsidRDefault="00CC5DBC" w:rsidP="00F85498">
      <w:pPr>
        <w:pStyle w:val="Heading1"/>
      </w:pPr>
      <w:bookmarkStart w:id="6" w:name="_Toc213176321"/>
      <w:r w:rsidRPr="00CC5DBC">
        <w:t>Reference List</w:t>
      </w:r>
      <w:bookmarkEnd w:id="6"/>
    </w:p>
    <w:p w14:paraId="4AA8AB37" w14:textId="77777777" w:rsidR="00CC5DBC" w:rsidRDefault="00CC5DBC" w:rsidP="00CC5DBC">
      <w:r>
        <w:t>Al-</w:t>
      </w:r>
      <w:proofErr w:type="spellStart"/>
      <w:r>
        <w:t>Goblan</w:t>
      </w:r>
      <w:proofErr w:type="spellEnd"/>
      <w:r>
        <w:t>, A. S., Al-</w:t>
      </w:r>
      <w:proofErr w:type="spellStart"/>
      <w:r>
        <w:t>Alfi</w:t>
      </w:r>
      <w:proofErr w:type="spellEnd"/>
      <w:r>
        <w:t>, M. A. and Khan, M. Z. (2014) ‘Mechanism linking diabetes mellitus and obesity’, Diabetes, Metabolic Syndrome and Obesity: Targets and Therapy, 7, pp. 587–591.</w:t>
      </w:r>
    </w:p>
    <w:p w14:paraId="17FB8420" w14:textId="4E4F136A" w:rsidR="00CC5DBC" w:rsidRDefault="00CC5DBC" w:rsidP="00CC5DBC">
      <w:r>
        <w:t>American Diabetes Association (ADA) (2024) ‘Standards of care in diabetes—2024’, Diabetes Care, 47(Suppl 1), pp. S1–S164.</w:t>
      </w:r>
    </w:p>
    <w:p w14:paraId="0945E8DB" w14:textId="459FB5DB" w:rsidR="00CC5DBC" w:rsidRDefault="00CC5DBC" w:rsidP="00CC5DBC">
      <w:r>
        <w:t xml:space="preserve">Anderson, R. J., Freedland, K. E., Clouse, R. E. and </w:t>
      </w:r>
      <w:proofErr w:type="spellStart"/>
      <w:r>
        <w:t>Lustman</w:t>
      </w:r>
      <w:proofErr w:type="spellEnd"/>
      <w:r>
        <w:t>, P. J. (2018) ‘The prevalence of comorbid depression in adults with diabetes: a meta-analysis’, Diabetes Care, 24(6), pp. 1069–1078.</w:t>
      </w:r>
    </w:p>
    <w:p w14:paraId="37F3CA47" w14:textId="1B107B50" w:rsidR="00CC5DBC" w:rsidRDefault="00CC5DBC" w:rsidP="00CC5DBC">
      <w:r>
        <w:t xml:space="preserve">Beck, R. W. et al. (2019) ‘Effect of continuous glucose monitoring on </w:t>
      </w:r>
      <w:proofErr w:type="spellStart"/>
      <w:r>
        <w:t>glycaemic</w:t>
      </w:r>
      <w:proofErr w:type="spellEnd"/>
      <w:r>
        <w:t xml:space="preserve"> control in adults with Type 2 diabetes’, Annals of Internal Medicine, 170(8), pp. 541–550.</w:t>
      </w:r>
    </w:p>
    <w:p w14:paraId="1139EAD8" w14:textId="20F56023" w:rsidR="00CC5DBC" w:rsidRDefault="00CC5DBC" w:rsidP="00CC5DBC">
      <w:proofErr w:type="spellStart"/>
      <w:r>
        <w:t>Colberg</w:t>
      </w:r>
      <w:proofErr w:type="spellEnd"/>
      <w:r>
        <w:t>, S. R. et al. (2016) ‘Exercise and Type 2 diabetes: Joint position statement by the American College of Sports Medicine and the American Diabetes Association’, Diabetes Care, 39(11), pp. 2065–2079.</w:t>
      </w:r>
    </w:p>
    <w:p w14:paraId="0A1193ED" w14:textId="29C2604E" w:rsidR="00CC5DBC" w:rsidRDefault="00CC5DBC" w:rsidP="00CC5DBC">
      <w:proofErr w:type="spellStart"/>
      <w:r>
        <w:t>Estruch</w:t>
      </w:r>
      <w:proofErr w:type="spellEnd"/>
      <w:r>
        <w:t>, R. et al. (2018) ‘Primary prevention of cardiovascular disease with a Mediterranean diet supplemented with extra-virgin olive oil or nuts’, New England Journal of Medicine, 378(25), pp. e34.</w:t>
      </w:r>
    </w:p>
    <w:p w14:paraId="30F38CC9" w14:textId="19D6CFFB" w:rsidR="00CC5DBC" w:rsidRDefault="00CC5DBC" w:rsidP="00CC5DBC">
      <w:r>
        <w:t>Gropper, S. S. and Smith, J. L. (2020)</w:t>
      </w:r>
      <w:r w:rsidR="00782173">
        <w:t>.</w:t>
      </w:r>
      <w:r>
        <w:t xml:space="preserve"> Advanced Nutrition and Human Metabolism. 8th </w:t>
      </w:r>
      <w:proofErr w:type="spellStart"/>
      <w:r>
        <w:t>edn</w:t>
      </w:r>
      <w:proofErr w:type="spellEnd"/>
      <w:r>
        <w:t>. Boston: Cengage Learning.</w:t>
      </w:r>
    </w:p>
    <w:p w14:paraId="205D5745" w14:textId="059A85E7" w:rsidR="00075AC0" w:rsidRPr="00CC5DBC" w:rsidRDefault="00CC5DBC" w:rsidP="00CC5DBC">
      <w:r>
        <w:t xml:space="preserve">World Health </w:t>
      </w:r>
      <w:r w:rsidR="00782173">
        <w:t>Organisation</w:t>
      </w:r>
      <w:r>
        <w:t xml:space="preserve"> (2023) Diabetes Fact Sheet. Geneva: WHO.</w:t>
      </w:r>
    </w:p>
    <w:sectPr w:rsidR="00075AC0" w:rsidRPr="00CC5DB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CB7B9" w14:textId="77777777" w:rsidR="0097299F" w:rsidRDefault="0097299F" w:rsidP="00781AC8">
      <w:pPr>
        <w:spacing w:line="240" w:lineRule="auto"/>
      </w:pPr>
      <w:r>
        <w:separator/>
      </w:r>
    </w:p>
  </w:endnote>
  <w:endnote w:type="continuationSeparator" w:id="0">
    <w:p w14:paraId="7924B407" w14:textId="77777777" w:rsidR="0097299F" w:rsidRDefault="0097299F" w:rsidP="00781A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470580"/>
      <w:docPartObj>
        <w:docPartGallery w:val="Page Numbers (Bottom of Page)"/>
        <w:docPartUnique/>
      </w:docPartObj>
    </w:sdtPr>
    <w:sdtEndPr>
      <w:rPr>
        <w:noProof/>
      </w:rPr>
    </w:sdtEndPr>
    <w:sdtContent>
      <w:p w14:paraId="7CE496F7" w14:textId="262212D8" w:rsidR="00781AC8" w:rsidRDefault="00781A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6E34CC" w14:textId="77777777" w:rsidR="00781AC8" w:rsidRDefault="00781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9EF8E" w14:textId="77777777" w:rsidR="0097299F" w:rsidRDefault="0097299F" w:rsidP="00781AC8">
      <w:pPr>
        <w:spacing w:line="240" w:lineRule="auto"/>
      </w:pPr>
      <w:r>
        <w:separator/>
      </w:r>
    </w:p>
  </w:footnote>
  <w:footnote w:type="continuationSeparator" w:id="0">
    <w:p w14:paraId="741583D2" w14:textId="77777777" w:rsidR="0097299F" w:rsidRDefault="0097299F" w:rsidP="00781A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874"/>
    <w:rsid w:val="00075AC0"/>
    <w:rsid w:val="000C48DA"/>
    <w:rsid w:val="001143EE"/>
    <w:rsid w:val="00123D0A"/>
    <w:rsid w:val="00154114"/>
    <w:rsid w:val="00163D1A"/>
    <w:rsid w:val="00183489"/>
    <w:rsid w:val="001E5CD2"/>
    <w:rsid w:val="002240E7"/>
    <w:rsid w:val="002A354A"/>
    <w:rsid w:val="003D264C"/>
    <w:rsid w:val="004F6245"/>
    <w:rsid w:val="00584F11"/>
    <w:rsid w:val="005B3A07"/>
    <w:rsid w:val="007663E9"/>
    <w:rsid w:val="00781AC8"/>
    <w:rsid w:val="00782173"/>
    <w:rsid w:val="0079075D"/>
    <w:rsid w:val="007A0672"/>
    <w:rsid w:val="00893F07"/>
    <w:rsid w:val="008F222D"/>
    <w:rsid w:val="0097299F"/>
    <w:rsid w:val="00A9436F"/>
    <w:rsid w:val="00A95874"/>
    <w:rsid w:val="00AD49F9"/>
    <w:rsid w:val="00AE79C4"/>
    <w:rsid w:val="00B50D2A"/>
    <w:rsid w:val="00C90632"/>
    <w:rsid w:val="00CC5DBC"/>
    <w:rsid w:val="00D75672"/>
    <w:rsid w:val="00DB15DC"/>
    <w:rsid w:val="00E12CF7"/>
    <w:rsid w:val="00F3769B"/>
    <w:rsid w:val="00F47BC1"/>
    <w:rsid w:val="00F85498"/>
    <w:rsid w:val="00FB2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4B73D0"/>
  <w15:chartTrackingRefBased/>
  <w15:docId w15:val="{B420697D-EAA9-4ABF-9DDE-F1A770046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D2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F85498"/>
    <w:pPr>
      <w:keepNext/>
      <w:keepLines/>
      <w:outlineLvl w:val="0"/>
    </w:pPr>
    <w:rPr>
      <w:rFonts w:eastAsiaTheme="majorEastAsia" w:cstheme="majorBidi"/>
      <w:b/>
      <w:kern w:val="0"/>
      <w:szCs w:val="29"/>
      <w14:ligatures w14:val="none"/>
    </w:rPr>
  </w:style>
  <w:style w:type="paragraph" w:styleId="Heading2">
    <w:name w:val="heading 2"/>
    <w:basedOn w:val="Normal"/>
    <w:next w:val="Normal"/>
    <w:link w:val="Heading2Char"/>
    <w:uiPriority w:val="9"/>
    <w:unhideWhenUsed/>
    <w:qFormat/>
    <w:rsid w:val="00163D1A"/>
    <w:pPr>
      <w:keepNext/>
      <w:keepLines/>
      <w:outlineLvl w:val="1"/>
    </w:pPr>
    <w:rPr>
      <w:rFonts w:eastAsiaTheme="majorEastAsia" w:cstheme="majorBidi"/>
      <w:b/>
      <w:kern w:val="0"/>
      <w:szCs w:val="23"/>
      <w14:ligatures w14:val="none"/>
    </w:rPr>
  </w:style>
  <w:style w:type="paragraph" w:styleId="Heading3">
    <w:name w:val="heading 3"/>
    <w:basedOn w:val="Normal"/>
    <w:next w:val="Normal"/>
    <w:link w:val="Heading3Char"/>
    <w:uiPriority w:val="9"/>
    <w:unhideWhenUsed/>
    <w:qFormat/>
    <w:rsid w:val="002240E7"/>
    <w:pPr>
      <w:keepNext/>
      <w:keepLines/>
      <w:outlineLvl w:val="2"/>
    </w:pPr>
    <w:rPr>
      <w:rFonts w:eastAsiaTheme="majorEastAsia" w:cstheme="majorBidi"/>
      <w:b/>
      <w:kern w:val="0"/>
      <w:szCs w:val="21"/>
      <w14:ligatures w14:val="none"/>
    </w:rPr>
  </w:style>
  <w:style w:type="paragraph" w:styleId="Heading4">
    <w:name w:val="heading 4"/>
    <w:basedOn w:val="Normal"/>
    <w:next w:val="Normal"/>
    <w:link w:val="Heading4Char"/>
    <w:uiPriority w:val="9"/>
    <w:semiHidden/>
    <w:unhideWhenUsed/>
    <w:qFormat/>
    <w:rsid w:val="00A9587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9587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9587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587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587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587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498"/>
    <w:rPr>
      <w:rFonts w:ascii="Arial" w:eastAsiaTheme="majorEastAsia" w:hAnsi="Arial" w:cstheme="majorBidi"/>
      <w:b/>
      <w:kern w:val="0"/>
      <w:sz w:val="24"/>
      <w:szCs w:val="29"/>
      <w14:ligatures w14:val="none"/>
    </w:rPr>
  </w:style>
  <w:style w:type="character" w:customStyle="1" w:styleId="Heading2Char">
    <w:name w:val="Heading 2 Char"/>
    <w:basedOn w:val="DefaultParagraphFont"/>
    <w:link w:val="Heading2"/>
    <w:uiPriority w:val="9"/>
    <w:rsid w:val="00163D1A"/>
    <w:rPr>
      <w:rFonts w:ascii="Arial" w:eastAsiaTheme="majorEastAsia" w:hAnsi="Arial" w:cstheme="majorBidi"/>
      <w:b/>
      <w:kern w:val="0"/>
      <w:sz w:val="24"/>
      <w:szCs w:val="23"/>
      <w14:ligatures w14:val="none"/>
    </w:rPr>
  </w:style>
  <w:style w:type="character" w:customStyle="1" w:styleId="Heading3Char">
    <w:name w:val="Heading 3 Char"/>
    <w:basedOn w:val="DefaultParagraphFont"/>
    <w:link w:val="Heading3"/>
    <w:uiPriority w:val="9"/>
    <w:rsid w:val="002240E7"/>
    <w:rPr>
      <w:rFonts w:ascii="Arial" w:eastAsiaTheme="majorEastAsia" w:hAnsi="Arial" w:cstheme="majorBidi"/>
      <w:b/>
      <w:kern w:val="0"/>
      <w:sz w:val="24"/>
      <w:szCs w:val="21"/>
      <w14:ligatures w14:val="none"/>
    </w:rPr>
  </w:style>
  <w:style w:type="character" w:customStyle="1" w:styleId="Heading4Char">
    <w:name w:val="Heading 4 Char"/>
    <w:basedOn w:val="DefaultParagraphFont"/>
    <w:link w:val="Heading4"/>
    <w:uiPriority w:val="9"/>
    <w:semiHidden/>
    <w:rsid w:val="00A95874"/>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A95874"/>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A9587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9587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9587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9587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958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8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87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8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87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5874"/>
    <w:rPr>
      <w:rFonts w:ascii="Arial" w:hAnsi="Arial"/>
      <w:i/>
      <w:iCs/>
      <w:color w:val="404040" w:themeColor="text1" w:themeTint="BF"/>
      <w:sz w:val="24"/>
    </w:rPr>
  </w:style>
  <w:style w:type="paragraph" w:styleId="ListParagraph">
    <w:name w:val="List Paragraph"/>
    <w:basedOn w:val="Normal"/>
    <w:uiPriority w:val="34"/>
    <w:qFormat/>
    <w:rsid w:val="00A95874"/>
    <w:pPr>
      <w:ind w:left="720"/>
      <w:contextualSpacing/>
    </w:pPr>
  </w:style>
  <w:style w:type="character" w:styleId="IntenseEmphasis">
    <w:name w:val="Intense Emphasis"/>
    <w:basedOn w:val="DefaultParagraphFont"/>
    <w:uiPriority w:val="21"/>
    <w:qFormat/>
    <w:rsid w:val="00A95874"/>
    <w:rPr>
      <w:i/>
      <w:iCs/>
      <w:color w:val="0F4761" w:themeColor="accent1" w:themeShade="BF"/>
    </w:rPr>
  </w:style>
  <w:style w:type="paragraph" w:styleId="IntenseQuote">
    <w:name w:val="Intense Quote"/>
    <w:basedOn w:val="Normal"/>
    <w:next w:val="Normal"/>
    <w:link w:val="IntenseQuoteChar"/>
    <w:uiPriority w:val="30"/>
    <w:qFormat/>
    <w:rsid w:val="00A958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5874"/>
    <w:rPr>
      <w:rFonts w:ascii="Arial" w:hAnsi="Arial"/>
      <w:i/>
      <w:iCs/>
      <w:color w:val="0F4761" w:themeColor="accent1" w:themeShade="BF"/>
      <w:sz w:val="24"/>
    </w:rPr>
  </w:style>
  <w:style w:type="character" w:styleId="IntenseReference">
    <w:name w:val="Intense Reference"/>
    <w:basedOn w:val="DefaultParagraphFont"/>
    <w:uiPriority w:val="32"/>
    <w:qFormat/>
    <w:rsid w:val="00A95874"/>
    <w:rPr>
      <w:b/>
      <w:bCs/>
      <w:smallCaps/>
      <w:color w:val="0F4761" w:themeColor="accent1" w:themeShade="BF"/>
      <w:spacing w:val="5"/>
    </w:rPr>
  </w:style>
  <w:style w:type="paragraph" w:styleId="Header">
    <w:name w:val="header"/>
    <w:basedOn w:val="Normal"/>
    <w:link w:val="HeaderChar"/>
    <w:uiPriority w:val="99"/>
    <w:unhideWhenUsed/>
    <w:rsid w:val="00781AC8"/>
    <w:pPr>
      <w:tabs>
        <w:tab w:val="center" w:pos="4680"/>
        <w:tab w:val="right" w:pos="9360"/>
      </w:tabs>
      <w:spacing w:line="240" w:lineRule="auto"/>
    </w:pPr>
  </w:style>
  <w:style w:type="character" w:customStyle="1" w:styleId="HeaderChar">
    <w:name w:val="Header Char"/>
    <w:basedOn w:val="DefaultParagraphFont"/>
    <w:link w:val="Header"/>
    <w:uiPriority w:val="99"/>
    <w:rsid w:val="00781AC8"/>
    <w:rPr>
      <w:rFonts w:ascii="Arial" w:hAnsi="Arial"/>
      <w:sz w:val="24"/>
    </w:rPr>
  </w:style>
  <w:style w:type="paragraph" w:styleId="Footer">
    <w:name w:val="footer"/>
    <w:basedOn w:val="Normal"/>
    <w:link w:val="FooterChar"/>
    <w:uiPriority w:val="99"/>
    <w:unhideWhenUsed/>
    <w:rsid w:val="00781AC8"/>
    <w:pPr>
      <w:tabs>
        <w:tab w:val="center" w:pos="4680"/>
        <w:tab w:val="right" w:pos="9360"/>
      </w:tabs>
      <w:spacing w:line="240" w:lineRule="auto"/>
    </w:pPr>
  </w:style>
  <w:style w:type="character" w:customStyle="1" w:styleId="FooterChar">
    <w:name w:val="Footer Char"/>
    <w:basedOn w:val="DefaultParagraphFont"/>
    <w:link w:val="Footer"/>
    <w:uiPriority w:val="99"/>
    <w:rsid w:val="00781AC8"/>
    <w:rPr>
      <w:rFonts w:ascii="Arial" w:hAnsi="Arial"/>
      <w:sz w:val="24"/>
    </w:rPr>
  </w:style>
  <w:style w:type="paragraph" w:styleId="TOCHeading">
    <w:name w:val="TOC Heading"/>
    <w:basedOn w:val="Heading1"/>
    <w:next w:val="Normal"/>
    <w:uiPriority w:val="39"/>
    <w:unhideWhenUsed/>
    <w:qFormat/>
    <w:rsid w:val="00781AC8"/>
    <w:pPr>
      <w:spacing w:before="24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781AC8"/>
    <w:pPr>
      <w:spacing w:after="100"/>
    </w:pPr>
  </w:style>
  <w:style w:type="character" w:styleId="Hyperlink">
    <w:name w:val="Hyperlink"/>
    <w:basedOn w:val="DefaultParagraphFont"/>
    <w:uiPriority w:val="99"/>
    <w:unhideWhenUsed/>
    <w:rsid w:val="00781AC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53DC5-FDEE-49A3-B289-E0DAEC703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9</Pages>
  <Words>2195</Words>
  <Characters>12717</Characters>
  <Application>Microsoft Office Word</Application>
  <DocSecurity>0</DocSecurity>
  <Lines>211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Francis (2239092)</dc:creator>
  <cp:keywords/>
  <dc:description/>
  <cp:revision>32</cp:revision>
  <dcterms:created xsi:type="dcterms:W3CDTF">2025-11-04T11:35:00Z</dcterms:created>
  <dcterms:modified xsi:type="dcterms:W3CDTF">2025-11-06T17:57:00Z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874347bb-ab78-4746-941e-429e65bc8900</vt:lpwstr>
  </property>
</Properties>
</file>