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C2C3D" w14:textId="41E1FB73" w:rsidR="00E01233" w:rsidRPr="0065281B" w:rsidRDefault="00E01233">
      <w:pPr>
        <w:spacing w:after="160" w:line="259" w:lineRule="auto"/>
        <w:ind w:firstLine="0"/>
        <w:jc w:val="left"/>
        <w:rPr>
          <w:color w:val="000000" w:themeColor="text1"/>
        </w:rPr>
      </w:pPr>
    </w:p>
    <w:p w14:paraId="545C2C3E" w14:textId="77777777" w:rsidR="00E01233" w:rsidRPr="0065281B" w:rsidRDefault="00E01233">
      <w:pPr>
        <w:spacing w:after="160" w:line="259" w:lineRule="auto"/>
        <w:ind w:firstLine="0"/>
        <w:jc w:val="left"/>
        <w:rPr>
          <w:color w:val="000000" w:themeColor="text1"/>
        </w:rPr>
      </w:pPr>
    </w:p>
    <w:p w14:paraId="545C2C3F" w14:textId="77777777" w:rsidR="00E01233" w:rsidRPr="0065281B" w:rsidRDefault="00E01233">
      <w:pPr>
        <w:spacing w:after="160" w:line="259" w:lineRule="auto"/>
        <w:ind w:firstLine="0"/>
        <w:jc w:val="left"/>
        <w:rPr>
          <w:color w:val="000000" w:themeColor="text1"/>
        </w:rPr>
      </w:pPr>
    </w:p>
    <w:p w14:paraId="545C2C40" w14:textId="77777777" w:rsidR="00E01233" w:rsidRPr="0065281B" w:rsidRDefault="00E01233">
      <w:pPr>
        <w:spacing w:after="160" w:line="259" w:lineRule="auto"/>
        <w:ind w:firstLine="0"/>
        <w:jc w:val="left"/>
        <w:rPr>
          <w:color w:val="000000" w:themeColor="text1"/>
        </w:rPr>
      </w:pPr>
    </w:p>
    <w:p w14:paraId="545C2C41" w14:textId="77777777" w:rsidR="00E01233" w:rsidRPr="0065281B" w:rsidRDefault="00E01233">
      <w:pPr>
        <w:spacing w:after="160" w:line="259" w:lineRule="auto"/>
        <w:ind w:firstLine="0"/>
        <w:jc w:val="left"/>
        <w:rPr>
          <w:color w:val="000000" w:themeColor="text1"/>
        </w:rPr>
      </w:pPr>
    </w:p>
    <w:p w14:paraId="545C2C42" w14:textId="77777777" w:rsidR="00E01233" w:rsidRPr="0065281B" w:rsidRDefault="00E01233">
      <w:pPr>
        <w:spacing w:after="160" w:line="259" w:lineRule="auto"/>
        <w:ind w:firstLine="0"/>
        <w:jc w:val="left"/>
        <w:rPr>
          <w:color w:val="000000" w:themeColor="text1"/>
        </w:rPr>
      </w:pPr>
    </w:p>
    <w:p w14:paraId="545C2C43" w14:textId="77777777" w:rsidR="00E01233" w:rsidRPr="0065281B" w:rsidRDefault="00E01233">
      <w:pPr>
        <w:spacing w:after="160" w:line="259" w:lineRule="auto"/>
        <w:ind w:firstLine="0"/>
        <w:jc w:val="left"/>
        <w:rPr>
          <w:color w:val="000000" w:themeColor="text1"/>
        </w:rPr>
      </w:pPr>
    </w:p>
    <w:p w14:paraId="545C2C44" w14:textId="77777777" w:rsidR="00E01233" w:rsidRPr="0065281B" w:rsidRDefault="00E01233">
      <w:pPr>
        <w:spacing w:after="160" w:line="259" w:lineRule="auto"/>
        <w:ind w:firstLine="0"/>
        <w:jc w:val="left"/>
        <w:rPr>
          <w:color w:val="000000" w:themeColor="text1"/>
        </w:rPr>
      </w:pPr>
    </w:p>
    <w:p w14:paraId="545C2C45" w14:textId="77777777" w:rsidR="00E01233" w:rsidRPr="0065281B" w:rsidRDefault="00E01233">
      <w:pPr>
        <w:spacing w:after="160" w:line="259" w:lineRule="auto"/>
        <w:ind w:firstLine="0"/>
        <w:jc w:val="left"/>
        <w:rPr>
          <w:color w:val="000000" w:themeColor="text1"/>
        </w:rPr>
      </w:pPr>
    </w:p>
    <w:p w14:paraId="545C2C46" w14:textId="1BC37444" w:rsidR="00E01233" w:rsidRPr="0065281B" w:rsidRDefault="00E01233" w:rsidP="00E01233">
      <w:pPr>
        <w:spacing w:after="160" w:line="259" w:lineRule="auto"/>
        <w:ind w:firstLine="0"/>
        <w:jc w:val="center"/>
        <w:rPr>
          <w:color w:val="000000" w:themeColor="text1"/>
        </w:rPr>
      </w:pPr>
      <w:r w:rsidRPr="0065281B">
        <w:rPr>
          <w:color w:val="000000" w:themeColor="text1"/>
        </w:rPr>
        <w:t xml:space="preserve">Describe change blindness and discuss what this phenomenon tells us about human attentional capabilities in real-world </w:t>
      </w:r>
      <w:r w:rsidR="00007297" w:rsidRPr="0065281B">
        <w:rPr>
          <w:color w:val="000000" w:themeColor="text1"/>
        </w:rPr>
        <w:t>settings.</w:t>
      </w:r>
    </w:p>
    <w:p w14:paraId="545C2C47" w14:textId="18B71AAD" w:rsidR="00E01233" w:rsidRPr="0065281B" w:rsidRDefault="00E01233" w:rsidP="00E01233">
      <w:pPr>
        <w:spacing w:after="160" w:line="259" w:lineRule="auto"/>
        <w:ind w:firstLine="0"/>
        <w:jc w:val="center"/>
        <w:rPr>
          <w:color w:val="000000" w:themeColor="text1"/>
        </w:rPr>
      </w:pPr>
    </w:p>
    <w:p w14:paraId="545C2C48" w14:textId="08A9AE9C" w:rsidR="00E01233" w:rsidRPr="0065281B" w:rsidRDefault="00E01233" w:rsidP="00E01233">
      <w:pPr>
        <w:spacing w:after="160" w:line="259" w:lineRule="auto"/>
        <w:ind w:firstLine="0"/>
        <w:jc w:val="center"/>
        <w:rPr>
          <w:color w:val="000000" w:themeColor="text1"/>
        </w:rPr>
      </w:pPr>
    </w:p>
    <w:p w14:paraId="545C2C4A" w14:textId="1FC2AE51" w:rsidR="00955DDE" w:rsidRPr="0065281B" w:rsidRDefault="00E01233" w:rsidP="008321C1">
      <w:pPr>
        <w:spacing w:after="160" w:line="259" w:lineRule="auto"/>
        <w:ind w:firstLine="0"/>
        <w:jc w:val="center"/>
        <w:rPr>
          <w:color w:val="000000" w:themeColor="text1"/>
        </w:rPr>
      </w:pPr>
      <w:r w:rsidRPr="0065281B">
        <w:rPr>
          <w:color w:val="000000" w:themeColor="text1"/>
        </w:rPr>
        <w:br w:type="page"/>
      </w:r>
      <w:r w:rsidR="00A817B0" w:rsidRPr="0065281B">
        <w:rPr>
          <w:color w:val="000000" w:themeColor="text1"/>
        </w:rPr>
        <w:lastRenderedPageBreak/>
        <w:t>Introduction</w:t>
      </w:r>
    </w:p>
    <w:p w14:paraId="73CA2846" w14:textId="77777777" w:rsidR="00A210A9" w:rsidRDefault="00A817B0" w:rsidP="00A210A9">
      <w:pPr>
        <w:rPr>
          <w:color w:val="000000" w:themeColor="text1"/>
        </w:rPr>
      </w:pPr>
      <w:r w:rsidRPr="0065281B">
        <w:rPr>
          <w:color w:val="000000" w:themeColor="text1"/>
        </w:rPr>
        <w:t>The phenomenon of change blindness has long fascinated cognitive psychologists and neuroscientists alike. This intriguing concept refers to the difficulty of detecting changes in visual scenes, even when they occur right in front of our eyes. While change blindness may seem like a mere curiosity, its implications for human attentional capabilities in real-world settings are profound. From driving on busy roads to witnessing crimes, our ability to perceive and process visual information accurately can have serious consequences. This essay aims to explore the theoretical assumptions, empirical evidence, and strengths and limitations of change blindness theory and research. The essay will also discuss the implications of change blindness for human attentional capabilities in real-world settings, and critically evaluate the suitability of lab-based research for understanding this complex phenomenon. By doing so, the purpose is to shed light on how the cognitive processes and how they shape our perceptions of the world around us, and how we can learn to navigate this complex landscape more effectively.</w:t>
      </w:r>
    </w:p>
    <w:p w14:paraId="7DB7BBD2" w14:textId="77777777" w:rsidR="00C72654" w:rsidRDefault="00A210A9" w:rsidP="00C72654">
      <w:pPr>
        <w:rPr>
          <w:color w:val="000000" w:themeColor="text1"/>
        </w:rPr>
      </w:pPr>
      <w:r>
        <w:rPr>
          <w:color w:val="000000" w:themeColor="text1"/>
        </w:rPr>
        <w:t xml:space="preserve">     </w:t>
      </w:r>
      <w:r w:rsidR="00FD5FB9" w:rsidRPr="0065281B">
        <w:rPr>
          <w:color w:val="000000" w:themeColor="text1"/>
        </w:rPr>
        <w:t>Discussion</w:t>
      </w:r>
    </w:p>
    <w:p w14:paraId="545C2C4D" w14:textId="385DB363" w:rsidR="00FD5FB9" w:rsidRPr="0065281B" w:rsidRDefault="00FD5FB9" w:rsidP="00C72654">
      <w:pPr>
        <w:rPr>
          <w:color w:val="000000" w:themeColor="text1"/>
        </w:rPr>
      </w:pPr>
      <w:r w:rsidRPr="0065281B">
        <w:rPr>
          <w:color w:val="000000" w:themeColor="text1"/>
        </w:rPr>
        <w:t>Theoretical Assumptions of Change Blindness</w:t>
      </w:r>
    </w:p>
    <w:p w14:paraId="545C2C4E" w14:textId="77777777" w:rsidR="00FD5FB9" w:rsidRPr="0065281B" w:rsidRDefault="00FD5FB9" w:rsidP="00FD5FB9">
      <w:pPr>
        <w:rPr>
          <w:color w:val="000000" w:themeColor="text1"/>
        </w:rPr>
      </w:pPr>
      <w:r w:rsidRPr="0065281B">
        <w:rPr>
          <w:color w:val="000000" w:themeColor="text1"/>
        </w:rPr>
        <w:t>The theoretical assumptions underlying the phenomenon of change blindness can be traced back to the limitations of attentional processing. According to this view, visual attention is a finite resource that can only be allocated to a limited number of objects or features at any moment. As a result, a change in a visual scene may go undetected if it falls outside the current attentional focus</w:t>
      </w:r>
      <w:r w:rsidR="00FE2CC6" w:rsidRPr="0065281B">
        <w:rPr>
          <w:color w:val="000000" w:themeColor="text1"/>
        </w:rPr>
        <w:t xml:space="preserve"> (Best et al. 2021)</w:t>
      </w:r>
      <w:r w:rsidRPr="0065281B">
        <w:rPr>
          <w:color w:val="000000" w:themeColor="text1"/>
        </w:rPr>
        <w:t>. The role of expectations and attentional sets compounds this attentional limitation. For example, our expectations of what a visual scene should look like can shape how we process incoming information, leading us to overlook changes that do not conform to our expectations. Similarly, our attentional sets - the mental templates we use to guide our attention towards specific features or objects - can constrain what we perceive in a scene, making detecting changes outside these sets more complicated</w:t>
      </w:r>
      <w:r w:rsidR="00287A54" w:rsidRPr="0065281B">
        <w:rPr>
          <w:color w:val="000000" w:themeColor="text1"/>
        </w:rPr>
        <w:t xml:space="preserve"> (Fernández‐</w:t>
      </w:r>
      <w:proofErr w:type="spellStart"/>
      <w:r w:rsidR="00287A54" w:rsidRPr="0065281B">
        <w:rPr>
          <w:color w:val="000000" w:themeColor="text1"/>
        </w:rPr>
        <w:t>i</w:t>
      </w:r>
      <w:proofErr w:type="spellEnd"/>
      <w:r w:rsidR="00287A54" w:rsidRPr="0065281B">
        <w:rPr>
          <w:color w:val="000000" w:themeColor="text1"/>
        </w:rPr>
        <w:t>‐Marín et al. 2022)</w:t>
      </w:r>
      <w:r w:rsidRPr="0065281B">
        <w:rPr>
          <w:color w:val="000000" w:themeColor="text1"/>
        </w:rPr>
        <w:t>. To test these theoretical assumptions, cognitive psychologists have conducted several experimental studies on change blindness</w:t>
      </w:r>
      <w:r w:rsidR="006E2BA2" w:rsidRPr="0065281B">
        <w:rPr>
          <w:color w:val="000000" w:themeColor="text1"/>
        </w:rPr>
        <w:t xml:space="preserve"> </w:t>
      </w:r>
      <w:r w:rsidR="00287A54" w:rsidRPr="0065281B">
        <w:rPr>
          <w:color w:val="000000" w:themeColor="text1"/>
        </w:rPr>
        <w:t>(</w:t>
      </w:r>
      <w:proofErr w:type="spellStart"/>
      <w:r w:rsidR="00287A54" w:rsidRPr="0065281B">
        <w:rPr>
          <w:color w:val="000000" w:themeColor="text1"/>
        </w:rPr>
        <w:t>Felin</w:t>
      </w:r>
      <w:proofErr w:type="spellEnd"/>
      <w:r w:rsidR="00287A54" w:rsidRPr="0065281B">
        <w:rPr>
          <w:color w:val="000000" w:themeColor="text1"/>
        </w:rPr>
        <w:t xml:space="preserve"> et al. 2019)</w:t>
      </w:r>
      <w:r w:rsidRPr="0065281B">
        <w:rPr>
          <w:color w:val="000000" w:themeColor="text1"/>
        </w:rPr>
        <w:t>. One such study, conducted by</w:t>
      </w:r>
      <w:r w:rsidR="006E2BA2" w:rsidRPr="0065281B">
        <w:rPr>
          <w:color w:val="000000" w:themeColor="text1"/>
        </w:rPr>
        <w:t xml:space="preserve"> </w:t>
      </w:r>
      <w:proofErr w:type="spellStart"/>
      <w:r w:rsidR="006E2BA2" w:rsidRPr="0065281B">
        <w:rPr>
          <w:color w:val="000000" w:themeColor="text1"/>
        </w:rPr>
        <w:t>Furley</w:t>
      </w:r>
      <w:proofErr w:type="spellEnd"/>
      <w:r w:rsidR="006E2BA2" w:rsidRPr="0065281B">
        <w:rPr>
          <w:color w:val="000000" w:themeColor="text1"/>
        </w:rPr>
        <w:t xml:space="preserve"> et al. (2010)</w:t>
      </w:r>
      <w:r w:rsidRPr="0065281B">
        <w:rPr>
          <w:color w:val="000000" w:themeColor="text1"/>
        </w:rPr>
        <w:t>, involved showing participants a video of two people passing a basketball back and forth while asking them to count the number of passes made by one of the teams. During the video, a person in a gorilla suit walked across the screen, but over half of the participants failed to notice the gorilla because they were so focused on counting the passes.</w:t>
      </w:r>
    </w:p>
    <w:p w14:paraId="0A20843A" w14:textId="77777777" w:rsidR="008E2C27" w:rsidRDefault="00FD5FB9" w:rsidP="008E2C27">
      <w:pPr>
        <w:rPr>
          <w:color w:val="000000" w:themeColor="text1"/>
        </w:rPr>
      </w:pPr>
      <w:r w:rsidRPr="0065281B">
        <w:rPr>
          <w:color w:val="000000" w:themeColor="text1"/>
        </w:rPr>
        <w:lastRenderedPageBreak/>
        <w:t xml:space="preserve"> In addition, </w:t>
      </w:r>
      <w:r w:rsidR="006E2BA2" w:rsidRPr="0065281B">
        <w:rPr>
          <w:color w:val="000000" w:themeColor="text1"/>
        </w:rPr>
        <w:t xml:space="preserve">Smith et al. (2008) </w:t>
      </w:r>
      <w:r w:rsidRPr="0065281B">
        <w:rPr>
          <w:color w:val="000000" w:themeColor="text1"/>
        </w:rPr>
        <w:t>involved showing participants two pictures of a scene with a slight difference between them, such as the addition or removal of an object. The researchers found that participants were much more likely to detect the change if it occurred in an area they were already attending to or if the change was consistent with their expectations of what should be in the scene. These studies provide compelling evidence for the theoretical assumptions underlying change blindness, suggesting that our attentional limitations and expectations can shape what we perceive in a visual scene</w:t>
      </w:r>
      <w:r w:rsidR="007E3C21" w:rsidRPr="0065281B">
        <w:rPr>
          <w:color w:val="000000" w:themeColor="text1"/>
        </w:rPr>
        <w:t xml:space="preserve"> (Josephs et al. 2016)</w:t>
      </w:r>
      <w:r w:rsidRPr="0065281B">
        <w:rPr>
          <w:color w:val="000000" w:themeColor="text1"/>
        </w:rPr>
        <w:t xml:space="preserve">. However, they also raise questions about the ecological validity of lab-based research on change blindness and whether these findings can be generalized to real-world settings. </w:t>
      </w:r>
    </w:p>
    <w:p w14:paraId="6A55A59C" w14:textId="77777777" w:rsidR="00C72654" w:rsidRDefault="00C72654" w:rsidP="008E2C27">
      <w:pPr>
        <w:rPr>
          <w:color w:val="000000" w:themeColor="text1"/>
        </w:rPr>
      </w:pPr>
    </w:p>
    <w:p w14:paraId="6012BC87" w14:textId="3F3797A6" w:rsidR="00C72654" w:rsidRPr="0065281B" w:rsidRDefault="000C5D0B" w:rsidP="00C72654">
      <w:pPr>
        <w:rPr>
          <w:color w:val="000000" w:themeColor="text1"/>
        </w:rPr>
      </w:pPr>
      <w:r w:rsidRPr="0065281B">
        <w:rPr>
          <w:color w:val="000000" w:themeColor="text1"/>
        </w:rPr>
        <w:t>Empirical Evidence on Change Blindness</w:t>
      </w:r>
    </w:p>
    <w:p w14:paraId="545C2C51" w14:textId="77777777" w:rsidR="000C5D0B" w:rsidRPr="0065281B" w:rsidRDefault="000C5D0B" w:rsidP="000C5D0B">
      <w:pPr>
        <w:rPr>
          <w:color w:val="000000" w:themeColor="text1"/>
        </w:rPr>
      </w:pPr>
      <w:r w:rsidRPr="0065281B">
        <w:rPr>
          <w:color w:val="000000" w:themeColor="text1"/>
        </w:rPr>
        <w:t>Empirical studies have shed light on the cognitive processes underlying change blindness and related phenomena such as inattentional blindness and change detection</w:t>
      </w:r>
      <w:r w:rsidR="007E3C21" w:rsidRPr="0065281B">
        <w:rPr>
          <w:color w:val="000000" w:themeColor="text1"/>
        </w:rPr>
        <w:t xml:space="preserve"> (</w:t>
      </w:r>
      <w:proofErr w:type="spellStart"/>
      <w:r w:rsidR="007E3C21" w:rsidRPr="0065281B">
        <w:rPr>
          <w:color w:val="000000" w:themeColor="text1"/>
        </w:rPr>
        <w:t>Tominski</w:t>
      </w:r>
      <w:proofErr w:type="spellEnd"/>
      <w:r w:rsidR="007E3C21" w:rsidRPr="0065281B">
        <w:rPr>
          <w:color w:val="000000" w:themeColor="text1"/>
        </w:rPr>
        <w:t xml:space="preserve"> et al. 2021)</w:t>
      </w:r>
      <w:r w:rsidRPr="0065281B">
        <w:rPr>
          <w:color w:val="000000" w:themeColor="text1"/>
        </w:rPr>
        <w:t>. On the one hand, these studies have provided important insights into the limitations of our attentional capabilities</w:t>
      </w:r>
      <w:r w:rsidR="00A41A25" w:rsidRPr="0065281B">
        <w:rPr>
          <w:color w:val="000000" w:themeColor="text1"/>
        </w:rPr>
        <w:t xml:space="preserve"> (Morris, 2021)</w:t>
      </w:r>
      <w:r w:rsidRPr="0065281B">
        <w:rPr>
          <w:color w:val="000000" w:themeColor="text1"/>
        </w:rPr>
        <w:t>. On the other hand, they are not without their methodological limitations</w:t>
      </w:r>
      <w:r w:rsidR="00B01FDC" w:rsidRPr="0065281B">
        <w:rPr>
          <w:color w:val="000000" w:themeColor="text1"/>
        </w:rPr>
        <w:t xml:space="preserve"> (Beer et al. 2020)</w:t>
      </w:r>
      <w:r w:rsidRPr="0065281B">
        <w:rPr>
          <w:color w:val="000000" w:themeColor="text1"/>
        </w:rPr>
        <w:t xml:space="preserve">. For instance, </w:t>
      </w:r>
      <w:r w:rsidR="002E0EC9" w:rsidRPr="0065281B">
        <w:rPr>
          <w:color w:val="000000" w:themeColor="text1"/>
        </w:rPr>
        <w:t xml:space="preserve">Martin et al. (2023) </w:t>
      </w:r>
      <w:r w:rsidRPr="0065281B">
        <w:rPr>
          <w:color w:val="000000" w:themeColor="text1"/>
        </w:rPr>
        <w:t xml:space="preserve">showed participants two visual scenes with a blank interval between them and found that changes introduced during the interval were less likely to be found. While this study provided valuable information on the disruptive effects of interruptions on human's ability to maintain a stable representation of a visual scene, it used artificial stimuli that may not accurately reflect real-world visual scenes. Similarly, </w:t>
      </w:r>
      <w:r w:rsidR="0071548C" w:rsidRPr="0065281B">
        <w:rPr>
          <w:color w:val="000000" w:themeColor="text1"/>
        </w:rPr>
        <w:t xml:space="preserve">Nadezhda et al. (2022) </w:t>
      </w:r>
      <w:r w:rsidRPr="0065281B">
        <w:rPr>
          <w:color w:val="000000" w:themeColor="text1"/>
        </w:rPr>
        <w:t>asked participants to search for a target object in a visual scene while ignoring distracting objects. From the analysis, the study found that participants were less likely to find changes when engaged in a high-load task. While this study provides valuable information on how cognitive demands influence our attentional capabilities, it relies on self-report measures of change detection that may be subject to bias or error.</w:t>
      </w:r>
    </w:p>
    <w:p w14:paraId="545C2C52" w14:textId="77777777" w:rsidR="000C5D0B" w:rsidRPr="0065281B" w:rsidRDefault="000C5D0B" w:rsidP="000C5D0B">
      <w:pPr>
        <w:rPr>
          <w:color w:val="000000" w:themeColor="text1"/>
        </w:rPr>
      </w:pPr>
      <w:r w:rsidRPr="0065281B">
        <w:rPr>
          <w:color w:val="000000" w:themeColor="text1"/>
        </w:rPr>
        <w:t>Hence, it is important to note that such methodological limitations are not unique to these studies but are inherent in many laboratory-based studies of cognitive processes</w:t>
      </w:r>
      <w:r w:rsidR="002E4C3D" w:rsidRPr="0065281B">
        <w:rPr>
          <w:color w:val="000000" w:themeColor="text1"/>
        </w:rPr>
        <w:t>, also supported by Xu, (2021)</w:t>
      </w:r>
      <w:r w:rsidRPr="0065281B">
        <w:rPr>
          <w:color w:val="000000" w:themeColor="text1"/>
        </w:rPr>
        <w:t>. Yes, these studies are essential in providing controlled and systematic investigations of cognitive phenomena</w:t>
      </w:r>
      <w:r w:rsidR="004E2719" w:rsidRPr="0065281B">
        <w:rPr>
          <w:color w:val="000000" w:themeColor="text1"/>
        </w:rPr>
        <w:t xml:space="preserve"> (Blunden et al. 2022)</w:t>
      </w:r>
      <w:r w:rsidRPr="0065281B">
        <w:rPr>
          <w:color w:val="000000" w:themeColor="text1"/>
        </w:rPr>
        <w:t>. However, they do not always accurately reflect the dynamic and complex nature of real-world attentional processes</w:t>
      </w:r>
      <w:r w:rsidR="00DF780F" w:rsidRPr="0065281B">
        <w:rPr>
          <w:color w:val="000000" w:themeColor="text1"/>
        </w:rPr>
        <w:t xml:space="preserve"> </w:t>
      </w:r>
      <w:r w:rsidR="00DB24E3" w:rsidRPr="0065281B">
        <w:rPr>
          <w:color w:val="000000" w:themeColor="text1"/>
        </w:rPr>
        <w:t>(Spaak et al. 2022)</w:t>
      </w:r>
      <w:r w:rsidRPr="0065281B">
        <w:rPr>
          <w:color w:val="000000" w:themeColor="text1"/>
        </w:rPr>
        <w:t xml:space="preserve">. Despite these limitations, empirical evidence on change blindness has helped to refine </w:t>
      </w:r>
      <w:r w:rsidRPr="0065281B">
        <w:rPr>
          <w:color w:val="000000" w:themeColor="text1"/>
        </w:rPr>
        <w:lastRenderedPageBreak/>
        <w:t>our understanding of how attentional limitations and expectations affect our ability to detect changes in visual scenes</w:t>
      </w:r>
      <w:r w:rsidR="00DF780F" w:rsidRPr="0065281B">
        <w:rPr>
          <w:color w:val="000000" w:themeColor="text1"/>
        </w:rPr>
        <w:t xml:space="preserve"> (Riggs et al. 2019)</w:t>
      </w:r>
      <w:r w:rsidRPr="0065281B">
        <w:rPr>
          <w:color w:val="000000" w:themeColor="text1"/>
        </w:rPr>
        <w:t>. By building on these findings and exploring the implications of change blindness in real-world settings, the aim is to develop strategies and mitigate its negative consequences by improving our attentional capabilities.</w:t>
      </w:r>
    </w:p>
    <w:p w14:paraId="545C2C53" w14:textId="77777777" w:rsidR="000C5D0B" w:rsidRPr="0065281B" w:rsidRDefault="000C5D0B" w:rsidP="000C5D0B">
      <w:pPr>
        <w:pStyle w:val="Heading2"/>
        <w:rPr>
          <w:color w:val="000000" w:themeColor="text1"/>
        </w:rPr>
      </w:pPr>
      <w:r w:rsidRPr="0065281B">
        <w:rPr>
          <w:color w:val="000000" w:themeColor="text1"/>
        </w:rPr>
        <w:t>Strengths and Limitations of Change Blindness</w:t>
      </w:r>
    </w:p>
    <w:p w14:paraId="545C2C54" w14:textId="77777777" w:rsidR="005504BF" w:rsidRPr="0065281B" w:rsidRDefault="005504BF" w:rsidP="005504BF">
      <w:pPr>
        <w:rPr>
          <w:color w:val="000000" w:themeColor="text1"/>
        </w:rPr>
      </w:pPr>
      <w:r w:rsidRPr="0065281B">
        <w:rPr>
          <w:color w:val="000000" w:themeColor="text1"/>
        </w:rPr>
        <w:t>While empirical evidence has helped to establish the theoretical assumptions underlying change blindness, it is essential to critically evaluate the strengths and limitations of this theory and research. By doing so, we can better understand the implications of change blindness for understanding human cognition and behaviour</w:t>
      </w:r>
      <w:r w:rsidR="00027D26" w:rsidRPr="0065281B">
        <w:rPr>
          <w:color w:val="000000" w:themeColor="text1"/>
        </w:rPr>
        <w:t xml:space="preserve"> (Patras et al. 2022)</w:t>
      </w:r>
      <w:r w:rsidRPr="0065281B">
        <w:rPr>
          <w:color w:val="000000" w:themeColor="text1"/>
        </w:rPr>
        <w:t>. The core strength of change blindness theory is that it provides a framework for understanding how attentional limitations and expectations can shape our perception of visual scenes. It has important implications for real-world settings, such as driving, where inattention or distraction can have serious consequences</w:t>
      </w:r>
      <w:r w:rsidR="00F47C08" w:rsidRPr="0065281B">
        <w:rPr>
          <w:color w:val="000000" w:themeColor="text1"/>
        </w:rPr>
        <w:t xml:space="preserve"> (Swan et al. 2022)</w:t>
      </w:r>
      <w:r w:rsidRPr="0065281B">
        <w:rPr>
          <w:color w:val="000000" w:themeColor="text1"/>
        </w:rPr>
        <w:t>. By understanding the mechanisms underlying change blindness, we can develop interventions to improve attentional capabilities and mitigate the risks associated with visual inattention. In addition, change blindness theory inspires a wealth of empirical research that has advanced our understanding of how visual attention works</w:t>
      </w:r>
      <w:r w:rsidR="00C05240" w:rsidRPr="0065281B">
        <w:rPr>
          <w:color w:val="000000" w:themeColor="text1"/>
        </w:rPr>
        <w:t xml:space="preserve"> (</w:t>
      </w:r>
      <w:proofErr w:type="spellStart"/>
      <w:r w:rsidR="00C05240" w:rsidRPr="0065281B">
        <w:rPr>
          <w:color w:val="000000" w:themeColor="text1"/>
        </w:rPr>
        <w:t>Filtness</w:t>
      </w:r>
      <w:proofErr w:type="spellEnd"/>
      <w:r w:rsidR="00C05240" w:rsidRPr="0065281B">
        <w:rPr>
          <w:color w:val="000000" w:themeColor="text1"/>
        </w:rPr>
        <w:t xml:space="preserve"> et al. 2020)</w:t>
      </w:r>
      <w:r w:rsidRPr="0065281B">
        <w:rPr>
          <w:color w:val="000000" w:themeColor="text1"/>
        </w:rPr>
        <w:t xml:space="preserve">. By conducting rigorous and controlled experiments on change blindness, researchers have uncovered the cognitive processes that underlie this phenomenon, such as attentional allocation, expectation, and memory. </w:t>
      </w:r>
      <w:r w:rsidR="00965BC5" w:rsidRPr="0065281B">
        <w:rPr>
          <w:color w:val="000000" w:themeColor="text1"/>
        </w:rPr>
        <w:t xml:space="preserve">Hinton et al. (2022) </w:t>
      </w:r>
      <w:r w:rsidRPr="0065281B">
        <w:rPr>
          <w:color w:val="000000" w:themeColor="text1"/>
        </w:rPr>
        <w:t>has provided valuable insights into how we process visual information and has the potential to inform the development of more effective training and intervention programs.</w:t>
      </w:r>
    </w:p>
    <w:p w14:paraId="545C2C55" w14:textId="77777777" w:rsidR="005504BF" w:rsidRPr="0065281B" w:rsidRDefault="005504BF" w:rsidP="005504BF">
      <w:pPr>
        <w:rPr>
          <w:color w:val="000000" w:themeColor="text1"/>
        </w:rPr>
      </w:pPr>
      <w:r w:rsidRPr="0065281B">
        <w:rPr>
          <w:color w:val="000000" w:themeColor="text1"/>
        </w:rPr>
        <w:t>However, there are also limitations to change blindness theory and research that must be considered. For instance, most studies have been conducted in laboratory settings, using artificial stimuli that may not accurately reflect real-world visual scenes</w:t>
      </w:r>
      <w:r w:rsidR="006C6A50" w:rsidRPr="0065281B">
        <w:rPr>
          <w:color w:val="000000" w:themeColor="text1"/>
        </w:rPr>
        <w:t xml:space="preserve"> (Oviedo-</w:t>
      </w:r>
      <w:proofErr w:type="spellStart"/>
      <w:r w:rsidR="006C6A50" w:rsidRPr="0065281B">
        <w:rPr>
          <w:color w:val="000000" w:themeColor="text1"/>
        </w:rPr>
        <w:t>Trespalacios</w:t>
      </w:r>
      <w:proofErr w:type="spellEnd"/>
      <w:r w:rsidR="006C6A50" w:rsidRPr="0065281B">
        <w:rPr>
          <w:color w:val="000000" w:themeColor="text1"/>
        </w:rPr>
        <w:t xml:space="preserve"> et al. 2019)</w:t>
      </w:r>
      <w:r w:rsidRPr="0065281B">
        <w:rPr>
          <w:color w:val="000000" w:themeColor="text1"/>
        </w:rPr>
        <w:t>. While such studies are essential for establishing theoretical assumptions, they may not fully capture the complexity and variability of real-world attentional processes</w:t>
      </w:r>
      <w:r w:rsidR="00CB6E94" w:rsidRPr="0065281B">
        <w:rPr>
          <w:color w:val="000000" w:themeColor="text1"/>
        </w:rPr>
        <w:t xml:space="preserve"> (</w:t>
      </w:r>
      <w:proofErr w:type="spellStart"/>
      <w:r w:rsidR="00CB6E94" w:rsidRPr="0065281B">
        <w:rPr>
          <w:color w:val="000000" w:themeColor="text1"/>
        </w:rPr>
        <w:t>Kotseruba</w:t>
      </w:r>
      <w:proofErr w:type="spellEnd"/>
      <w:r w:rsidR="00CB6E94" w:rsidRPr="0065281B">
        <w:rPr>
          <w:color w:val="000000" w:themeColor="text1"/>
        </w:rPr>
        <w:t xml:space="preserve"> et al. 2021)</w:t>
      </w:r>
      <w:r w:rsidRPr="0065281B">
        <w:rPr>
          <w:color w:val="000000" w:themeColor="text1"/>
        </w:rPr>
        <w:t>. In addition, it raises questions about the ecological validity of change blindness theory and research and whether the findings can be applied to real-world situations. Moreover, change blindness research focuses on changes to visual scenes while neglecting other sensory modalities, such as auditory or olfactory stimuli</w:t>
      </w:r>
      <w:r w:rsidR="006C6A50" w:rsidRPr="0065281B">
        <w:rPr>
          <w:color w:val="000000" w:themeColor="text1"/>
        </w:rPr>
        <w:t xml:space="preserve"> (Oviedo-</w:t>
      </w:r>
      <w:proofErr w:type="spellStart"/>
      <w:r w:rsidR="006C6A50" w:rsidRPr="0065281B">
        <w:rPr>
          <w:color w:val="000000" w:themeColor="text1"/>
        </w:rPr>
        <w:t>Trespalacios</w:t>
      </w:r>
      <w:proofErr w:type="spellEnd"/>
      <w:r w:rsidR="006C6A50" w:rsidRPr="0065281B">
        <w:rPr>
          <w:color w:val="000000" w:themeColor="text1"/>
        </w:rPr>
        <w:t xml:space="preserve"> et al. 2019)</w:t>
      </w:r>
      <w:r w:rsidRPr="0065281B">
        <w:rPr>
          <w:color w:val="000000" w:themeColor="text1"/>
        </w:rPr>
        <w:t xml:space="preserve">. It is a significant oversight, as attentional limitations are not unique to visual perception but are fundamental to human cognition </w:t>
      </w:r>
      <w:r w:rsidRPr="0065281B">
        <w:rPr>
          <w:color w:val="000000" w:themeColor="text1"/>
        </w:rPr>
        <w:lastRenderedPageBreak/>
        <w:t>across modalities</w:t>
      </w:r>
      <w:r w:rsidR="00CB6E94" w:rsidRPr="0065281B">
        <w:rPr>
          <w:color w:val="000000" w:themeColor="text1"/>
        </w:rPr>
        <w:t xml:space="preserve"> (</w:t>
      </w:r>
      <w:proofErr w:type="spellStart"/>
      <w:r w:rsidR="00CB6E94" w:rsidRPr="0065281B">
        <w:rPr>
          <w:color w:val="000000" w:themeColor="text1"/>
        </w:rPr>
        <w:t>Doonan</w:t>
      </w:r>
      <w:proofErr w:type="spellEnd"/>
      <w:r w:rsidR="00CB6E94" w:rsidRPr="0065281B">
        <w:rPr>
          <w:color w:val="000000" w:themeColor="text1"/>
        </w:rPr>
        <w:t>, 2020)</w:t>
      </w:r>
      <w:r w:rsidRPr="0065281B">
        <w:rPr>
          <w:color w:val="000000" w:themeColor="text1"/>
        </w:rPr>
        <w:t>. By broadening the scope of change blindness research to include other sensory modalities, we can better understand attentional processes and their implications for behaviour and cognition. In addition, change blindness research has often relied on self-report measures of change detection, which may be subject to bias or error. It is a potential limitation, as self-report measures may not accurately reflect participants' attentional processes or ability to detect changes. Future research on change blindness could benefit from using objective measures of attentional allocation and change detection, such as eye-tracking or neuroimaging techniques.</w:t>
      </w:r>
    </w:p>
    <w:p w14:paraId="545C2C56" w14:textId="77777777" w:rsidR="005504BF" w:rsidRPr="0065281B" w:rsidRDefault="004D5A05" w:rsidP="005504BF">
      <w:pPr>
        <w:rPr>
          <w:color w:val="000000" w:themeColor="text1"/>
        </w:rPr>
      </w:pPr>
      <w:r w:rsidRPr="0065281B">
        <w:rPr>
          <w:color w:val="000000" w:themeColor="text1"/>
        </w:rPr>
        <w:t>Hence</w:t>
      </w:r>
      <w:r w:rsidR="005504BF" w:rsidRPr="0065281B">
        <w:rPr>
          <w:color w:val="000000" w:themeColor="text1"/>
        </w:rPr>
        <w:t>, change blindness theory and research has strengths and limitations that must be carefully considered to develop a comprehensive understanding of attentional processes and their implications for human cognition and behaviour</w:t>
      </w:r>
      <w:r w:rsidR="00CB6E94" w:rsidRPr="0065281B">
        <w:rPr>
          <w:color w:val="000000" w:themeColor="text1"/>
        </w:rPr>
        <w:t xml:space="preserve"> (</w:t>
      </w:r>
      <w:proofErr w:type="spellStart"/>
      <w:r w:rsidR="00CB6E94" w:rsidRPr="0065281B">
        <w:rPr>
          <w:color w:val="000000" w:themeColor="text1"/>
        </w:rPr>
        <w:t>Doonan</w:t>
      </w:r>
      <w:proofErr w:type="spellEnd"/>
      <w:r w:rsidR="00CB6E94" w:rsidRPr="0065281B">
        <w:rPr>
          <w:color w:val="000000" w:themeColor="text1"/>
        </w:rPr>
        <w:t>, 2020)</w:t>
      </w:r>
      <w:r w:rsidR="005504BF" w:rsidRPr="0065281B">
        <w:rPr>
          <w:color w:val="000000" w:themeColor="text1"/>
        </w:rPr>
        <w:t>. While the theoretical assumptions of change blindness provide a helpful framework for understanding how attentional limitations and expectations shape our perception of visual scenes, the ecological validity of laboratory-based research must be carefully considered</w:t>
      </w:r>
      <w:r w:rsidR="00FE095D" w:rsidRPr="0065281B">
        <w:rPr>
          <w:color w:val="000000" w:themeColor="text1"/>
        </w:rPr>
        <w:t xml:space="preserve"> (Regan et al. 2022)</w:t>
      </w:r>
      <w:r w:rsidR="005504BF" w:rsidRPr="0065281B">
        <w:rPr>
          <w:color w:val="000000" w:themeColor="text1"/>
        </w:rPr>
        <w:t>. Additionally, future research on change blindness could benefit from broadening its focus to include other sensory modalities and using objective measures of attentional allocation and change detection.</w:t>
      </w:r>
    </w:p>
    <w:p w14:paraId="545C2C57" w14:textId="77777777" w:rsidR="004D5A05" w:rsidRPr="0065281B" w:rsidRDefault="004D5A05" w:rsidP="004D5A05">
      <w:pPr>
        <w:pStyle w:val="Heading2"/>
        <w:rPr>
          <w:color w:val="000000" w:themeColor="text1"/>
        </w:rPr>
      </w:pPr>
      <w:r w:rsidRPr="0065281B">
        <w:rPr>
          <w:color w:val="000000" w:themeColor="text1"/>
        </w:rPr>
        <w:t>Implications of Change Blindness for Human Attentional Capabilities in Real-World Settings</w:t>
      </w:r>
    </w:p>
    <w:p w14:paraId="545C2C58" w14:textId="77777777" w:rsidR="007F0C9C" w:rsidRPr="0065281B" w:rsidRDefault="00DC6E91" w:rsidP="00236236">
      <w:pPr>
        <w:rPr>
          <w:color w:val="000000" w:themeColor="text1"/>
        </w:rPr>
      </w:pPr>
      <w:r w:rsidRPr="0065281B">
        <w:rPr>
          <w:color w:val="000000" w:themeColor="text1"/>
        </w:rPr>
        <w:t xml:space="preserve">The phenomenon of change blindness has significant implications for our understanding of human attentional capabilities in real-world settings, such as driving, eyewitness testimony, and safety-critical occupations. By exploring the factors contributing to change blindness and its related phenomena, we can understand how attentional limitations can impact our behaviour and cognition in diverse contexts. For example, driving is one real-world context in which change blindness has important implications. Driving requires sustained attention to visual scenes, and even momentary lapses in attention have serious consequences. </w:t>
      </w:r>
      <w:r w:rsidR="00236236" w:rsidRPr="0065281B">
        <w:rPr>
          <w:color w:val="000000" w:themeColor="text1"/>
        </w:rPr>
        <w:t xml:space="preserve">Regan et al. (2022) </w:t>
      </w:r>
      <w:r w:rsidRPr="0065281B">
        <w:rPr>
          <w:color w:val="000000" w:themeColor="text1"/>
        </w:rPr>
        <w:t>has shown that factors such as inattentional blindness, visual distraction, and fatigue can all contribute to driving behaviour changes and increase the risk of accidents. By understanding the attentional limitations that underlie change blindness, we can develop strategies to improve attentional capabilities in driving contexts, such as through training programs or improved vehicle design</w:t>
      </w:r>
      <w:r w:rsidR="00794D18" w:rsidRPr="0065281B">
        <w:rPr>
          <w:color w:val="000000" w:themeColor="text1"/>
        </w:rPr>
        <w:t xml:space="preserve"> (Wang et al. 2022)</w:t>
      </w:r>
      <w:r w:rsidRPr="0065281B">
        <w:rPr>
          <w:color w:val="000000" w:themeColor="text1"/>
        </w:rPr>
        <w:t>. Similarly, change blindness also has implications for eyewitness testimony, particularly in criminal cases</w:t>
      </w:r>
      <w:r w:rsidR="00236236" w:rsidRPr="0065281B">
        <w:rPr>
          <w:color w:val="000000" w:themeColor="text1"/>
        </w:rPr>
        <w:t xml:space="preserve"> (Wang et al. 2022)</w:t>
      </w:r>
      <w:r w:rsidRPr="0065281B">
        <w:rPr>
          <w:color w:val="000000" w:themeColor="text1"/>
        </w:rPr>
        <w:t>. Witnesses may fail to notice important details of a crime scene or perpetrator, leading to inaccurate or incomplete testimony</w:t>
      </w:r>
      <w:r w:rsidR="00236236" w:rsidRPr="0065281B">
        <w:rPr>
          <w:color w:val="000000" w:themeColor="text1"/>
        </w:rPr>
        <w:t xml:space="preserve"> (</w:t>
      </w:r>
      <w:proofErr w:type="spellStart"/>
      <w:r w:rsidR="00236236" w:rsidRPr="0065281B">
        <w:rPr>
          <w:color w:val="000000" w:themeColor="text1"/>
        </w:rPr>
        <w:t>Pezdek</w:t>
      </w:r>
      <w:proofErr w:type="spellEnd"/>
      <w:r w:rsidR="00236236" w:rsidRPr="0065281B">
        <w:rPr>
          <w:color w:val="000000" w:themeColor="text1"/>
        </w:rPr>
        <w:t xml:space="preserve"> et al. 2022)</w:t>
      </w:r>
      <w:r w:rsidRPr="0065281B">
        <w:rPr>
          <w:color w:val="000000" w:themeColor="text1"/>
        </w:rPr>
        <w:t xml:space="preserve">. By understanding </w:t>
      </w:r>
      <w:r w:rsidRPr="0065281B">
        <w:rPr>
          <w:color w:val="000000" w:themeColor="text1"/>
        </w:rPr>
        <w:lastRenderedPageBreak/>
        <w:t xml:space="preserve">the cognitive processes that underlie change blindness, the legislative bodies can better assess the reliability of eyewitness testimony and develop strategies to improve the accuracy of such testimony, such as by using open-ended questioning techniques or video </w:t>
      </w:r>
      <w:r w:rsidR="00236236" w:rsidRPr="0065281B">
        <w:rPr>
          <w:color w:val="000000" w:themeColor="text1"/>
        </w:rPr>
        <w:t>line-ups (</w:t>
      </w:r>
      <w:proofErr w:type="spellStart"/>
      <w:r w:rsidR="00236236" w:rsidRPr="0065281B">
        <w:rPr>
          <w:color w:val="000000" w:themeColor="text1"/>
        </w:rPr>
        <w:t>Pezdek</w:t>
      </w:r>
      <w:proofErr w:type="spellEnd"/>
      <w:r w:rsidR="00236236" w:rsidRPr="0065281B">
        <w:rPr>
          <w:color w:val="000000" w:themeColor="text1"/>
        </w:rPr>
        <w:t xml:space="preserve"> et al. 2022)</w:t>
      </w:r>
      <w:r w:rsidRPr="0065281B">
        <w:rPr>
          <w:color w:val="000000" w:themeColor="text1"/>
        </w:rPr>
        <w:t>.</w:t>
      </w:r>
    </w:p>
    <w:p w14:paraId="545C2C59" w14:textId="77777777" w:rsidR="00DC6E91" w:rsidRPr="0065281B" w:rsidRDefault="00DC6E91" w:rsidP="00DC6E91">
      <w:pPr>
        <w:rPr>
          <w:color w:val="000000" w:themeColor="text1"/>
        </w:rPr>
      </w:pPr>
      <w:r w:rsidRPr="0065281B">
        <w:rPr>
          <w:color w:val="000000" w:themeColor="text1"/>
        </w:rPr>
        <w:t>Safety-critical occupations, such as aviation or healthcare, also present challenges for attentional capabilities</w:t>
      </w:r>
      <w:r w:rsidR="00236236" w:rsidRPr="0065281B">
        <w:rPr>
          <w:color w:val="000000" w:themeColor="text1"/>
        </w:rPr>
        <w:t xml:space="preserve"> (</w:t>
      </w:r>
      <w:proofErr w:type="spellStart"/>
      <w:r w:rsidR="00236236" w:rsidRPr="0065281B">
        <w:rPr>
          <w:color w:val="000000" w:themeColor="text1"/>
        </w:rPr>
        <w:t>Vanderhaegen</w:t>
      </w:r>
      <w:proofErr w:type="spellEnd"/>
      <w:r w:rsidR="00236236" w:rsidRPr="0065281B">
        <w:rPr>
          <w:color w:val="000000" w:themeColor="text1"/>
        </w:rPr>
        <w:t xml:space="preserve"> et al. 2020)</w:t>
      </w:r>
      <w:r w:rsidRPr="0065281B">
        <w:rPr>
          <w:color w:val="000000" w:themeColor="text1"/>
        </w:rPr>
        <w:t>. Even momentary lapses in attention can seriously affect safety and well-being in such contexts. By understanding the attentional processes that underlie change blindness and related phenomena, we can develop interventions to improve attentional capabilities and reduce the risk of errors or accidents, such as through improved training programs or changes to work environment design</w:t>
      </w:r>
      <w:r w:rsidR="00236236" w:rsidRPr="0065281B">
        <w:rPr>
          <w:color w:val="000000" w:themeColor="text1"/>
        </w:rPr>
        <w:t xml:space="preserve"> (</w:t>
      </w:r>
      <w:proofErr w:type="spellStart"/>
      <w:r w:rsidR="00236236" w:rsidRPr="0065281B">
        <w:rPr>
          <w:color w:val="000000" w:themeColor="text1"/>
        </w:rPr>
        <w:t>Vanderhaegen</w:t>
      </w:r>
      <w:proofErr w:type="spellEnd"/>
      <w:r w:rsidR="00236236" w:rsidRPr="0065281B">
        <w:rPr>
          <w:color w:val="000000" w:themeColor="text1"/>
        </w:rPr>
        <w:t xml:space="preserve"> et al. 2020)</w:t>
      </w:r>
      <w:r w:rsidRPr="0065281B">
        <w:rPr>
          <w:color w:val="000000" w:themeColor="text1"/>
        </w:rPr>
        <w:t>. Moreover, change blindness has implications for our understanding of the complex interactions between attention, perception, and memory.</w:t>
      </w:r>
      <w:r w:rsidR="00F77590" w:rsidRPr="0065281B">
        <w:rPr>
          <w:color w:val="000000" w:themeColor="text1"/>
        </w:rPr>
        <w:t xml:space="preserve"> Keller et al. (2020)</w:t>
      </w:r>
      <w:r w:rsidRPr="0065281B">
        <w:rPr>
          <w:color w:val="000000" w:themeColor="text1"/>
        </w:rPr>
        <w:t xml:space="preserve"> has shown that attentional limitations can impact our ability to perceive and remember visual scenes accurately, leading to errors or distortions in our memory of events. By exploring the cognitive processes that underlie change blindness, we can better understand how attentional limitations can impact our perception and memory and develop strategies to improve our ability to perceive and remember visual scenes accurately.</w:t>
      </w:r>
    </w:p>
    <w:p w14:paraId="545C2C5A" w14:textId="77777777" w:rsidR="004D5A05" w:rsidRPr="0065281B" w:rsidRDefault="00795514" w:rsidP="00795514">
      <w:pPr>
        <w:pStyle w:val="Heading2"/>
        <w:rPr>
          <w:color w:val="000000" w:themeColor="text1"/>
        </w:rPr>
      </w:pPr>
      <w:r w:rsidRPr="0065281B">
        <w:rPr>
          <w:color w:val="000000" w:themeColor="text1"/>
        </w:rPr>
        <w:t>Critique of Lab-Based Research in Understanding Change Blindness</w:t>
      </w:r>
    </w:p>
    <w:p w14:paraId="4CE7F706" w14:textId="77777777" w:rsidR="00A210A9" w:rsidRDefault="007F5FC4" w:rsidP="00A210A9">
      <w:pPr>
        <w:rPr>
          <w:color w:val="000000" w:themeColor="text1"/>
        </w:rPr>
      </w:pPr>
      <w:r w:rsidRPr="0065281B">
        <w:rPr>
          <w:color w:val="000000" w:themeColor="text1"/>
        </w:rPr>
        <w:t>Lab-based research has been instrumental in advancing our understanding of change blindness and related phenomena</w:t>
      </w:r>
      <w:r w:rsidR="00F77590" w:rsidRPr="0065281B">
        <w:rPr>
          <w:color w:val="000000" w:themeColor="text1"/>
        </w:rPr>
        <w:t xml:space="preserve"> (Bayless et al. 2022)</w:t>
      </w:r>
      <w:r w:rsidRPr="0065281B">
        <w:rPr>
          <w:color w:val="000000" w:themeColor="text1"/>
        </w:rPr>
        <w:t xml:space="preserve">. However, it is important to critically evaluate the suitability of lab-based research for understanding attentional processes in real-world settings. When it comes to the limitations, lab-based </w:t>
      </w:r>
      <w:proofErr w:type="gramStart"/>
      <w:r w:rsidRPr="0065281B">
        <w:rPr>
          <w:color w:val="000000" w:themeColor="text1"/>
        </w:rPr>
        <w:t>researches</w:t>
      </w:r>
      <w:proofErr w:type="gramEnd"/>
      <w:r w:rsidRPr="0065281B">
        <w:rPr>
          <w:color w:val="000000" w:themeColor="text1"/>
        </w:rPr>
        <w:t xml:space="preserve"> do not accurately reflect the complexity and variability of real-world attentional processes</w:t>
      </w:r>
      <w:r w:rsidR="00307252" w:rsidRPr="0065281B">
        <w:rPr>
          <w:color w:val="000000" w:themeColor="text1"/>
        </w:rPr>
        <w:t xml:space="preserve"> (Marquis et al. 2021)</w:t>
      </w:r>
      <w:r w:rsidRPr="0065281B">
        <w:rPr>
          <w:color w:val="000000" w:themeColor="text1"/>
        </w:rPr>
        <w:t xml:space="preserve">. Real-world attentional processes are often influenced by a variety of factors, such as task demands, environmental conditions, and individual differences that are difficult to replicate in laboratory settings. As such, the findings of lab-based research do not always accurately reflect real-world attentional </w:t>
      </w:r>
      <w:proofErr w:type="gramStart"/>
      <w:r w:rsidRPr="0065281B">
        <w:rPr>
          <w:color w:val="000000" w:themeColor="text1"/>
        </w:rPr>
        <w:t>processes, and</w:t>
      </w:r>
      <w:proofErr w:type="gramEnd"/>
      <w:r w:rsidRPr="0065281B">
        <w:rPr>
          <w:color w:val="000000" w:themeColor="text1"/>
        </w:rPr>
        <w:t xml:space="preserve"> are be subject to ecological validity concerns</w:t>
      </w:r>
      <w:r w:rsidR="00932DF3" w:rsidRPr="0065281B">
        <w:rPr>
          <w:color w:val="000000" w:themeColor="text1"/>
        </w:rPr>
        <w:t xml:space="preserve"> </w:t>
      </w:r>
      <w:r w:rsidR="00F77590" w:rsidRPr="0065281B">
        <w:rPr>
          <w:color w:val="000000" w:themeColor="text1"/>
        </w:rPr>
        <w:t>(Bayless et al. 2022)</w:t>
      </w:r>
      <w:r w:rsidRPr="0065281B">
        <w:rPr>
          <w:color w:val="000000" w:themeColor="text1"/>
        </w:rPr>
        <w:t xml:space="preserve">. Likewise, it also relies on artificial stimuli that do not accurately reflect real-world visual scenes. While such stimuli </w:t>
      </w:r>
      <w:proofErr w:type="gramStart"/>
      <w:r w:rsidRPr="0065281B">
        <w:rPr>
          <w:color w:val="000000" w:themeColor="text1"/>
        </w:rPr>
        <w:t>are be</w:t>
      </w:r>
      <w:proofErr w:type="gramEnd"/>
      <w:r w:rsidRPr="0065281B">
        <w:rPr>
          <w:color w:val="000000" w:themeColor="text1"/>
        </w:rPr>
        <w:t xml:space="preserve"> useful for establishing theoretical assumptions and testing specific hypotheses, they do not fully capture the complexity and variability of real-world visual scenes</w:t>
      </w:r>
      <w:r w:rsidR="00307252" w:rsidRPr="0065281B">
        <w:rPr>
          <w:color w:val="000000" w:themeColor="text1"/>
        </w:rPr>
        <w:t xml:space="preserve"> (Marquis et al. 2021)</w:t>
      </w:r>
      <w:r w:rsidRPr="0065281B">
        <w:rPr>
          <w:color w:val="000000" w:themeColor="text1"/>
        </w:rPr>
        <w:t xml:space="preserve">. Hence, it raises questions about the generalisability of lab-based research findings to real-world settings, and the extent to which they can inform our understanding of </w:t>
      </w:r>
      <w:r w:rsidRPr="0065281B">
        <w:rPr>
          <w:color w:val="000000" w:themeColor="text1"/>
        </w:rPr>
        <w:lastRenderedPageBreak/>
        <w:t>attentional processes in everyday life</w:t>
      </w:r>
      <w:r w:rsidR="00307252" w:rsidRPr="0065281B">
        <w:rPr>
          <w:color w:val="000000" w:themeColor="text1"/>
        </w:rPr>
        <w:t xml:space="preserve"> (</w:t>
      </w:r>
      <w:proofErr w:type="spellStart"/>
      <w:r w:rsidR="00307252" w:rsidRPr="0065281B">
        <w:rPr>
          <w:color w:val="000000" w:themeColor="text1"/>
        </w:rPr>
        <w:t>Vanderhaegen</w:t>
      </w:r>
      <w:proofErr w:type="spellEnd"/>
      <w:r w:rsidR="00307252" w:rsidRPr="0065281B">
        <w:rPr>
          <w:color w:val="000000" w:themeColor="text1"/>
        </w:rPr>
        <w:t xml:space="preserve"> et al. 2020)</w:t>
      </w:r>
      <w:r w:rsidRPr="0065281B">
        <w:rPr>
          <w:color w:val="000000" w:themeColor="text1"/>
        </w:rPr>
        <w:t>. Furthermore, lab-based research usually relies on controlled and systematic manipulations of attentional processes, which do not accurately reflect the dynamic and unpredictable nature of attentional processes in real-world settings</w:t>
      </w:r>
      <w:r w:rsidR="00307252" w:rsidRPr="0065281B">
        <w:rPr>
          <w:color w:val="000000" w:themeColor="text1"/>
        </w:rPr>
        <w:t xml:space="preserve"> (</w:t>
      </w:r>
      <w:proofErr w:type="spellStart"/>
      <w:r w:rsidR="00307252" w:rsidRPr="0065281B">
        <w:rPr>
          <w:color w:val="000000" w:themeColor="text1"/>
        </w:rPr>
        <w:t>Vanderhaegen</w:t>
      </w:r>
      <w:proofErr w:type="spellEnd"/>
      <w:r w:rsidR="00307252" w:rsidRPr="0065281B">
        <w:rPr>
          <w:color w:val="000000" w:themeColor="text1"/>
        </w:rPr>
        <w:t xml:space="preserve"> et al. 2020)</w:t>
      </w:r>
      <w:r w:rsidRPr="0065281B">
        <w:rPr>
          <w:color w:val="000000" w:themeColor="text1"/>
        </w:rPr>
        <w:t xml:space="preserve">. </w:t>
      </w:r>
    </w:p>
    <w:p w14:paraId="640D644A" w14:textId="77777777" w:rsidR="008E2C27" w:rsidRDefault="008E2C27" w:rsidP="00A210A9">
      <w:pPr>
        <w:rPr>
          <w:color w:val="000000" w:themeColor="text1"/>
        </w:rPr>
      </w:pPr>
    </w:p>
    <w:p w14:paraId="545C2C5C" w14:textId="5FC2BD60" w:rsidR="000C5D0B" w:rsidRPr="0065281B" w:rsidRDefault="008E4ADA" w:rsidP="008E2C27">
      <w:pPr>
        <w:ind w:firstLine="0"/>
        <w:rPr>
          <w:color w:val="000000" w:themeColor="text1"/>
        </w:rPr>
      </w:pPr>
      <w:r w:rsidRPr="0065281B">
        <w:rPr>
          <w:color w:val="000000" w:themeColor="text1"/>
        </w:rPr>
        <w:t>Conclusion</w:t>
      </w:r>
    </w:p>
    <w:p w14:paraId="545C2C5D" w14:textId="77777777" w:rsidR="0005300B" w:rsidRPr="0065281B" w:rsidRDefault="0005300B" w:rsidP="0005300B">
      <w:pPr>
        <w:rPr>
          <w:color w:val="000000" w:themeColor="text1"/>
        </w:rPr>
      </w:pPr>
      <w:r w:rsidRPr="0065281B">
        <w:rPr>
          <w:color w:val="000000" w:themeColor="text1"/>
        </w:rPr>
        <w:t>In conclusion, the phenomenon of change blindness provides valuable insights into the attentional limitations and expectations that shape our perception of visual scenes. Theoretical assumptions and empirical evidence on change blindness have helped us to understand the cognitive processes underlying our ability to detect changes in visual scenes, and the strengths and limitations of this theory and research have been critically evaluated. Additionally, the implications of change blindness for human attentional capabilities in real-world settings, such as driving, eyewitness testimony, and safety-critical occupations, have been explored. Finally, the limitations of lab-based research in understanding change blindness have been discussed.</w:t>
      </w:r>
    </w:p>
    <w:p w14:paraId="545C2C5E" w14:textId="77777777" w:rsidR="0024570D" w:rsidRPr="0065281B" w:rsidRDefault="0024570D">
      <w:pPr>
        <w:spacing w:after="160" w:line="259" w:lineRule="auto"/>
        <w:ind w:firstLine="0"/>
        <w:jc w:val="left"/>
        <w:rPr>
          <w:b/>
          <w:color w:val="000000" w:themeColor="text1"/>
        </w:rPr>
      </w:pPr>
      <w:r w:rsidRPr="0065281B">
        <w:rPr>
          <w:b/>
          <w:color w:val="000000" w:themeColor="text1"/>
        </w:rPr>
        <w:br w:type="page"/>
      </w:r>
    </w:p>
    <w:p w14:paraId="545C2C5F" w14:textId="77777777" w:rsidR="0024570D" w:rsidRPr="0065281B" w:rsidRDefault="0024570D" w:rsidP="0024570D">
      <w:pPr>
        <w:jc w:val="center"/>
        <w:rPr>
          <w:b/>
          <w:color w:val="000000" w:themeColor="text1"/>
        </w:rPr>
      </w:pPr>
      <w:r w:rsidRPr="0065281B">
        <w:rPr>
          <w:b/>
          <w:color w:val="000000" w:themeColor="text1"/>
        </w:rPr>
        <w:lastRenderedPageBreak/>
        <w:t>References</w:t>
      </w:r>
    </w:p>
    <w:p w14:paraId="545C2C60"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Bayless, S.J., Harvey, A.J. and Keating, S., 2022. Effects of alcohol and task difficulty on visual tracking and inattentional blindness. </w:t>
      </w:r>
      <w:r w:rsidRPr="0065281B">
        <w:rPr>
          <w:rFonts w:cs="Times New Roman"/>
          <w:i/>
          <w:iCs/>
          <w:color w:val="000000" w:themeColor="text1"/>
          <w:szCs w:val="24"/>
          <w:shd w:val="clear" w:color="auto" w:fill="FFFFFF"/>
        </w:rPr>
        <w:t>Psychopharmacology</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239</w:t>
      </w:r>
      <w:r w:rsidRPr="0065281B">
        <w:rPr>
          <w:rFonts w:cs="Times New Roman"/>
          <w:color w:val="000000" w:themeColor="text1"/>
          <w:szCs w:val="24"/>
          <w:shd w:val="clear" w:color="auto" w:fill="FFFFFF"/>
        </w:rPr>
        <w:t>(8), pp.2605-2617.</w:t>
      </w:r>
    </w:p>
    <w:p w14:paraId="545C2C61"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Beer, S., De </w:t>
      </w:r>
      <w:proofErr w:type="spellStart"/>
      <w:r w:rsidRPr="0065281B">
        <w:rPr>
          <w:rFonts w:cs="Times New Roman"/>
          <w:color w:val="000000" w:themeColor="text1"/>
          <w:szCs w:val="24"/>
          <w:shd w:val="clear" w:color="auto" w:fill="FFFFFF"/>
        </w:rPr>
        <w:t>Mooij</w:t>
      </w:r>
      <w:proofErr w:type="spellEnd"/>
      <w:r w:rsidRPr="0065281B">
        <w:rPr>
          <w:rFonts w:cs="Times New Roman"/>
          <w:color w:val="000000" w:themeColor="text1"/>
          <w:szCs w:val="24"/>
          <w:shd w:val="clear" w:color="auto" w:fill="FFFFFF"/>
        </w:rPr>
        <w:t>, R. and Liu, L., 2020. International corporate tax avoidance: A review of the channels, magnitudes, and blind spots. </w:t>
      </w:r>
      <w:r w:rsidRPr="0065281B">
        <w:rPr>
          <w:rFonts w:cs="Times New Roman"/>
          <w:i/>
          <w:iCs/>
          <w:color w:val="000000" w:themeColor="text1"/>
          <w:szCs w:val="24"/>
          <w:shd w:val="clear" w:color="auto" w:fill="FFFFFF"/>
        </w:rPr>
        <w:t>Journal of Economic Surveys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34</w:t>
      </w:r>
      <w:r w:rsidRPr="0065281B">
        <w:rPr>
          <w:rFonts w:cs="Times New Roman"/>
          <w:color w:val="000000" w:themeColor="text1"/>
          <w:szCs w:val="24"/>
          <w:shd w:val="clear" w:color="auto" w:fill="FFFFFF"/>
        </w:rPr>
        <w:t>(3), pp.660-688.</w:t>
      </w:r>
    </w:p>
    <w:p w14:paraId="545C2C62"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Best, J., Hay, C., </w:t>
      </w:r>
      <w:proofErr w:type="spellStart"/>
      <w:r w:rsidRPr="0065281B">
        <w:rPr>
          <w:rFonts w:cs="Times New Roman"/>
          <w:color w:val="000000" w:themeColor="text1"/>
          <w:szCs w:val="24"/>
          <w:shd w:val="clear" w:color="auto" w:fill="FFFFFF"/>
        </w:rPr>
        <w:t>LeBaron</w:t>
      </w:r>
      <w:proofErr w:type="spellEnd"/>
      <w:r w:rsidRPr="0065281B">
        <w:rPr>
          <w:rFonts w:cs="Times New Roman"/>
          <w:color w:val="000000" w:themeColor="text1"/>
          <w:szCs w:val="24"/>
          <w:shd w:val="clear" w:color="auto" w:fill="FFFFFF"/>
        </w:rPr>
        <w:t xml:space="preserve">, G. and </w:t>
      </w:r>
      <w:proofErr w:type="spellStart"/>
      <w:r w:rsidRPr="0065281B">
        <w:rPr>
          <w:rFonts w:cs="Times New Roman"/>
          <w:color w:val="000000" w:themeColor="text1"/>
          <w:szCs w:val="24"/>
          <w:shd w:val="clear" w:color="auto" w:fill="FFFFFF"/>
        </w:rPr>
        <w:t>Mügge</w:t>
      </w:r>
      <w:proofErr w:type="spellEnd"/>
      <w:r w:rsidRPr="0065281B">
        <w:rPr>
          <w:rFonts w:cs="Times New Roman"/>
          <w:color w:val="000000" w:themeColor="text1"/>
          <w:szCs w:val="24"/>
          <w:shd w:val="clear" w:color="auto" w:fill="FFFFFF"/>
        </w:rPr>
        <w:t>, D., 2021. Seeing and not-seeing like a political economist: The historicity of contemporary political economy and its blind spots. </w:t>
      </w:r>
      <w:r w:rsidRPr="0065281B">
        <w:rPr>
          <w:rFonts w:cs="Times New Roman"/>
          <w:i/>
          <w:iCs/>
          <w:color w:val="000000" w:themeColor="text1"/>
          <w:szCs w:val="24"/>
          <w:shd w:val="clear" w:color="auto" w:fill="FFFFFF"/>
        </w:rPr>
        <w:t>New political economy</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26</w:t>
      </w:r>
      <w:r w:rsidRPr="0065281B">
        <w:rPr>
          <w:rFonts w:cs="Times New Roman"/>
          <w:color w:val="000000" w:themeColor="text1"/>
          <w:szCs w:val="24"/>
          <w:shd w:val="clear" w:color="auto" w:fill="FFFFFF"/>
        </w:rPr>
        <w:t>(2), pp.217-228.</w:t>
      </w:r>
    </w:p>
    <w:p w14:paraId="545C2C63"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Blunden, A.G., Hammond, D.A., Howe, P.D. and Little, D.R., 2022. Characterizing the time course of decision-making in change detection. </w:t>
      </w:r>
      <w:r w:rsidRPr="0065281B">
        <w:rPr>
          <w:rFonts w:cs="Times New Roman"/>
          <w:i/>
          <w:iCs/>
          <w:color w:val="000000" w:themeColor="text1"/>
          <w:szCs w:val="24"/>
          <w:shd w:val="clear" w:color="auto" w:fill="FFFFFF"/>
        </w:rPr>
        <w:t>Psychological Review</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129</w:t>
      </w:r>
      <w:r w:rsidRPr="0065281B">
        <w:rPr>
          <w:rFonts w:cs="Times New Roman"/>
          <w:color w:val="000000" w:themeColor="text1"/>
          <w:szCs w:val="24"/>
          <w:shd w:val="clear" w:color="auto" w:fill="FFFFFF"/>
        </w:rPr>
        <w:t>(1), p.107.</w:t>
      </w:r>
    </w:p>
    <w:p w14:paraId="545C2C64"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Doonan</w:t>
      </w:r>
      <w:proofErr w:type="spellEnd"/>
      <w:r w:rsidRPr="0065281B">
        <w:rPr>
          <w:rFonts w:cs="Times New Roman"/>
          <w:color w:val="000000" w:themeColor="text1"/>
          <w:szCs w:val="24"/>
          <w:shd w:val="clear" w:color="auto" w:fill="FFFFFF"/>
        </w:rPr>
        <w:t xml:space="preserve">, A., 2020. Stress as a Moderator of Visual Perception: Do Elevated Stress Levels Interfere with Visual </w:t>
      </w:r>
      <w:proofErr w:type="gramStart"/>
      <w:r w:rsidRPr="0065281B">
        <w:rPr>
          <w:rFonts w:cs="Times New Roman"/>
          <w:color w:val="000000" w:themeColor="text1"/>
          <w:szCs w:val="24"/>
          <w:shd w:val="clear" w:color="auto" w:fill="FFFFFF"/>
        </w:rPr>
        <w:t>Cognition?.</w:t>
      </w:r>
      <w:proofErr w:type="gramEnd"/>
    </w:p>
    <w:p w14:paraId="545C2C65"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Felin</w:t>
      </w:r>
      <w:proofErr w:type="spellEnd"/>
      <w:r w:rsidRPr="0065281B">
        <w:rPr>
          <w:rFonts w:cs="Times New Roman"/>
          <w:color w:val="000000" w:themeColor="text1"/>
          <w:szCs w:val="24"/>
          <w:shd w:val="clear" w:color="auto" w:fill="FFFFFF"/>
        </w:rPr>
        <w:t xml:space="preserve">, T., </w:t>
      </w:r>
      <w:proofErr w:type="spellStart"/>
      <w:r w:rsidRPr="0065281B">
        <w:rPr>
          <w:rFonts w:cs="Times New Roman"/>
          <w:color w:val="000000" w:themeColor="text1"/>
          <w:szCs w:val="24"/>
          <w:shd w:val="clear" w:color="auto" w:fill="FFFFFF"/>
        </w:rPr>
        <w:t>Felin</w:t>
      </w:r>
      <w:proofErr w:type="spellEnd"/>
      <w:r w:rsidRPr="0065281B">
        <w:rPr>
          <w:rFonts w:cs="Times New Roman"/>
          <w:color w:val="000000" w:themeColor="text1"/>
          <w:szCs w:val="24"/>
          <w:shd w:val="clear" w:color="auto" w:fill="FFFFFF"/>
        </w:rPr>
        <w:t xml:space="preserve">, M., Krueger, J.I. and </w:t>
      </w:r>
      <w:proofErr w:type="spellStart"/>
      <w:r w:rsidRPr="0065281B">
        <w:rPr>
          <w:rFonts w:cs="Times New Roman"/>
          <w:color w:val="000000" w:themeColor="text1"/>
          <w:szCs w:val="24"/>
          <w:shd w:val="clear" w:color="auto" w:fill="FFFFFF"/>
        </w:rPr>
        <w:t>Koenderink</w:t>
      </w:r>
      <w:proofErr w:type="spellEnd"/>
      <w:r w:rsidRPr="0065281B">
        <w:rPr>
          <w:rFonts w:cs="Times New Roman"/>
          <w:color w:val="000000" w:themeColor="text1"/>
          <w:szCs w:val="24"/>
          <w:shd w:val="clear" w:color="auto" w:fill="FFFFFF"/>
        </w:rPr>
        <w:t>, J., 2019. On surprise-hacking. </w:t>
      </w:r>
      <w:r w:rsidRPr="0065281B">
        <w:rPr>
          <w:rFonts w:cs="Times New Roman"/>
          <w:i/>
          <w:iCs/>
          <w:color w:val="000000" w:themeColor="text1"/>
          <w:szCs w:val="24"/>
          <w:shd w:val="clear" w:color="auto" w:fill="FFFFFF"/>
        </w:rPr>
        <w:t>Perception</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48</w:t>
      </w:r>
      <w:r w:rsidRPr="0065281B">
        <w:rPr>
          <w:rFonts w:cs="Times New Roman"/>
          <w:color w:val="000000" w:themeColor="text1"/>
          <w:szCs w:val="24"/>
          <w:shd w:val="clear" w:color="auto" w:fill="FFFFFF"/>
        </w:rPr>
        <w:t>(2), pp.109-114.</w:t>
      </w:r>
    </w:p>
    <w:p w14:paraId="545C2C66"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Fernández‐</w:t>
      </w:r>
      <w:proofErr w:type="spellStart"/>
      <w:r w:rsidRPr="0065281B">
        <w:rPr>
          <w:rFonts w:cs="Times New Roman"/>
          <w:color w:val="000000" w:themeColor="text1"/>
          <w:szCs w:val="24"/>
          <w:shd w:val="clear" w:color="auto" w:fill="FFFFFF"/>
        </w:rPr>
        <w:t>i</w:t>
      </w:r>
      <w:proofErr w:type="spellEnd"/>
      <w:r w:rsidRPr="0065281B">
        <w:rPr>
          <w:rFonts w:cs="Times New Roman"/>
          <w:color w:val="000000" w:themeColor="text1"/>
          <w:szCs w:val="24"/>
          <w:shd w:val="clear" w:color="auto" w:fill="FFFFFF"/>
        </w:rPr>
        <w:t xml:space="preserve">‐Marín, X., Hurka, S., </w:t>
      </w:r>
      <w:proofErr w:type="spellStart"/>
      <w:r w:rsidRPr="0065281B">
        <w:rPr>
          <w:rFonts w:cs="Times New Roman"/>
          <w:color w:val="000000" w:themeColor="text1"/>
          <w:szCs w:val="24"/>
          <w:shd w:val="clear" w:color="auto" w:fill="FFFFFF"/>
        </w:rPr>
        <w:t>Knill</w:t>
      </w:r>
      <w:proofErr w:type="spellEnd"/>
      <w:r w:rsidRPr="0065281B">
        <w:rPr>
          <w:rFonts w:cs="Times New Roman"/>
          <w:color w:val="000000" w:themeColor="text1"/>
          <w:szCs w:val="24"/>
          <w:shd w:val="clear" w:color="auto" w:fill="FFFFFF"/>
        </w:rPr>
        <w:t xml:space="preserve">, C. and </w:t>
      </w:r>
      <w:proofErr w:type="spellStart"/>
      <w:r w:rsidRPr="0065281B">
        <w:rPr>
          <w:rFonts w:cs="Times New Roman"/>
          <w:color w:val="000000" w:themeColor="text1"/>
          <w:szCs w:val="24"/>
          <w:shd w:val="clear" w:color="auto" w:fill="FFFFFF"/>
        </w:rPr>
        <w:t>Steinebach</w:t>
      </w:r>
      <w:proofErr w:type="spellEnd"/>
      <w:r w:rsidRPr="0065281B">
        <w:rPr>
          <w:rFonts w:cs="Times New Roman"/>
          <w:color w:val="000000" w:themeColor="text1"/>
          <w:szCs w:val="24"/>
          <w:shd w:val="clear" w:color="auto" w:fill="FFFFFF"/>
        </w:rPr>
        <w:t>, Y., 2022. Systemic dynamics of policy change: Overcoming some blind spots of punctuated equilibrium theory. </w:t>
      </w:r>
      <w:r w:rsidRPr="0065281B">
        <w:rPr>
          <w:rFonts w:cs="Times New Roman"/>
          <w:i/>
          <w:iCs/>
          <w:color w:val="000000" w:themeColor="text1"/>
          <w:szCs w:val="24"/>
          <w:shd w:val="clear" w:color="auto" w:fill="FFFFFF"/>
        </w:rPr>
        <w:t>Policy Studies Journal</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50</w:t>
      </w:r>
      <w:r w:rsidRPr="0065281B">
        <w:rPr>
          <w:rFonts w:cs="Times New Roman"/>
          <w:color w:val="000000" w:themeColor="text1"/>
          <w:szCs w:val="24"/>
          <w:shd w:val="clear" w:color="auto" w:fill="FFFFFF"/>
        </w:rPr>
        <w:t>(3), pp.527-552.</w:t>
      </w:r>
    </w:p>
    <w:p w14:paraId="545C2C67"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Filtness</w:t>
      </w:r>
      <w:proofErr w:type="spellEnd"/>
      <w:r w:rsidRPr="0065281B">
        <w:rPr>
          <w:rFonts w:cs="Times New Roman"/>
          <w:color w:val="000000" w:themeColor="text1"/>
          <w:szCs w:val="24"/>
          <w:shd w:val="clear" w:color="auto" w:fill="FFFFFF"/>
        </w:rPr>
        <w:t xml:space="preserve">, A.J., </w:t>
      </w:r>
      <w:proofErr w:type="spellStart"/>
      <w:r w:rsidRPr="0065281B">
        <w:rPr>
          <w:rFonts w:cs="Times New Roman"/>
          <w:color w:val="000000" w:themeColor="text1"/>
          <w:szCs w:val="24"/>
          <w:shd w:val="clear" w:color="auto" w:fill="FFFFFF"/>
        </w:rPr>
        <w:t>Beanland</w:t>
      </w:r>
      <w:proofErr w:type="spellEnd"/>
      <w:r w:rsidRPr="0065281B">
        <w:rPr>
          <w:rFonts w:cs="Times New Roman"/>
          <w:color w:val="000000" w:themeColor="text1"/>
          <w:szCs w:val="24"/>
          <w:shd w:val="clear" w:color="auto" w:fill="FFFFFF"/>
        </w:rPr>
        <w:t>, V., Miller, K.A., Larue, G.S. and Hawkins, A., 2020. Sleep loss and change detection in simulated driving. </w:t>
      </w:r>
      <w:r w:rsidRPr="0065281B">
        <w:rPr>
          <w:rFonts w:cs="Times New Roman"/>
          <w:i/>
          <w:iCs/>
          <w:color w:val="000000" w:themeColor="text1"/>
          <w:szCs w:val="24"/>
          <w:shd w:val="clear" w:color="auto" w:fill="FFFFFF"/>
        </w:rPr>
        <w:t>Chronobiology International</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37</w:t>
      </w:r>
      <w:r w:rsidRPr="0065281B">
        <w:rPr>
          <w:rFonts w:cs="Times New Roman"/>
          <w:color w:val="000000" w:themeColor="text1"/>
          <w:szCs w:val="24"/>
          <w:shd w:val="clear" w:color="auto" w:fill="FFFFFF"/>
        </w:rPr>
        <w:t>(9-10), pp.1430-1440.</w:t>
      </w:r>
    </w:p>
    <w:p w14:paraId="545C2C68"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Flynn, E., 2021. Investigating the influence of meditation style and practitioner experience on change blindness using a flicker-paradigm.</w:t>
      </w:r>
    </w:p>
    <w:p w14:paraId="545C2C69"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Furley</w:t>
      </w:r>
      <w:proofErr w:type="spellEnd"/>
      <w:r w:rsidRPr="0065281B">
        <w:rPr>
          <w:rFonts w:cs="Times New Roman"/>
          <w:color w:val="000000" w:themeColor="text1"/>
          <w:szCs w:val="24"/>
          <w:shd w:val="clear" w:color="auto" w:fill="FFFFFF"/>
        </w:rPr>
        <w:t xml:space="preserve">, P., </w:t>
      </w:r>
      <w:proofErr w:type="spellStart"/>
      <w:r w:rsidRPr="0065281B">
        <w:rPr>
          <w:rFonts w:cs="Times New Roman"/>
          <w:color w:val="000000" w:themeColor="text1"/>
          <w:szCs w:val="24"/>
          <w:shd w:val="clear" w:color="auto" w:fill="FFFFFF"/>
        </w:rPr>
        <w:t>Memmert</w:t>
      </w:r>
      <w:proofErr w:type="spellEnd"/>
      <w:r w:rsidRPr="0065281B">
        <w:rPr>
          <w:rFonts w:cs="Times New Roman"/>
          <w:color w:val="000000" w:themeColor="text1"/>
          <w:szCs w:val="24"/>
          <w:shd w:val="clear" w:color="auto" w:fill="FFFFFF"/>
        </w:rPr>
        <w:t>, D. and Heller, C., 2010. The dark side of visual awareness in sport: Inattentional blindness in a real-world basketball task. </w:t>
      </w:r>
      <w:r w:rsidRPr="0065281B">
        <w:rPr>
          <w:rFonts w:cs="Times New Roman"/>
          <w:i/>
          <w:iCs/>
          <w:color w:val="000000" w:themeColor="text1"/>
          <w:szCs w:val="24"/>
          <w:shd w:val="clear" w:color="auto" w:fill="FFFFFF"/>
        </w:rPr>
        <w:t>Attention, Perception, &amp; Psychophysics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72</w:t>
      </w:r>
      <w:r w:rsidRPr="0065281B">
        <w:rPr>
          <w:rFonts w:cs="Times New Roman"/>
          <w:color w:val="000000" w:themeColor="text1"/>
          <w:szCs w:val="24"/>
          <w:shd w:val="clear" w:color="auto" w:fill="FFFFFF"/>
        </w:rPr>
        <w:t>, pp.1327-1337.</w:t>
      </w:r>
    </w:p>
    <w:p w14:paraId="545C2C6A"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Hinton, J., Watson, B. and Oviedo-</w:t>
      </w:r>
      <w:proofErr w:type="spellStart"/>
      <w:r w:rsidRPr="0065281B">
        <w:rPr>
          <w:rFonts w:cs="Times New Roman"/>
          <w:color w:val="000000" w:themeColor="text1"/>
          <w:szCs w:val="24"/>
          <w:shd w:val="clear" w:color="auto" w:fill="FFFFFF"/>
        </w:rPr>
        <w:t>Trespalacios</w:t>
      </w:r>
      <w:proofErr w:type="spellEnd"/>
      <w:r w:rsidRPr="0065281B">
        <w:rPr>
          <w:rFonts w:cs="Times New Roman"/>
          <w:color w:val="000000" w:themeColor="text1"/>
          <w:szCs w:val="24"/>
          <w:shd w:val="clear" w:color="auto" w:fill="FFFFFF"/>
        </w:rPr>
        <w:t>, O., 2022. A novel conceptual framework investigating the relationship between roadside advertising and road safety: the driver behaviour and roadside advertising conceptual framework. </w:t>
      </w:r>
      <w:r w:rsidRPr="0065281B">
        <w:rPr>
          <w:rFonts w:cs="Times New Roman"/>
          <w:i/>
          <w:iCs/>
          <w:color w:val="000000" w:themeColor="text1"/>
          <w:szCs w:val="24"/>
          <w:shd w:val="clear" w:color="auto" w:fill="FFFFFF"/>
        </w:rPr>
        <w:t>Transportation research part F: traffic psychology and behaviour</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85</w:t>
      </w:r>
      <w:r w:rsidRPr="0065281B">
        <w:rPr>
          <w:rFonts w:cs="Times New Roman"/>
          <w:color w:val="000000" w:themeColor="text1"/>
          <w:szCs w:val="24"/>
          <w:shd w:val="clear" w:color="auto" w:fill="FFFFFF"/>
        </w:rPr>
        <w:t>, pp.221-235.</w:t>
      </w:r>
    </w:p>
    <w:p w14:paraId="545C2C6B"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Josephs, E., Drew, T. and Wolfe, J., 2016. Shuffling your way out of change blindness. </w:t>
      </w:r>
      <w:r w:rsidRPr="0065281B">
        <w:rPr>
          <w:rFonts w:cs="Times New Roman"/>
          <w:i/>
          <w:iCs/>
          <w:color w:val="000000" w:themeColor="text1"/>
          <w:szCs w:val="24"/>
          <w:shd w:val="clear" w:color="auto" w:fill="FFFFFF"/>
        </w:rPr>
        <w:t>Psychonomic bulletin &amp; review</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23</w:t>
      </w:r>
      <w:r w:rsidRPr="0065281B">
        <w:rPr>
          <w:rFonts w:cs="Times New Roman"/>
          <w:color w:val="000000" w:themeColor="text1"/>
          <w:szCs w:val="24"/>
          <w:shd w:val="clear" w:color="auto" w:fill="FFFFFF"/>
        </w:rPr>
        <w:t>, pp.193-200.</w:t>
      </w:r>
    </w:p>
    <w:p w14:paraId="545C2C6C"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lastRenderedPageBreak/>
        <w:t>Keller, R. and Heath, A., 2020. Cognitive Biases and Errors in Radiation Therapy. </w:t>
      </w:r>
      <w:r w:rsidRPr="0065281B">
        <w:rPr>
          <w:rFonts w:cs="Times New Roman"/>
          <w:i/>
          <w:iCs/>
          <w:color w:val="000000" w:themeColor="text1"/>
          <w:szCs w:val="24"/>
          <w:shd w:val="clear" w:color="auto" w:fill="FFFFFF"/>
        </w:rPr>
        <w:t>Radiation Therapist</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29</w:t>
      </w:r>
      <w:r w:rsidRPr="0065281B">
        <w:rPr>
          <w:rFonts w:cs="Times New Roman"/>
          <w:color w:val="000000" w:themeColor="text1"/>
          <w:szCs w:val="24"/>
          <w:shd w:val="clear" w:color="auto" w:fill="FFFFFF"/>
        </w:rPr>
        <w:t>(2).</w:t>
      </w:r>
    </w:p>
    <w:p w14:paraId="545C2C6D"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Kotseruba</w:t>
      </w:r>
      <w:proofErr w:type="spellEnd"/>
      <w:r w:rsidRPr="0065281B">
        <w:rPr>
          <w:rFonts w:cs="Times New Roman"/>
          <w:color w:val="000000" w:themeColor="text1"/>
          <w:szCs w:val="24"/>
          <w:shd w:val="clear" w:color="auto" w:fill="FFFFFF"/>
        </w:rPr>
        <w:t xml:space="preserve">, I. and </w:t>
      </w:r>
      <w:proofErr w:type="spellStart"/>
      <w:r w:rsidRPr="0065281B">
        <w:rPr>
          <w:rFonts w:cs="Times New Roman"/>
          <w:color w:val="000000" w:themeColor="text1"/>
          <w:szCs w:val="24"/>
          <w:shd w:val="clear" w:color="auto" w:fill="FFFFFF"/>
        </w:rPr>
        <w:t>Tsotsos</w:t>
      </w:r>
      <w:proofErr w:type="spellEnd"/>
      <w:r w:rsidRPr="0065281B">
        <w:rPr>
          <w:rFonts w:cs="Times New Roman"/>
          <w:color w:val="000000" w:themeColor="text1"/>
          <w:szCs w:val="24"/>
          <w:shd w:val="clear" w:color="auto" w:fill="FFFFFF"/>
        </w:rPr>
        <w:t xml:space="preserve">, J.K., 2021. </w:t>
      </w:r>
      <w:proofErr w:type="spellStart"/>
      <w:r w:rsidRPr="0065281B">
        <w:rPr>
          <w:rFonts w:cs="Times New Roman"/>
          <w:color w:val="000000" w:themeColor="text1"/>
          <w:szCs w:val="24"/>
          <w:shd w:val="clear" w:color="auto" w:fill="FFFFFF"/>
        </w:rPr>
        <w:t>Behavioral</w:t>
      </w:r>
      <w:proofErr w:type="spellEnd"/>
      <w:r w:rsidRPr="0065281B">
        <w:rPr>
          <w:rFonts w:cs="Times New Roman"/>
          <w:color w:val="000000" w:themeColor="text1"/>
          <w:szCs w:val="24"/>
          <w:shd w:val="clear" w:color="auto" w:fill="FFFFFF"/>
        </w:rPr>
        <w:t xml:space="preserve"> research and practical models of drivers' attention. </w:t>
      </w:r>
      <w:proofErr w:type="spellStart"/>
      <w:r w:rsidRPr="0065281B">
        <w:rPr>
          <w:rFonts w:cs="Times New Roman"/>
          <w:i/>
          <w:iCs/>
          <w:color w:val="000000" w:themeColor="text1"/>
          <w:szCs w:val="24"/>
          <w:shd w:val="clear" w:color="auto" w:fill="FFFFFF"/>
        </w:rPr>
        <w:t>arXiv</w:t>
      </w:r>
      <w:proofErr w:type="spellEnd"/>
      <w:r w:rsidRPr="0065281B">
        <w:rPr>
          <w:rFonts w:cs="Times New Roman"/>
          <w:i/>
          <w:iCs/>
          <w:color w:val="000000" w:themeColor="text1"/>
          <w:szCs w:val="24"/>
          <w:shd w:val="clear" w:color="auto" w:fill="FFFFFF"/>
        </w:rPr>
        <w:t xml:space="preserve"> preprint arXiv:2104.05677</w:t>
      </w:r>
      <w:r w:rsidRPr="0065281B">
        <w:rPr>
          <w:rFonts w:cs="Times New Roman"/>
          <w:color w:val="000000" w:themeColor="text1"/>
          <w:szCs w:val="24"/>
          <w:shd w:val="clear" w:color="auto" w:fill="FFFFFF"/>
        </w:rPr>
        <w:t>.</w:t>
      </w:r>
    </w:p>
    <w:p w14:paraId="545C2C6E"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Marquis, A.R., Sugden, N.A. and Moulson, M.C., 2021. Detecting changes between two strangers: Insight from a classic change blindness paradigm. </w:t>
      </w:r>
      <w:r w:rsidRPr="0065281B">
        <w:rPr>
          <w:rFonts w:cs="Times New Roman"/>
          <w:i/>
          <w:iCs/>
          <w:color w:val="000000" w:themeColor="text1"/>
          <w:szCs w:val="24"/>
          <w:shd w:val="clear" w:color="auto" w:fill="FFFFFF"/>
        </w:rPr>
        <w:t>Group Processes &amp; Intergroup Relations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24</w:t>
      </w:r>
      <w:r w:rsidRPr="0065281B">
        <w:rPr>
          <w:rFonts w:cs="Times New Roman"/>
          <w:color w:val="000000" w:themeColor="text1"/>
          <w:szCs w:val="24"/>
          <w:shd w:val="clear" w:color="auto" w:fill="FFFFFF"/>
        </w:rPr>
        <w:t>(6), pp.1035-1049.</w:t>
      </w:r>
    </w:p>
    <w:p w14:paraId="545C2C6F"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Martin, D., Sun, X., Gutierrez, D. and </w:t>
      </w:r>
      <w:proofErr w:type="spellStart"/>
      <w:r w:rsidRPr="0065281B">
        <w:rPr>
          <w:rFonts w:cs="Times New Roman"/>
          <w:color w:val="000000" w:themeColor="text1"/>
          <w:szCs w:val="24"/>
          <w:shd w:val="clear" w:color="auto" w:fill="FFFFFF"/>
        </w:rPr>
        <w:t>Masia</w:t>
      </w:r>
      <w:proofErr w:type="spellEnd"/>
      <w:r w:rsidRPr="0065281B">
        <w:rPr>
          <w:rFonts w:cs="Times New Roman"/>
          <w:color w:val="000000" w:themeColor="text1"/>
          <w:szCs w:val="24"/>
          <w:shd w:val="clear" w:color="auto" w:fill="FFFFFF"/>
        </w:rPr>
        <w:t>, B., 2023. A Study of Change Blindness in Immersive Environments. </w:t>
      </w:r>
      <w:r w:rsidRPr="0065281B">
        <w:rPr>
          <w:rFonts w:cs="Times New Roman"/>
          <w:i/>
          <w:iCs/>
          <w:color w:val="000000" w:themeColor="text1"/>
          <w:szCs w:val="24"/>
          <w:shd w:val="clear" w:color="auto" w:fill="FFFFFF"/>
        </w:rPr>
        <w:t>IEEE Transactions on Visualization and Computer Graphics</w:t>
      </w:r>
      <w:r w:rsidRPr="0065281B">
        <w:rPr>
          <w:rFonts w:cs="Times New Roman"/>
          <w:color w:val="000000" w:themeColor="text1"/>
          <w:szCs w:val="24"/>
          <w:shd w:val="clear" w:color="auto" w:fill="FFFFFF"/>
        </w:rPr>
        <w:t>.</w:t>
      </w:r>
    </w:p>
    <w:p w14:paraId="545C2C70"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Morris, A., 2021. Invisible gorillas in the mind: Internal inattentional blindness and the prospect of introspection training.</w:t>
      </w:r>
    </w:p>
    <w:p w14:paraId="545C2C71"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Nadezhda, M., </w:t>
      </w:r>
      <w:proofErr w:type="spellStart"/>
      <w:r w:rsidRPr="0065281B">
        <w:rPr>
          <w:rFonts w:cs="Times New Roman"/>
          <w:color w:val="000000" w:themeColor="text1"/>
          <w:szCs w:val="24"/>
          <w:shd w:val="clear" w:color="auto" w:fill="FFFFFF"/>
        </w:rPr>
        <w:t>Dovbnyuk</w:t>
      </w:r>
      <w:proofErr w:type="spellEnd"/>
      <w:r w:rsidRPr="0065281B">
        <w:rPr>
          <w:rFonts w:cs="Times New Roman"/>
          <w:color w:val="000000" w:themeColor="text1"/>
          <w:szCs w:val="24"/>
          <w:shd w:val="clear" w:color="auto" w:fill="FFFFFF"/>
        </w:rPr>
        <w:t xml:space="preserve">, K., </w:t>
      </w:r>
      <w:proofErr w:type="spellStart"/>
      <w:r w:rsidRPr="0065281B">
        <w:rPr>
          <w:rFonts w:cs="Times New Roman"/>
          <w:color w:val="000000" w:themeColor="text1"/>
          <w:szCs w:val="24"/>
          <w:shd w:val="clear" w:color="auto" w:fill="FFFFFF"/>
        </w:rPr>
        <w:t>Merzon</w:t>
      </w:r>
      <w:proofErr w:type="spellEnd"/>
      <w:r w:rsidRPr="0065281B">
        <w:rPr>
          <w:rFonts w:cs="Times New Roman"/>
          <w:color w:val="000000" w:themeColor="text1"/>
          <w:szCs w:val="24"/>
          <w:shd w:val="clear" w:color="auto" w:fill="FFFFFF"/>
        </w:rPr>
        <w:t>, L. and MacInnes, W.J., 2022. Between the scenes: Novelty seeking beyond visual search. </w:t>
      </w:r>
      <w:r w:rsidRPr="0065281B">
        <w:rPr>
          <w:rFonts w:cs="Times New Roman"/>
          <w:i/>
          <w:iCs/>
          <w:color w:val="000000" w:themeColor="text1"/>
          <w:szCs w:val="24"/>
          <w:shd w:val="clear" w:color="auto" w:fill="FFFFFF"/>
        </w:rPr>
        <w:t>Experimental Psychology</w:t>
      </w:r>
      <w:r w:rsidRPr="0065281B">
        <w:rPr>
          <w:rFonts w:cs="Times New Roman"/>
          <w:color w:val="000000" w:themeColor="text1"/>
          <w:szCs w:val="24"/>
          <w:shd w:val="clear" w:color="auto" w:fill="FFFFFF"/>
        </w:rPr>
        <w:t>.</w:t>
      </w:r>
    </w:p>
    <w:p w14:paraId="545C2C72"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Oviedo-</w:t>
      </w:r>
      <w:proofErr w:type="spellStart"/>
      <w:r w:rsidRPr="0065281B">
        <w:rPr>
          <w:rFonts w:cs="Times New Roman"/>
          <w:color w:val="000000" w:themeColor="text1"/>
          <w:szCs w:val="24"/>
          <w:shd w:val="clear" w:color="auto" w:fill="FFFFFF"/>
        </w:rPr>
        <w:t>Trespalacios</w:t>
      </w:r>
      <w:proofErr w:type="spellEnd"/>
      <w:r w:rsidRPr="0065281B">
        <w:rPr>
          <w:rFonts w:cs="Times New Roman"/>
          <w:color w:val="000000" w:themeColor="text1"/>
          <w:szCs w:val="24"/>
          <w:shd w:val="clear" w:color="auto" w:fill="FFFFFF"/>
        </w:rPr>
        <w:t>, O., Truelove, V., Watson, B. and Hinton, J.A., 2019. The impact of road advertising signs on driver behaviour and implications for road safety: A critical systematic review. </w:t>
      </w:r>
      <w:r w:rsidRPr="0065281B">
        <w:rPr>
          <w:rFonts w:cs="Times New Roman"/>
          <w:i/>
          <w:iCs/>
          <w:color w:val="000000" w:themeColor="text1"/>
          <w:szCs w:val="24"/>
          <w:shd w:val="clear" w:color="auto" w:fill="FFFFFF"/>
        </w:rPr>
        <w:t>Transportation research part A: policy and practice</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122</w:t>
      </w:r>
      <w:r w:rsidRPr="0065281B">
        <w:rPr>
          <w:rFonts w:cs="Times New Roman"/>
          <w:color w:val="000000" w:themeColor="text1"/>
          <w:szCs w:val="24"/>
          <w:shd w:val="clear" w:color="auto" w:fill="FFFFFF"/>
        </w:rPr>
        <w:t>, pp.85-98.</w:t>
      </w:r>
    </w:p>
    <w:p w14:paraId="545C2C73"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Patras, C., </w:t>
      </w:r>
      <w:proofErr w:type="spellStart"/>
      <w:r w:rsidRPr="0065281B">
        <w:rPr>
          <w:rFonts w:cs="Times New Roman"/>
          <w:color w:val="000000" w:themeColor="text1"/>
          <w:szCs w:val="24"/>
          <w:shd w:val="clear" w:color="auto" w:fill="FFFFFF"/>
        </w:rPr>
        <w:t>Cibulskis</w:t>
      </w:r>
      <w:proofErr w:type="spellEnd"/>
      <w:r w:rsidRPr="0065281B">
        <w:rPr>
          <w:rFonts w:cs="Times New Roman"/>
          <w:color w:val="000000" w:themeColor="text1"/>
          <w:szCs w:val="24"/>
          <w:shd w:val="clear" w:color="auto" w:fill="FFFFFF"/>
        </w:rPr>
        <w:t>, M. and Nilsson, N.C., 2022, March. Body warping versus change blindness remapping: A comparison of two approaches to repurposing haptic proxies for virtual reality. In </w:t>
      </w:r>
      <w:r w:rsidRPr="0065281B">
        <w:rPr>
          <w:rFonts w:cs="Times New Roman"/>
          <w:i/>
          <w:iCs/>
          <w:color w:val="000000" w:themeColor="text1"/>
          <w:szCs w:val="24"/>
          <w:shd w:val="clear" w:color="auto" w:fill="FFFFFF"/>
        </w:rPr>
        <w:t>2022 IEEE Conference on Virtual Reality and 3D User Interfaces (VR)</w:t>
      </w:r>
      <w:r w:rsidRPr="0065281B">
        <w:rPr>
          <w:rFonts w:cs="Times New Roman"/>
          <w:color w:val="000000" w:themeColor="text1"/>
          <w:szCs w:val="24"/>
          <w:shd w:val="clear" w:color="auto" w:fill="FFFFFF"/>
        </w:rPr>
        <w:t> (pp. 205-212). IEEE.</w:t>
      </w:r>
    </w:p>
    <w:p w14:paraId="545C2C74"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Pezdek</w:t>
      </w:r>
      <w:proofErr w:type="spellEnd"/>
      <w:r w:rsidRPr="0065281B">
        <w:rPr>
          <w:rFonts w:cs="Times New Roman"/>
          <w:color w:val="000000" w:themeColor="text1"/>
          <w:szCs w:val="24"/>
          <w:shd w:val="clear" w:color="auto" w:fill="FFFFFF"/>
        </w:rPr>
        <w:t xml:space="preserve">, K. and Reisberg, D., 2022. Psychological myths about evidence in the legal system: How should researchers </w:t>
      </w:r>
      <w:proofErr w:type="gramStart"/>
      <w:r w:rsidRPr="0065281B">
        <w:rPr>
          <w:rFonts w:cs="Times New Roman"/>
          <w:color w:val="000000" w:themeColor="text1"/>
          <w:szCs w:val="24"/>
          <w:shd w:val="clear" w:color="auto" w:fill="FFFFFF"/>
        </w:rPr>
        <w:t>respond?.</w:t>
      </w:r>
      <w:proofErr w:type="gramEnd"/>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Journal of Applied Research in Memory and Cognition</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11</w:t>
      </w:r>
      <w:r w:rsidRPr="0065281B">
        <w:rPr>
          <w:rFonts w:cs="Times New Roman"/>
          <w:color w:val="000000" w:themeColor="text1"/>
          <w:szCs w:val="24"/>
          <w:shd w:val="clear" w:color="auto" w:fill="FFFFFF"/>
        </w:rPr>
        <w:t>(2), p.143.</w:t>
      </w:r>
    </w:p>
    <w:p w14:paraId="545C2C75"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Regan, M.A. and Oviedo-</w:t>
      </w:r>
      <w:proofErr w:type="spellStart"/>
      <w:r w:rsidRPr="0065281B">
        <w:rPr>
          <w:rFonts w:cs="Times New Roman"/>
          <w:color w:val="000000" w:themeColor="text1"/>
          <w:szCs w:val="24"/>
          <w:shd w:val="clear" w:color="auto" w:fill="FFFFFF"/>
        </w:rPr>
        <w:t>Trespalacios</w:t>
      </w:r>
      <w:proofErr w:type="spellEnd"/>
      <w:r w:rsidRPr="0065281B">
        <w:rPr>
          <w:rFonts w:cs="Times New Roman"/>
          <w:color w:val="000000" w:themeColor="text1"/>
          <w:szCs w:val="24"/>
          <w:shd w:val="clear" w:color="auto" w:fill="FFFFFF"/>
        </w:rPr>
        <w:t>, O., 2022. Driver Distraction: Mechanisms, Evidence, Prevention, and Mitigation. In </w:t>
      </w:r>
      <w:r w:rsidRPr="0065281B">
        <w:rPr>
          <w:rFonts w:cs="Times New Roman"/>
          <w:i/>
          <w:iCs/>
          <w:color w:val="000000" w:themeColor="text1"/>
          <w:szCs w:val="24"/>
          <w:shd w:val="clear" w:color="auto" w:fill="FFFFFF"/>
        </w:rPr>
        <w:t>The Vision Zero Handbook: Theory, Technology and Management for a Zero Casualty Policy</w:t>
      </w:r>
      <w:r w:rsidRPr="0065281B">
        <w:rPr>
          <w:rFonts w:cs="Times New Roman"/>
          <w:color w:val="000000" w:themeColor="text1"/>
          <w:szCs w:val="24"/>
          <w:shd w:val="clear" w:color="auto" w:fill="FFFFFF"/>
        </w:rPr>
        <w:t> (pp. 1-62). Cham: Springer International Publishing.</w:t>
      </w:r>
    </w:p>
    <w:p w14:paraId="545C2C76"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Riggs, S.L. and </w:t>
      </w:r>
      <w:proofErr w:type="spellStart"/>
      <w:r w:rsidRPr="0065281B">
        <w:rPr>
          <w:rFonts w:cs="Times New Roman"/>
          <w:color w:val="000000" w:themeColor="text1"/>
          <w:szCs w:val="24"/>
          <w:shd w:val="clear" w:color="auto" w:fill="FFFFFF"/>
        </w:rPr>
        <w:t>Sarter</w:t>
      </w:r>
      <w:proofErr w:type="spellEnd"/>
      <w:r w:rsidRPr="0065281B">
        <w:rPr>
          <w:rFonts w:cs="Times New Roman"/>
          <w:color w:val="000000" w:themeColor="text1"/>
          <w:szCs w:val="24"/>
          <w:shd w:val="clear" w:color="auto" w:fill="FFFFFF"/>
        </w:rPr>
        <w:t xml:space="preserve">, N., 2019. Tactile, visual, and </w:t>
      </w:r>
      <w:proofErr w:type="spellStart"/>
      <w:r w:rsidRPr="0065281B">
        <w:rPr>
          <w:rFonts w:cs="Times New Roman"/>
          <w:color w:val="000000" w:themeColor="text1"/>
          <w:szCs w:val="24"/>
          <w:shd w:val="clear" w:color="auto" w:fill="FFFFFF"/>
        </w:rPr>
        <w:t>crossmodal</w:t>
      </w:r>
      <w:proofErr w:type="spellEnd"/>
      <w:r w:rsidRPr="0065281B">
        <w:rPr>
          <w:rFonts w:cs="Times New Roman"/>
          <w:color w:val="000000" w:themeColor="text1"/>
          <w:szCs w:val="24"/>
          <w:shd w:val="clear" w:color="auto" w:fill="FFFFFF"/>
        </w:rPr>
        <w:t xml:space="preserve"> visual-tactile change blindness: the effect of transient type and task demands. </w:t>
      </w:r>
      <w:r w:rsidRPr="0065281B">
        <w:rPr>
          <w:rFonts w:cs="Times New Roman"/>
          <w:i/>
          <w:iCs/>
          <w:color w:val="000000" w:themeColor="text1"/>
          <w:szCs w:val="24"/>
          <w:shd w:val="clear" w:color="auto" w:fill="FFFFFF"/>
        </w:rPr>
        <w:t>Human Factors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61</w:t>
      </w:r>
      <w:r w:rsidRPr="0065281B">
        <w:rPr>
          <w:rFonts w:cs="Times New Roman"/>
          <w:color w:val="000000" w:themeColor="text1"/>
          <w:szCs w:val="24"/>
          <w:shd w:val="clear" w:color="auto" w:fill="FFFFFF"/>
        </w:rPr>
        <w:t>(1), pp.5-24.</w:t>
      </w:r>
    </w:p>
    <w:p w14:paraId="545C2C77"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Smith, </w:t>
      </w:r>
      <w:proofErr w:type="gramStart"/>
      <w:r w:rsidRPr="0065281B">
        <w:rPr>
          <w:rFonts w:cs="Times New Roman"/>
          <w:color w:val="000000" w:themeColor="text1"/>
          <w:szCs w:val="24"/>
          <w:shd w:val="clear" w:color="auto" w:fill="FFFFFF"/>
        </w:rPr>
        <w:t>T.J.</w:t>
      </w:r>
      <w:proofErr w:type="gramEnd"/>
      <w:r w:rsidRPr="0065281B">
        <w:rPr>
          <w:rFonts w:cs="Times New Roman"/>
          <w:color w:val="000000" w:themeColor="text1"/>
          <w:szCs w:val="24"/>
          <w:shd w:val="clear" w:color="auto" w:fill="FFFFFF"/>
        </w:rPr>
        <w:t xml:space="preserve"> and Henderson, J.M., 2008. Edit Blindness: The relationship between attention and global change blindness in dynamic scenes. </w:t>
      </w:r>
      <w:r w:rsidRPr="0065281B">
        <w:rPr>
          <w:rFonts w:cs="Times New Roman"/>
          <w:i/>
          <w:iCs/>
          <w:color w:val="000000" w:themeColor="text1"/>
          <w:szCs w:val="24"/>
          <w:shd w:val="clear" w:color="auto" w:fill="FFFFFF"/>
        </w:rPr>
        <w:t>Journal of eye movement research</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2</w:t>
      </w:r>
      <w:r w:rsidRPr="0065281B">
        <w:rPr>
          <w:rFonts w:cs="Times New Roman"/>
          <w:color w:val="000000" w:themeColor="text1"/>
          <w:szCs w:val="24"/>
          <w:shd w:val="clear" w:color="auto" w:fill="FFFFFF"/>
        </w:rPr>
        <w:t>(2).</w:t>
      </w:r>
    </w:p>
    <w:p w14:paraId="545C2C78"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lastRenderedPageBreak/>
        <w:t xml:space="preserve">Spaak, E., </w:t>
      </w:r>
      <w:proofErr w:type="spellStart"/>
      <w:r w:rsidRPr="0065281B">
        <w:rPr>
          <w:rFonts w:cs="Times New Roman"/>
          <w:color w:val="000000" w:themeColor="text1"/>
          <w:szCs w:val="24"/>
          <w:shd w:val="clear" w:color="auto" w:fill="FFFFFF"/>
        </w:rPr>
        <w:t>Peelen</w:t>
      </w:r>
      <w:proofErr w:type="spellEnd"/>
      <w:r w:rsidRPr="0065281B">
        <w:rPr>
          <w:rFonts w:cs="Times New Roman"/>
          <w:color w:val="000000" w:themeColor="text1"/>
          <w:szCs w:val="24"/>
          <w:shd w:val="clear" w:color="auto" w:fill="FFFFFF"/>
        </w:rPr>
        <w:t>, M.V. and de Lange, F.P., 2022. Scene context impairs perception of semantically congruent objects. </w:t>
      </w:r>
      <w:r w:rsidRPr="0065281B">
        <w:rPr>
          <w:rFonts w:cs="Times New Roman"/>
          <w:i/>
          <w:iCs/>
          <w:color w:val="000000" w:themeColor="text1"/>
          <w:szCs w:val="24"/>
          <w:shd w:val="clear" w:color="auto" w:fill="FFFFFF"/>
        </w:rPr>
        <w:t>Psychological Science</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33</w:t>
      </w:r>
      <w:r w:rsidRPr="0065281B">
        <w:rPr>
          <w:rFonts w:cs="Times New Roman"/>
          <w:color w:val="000000" w:themeColor="text1"/>
          <w:szCs w:val="24"/>
          <w:shd w:val="clear" w:color="auto" w:fill="FFFFFF"/>
        </w:rPr>
        <w:t>(2), pp.299-313.</w:t>
      </w:r>
    </w:p>
    <w:p w14:paraId="545C2C79"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 xml:space="preserve">Swan, G., Xu, J., </w:t>
      </w:r>
      <w:proofErr w:type="spellStart"/>
      <w:r w:rsidRPr="0065281B">
        <w:rPr>
          <w:rFonts w:cs="Times New Roman"/>
          <w:color w:val="000000" w:themeColor="text1"/>
          <w:szCs w:val="24"/>
          <w:shd w:val="clear" w:color="auto" w:fill="FFFFFF"/>
        </w:rPr>
        <w:t>Baliutaviciute</w:t>
      </w:r>
      <w:proofErr w:type="spellEnd"/>
      <w:r w:rsidRPr="0065281B">
        <w:rPr>
          <w:rFonts w:cs="Times New Roman"/>
          <w:color w:val="000000" w:themeColor="text1"/>
          <w:szCs w:val="24"/>
          <w:shd w:val="clear" w:color="auto" w:fill="FFFFFF"/>
        </w:rPr>
        <w:t>, V. and Bowers, A., 2022. Change blindness in simulated driving in individuals with homonymous visual field loss. </w:t>
      </w:r>
      <w:r w:rsidRPr="0065281B">
        <w:rPr>
          <w:rFonts w:cs="Times New Roman"/>
          <w:i/>
          <w:iCs/>
          <w:color w:val="000000" w:themeColor="text1"/>
          <w:szCs w:val="24"/>
          <w:shd w:val="clear" w:color="auto" w:fill="FFFFFF"/>
        </w:rPr>
        <w:t>Cognitive research: principles and implications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7</w:t>
      </w:r>
      <w:r w:rsidRPr="0065281B">
        <w:rPr>
          <w:rFonts w:cs="Times New Roman"/>
          <w:color w:val="000000" w:themeColor="text1"/>
          <w:szCs w:val="24"/>
          <w:shd w:val="clear" w:color="auto" w:fill="FFFFFF"/>
        </w:rPr>
        <w:t>(1), p.44.</w:t>
      </w:r>
    </w:p>
    <w:p w14:paraId="545C2C7A"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Tominski</w:t>
      </w:r>
      <w:proofErr w:type="spellEnd"/>
      <w:r w:rsidRPr="0065281B">
        <w:rPr>
          <w:rFonts w:cs="Times New Roman"/>
          <w:color w:val="000000" w:themeColor="text1"/>
          <w:szCs w:val="24"/>
          <w:shd w:val="clear" w:color="auto" w:fill="FFFFFF"/>
        </w:rPr>
        <w:t xml:space="preserve">, C., </w:t>
      </w:r>
      <w:proofErr w:type="spellStart"/>
      <w:r w:rsidRPr="0065281B">
        <w:rPr>
          <w:rFonts w:cs="Times New Roman"/>
          <w:color w:val="000000" w:themeColor="text1"/>
          <w:szCs w:val="24"/>
          <w:shd w:val="clear" w:color="auto" w:fill="FFFFFF"/>
        </w:rPr>
        <w:t>Andrienko</w:t>
      </w:r>
      <w:proofErr w:type="spellEnd"/>
      <w:r w:rsidRPr="0065281B">
        <w:rPr>
          <w:rFonts w:cs="Times New Roman"/>
          <w:color w:val="000000" w:themeColor="text1"/>
          <w:szCs w:val="24"/>
          <w:shd w:val="clear" w:color="auto" w:fill="FFFFFF"/>
        </w:rPr>
        <w:t xml:space="preserve">, G., </w:t>
      </w:r>
      <w:proofErr w:type="spellStart"/>
      <w:r w:rsidRPr="0065281B">
        <w:rPr>
          <w:rFonts w:cs="Times New Roman"/>
          <w:color w:val="000000" w:themeColor="text1"/>
          <w:szCs w:val="24"/>
          <w:shd w:val="clear" w:color="auto" w:fill="FFFFFF"/>
        </w:rPr>
        <w:t>Andrienko</w:t>
      </w:r>
      <w:proofErr w:type="spellEnd"/>
      <w:r w:rsidRPr="0065281B">
        <w:rPr>
          <w:rFonts w:cs="Times New Roman"/>
          <w:color w:val="000000" w:themeColor="text1"/>
          <w:szCs w:val="24"/>
          <w:shd w:val="clear" w:color="auto" w:fill="FFFFFF"/>
        </w:rPr>
        <w:t xml:space="preserve">, N., </w:t>
      </w:r>
      <w:proofErr w:type="spellStart"/>
      <w:r w:rsidRPr="0065281B">
        <w:rPr>
          <w:rFonts w:cs="Times New Roman"/>
          <w:color w:val="000000" w:themeColor="text1"/>
          <w:szCs w:val="24"/>
          <w:shd w:val="clear" w:color="auto" w:fill="FFFFFF"/>
        </w:rPr>
        <w:t>Bleisch</w:t>
      </w:r>
      <w:proofErr w:type="spellEnd"/>
      <w:r w:rsidRPr="0065281B">
        <w:rPr>
          <w:rFonts w:cs="Times New Roman"/>
          <w:color w:val="000000" w:themeColor="text1"/>
          <w:szCs w:val="24"/>
          <w:shd w:val="clear" w:color="auto" w:fill="FFFFFF"/>
        </w:rPr>
        <w:t xml:space="preserve">, S., Fabrikant, S.I., Mayr, E., </w:t>
      </w:r>
      <w:proofErr w:type="spellStart"/>
      <w:r w:rsidRPr="0065281B">
        <w:rPr>
          <w:rFonts w:cs="Times New Roman"/>
          <w:color w:val="000000" w:themeColor="text1"/>
          <w:szCs w:val="24"/>
          <w:shd w:val="clear" w:color="auto" w:fill="FFFFFF"/>
        </w:rPr>
        <w:t>Miksch</w:t>
      </w:r>
      <w:proofErr w:type="spellEnd"/>
      <w:r w:rsidRPr="0065281B">
        <w:rPr>
          <w:rFonts w:cs="Times New Roman"/>
          <w:color w:val="000000" w:themeColor="text1"/>
          <w:szCs w:val="24"/>
          <w:shd w:val="clear" w:color="auto" w:fill="FFFFFF"/>
        </w:rPr>
        <w:t xml:space="preserve">, S., Pohl, M. and </w:t>
      </w:r>
      <w:proofErr w:type="spellStart"/>
      <w:r w:rsidRPr="0065281B">
        <w:rPr>
          <w:rFonts w:cs="Times New Roman"/>
          <w:color w:val="000000" w:themeColor="text1"/>
          <w:szCs w:val="24"/>
          <w:shd w:val="clear" w:color="auto" w:fill="FFFFFF"/>
        </w:rPr>
        <w:t>Skupin</w:t>
      </w:r>
      <w:proofErr w:type="spellEnd"/>
      <w:r w:rsidRPr="0065281B">
        <w:rPr>
          <w:rFonts w:cs="Times New Roman"/>
          <w:color w:val="000000" w:themeColor="text1"/>
          <w:szCs w:val="24"/>
          <w:shd w:val="clear" w:color="auto" w:fill="FFFFFF"/>
        </w:rPr>
        <w:t>, A., 2021. Toward flexible visual analytics augmented through smooth display transitions. </w:t>
      </w:r>
      <w:r w:rsidRPr="0065281B">
        <w:rPr>
          <w:rFonts w:cs="Times New Roman"/>
          <w:i/>
          <w:iCs/>
          <w:color w:val="000000" w:themeColor="text1"/>
          <w:szCs w:val="24"/>
          <w:shd w:val="clear" w:color="auto" w:fill="FFFFFF"/>
        </w:rPr>
        <w:t>Visual Informatics</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5</w:t>
      </w:r>
      <w:r w:rsidRPr="0065281B">
        <w:rPr>
          <w:rFonts w:cs="Times New Roman"/>
          <w:color w:val="000000" w:themeColor="text1"/>
          <w:szCs w:val="24"/>
          <w:shd w:val="clear" w:color="auto" w:fill="FFFFFF"/>
        </w:rPr>
        <w:t>(3), pp.28-38.</w:t>
      </w:r>
    </w:p>
    <w:p w14:paraId="545C2C7B" w14:textId="77777777" w:rsidR="00035279" w:rsidRPr="0065281B" w:rsidRDefault="00035279" w:rsidP="00035279">
      <w:pPr>
        <w:ind w:left="720" w:hanging="720"/>
        <w:rPr>
          <w:rFonts w:cs="Times New Roman"/>
          <w:color w:val="000000" w:themeColor="text1"/>
          <w:szCs w:val="24"/>
          <w:shd w:val="clear" w:color="auto" w:fill="FFFFFF"/>
        </w:rPr>
      </w:pPr>
      <w:proofErr w:type="spellStart"/>
      <w:r w:rsidRPr="0065281B">
        <w:rPr>
          <w:rFonts w:cs="Times New Roman"/>
          <w:color w:val="000000" w:themeColor="text1"/>
          <w:szCs w:val="24"/>
          <w:shd w:val="clear" w:color="auto" w:fill="FFFFFF"/>
        </w:rPr>
        <w:t>Vanderhaegen</w:t>
      </w:r>
      <w:proofErr w:type="spellEnd"/>
      <w:r w:rsidRPr="0065281B">
        <w:rPr>
          <w:rFonts w:cs="Times New Roman"/>
          <w:color w:val="000000" w:themeColor="text1"/>
          <w:szCs w:val="24"/>
          <w:shd w:val="clear" w:color="auto" w:fill="FFFFFF"/>
        </w:rPr>
        <w:t xml:space="preserve">, F., Wolff, M. and </w:t>
      </w:r>
      <w:proofErr w:type="spellStart"/>
      <w:r w:rsidRPr="0065281B">
        <w:rPr>
          <w:rFonts w:cs="Times New Roman"/>
          <w:color w:val="000000" w:themeColor="text1"/>
          <w:szCs w:val="24"/>
          <w:shd w:val="clear" w:color="auto" w:fill="FFFFFF"/>
        </w:rPr>
        <w:t>Mollard</w:t>
      </w:r>
      <w:proofErr w:type="spellEnd"/>
      <w:r w:rsidRPr="0065281B">
        <w:rPr>
          <w:rFonts w:cs="Times New Roman"/>
          <w:color w:val="000000" w:themeColor="text1"/>
          <w:szCs w:val="24"/>
          <w:shd w:val="clear" w:color="auto" w:fill="FFFFFF"/>
        </w:rPr>
        <w:t>, R., 2020. Non-conscious errors in the control of dynamic events synchronized with heartbeats: a new challenge for human reliability study. </w:t>
      </w:r>
      <w:r w:rsidRPr="0065281B">
        <w:rPr>
          <w:rFonts w:cs="Times New Roman"/>
          <w:i/>
          <w:iCs/>
          <w:color w:val="000000" w:themeColor="text1"/>
          <w:szCs w:val="24"/>
          <w:shd w:val="clear" w:color="auto" w:fill="FFFFFF"/>
        </w:rPr>
        <w:t>Safety Science</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129</w:t>
      </w:r>
      <w:r w:rsidRPr="0065281B">
        <w:rPr>
          <w:rFonts w:cs="Times New Roman"/>
          <w:color w:val="000000" w:themeColor="text1"/>
          <w:szCs w:val="24"/>
          <w:shd w:val="clear" w:color="auto" w:fill="FFFFFF"/>
        </w:rPr>
        <w:t>, p.104814.</w:t>
      </w:r>
    </w:p>
    <w:p w14:paraId="545C2C7C"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Wang, Y., Wu, Y., Chen, C., Wu, B., Ma, S., Wang, D., Li, H. and Yang, Z., 2022. Inattentional blindness in augmented reality head-up display-assisted driving. </w:t>
      </w:r>
      <w:r w:rsidRPr="0065281B">
        <w:rPr>
          <w:rFonts w:cs="Times New Roman"/>
          <w:i/>
          <w:iCs/>
          <w:color w:val="000000" w:themeColor="text1"/>
          <w:szCs w:val="24"/>
          <w:shd w:val="clear" w:color="auto" w:fill="FFFFFF"/>
        </w:rPr>
        <w:t>International Journal of Human–Computer Interaction</w:t>
      </w:r>
      <w:r w:rsidRPr="0065281B">
        <w:rPr>
          <w:rFonts w:cs="Times New Roman"/>
          <w:color w:val="000000" w:themeColor="text1"/>
          <w:szCs w:val="24"/>
          <w:shd w:val="clear" w:color="auto" w:fill="FFFFFF"/>
        </w:rPr>
        <w:t>, </w:t>
      </w:r>
      <w:r w:rsidRPr="0065281B">
        <w:rPr>
          <w:rFonts w:cs="Times New Roman"/>
          <w:i/>
          <w:iCs/>
          <w:color w:val="000000" w:themeColor="text1"/>
          <w:szCs w:val="24"/>
          <w:shd w:val="clear" w:color="auto" w:fill="FFFFFF"/>
        </w:rPr>
        <w:t>38</w:t>
      </w:r>
      <w:r w:rsidRPr="0065281B">
        <w:rPr>
          <w:rFonts w:cs="Times New Roman"/>
          <w:color w:val="000000" w:themeColor="text1"/>
          <w:szCs w:val="24"/>
          <w:shd w:val="clear" w:color="auto" w:fill="FFFFFF"/>
        </w:rPr>
        <w:t>(9), pp.837-850.</w:t>
      </w:r>
    </w:p>
    <w:p w14:paraId="545C2C7D" w14:textId="77777777" w:rsidR="00035279" w:rsidRPr="0065281B" w:rsidRDefault="00035279" w:rsidP="00035279">
      <w:pPr>
        <w:ind w:left="720" w:hanging="720"/>
        <w:rPr>
          <w:rFonts w:cs="Times New Roman"/>
          <w:color w:val="000000" w:themeColor="text1"/>
          <w:szCs w:val="24"/>
          <w:shd w:val="clear" w:color="auto" w:fill="FFFFFF"/>
        </w:rPr>
      </w:pPr>
      <w:r w:rsidRPr="0065281B">
        <w:rPr>
          <w:rFonts w:cs="Times New Roman"/>
          <w:color w:val="000000" w:themeColor="text1"/>
          <w:szCs w:val="24"/>
          <w:shd w:val="clear" w:color="auto" w:fill="FFFFFF"/>
        </w:rPr>
        <w:t>Xu, Q., 2021. Change detection in the surrounding world: evidence from visual and somatosensory brain responses. </w:t>
      </w:r>
      <w:r w:rsidRPr="0065281B">
        <w:rPr>
          <w:rFonts w:cs="Times New Roman"/>
          <w:i/>
          <w:iCs/>
          <w:color w:val="000000" w:themeColor="text1"/>
          <w:szCs w:val="24"/>
          <w:shd w:val="clear" w:color="auto" w:fill="FFFFFF"/>
        </w:rPr>
        <w:t>JYU dissertations</w:t>
      </w:r>
      <w:r w:rsidRPr="0065281B">
        <w:rPr>
          <w:rFonts w:cs="Times New Roman"/>
          <w:color w:val="000000" w:themeColor="text1"/>
          <w:szCs w:val="24"/>
          <w:shd w:val="clear" w:color="auto" w:fill="FFFFFF"/>
        </w:rPr>
        <w:t>.</w:t>
      </w:r>
    </w:p>
    <w:p w14:paraId="545C2C7E" w14:textId="77777777" w:rsidR="00F234CE" w:rsidRPr="0065281B" w:rsidRDefault="00F234CE" w:rsidP="00F234CE">
      <w:pPr>
        <w:ind w:firstLine="0"/>
        <w:rPr>
          <w:b/>
          <w:color w:val="000000" w:themeColor="text1"/>
        </w:rPr>
      </w:pPr>
    </w:p>
    <w:p w14:paraId="545C2C7F" w14:textId="77777777" w:rsidR="003336EA" w:rsidRPr="0065281B" w:rsidRDefault="003336EA" w:rsidP="003336EA">
      <w:pPr>
        <w:rPr>
          <w:color w:val="000000" w:themeColor="text1"/>
        </w:rPr>
      </w:pPr>
    </w:p>
    <w:p w14:paraId="545C2C80" w14:textId="77777777" w:rsidR="000C5D0B" w:rsidRPr="0065281B" w:rsidRDefault="000C5D0B" w:rsidP="000C5D0B">
      <w:pPr>
        <w:rPr>
          <w:color w:val="000000" w:themeColor="text1"/>
        </w:rPr>
      </w:pPr>
    </w:p>
    <w:sectPr w:rsidR="000C5D0B" w:rsidRPr="0065281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11A66" w14:textId="77777777" w:rsidR="00E02B4E" w:rsidRDefault="00E02B4E" w:rsidP="005645F2">
      <w:pPr>
        <w:spacing w:line="240" w:lineRule="auto"/>
      </w:pPr>
      <w:r>
        <w:separator/>
      </w:r>
    </w:p>
  </w:endnote>
  <w:endnote w:type="continuationSeparator" w:id="0">
    <w:p w14:paraId="79A2E0B5" w14:textId="77777777" w:rsidR="00E02B4E" w:rsidRDefault="00E02B4E" w:rsidP="005645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2BC62" w14:textId="77777777" w:rsidR="00E02B4E" w:rsidRDefault="00E02B4E" w:rsidP="005645F2">
      <w:pPr>
        <w:spacing w:line="240" w:lineRule="auto"/>
      </w:pPr>
      <w:r>
        <w:separator/>
      </w:r>
    </w:p>
  </w:footnote>
  <w:footnote w:type="continuationSeparator" w:id="0">
    <w:p w14:paraId="6EF1162B" w14:textId="77777777" w:rsidR="00E02B4E" w:rsidRDefault="00E02B4E" w:rsidP="005645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7498422"/>
      <w:docPartObj>
        <w:docPartGallery w:val="Page Numbers (Top of Page)"/>
        <w:docPartUnique/>
      </w:docPartObj>
    </w:sdtPr>
    <w:sdtEndPr>
      <w:rPr>
        <w:noProof/>
      </w:rPr>
    </w:sdtEndPr>
    <w:sdtContent>
      <w:p w14:paraId="545C2C85" w14:textId="77777777" w:rsidR="00F015C9" w:rsidRDefault="00F015C9">
        <w:pPr>
          <w:pStyle w:val="Header"/>
          <w:jc w:val="right"/>
        </w:pPr>
        <w:r>
          <w:fldChar w:fldCharType="begin"/>
        </w:r>
        <w:r>
          <w:instrText xml:space="preserve"> PAGE   \* MERGEFORMAT </w:instrText>
        </w:r>
        <w:r>
          <w:fldChar w:fldCharType="separate"/>
        </w:r>
        <w:r w:rsidR="0065281B">
          <w:rPr>
            <w:noProof/>
          </w:rPr>
          <w:t>2</w:t>
        </w:r>
        <w:r>
          <w:rPr>
            <w:noProof/>
          </w:rPr>
          <w:fldChar w:fldCharType="end"/>
        </w:r>
      </w:p>
    </w:sdtContent>
  </w:sdt>
  <w:p w14:paraId="545C2C86" w14:textId="77777777" w:rsidR="005645F2" w:rsidRDefault="005645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zMbY0NTUxtrA0NDNQ0lEKTi0uzszPAykwqgUAoQ9NaSwAAAA="/>
  </w:docVars>
  <w:rsids>
    <w:rsidRoot w:val="000F0AF0"/>
    <w:rsid w:val="00007297"/>
    <w:rsid w:val="00027D26"/>
    <w:rsid w:val="00035279"/>
    <w:rsid w:val="0005300B"/>
    <w:rsid w:val="00086AF7"/>
    <w:rsid w:val="000C5D0B"/>
    <w:rsid w:val="000F0AF0"/>
    <w:rsid w:val="001B77DD"/>
    <w:rsid w:val="001F2AB4"/>
    <w:rsid w:val="00214540"/>
    <w:rsid w:val="00236236"/>
    <w:rsid w:val="0024570D"/>
    <w:rsid w:val="00287A54"/>
    <w:rsid w:val="002E0EC9"/>
    <w:rsid w:val="002E4C3D"/>
    <w:rsid w:val="002F7735"/>
    <w:rsid w:val="00307252"/>
    <w:rsid w:val="003336EA"/>
    <w:rsid w:val="004D5A05"/>
    <w:rsid w:val="004E2719"/>
    <w:rsid w:val="005504BF"/>
    <w:rsid w:val="005645F2"/>
    <w:rsid w:val="00590A28"/>
    <w:rsid w:val="005D1B7A"/>
    <w:rsid w:val="005E6B89"/>
    <w:rsid w:val="00647D33"/>
    <w:rsid w:val="0065281B"/>
    <w:rsid w:val="006C6A50"/>
    <w:rsid w:val="006E2BA2"/>
    <w:rsid w:val="0071548C"/>
    <w:rsid w:val="00794D18"/>
    <w:rsid w:val="00795514"/>
    <w:rsid w:val="007C449E"/>
    <w:rsid w:val="007E3C21"/>
    <w:rsid w:val="007F0C9C"/>
    <w:rsid w:val="007F5FC4"/>
    <w:rsid w:val="008145E3"/>
    <w:rsid w:val="008255E5"/>
    <w:rsid w:val="008321C1"/>
    <w:rsid w:val="00863379"/>
    <w:rsid w:val="008E2C27"/>
    <w:rsid w:val="008E4ADA"/>
    <w:rsid w:val="00932DF3"/>
    <w:rsid w:val="00965BC5"/>
    <w:rsid w:val="00996414"/>
    <w:rsid w:val="009A594A"/>
    <w:rsid w:val="009C3E7A"/>
    <w:rsid w:val="009C5D14"/>
    <w:rsid w:val="00A210A9"/>
    <w:rsid w:val="00A41A25"/>
    <w:rsid w:val="00A817B0"/>
    <w:rsid w:val="00B01FDC"/>
    <w:rsid w:val="00B22B58"/>
    <w:rsid w:val="00B77B8C"/>
    <w:rsid w:val="00C05240"/>
    <w:rsid w:val="00C72654"/>
    <w:rsid w:val="00CB6E94"/>
    <w:rsid w:val="00D33EDB"/>
    <w:rsid w:val="00D72ED9"/>
    <w:rsid w:val="00DB24E3"/>
    <w:rsid w:val="00DC6E91"/>
    <w:rsid w:val="00DD37A3"/>
    <w:rsid w:val="00DF780F"/>
    <w:rsid w:val="00E01233"/>
    <w:rsid w:val="00E02B4E"/>
    <w:rsid w:val="00E13C81"/>
    <w:rsid w:val="00E26951"/>
    <w:rsid w:val="00E43098"/>
    <w:rsid w:val="00E57D80"/>
    <w:rsid w:val="00E9545C"/>
    <w:rsid w:val="00EC6BC3"/>
    <w:rsid w:val="00F015C9"/>
    <w:rsid w:val="00F234CE"/>
    <w:rsid w:val="00F32574"/>
    <w:rsid w:val="00F47C08"/>
    <w:rsid w:val="00F77590"/>
    <w:rsid w:val="00FA2CF1"/>
    <w:rsid w:val="00FD5FB9"/>
    <w:rsid w:val="00FE095D"/>
    <w:rsid w:val="00FE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C2C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B8C"/>
    <w:pPr>
      <w:spacing w:after="0"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14540"/>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540"/>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Header">
    <w:name w:val="header"/>
    <w:basedOn w:val="Normal"/>
    <w:link w:val="HeaderChar"/>
    <w:uiPriority w:val="99"/>
    <w:unhideWhenUsed/>
    <w:rsid w:val="005645F2"/>
    <w:pPr>
      <w:tabs>
        <w:tab w:val="center" w:pos="4680"/>
        <w:tab w:val="right" w:pos="9360"/>
      </w:tabs>
      <w:spacing w:line="240" w:lineRule="auto"/>
    </w:pPr>
  </w:style>
  <w:style w:type="character" w:customStyle="1" w:styleId="HeaderChar">
    <w:name w:val="Header Char"/>
    <w:basedOn w:val="DefaultParagraphFont"/>
    <w:link w:val="Header"/>
    <w:uiPriority w:val="99"/>
    <w:rsid w:val="005645F2"/>
    <w:rPr>
      <w:rFonts w:ascii="Times New Roman" w:hAnsi="Times New Roman"/>
      <w:sz w:val="24"/>
      <w:lang w:val="en-GB"/>
    </w:rPr>
  </w:style>
  <w:style w:type="paragraph" w:styleId="Footer">
    <w:name w:val="footer"/>
    <w:basedOn w:val="Normal"/>
    <w:link w:val="FooterChar"/>
    <w:uiPriority w:val="99"/>
    <w:unhideWhenUsed/>
    <w:rsid w:val="005645F2"/>
    <w:pPr>
      <w:tabs>
        <w:tab w:val="center" w:pos="4680"/>
        <w:tab w:val="right" w:pos="9360"/>
      </w:tabs>
      <w:spacing w:line="240" w:lineRule="auto"/>
    </w:pPr>
  </w:style>
  <w:style w:type="character" w:customStyle="1" w:styleId="FooterChar">
    <w:name w:val="Footer Char"/>
    <w:basedOn w:val="DefaultParagraphFont"/>
    <w:link w:val="Footer"/>
    <w:uiPriority w:val="99"/>
    <w:rsid w:val="005645F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3103</Words>
  <Characters>17689</Characters>
  <Application>Microsoft Office Word</Application>
  <DocSecurity>0</DocSecurity>
  <Lines>147</Lines>
  <Paragraphs>41</Paragraphs>
  <ScaleCrop>false</ScaleCrop>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2023-03-07T07:30:00Z</dcterms:created>
  <dcterms:modified xsi:type="dcterms:W3CDTF">2023-03-07T21:16:00Z</dcterms:modified>
</cp:coreProperties>
</file>