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1C0C0" w14:textId="77777777" w:rsidR="007A0708" w:rsidRDefault="00F80ACD">
      <w:pPr>
        <w:pStyle w:val="Normal1"/>
        <w:jc w:val="center"/>
        <w:rPr>
          <w:rFonts w:eastAsia="Times New Roman" w:cs="Times New Roman"/>
          <w:b/>
          <w:sz w:val="32"/>
          <w:szCs w:val="32"/>
        </w:rPr>
      </w:pPr>
      <w:r>
        <w:rPr>
          <w:rFonts w:eastAsia="Times New Roman" w:cs="Times New Roman"/>
          <w:b/>
          <w:sz w:val="32"/>
          <w:szCs w:val="32"/>
        </w:rPr>
        <w:t>Community Engagement</w:t>
      </w:r>
    </w:p>
    <w:p w14:paraId="2DCC3CC0" w14:textId="67578C51" w:rsidR="007A0708" w:rsidRPr="00A94523" w:rsidRDefault="00F80ACD">
      <w:pPr>
        <w:pStyle w:val="Normal1"/>
        <w:jc w:val="center"/>
        <w:rPr>
          <w:rFonts w:eastAsia="Times New Roman" w:cs="Times New Roman"/>
          <w:bCs/>
          <w:szCs w:val="24"/>
        </w:rPr>
      </w:pPr>
      <w:r w:rsidRPr="00A94523">
        <w:rPr>
          <w:rFonts w:eastAsia="Times New Roman" w:cs="Times New Roman"/>
          <w:bCs/>
          <w:szCs w:val="24"/>
        </w:rPr>
        <w:t>Student Name:</w:t>
      </w:r>
      <w:r w:rsidR="00FF3957">
        <w:rPr>
          <w:rFonts w:eastAsia="Times New Roman" w:cs="Times New Roman"/>
          <w:bCs/>
          <w:szCs w:val="24"/>
        </w:rPr>
        <w:t>Sergiu Ciorici</w:t>
      </w:r>
    </w:p>
    <w:p w14:paraId="0F4351AB" w14:textId="2A69205F" w:rsidR="007A0708" w:rsidRPr="00A94523" w:rsidRDefault="00F80ACD">
      <w:pPr>
        <w:pStyle w:val="Normal1"/>
        <w:jc w:val="center"/>
        <w:rPr>
          <w:rFonts w:eastAsia="Times New Roman" w:cs="Times New Roman"/>
          <w:bCs/>
          <w:szCs w:val="24"/>
        </w:rPr>
      </w:pPr>
      <w:r w:rsidRPr="00A94523">
        <w:rPr>
          <w:rFonts w:eastAsia="Times New Roman" w:cs="Times New Roman"/>
          <w:bCs/>
          <w:szCs w:val="24"/>
        </w:rPr>
        <w:t>Student ID:</w:t>
      </w:r>
      <w:r w:rsidR="00FF3957">
        <w:rPr>
          <w:rFonts w:eastAsia="Times New Roman" w:cs="Times New Roman"/>
          <w:bCs/>
          <w:szCs w:val="24"/>
        </w:rPr>
        <w:t>211</w:t>
      </w:r>
      <w:r w:rsidR="00085218">
        <w:rPr>
          <w:rFonts w:eastAsia="Times New Roman" w:cs="Times New Roman"/>
          <w:bCs/>
          <w:szCs w:val="24"/>
        </w:rPr>
        <w:t>2322</w:t>
      </w:r>
    </w:p>
    <w:p w14:paraId="24A0BE47" w14:textId="56BA7BBF" w:rsidR="007A0708" w:rsidRPr="00A94523" w:rsidRDefault="00F80ACD">
      <w:pPr>
        <w:pStyle w:val="Normal1"/>
        <w:jc w:val="center"/>
        <w:rPr>
          <w:rFonts w:eastAsia="Times New Roman" w:cs="Times New Roman"/>
          <w:bCs/>
          <w:szCs w:val="24"/>
        </w:rPr>
      </w:pPr>
      <w:r w:rsidRPr="00A94523">
        <w:rPr>
          <w:rFonts w:eastAsia="Times New Roman" w:cs="Times New Roman"/>
          <w:bCs/>
          <w:szCs w:val="24"/>
        </w:rPr>
        <w:t>Module Name:</w:t>
      </w:r>
      <w:r w:rsidR="00085218">
        <w:rPr>
          <w:rFonts w:eastAsia="Times New Roman" w:cs="Times New Roman"/>
          <w:bCs/>
          <w:szCs w:val="24"/>
        </w:rPr>
        <w:t>Community Engagement</w:t>
      </w:r>
    </w:p>
    <w:p w14:paraId="45B06343" w14:textId="7EECC7C4" w:rsidR="00A94523" w:rsidRPr="00A94523" w:rsidRDefault="00A94523">
      <w:pPr>
        <w:pStyle w:val="Normal1"/>
        <w:jc w:val="center"/>
        <w:rPr>
          <w:rFonts w:eastAsia="Times New Roman" w:cs="Times New Roman"/>
          <w:bCs/>
          <w:szCs w:val="24"/>
        </w:rPr>
      </w:pPr>
      <w:r w:rsidRPr="00A94523">
        <w:rPr>
          <w:rFonts w:eastAsia="Times New Roman" w:cs="Times New Roman"/>
          <w:bCs/>
          <w:szCs w:val="24"/>
        </w:rPr>
        <w:t>Submission Da</w:t>
      </w:r>
      <w:r>
        <w:rPr>
          <w:rFonts w:eastAsia="Times New Roman" w:cs="Times New Roman"/>
          <w:bCs/>
          <w:szCs w:val="24"/>
        </w:rPr>
        <w:t>t</w:t>
      </w:r>
      <w:r w:rsidRPr="00A94523">
        <w:rPr>
          <w:rFonts w:eastAsia="Times New Roman" w:cs="Times New Roman"/>
          <w:bCs/>
          <w:szCs w:val="24"/>
        </w:rPr>
        <w:t>e:</w:t>
      </w:r>
      <w:r w:rsidR="00EB04DE">
        <w:rPr>
          <w:rFonts w:eastAsia="Times New Roman" w:cs="Times New Roman"/>
          <w:bCs/>
          <w:szCs w:val="24"/>
        </w:rPr>
        <w:t>06.05.2022</w:t>
      </w:r>
    </w:p>
    <w:p w14:paraId="1ADCE765" w14:textId="77777777" w:rsidR="007A0708" w:rsidRDefault="00F80ACD">
      <w:pPr>
        <w:pStyle w:val="Normal1"/>
        <w:jc w:val="center"/>
        <w:rPr>
          <w:rFonts w:eastAsia="Times New Roman" w:cs="Times New Roman"/>
          <w:b/>
          <w:szCs w:val="24"/>
        </w:rPr>
      </w:pPr>
      <w:r>
        <w:br w:type="page"/>
      </w:r>
    </w:p>
    <w:sdt>
      <w:sdtPr>
        <w:rPr>
          <w:rFonts w:ascii="Arial" w:eastAsia="Arial" w:hAnsi="Arial" w:cs="Arial"/>
          <w:b w:val="0"/>
          <w:bCs w:val="0"/>
          <w:color w:val="auto"/>
          <w:sz w:val="22"/>
          <w:szCs w:val="22"/>
        </w:rPr>
        <w:id w:val="760316485"/>
        <w:docPartObj>
          <w:docPartGallery w:val="Table of Contents"/>
          <w:docPartUnique/>
        </w:docPartObj>
      </w:sdtPr>
      <w:sdtEndPr>
        <w:rPr>
          <w:rFonts w:ascii="Times New Roman" w:hAnsi="Times New Roman" w:cs="Times New Roman"/>
          <w:sz w:val="24"/>
          <w:szCs w:val="24"/>
        </w:rPr>
      </w:sdtEndPr>
      <w:sdtContent>
        <w:p w14:paraId="27A5D04E" w14:textId="77777777" w:rsidR="001430C6" w:rsidRDefault="001430C6" w:rsidP="001430C6">
          <w:pPr>
            <w:pStyle w:val="a5"/>
            <w:jc w:val="center"/>
          </w:pPr>
          <w:r w:rsidRPr="001430C6">
            <w:rPr>
              <w:rFonts w:ascii="Times New Roman" w:hAnsi="Times New Roman" w:cs="Times New Roman"/>
              <w:color w:val="auto"/>
            </w:rPr>
            <w:t>Table of Contents</w:t>
          </w:r>
        </w:p>
        <w:p w14:paraId="1F35062C" w14:textId="77777777" w:rsidR="001430C6" w:rsidRPr="001430C6" w:rsidRDefault="001430C6" w:rsidP="001430C6">
          <w:pPr>
            <w:pStyle w:val="10"/>
            <w:tabs>
              <w:tab w:val="right" w:leader="dot" w:pos="9350"/>
            </w:tabs>
            <w:spacing w:line="360" w:lineRule="auto"/>
            <w:jc w:val="both"/>
            <w:rPr>
              <w:rFonts w:ascii="Times New Roman" w:hAnsi="Times New Roman" w:cs="Times New Roman"/>
              <w:noProof/>
              <w:sz w:val="24"/>
              <w:szCs w:val="24"/>
            </w:rPr>
          </w:pPr>
          <w:r w:rsidRPr="001430C6">
            <w:rPr>
              <w:rFonts w:ascii="Times New Roman" w:hAnsi="Times New Roman" w:cs="Times New Roman"/>
              <w:sz w:val="24"/>
              <w:szCs w:val="24"/>
            </w:rPr>
            <w:fldChar w:fldCharType="begin"/>
          </w:r>
          <w:r w:rsidRPr="001430C6">
            <w:rPr>
              <w:rFonts w:ascii="Times New Roman" w:hAnsi="Times New Roman" w:cs="Times New Roman"/>
              <w:sz w:val="24"/>
              <w:szCs w:val="24"/>
            </w:rPr>
            <w:instrText xml:space="preserve"> TOC \o "1-3" \h \z \u </w:instrText>
          </w:r>
          <w:r w:rsidRPr="001430C6">
            <w:rPr>
              <w:rFonts w:ascii="Times New Roman" w:hAnsi="Times New Roman" w:cs="Times New Roman"/>
              <w:sz w:val="24"/>
              <w:szCs w:val="24"/>
            </w:rPr>
            <w:fldChar w:fldCharType="separate"/>
          </w:r>
          <w:hyperlink w:anchor="_Toc99559651" w:history="1">
            <w:r w:rsidRPr="001430C6">
              <w:rPr>
                <w:rStyle w:val="a6"/>
                <w:rFonts w:ascii="Times New Roman" w:hAnsi="Times New Roman" w:cs="Times New Roman"/>
                <w:noProof/>
                <w:color w:val="auto"/>
                <w:sz w:val="24"/>
                <w:szCs w:val="24"/>
              </w:rPr>
              <w:t>Introduction</w:t>
            </w:r>
            <w:r w:rsidRPr="001430C6">
              <w:rPr>
                <w:rFonts w:ascii="Times New Roman" w:hAnsi="Times New Roman" w:cs="Times New Roman"/>
                <w:noProof/>
                <w:webHidden/>
                <w:sz w:val="24"/>
                <w:szCs w:val="24"/>
              </w:rPr>
              <w:tab/>
            </w:r>
            <w:r w:rsidRPr="001430C6">
              <w:rPr>
                <w:rFonts w:ascii="Times New Roman" w:hAnsi="Times New Roman" w:cs="Times New Roman"/>
                <w:noProof/>
                <w:webHidden/>
                <w:sz w:val="24"/>
                <w:szCs w:val="24"/>
              </w:rPr>
              <w:fldChar w:fldCharType="begin"/>
            </w:r>
            <w:r w:rsidRPr="001430C6">
              <w:rPr>
                <w:rFonts w:ascii="Times New Roman" w:hAnsi="Times New Roman" w:cs="Times New Roman"/>
                <w:noProof/>
                <w:webHidden/>
                <w:sz w:val="24"/>
                <w:szCs w:val="24"/>
              </w:rPr>
              <w:instrText xml:space="preserve"> PAGEREF _Toc99559651 \h </w:instrText>
            </w:r>
            <w:r w:rsidRPr="001430C6">
              <w:rPr>
                <w:rFonts w:ascii="Times New Roman" w:hAnsi="Times New Roman" w:cs="Times New Roman"/>
                <w:noProof/>
                <w:webHidden/>
                <w:sz w:val="24"/>
                <w:szCs w:val="24"/>
              </w:rPr>
            </w:r>
            <w:r w:rsidRPr="001430C6">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1430C6">
              <w:rPr>
                <w:rFonts w:ascii="Times New Roman" w:hAnsi="Times New Roman" w:cs="Times New Roman"/>
                <w:noProof/>
                <w:webHidden/>
                <w:sz w:val="24"/>
                <w:szCs w:val="24"/>
              </w:rPr>
              <w:fldChar w:fldCharType="end"/>
            </w:r>
          </w:hyperlink>
        </w:p>
        <w:p w14:paraId="503A848D" w14:textId="77777777" w:rsidR="001430C6" w:rsidRPr="001430C6" w:rsidRDefault="00575EB7" w:rsidP="001430C6">
          <w:pPr>
            <w:pStyle w:val="10"/>
            <w:tabs>
              <w:tab w:val="right" w:leader="dot" w:pos="9350"/>
            </w:tabs>
            <w:spacing w:line="360" w:lineRule="auto"/>
            <w:jc w:val="both"/>
            <w:rPr>
              <w:rFonts w:ascii="Times New Roman" w:hAnsi="Times New Roman" w:cs="Times New Roman"/>
              <w:noProof/>
              <w:sz w:val="24"/>
              <w:szCs w:val="24"/>
            </w:rPr>
          </w:pPr>
          <w:hyperlink w:anchor="_Toc99559652" w:history="1">
            <w:r w:rsidR="001430C6" w:rsidRPr="001430C6">
              <w:rPr>
                <w:rStyle w:val="a6"/>
                <w:rFonts w:ascii="Times New Roman" w:hAnsi="Times New Roman" w:cs="Times New Roman"/>
                <w:noProof/>
                <w:color w:val="auto"/>
                <w:sz w:val="24"/>
                <w:szCs w:val="24"/>
              </w:rPr>
              <w:t>Discussion on the project</w:t>
            </w:r>
            <w:r w:rsidR="001430C6" w:rsidRPr="001430C6">
              <w:rPr>
                <w:rFonts w:ascii="Times New Roman" w:hAnsi="Times New Roman" w:cs="Times New Roman"/>
                <w:noProof/>
                <w:webHidden/>
                <w:sz w:val="24"/>
                <w:szCs w:val="24"/>
              </w:rPr>
              <w:tab/>
            </w:r>
            <w:r w:rsidR="001430C6" w:rsidRPr="001430C6">
              <w:rPr>
                <w:rFonts w:ascii="Times New Roman" w:hAnsi="Times New Roman" w:cs="Times New Roman"/>
                <w:noProof/>
                <w:webHidden/>
                <w:sz w:val="24"/>
                <w:szCs w:val="24"/>
              </w:rPr>
              <w:fldChar w:fldCharType="begin"/>
            </w:r>
            <w:r w:rsidR="001430C6" w:rsidRPr="001430C6">
              <w:rPr>
                <w:rFonts w:ascii="Times New Roman" w:hAnsi="Times New Roman" w:cs="Times New Roman"/>
                <w:noProof/>
                <w:webHidden/>
                <w:sz w:val="24"/>
                <w:szCs w:val="24"/>
              </w:rPr>
              <w:instrText xml:space="preserve"> PAGEREF _Toc99559652 \h </w:instrText>
            </w:r>
            <w:r w:rsidR="001430C6" w:rsidRPr="001430C6">
              <w:rPr>
                <w:rFonts w:ascii="Times New Roman" w:hAnsi="Times New Roman" w:cs="Times New Roman"/>
                <w:noProof/>
                <w:webHidden/>
                <w:sz w:val="24"/>
                <w:szCs w:val="24"/>
              </w:rPr>
            </w:r>
            <w:r w:rsidR="001430C6" w:rsidRPr="001430C6">
              <w:rPr>
                <w:rFonts w:ascii="Times New Roman" w:hAnsi="Times New Roman" w:cs="Times New Roman"/>
                <w:noProof/>
                <w:webHidden/>
                <w:sz w:val="24"/>
                <w:szCs w:val="24"/>
              </w:rPr>
              <w:fldChar w:fldCharType="separate"/>
            </w:r>
            <w:r w:rsidR="001430C6">
              <w:rPr>
                <w:rFonts w:ascii="Times New Roman" w:hAnsi="Times New Roman" w:cs="Times New Roman"/>
                <w:noProof/>
                <w:webHidden/>
                <w:sz w:val="24"/>
                <w:szCs w:val="24"/>
              </w:rPr>
              <w:t>3</w:t>
            </w:r>
            <w:r w:rsidR="001430C6" w:rsidRPr="001430C6">
              <w:rPr>
                <w:rFonts w:ascii="Times New Roman" w:hAnsi="Times New Roman" w:cs="Times New Roman"/>
                <w:noProof/>
                <w:webHidden/>
                <w:sz w:val="24"/>
                <w:szCs w:val="24"/>
              </w:rPr>
              <w:fldChar w:fldCharType="end"/>
            </w:r>
          </w:hyperlink>
        </w:p>
        <w:p w14:paraId="6FFBE265" w14:textId="77777777" w:rsidR="001430C6" w:rsidRPr="001430C6" w:rsidRDefault="00575EB7" w:rsidP="001430C6">
          <w:pPr>
            <w:pStyle w:val="10"/>
            <w:tabs>
              <w:tab w:val="right" w:leader="dot" w:pos="9350"/>
            </w:tabs>
            <w:spacing w:line="360" w:lineRule="auto"/>
            <w:jc w:val="both"/>
            <w:rPr>
              <w:rFonts w:ascii="Times New Roman" w:hAnsi="Times New Roman" w:cs="Times New Roman"/>
              <w:noProof/>
              <w:sz w:val="24"/>
              <w:szCs w:val="24"/>
            </w:rPr>
          </w:pPr>
          <w:hyperlink w:anchor="_Toc99559653" w:history="1">
            <w:r w:rsidR="001430C6" w:rsidRPr="001430C6">
              <w:rPr>
                <w:rStyle w:val="a6"/>
                <w:rFonts w:ascii="Times New Roman" w:hAnsi="Times New Roman" w:cs="Times New Roman"/>
                <w:noProof/>
                <w:color w:val="auto"/>
                <w:sz w:val="24"/>
                <w:szCs w:val="24"/>
              </w:rPr>
              <w:t>Stakeholders’ relationship with the organisation and project campaign</w:t>
            </w:r>
            <w:r w:rsidR="001430C6" w:rsidRPr="001430C6">
              <w:rPr>
                <w:rFonts w:ascii="Times New Roman" w:hAnsi="Times New Roman" w:cs="Times New Roman"/>
                <w:noProof/>
                <w:webHidden/>
                <w:sz w:val="24"/>
                <w:szCs w:val="24"/>
              </w:rPr>
              <w:tab/>
            </w:r>
            <w:r w:rsidR="001430C6" w:rsidRPr="001430C6">
              <w:rPr>
                <w:rFonts w:ascii="Times New Roman" w:hAnsi="Times New Roman" w:cs="Times New Roman"/>
                <w:noProof/>
                <w:webHidden/>
                <w:sz w:val="24"/>
                <w:szCs w:val="24"/>
              </w:rPr>
              <w:fldChar w:fldCharType="begin"/>
            </w:r>
            <w:r w:rsidR="001430C6" w:rsidRPr="001430C6">
              <w:rPr>
                <w:rFonts w:ascii="Times New Roman" w:hAnsi="Times New Roman" w:cs="Times New Roman"/>
                <w:noProof/>
                <w:webHidden/>
                <w:sz w:val="24"/>
                <w:szCs w:val="24"/>
              </w:rPr>
              <w:instrText xml:space="preserve"> PAGEREF _Toc99559653 \h </w:instrText>
            </w:r>
            <w:r w:rsidR="001430C6" w:rsidRPr="001430C6">
              <w:rPr>
                <w:rFonts w:ascii="Times New Roman" w:hAnsi="Times New Roman" w:cs="Times New Roman"/>
                <w:noProof/>
                <w:webHidden/>
                <w:sz w:val="24"/>
                <w:szCs w:val="24"/>
              </w:rPr>
            </w:r>
            <w:r w:rsidR="001430C6" w:rsidRPr="001430C6">
              <w:rPr>
                <w:rFonts w:ascii="Times New Roman" w:hAnsi="Times New Roman" w:cs="Times New Roman"/>
                <w:noProof/>
                <w:webHidden/>
                <w:sz w:val="24"/>
                <w:szCs w:val="24"/>
              </w:rPr>
              <w:fldChar w:fldCharType="separate"/>
            </w:r>
            <w:r w:rsidR="001430C6">
              <w:rPr>
                <w:rFonts w:ascii="Times New Roman" w:hAnsi="Times New Roman" w:cs="Times New Roman"/>
                <w:noProof/>
                <w:webHidden/>
                <w:sz w:val="24"/>
                <w:szCs w:val="24"/>
              </w:rPr>
              <w:t>4</w:t>
            </w:r>
            <w:r w:rsidR="001430C6" w:rsidRPr="001430C6">
              <w:rPr>
                <w:rFonts w:ascii="Times New Roman" w:hAnsi="Times New Roman" w:cs="Times New Roman"/>
                <w:noProof/>
                <w:webHidden/>
                <w:sz w:val="24"/>
                <w:szCs w:val="24"/>
              </w:rPr>
              <w:fldChar w:fldCharType="end"/>
            </w:r>
          </w:hyperlink>
        </w:p>
        <w:p w14:paraId="2D294058" w14:textId="77777777" w:rsidR="001430C6" w:rsidRPr="001430C6" w:rsidRDefault="00575EB7" w:rsidP="001430C6">
          <w:pPr>
            <w:pStyle w:val="10"/>
            <w:tabs>
              <w:tab w:val="right" w:leader="dot" w:pos="9350"/>
            </w:tabs>
            <w:spacing w:line="360" w:lineRule="auto"/>
            <w:jc w:val="both"/>
            <w:rPr>
              <w:rFonts w:ascii="Times New Roman" w:hAnsi="Times New Roman" w:cs="Times New Roman"/>
              <w:noProof/>
              <w:sz w:val="24"/>
              <w:szCs w:val="24"/>
            </w:rPr>
          </w:pPr>
          <w:hyperlink w:anchor="_Toc99559654" w:history="1">
            <w:r w:rsidR="001430C6" w:rsidRPr="001430C6">
              <w:rPr>
                <w:rStyle w:val="a6"/>
                <w:rFonts w:ascii="Times New Roman" w:hAnsi="Times New Roman" w:cs="Times New Roman"/>
                <w:noProof/>
                <w:color w:val="auto"/>
                <w:sz w:val="24"/>
                <w:szCs w:val="24"/>
              </w:rPr>
              <w:t>Techniques of social media in collaboration with Multiculturalism and Social Integration</w:t>
            </w:r>
            <w:r w:rsidR="001430C6" w:rsidRPr="001430C6">
              <w:rPr>
                <w:rFonts w:ascii="Times New Roman" w:hAnsi="Times New Roman" w:cs="Times New Roman"/>
                <w:noProof/>
                <w:webHidden/>
                <w:sz w:val="24"/>
                <w:szCs w:val="24"/>
              </w:rPr>
              <w:tab/>
            </w:r>
            <w:r w:rsidR="001430C6" w:rsidRPr="001430C6">
              <w:rPr>
                <w:rFonts w:ascii="Times New Roman" w:hAnsi="Times New Roman" w:cs="Times New Roman"/>
                <w:noProof/>
                <w:webHidden/>
                <w:sz w:val="24"/>
                <w:szCs w:val="24"/>
              </w:rPr>
              <w:fldChar w:fldCharType="begin"/>
            </w:r>
            <w:r w:rsidR="001430C6" w:rsidRPr="001430C6">
              <w:rPr>
                <w:rFonts w:ascii="Times New Roman" w:hAnsi="Times New Roman" w:cs="Times New Roman"/>
                <w:noProof/>
                <w:webHidden/>
                <w:sz w:val="24"/>
                <w:szCs w:val="24"/>
              </w:rPr>
              <w:instrText xml:space="preserve"> PAGEREF _Toc99559654 \h </w:instrText>
            </w:r>
            <w:r w:rsidR="001430C6" w:rsidRPr="001430C6">
              <w:rPr>
                <w:rFonts w:ascii="Times New Roman" w:hAnsi="Times New Roman" w:cs="Times New Roman"/>
                <w:noProof/>
                <w:webHidden/>
                <w:sz w:val="24"/>
                <w:szCs w:val="24"/>
              </w:rPr>
            </w:r>
            <w:r w:rsidR="001430C6" w:rsidRPr="001430C6">
              <w:rPr>
                <w:rFonts w:ascii="Times New Roman" w:hAnsi="Times New Roman" w:cs="Times New Roman"/>
                <w:noProof/>
                <w:webHidden/>
                <w:sz w:val="24"/>
                <w:szCs w:val="24"/>
              </w:rPr>
              <w:fldChar w:fldCharType="separate"/>
            </w:r>
            <w:r w:rsidR="001430C6">
              <w:rPr>
                <w:rFonts w:ascii="Times New Roman" w:hAnsi="Times New Roman" w:cs="Times New Roman"/>
                <w:noProof/>
                <w:webHidden/>
                <w:sz w:val="24"/>
                <w:szCs w:val="24"/>
              </w:rPr>
              <w:t>5</w:t>
            </w:r>
            <w:r w:rsidR="001430C6" w:rsidRPr="001430C6">
              <w:rPr>
                <w:rFonts w:ascii="Times New Roman" w:hAnsi="Times New Roman" w:cs="Times New Roman"/>
                <w:noProof/>
                <w:webHidden/>
                <w:sz w:val="24"/>
                <w:szCs w:val="24"/>
              </w:rPr>
              <w:fldChar w:fldCharType="end"/>
            </w:r>
          </w:hyperlink>
        </w:p>
        <w:p w14:paraId="229628FE" w14:textId="77777777" w:rsidR="001430C6" w:rsidRPr="001430C6" w:rsidRDefault="00575EB7" w:rsidP="001430C6">
          <w:pPr>
            <w:pStyle w:val="10"/>
            <w:tabs>
              <w:tab w:val="right" w:leader="dot" w:pos="9350"/>
            </w:tabs>
            <w:spacing w:line="360" w:lineRule="auto"/>
            <w:jc w:val="both"/>
            <w:rPr>
              <w:rFonts w:ascii="Times New Roman" w:hAnsi="Times New Roman" w:cs="Times New Roman"/>
              <w:noProof/>
              <w:sz w:val="24"/>
              <w:szCs w:val="24"/>
            </w:rPr>
          </w:pPr>
          <w:hyperlink w:anchor="_Toc99559655" w:history="1">
            <w:r w:rsidR="001430C6" w:rsidRPr="001430C6">
              <w:rPr>
                <w:rStyle w:val="a6"/>
                <w:rFonts w:ascii="Times New Roman" w:hAnsi="Times New Roman" w:cs="Times New Roman"/>
                <w:noProof/>
                <w:color w:val="auto"/>
                <w:sz w:val="24"/>
                <w:szCs w:val="24"/>
              </w:rPr>
              <w:t>Upcoming Approaches</w:t>
            </w:r>
            <w:r w:rsidR="001430C6" w:rsidRPr="001430C6">
              <w:rPr>
                <w:rFonts w:ascii="Times New Roman" w:hAnsi="Times New Roman" w:cs="Times New Roman"/>
                <w:noProof/>
                <w:webHidden/>
                <w:sz w:val="24"/>
                <w:szCs w:val="24"/>
              </w:rPr>
              <w:tab/>
            </w:r>
            <w:r w:rsidR="001430C6" w:rsidRPr="001430C6">
              <w:rPr>
                <w:rFonts w:ascii="Times New Roman" w:hAnsi="Times New Roman" w:cs="Times New Roman"/>
                <w:noProof/>
                <w:webHidden/>
                <w:sz w:val="24"/>
                <w:szCs w:val="24"/>
              </w:rPr>
              <w:fldChar w:fldCharType="begin"/>
            </w:r>
            <w:r w:rsidR="001430C6" w:rsidRPr="001430C6">
              <w:rPr>
                <w:rFonts w:ascii="Times New Roman" w:hAnsi="Times New Roman" w:cs="Times New Roman"/>
                <w:noProof/>
                <w:webHidden/>
                <w:sz w:val="24"/>
                <w:szCs w:val="24"/>
              </w:rPr>
              <w:instrText xml:space="preserve"> PAGEREF _Toc99559655 \h </w:instrText>
            </w:r>
            <w:r w:rsidR="001430C6" w:rsidRPr="001430C6">
              <w:rPr>
                <w:rFonts w:ascii="Times New Roman" w:hAnsi="Times New Roman" w:cs="Times New Roman"/>
                <w:noProof/>
                <w:webHidden/>
                <w:sz w:val="24"/>
                <w:szCs w:val="24"/>
              </w:rPr>
            </w:r>
            <w:r w:rsidR="001430C6" w:rsidRPr="001430C6">
              <w:rPr>
                <w:rFonts w:ascii="Times New Roman" w:hAnsi="Times New Roman" w:cs="Times New Roman"/>
                <w:noProof/>
                <w:webHidden/>
                <w:sz w:val="24"/>
                <w:szCs w:val="24"/>
              </w:rPr>
              <w:fldChar w:fldCharType="separate"/>
            </w:r>
            <w:r w:rsidR="001430C6">
              <w:rPr>
                <w:rFonts w:ascii="Times New Roman" w:hAnsi="Times New Roman" w:cs="Times New Roman"/>
                <w:noProof/>
                <w:webHidden/>
                <w:sz w:val="24"/>
                <w:szCs w:val="24"/>
              </w:rPr>
              <w:t>6</w:t>
            </w:r>
            <w:r w:rsidR="001430C6" w:rsidRPr="001430C6">
              <w:rPr>
                <w:rFonts w:ascii="Times New Roman" w:hAnsi="Times New Roman" w:cs="Times New Roman"/>
                <w:noProof/>
                <w:webHidden/>
                <w:sz w:val="24"/>
                <w:szCs w:val="24"/>
              </w:rPr>
              <w:fldChar w:fldCharType="end"/>
            </w:r>
          </w:hyperlink>
        </w:p>
        <w:p w14:paraId="75AF5483" w14:textId="77777777" w:rsidR="001430C6" w:rsidRPr="001430C6" w:rsidRDefault="00575EB7" w:rsidP="001430C6">
          <w:pPr>
            <w:pStyle w:val="10"/>
            <w:tabs>
              <w:tab w:val="right" w:leader="dot" w:pos="9350"/>
            </w:tabs>
            <w:spacing w:line="360" w:lineRule="auto"/>
            <w:jc w:val="both"/>
            <w:rPr>
              <w:rFonts w:ascii="Times New Roman" w:hAnsi="Times New Roman" w:cs="Times New Roman"/>
              <w:noProof/>
              <w:sz w:val="24"/>
              <w:szCs w:val="24"/>
            </w:rPr>
          </w:pPr>
          <w:hyperlink w:anchor="_Toc99559656" w:history="1">
            <w:r w:rsidR="001430C6" w:rsidRPr="001430C6">
              <w:rPr>
                <w:rStyle w:val="a6"/>
                <w:rFonts w:ascii="Times New Roman" w:hAnsi="Times New Roman" w:cs="Times New Roman"/>
                <w:noProof/>
                <w:color w:val="auto"/>
                <w:sz w:val="24"/>
                <w:szCs w:val="24"/>
              </w:rPr>
              <w:t>Conclusion</w:t>
            </w:r>
            <w:r w:rsidR="001430C6" w:rsidRPr="001430C6">
              <w:rPr>
                <w:rFonts w:ascii="Times New Roman" w:hAnsi="Times New Roman" w:cs="Times New Roman"/>
                <w:noProof/>
                <w:webHidden/>
                <w:sz w:val="24"/>
                <w:szCs w:val="24"/>
              </w:rPr>
              <w:tab/>
            </w:r>
            <w:r w:rsidR="001430C6" w:rsidRPr="001430C6">
              <w:rPr>
                <w:rFonts w:ascii="Times New Roman" w:hAnsi="Times New Roman" w:cs="Times New Roman"/>
                <w:noProof/>
                <w:webHidden/>
                <w:sz w:val="24"/>
                <w:szCs w:val="24"/>
              </w:rPr>
              <w:fldChar w:fldCharType="begin"/>
            </w:r>
            <w:r w:rsidR="001430C6" w:rsidRPr="001430C6">
              <w:rPr>
                <w:rFonts w:ascii="Times New Roman" w:hAnsi="Times New Roman" w:cs="Times New Roman"/>
                <w:noProof/>
                <w:webHidden/>
                <w:sz w:val="24"/>
                <w:szCs w:val="24"/>
              </w:rPr>
              <w:instrText xml:space="preserve"> PAGEREF _Toc99559656 \h </w:instrText>
            </w:r>
            <w:r w:rsidR="001430C6" w:rsidRPr="001430C6">
              <w:rPr>
                <w:rFonts w:ascii="Times New Roman" w:hAnsi="Times New Roman" w:cs="Times New Roman"/>
                <w:noProof/>
                <w:webHidden/>
                <w:sz w:val="24"/>
                <w:szCs w:val="24"/>
              </w:rPr>
            </w:r>
            <w:r w:rsidR="001430C6" w:rsidRPr="001430C6">
              <w:rPr>
                <w:rFonts w:ascii="Times New Roman" w:hAnsi="Times New Roman" w:cs="Times New Roman"/>
                <w:noProof/>
                <w:webHidden/>
                <w:sz w:val="24"/>
                <w:szCs w:val="24"/>
              </w:rPr>
              <w:fldChar w:fldCharType="separate"/>
            </w:r>
            <w:r w:rsidR="001430C6">
              <w:rPr>
                <w:rFonts w:ascii="Times New Roman" w:hAnsi="Times New Roman" w:cs="Times New Roman"/>
                <w:noProof/>
                <w:webHidden/>
                <w:sz w:val="24"/>
                <w:szCs w:val="24"/>
              </w:rPr>
              <w:t>7</w:t>
            </w:r>
            <w:r w:rsidR="001430C6" w:rsidRPr="001430C6">
              <w:rPr>
                <w:rFonts w:ascii="Times New Roman" w:hAnsi="Times New Roman" w:cs="Times New Roman"/>
                <w:noProof/>
                <w:webHidden/>
                <w:sz w:val="24"/>
                <w:szCs w:val="24"/>
              </w:rPr>
              <w:fldChar w:fldCharType="end"/>
            </w:r>
          </w:hyperlink>
        </w:p>
        <w:p w14:paraId="624A274A" w14:textId="77777777" w:rsidR="001430C6" w:rsidRPr="001430C6" w:rsidRDefault="00575EB7" w:rsidP="001430C6">
          <w:pPr>
            <w:pStyle w:val="10"/>
            <w:tabs>
              <w:tab w:val="right" w:leader="dot" w:pos="9350"/>
            </w:tabs>
            <w:spacing w:line="360" w:lineRule="auto"/>
            <w:jc w:val="both"/>
            <w:rPr>
              <w:rFonts w:ascii="Times New Roman" w:hAnsi="Times New Roman" w:cs="Times New Roman"/>
              <w:noProof/>
              <w:sz w:val="24"/>
              <w:szCs w:val="24"/>
            </w:rPr>
          </w:pPr>
          <w:hyperlink w:anchor="_Toc99559657" w:history="1">
            <w:r w:rsidR="001430C6" w:rsidRPr="001430C6">
              <w:rPr>
                <w:rStyle w:val="a6"/>
                <w:rFonts w:ascii="Times New Roman" w:hAnsi="Times New Roman" w:cs="Times New Roman"/>
                <w:noProof/>
                <w:color w:val="auto"/>
                <w:sz w:val="24"/>
                <w:szCs w:val="24"/>
              </w:rPr>
              <w:t>Reference list</w:t>
            </w:r>
            <w:r w:rsidR="001430C6" w:rsidRPr="001430C6">
              <w:rPr>
                <w:rFonts w:ascii="Times New Roman" w:hAnsi="Times New Roman" w:cs="Times New Roman"/>
                <w:noProof/>
                <w:webHidden/>
                <w:sz w:val="24"/>
                <w:szCs w:val="24"/>
              </w:rPr>
              <w:tab/>
            </w:r>
            <w:r w:rsidR="001430C6" w:rsidRPr="001430C6">
              <w:rPr>
                <w:rFonts w:ascii="Times New Roman" w:hAnsi="Times New Roman" w:cs="Times New Roman"/>
                <w:noProof/>
                <w:webHidden/>
                <w:sz w:val="24"/>
                <w:szCs w:val="24"/>
              </w:rPr>
              <w:fldChar w:fldCharType="begin"/>
            </w:r>
            <w:r w:rsidR="001430C6" w:rsidRPr="001430C6">
              <w:rPr>
                <w:rFonts w:ascii="Times New Roman" w:hAnsi="Times New Roman" w:cs="Times New Roman"/>
                <w:noProof/>
                <w:webHidden/>
                <w:sz w:val="24"/>
                <w:szCs w:val="24"/>
              </w:rPr>
              <w:instrText xml:space="preserve"> PAGEREF _Toc99559657 \h </w:instrText>
            </w:r>
            <w:r w:rsidR="001430C6" w:rsidRPr="001430C6">
              <w:rPr>
                <w:rFonts w:ascii="Times New Roman" w:hAnsi="Times New Roman" w:cs="Times New Roman"/>
                <w:noProof/>
                <w:webHidden/>
                <w:sz w:val="24"/>
                <w:szCs w:val="24"/>
              </w:rPr>
            </w:r>
            <w:r w:rsidR="001430C6" w:rsidRPr="001430C6">
              <w:rPr>
                <w:rFonts w:ascii="Times New Roman" w:hAnsi="Times New Roman" w:cs="Times New Roman"/>
                <w:noProof/>
                <w:webHidden/>
                <w:sz w:val="24"/>
                <w:szCs w:val="24"/>
              </w:rPr>
              <w:fldChar w:fldCharType="separate"/>
            </w:r>
            <w:r w:rsidR="001430C6">
              <w:rPr>
                <w:rFonts w:ascii="Times New Roman" w:hAnsi="Times New Roman" w:cs="Times New Roman"/>
                <w:noProof/>
                <w:webHidden/>
                <w:sz w:val="24"/>
                <w:szCs w:val="24"/>
              </w:rPr>
              <w:t>8</w:t>
            </w:r>
            <w:r w:rsidR="001430C6" w:rsidRPr="001430C6">
              <w:rPr>
                <w:rFonts w:ascii="Times New Roman" w:hAnsi="Times New Roman" w:cs="Times New Roman"/>
                <w:noProof/>
                <w:webHidden/>
                <w:sz w:val="24"/>
                <w:szCs w:val="24"/>
              </w:rPr>
              <w:fldChar w:fldCharType="end"/>
            </w:r>
          </w:hyperlink>
        </w:p>
        <w:p w14:paraId="51D22BE8" w14:textId="77777777" w:rsidR="001430C6" w:rsidRPr="001430C6" w:rsidRDefault="001430C6" w:rsidP="001430C6">
          <w:pPr>
            <w:spacing w:line="360" w:lineRule="auto"/>
            <w:jc w:val="both"/>
            <w:rPr>
              <w:rFonts w:ascii="Times New Roman" w:hAnsi="Times New Roman" w:cs="Times New Roman"/>
              <w:sz w:val="24"/>
              <w:szCs w:val="24"/>
            </w:rPr>
          </w:pPr>
          <w:r w:rsidRPr="001430C6">
            <w:rPr>
              <w:rFonts w:ascii="Times New Roman" w:hAnsi="Times New Roman" w:cs="Times New Roman"/>
              <w:sz w:val="24"/>
              <w:szCs w:val="24"/>
            </w:rPr>
            <w:fldChar w:fldCharType="end"/>
          </w:r>
        </w:p>
      </w:sdtContent>
    </w:sdt>
    <w:p w14:paraId="06EB3DF3" w14:textId="77777777" w:rsidR="001430C6" w:rsidRDefault="001430C6">
      <w:pPr>
        <w:rPr>
          <w:rFonts w:ascii="Times New Roman" w:eastAsia="Times New Roman" w:hAnsi="Times New Roman" w:cs="Times New Roman"/>
          <w:b/>
          <w:sz w:val="24"/>
          <w:szCs w:val="24"/>
        </w:rPr>
      </w:pPr>
      <w:r>
        <w:rPr>
          <w:rFonts w:eastAsia="Times New Roman" w:cs="Times New Roman"/>
          <w:b/>
          <w:szCs w:val="24"/>
        </w:rPr>
        <w:br w:type="page"/>
      </w:r>
    </w:p>
    <w:p w14:paraId="09B43E84" w14:textId="77777777" w:rsidR="007A0708" w:rsidRDefault="00F80ACD">
      <w:pPr>
        <w:pStyle w:val="Normal1"/>
        <w:rPr>
          <w:rFonts w:eastAsia="Times New Roman" w:cs="Times New Roman"/>
          <w:b/>
          <w:szCs w:val="24"/>
        </w:rPr>
      </w:pPr>
      <w:r>
        <w:rPr>
          <w:rFonts w:eastAsia="Times New Roman" w:cs="Times New Roman"/>
          <w:b/>
          <w:szCs w:val="24"/>
        </w:rPr>
        <w:lastRenderedPageBreak/>
        <w:t>Part A</w:t>
      </w:r>
    </w:p>
    <w:p w14:paraId="62CEFA02" w14:textId="77777777" w:rsidR="007A0708" w:rsidRDefault="00F80ACD">
      <w:pPr>
        <w:pStyle w:val="Normal1"/>
        <w:rPr>
          <w:rFonts w:eastAsia="Times New Roman" w:cs="Times New Roman"/>
          <w:b/>
          <w:szCs w:val="24"/>
        </w:rPr>
      </w:pPr>
      <w:r>
        <w:rPr>
          <w:rFonts w:eastAsia="Times New Roman" w:cs="Times New Roman"/>
          <w:b/>
          <w:szCs w:val="24"/>
        </w:rPr>
        <w:t>Process of local community engagement</w:t>
      </w:r>
    </w:p>
    <w:p w14:paraId="395A1770" w14:textId="77777777" w:rsidR="007A0708" w:rsidRDefault="001430C6" w:rsidP="001430C6">
      <w:pPr>
        <w:pStyle w:val="1"/>
        <w:rPr>
          <w:sz w:val="24"/>
        </w:rPr>
      </w:pPr>
      <w:bookmarkStart w:id="0" w:name="_Toc99559651"/>
      <w:r>
        <w:t>Introduction</w:t>
      </w:r>
      <w:bookmarkEnd w:id="0"/>
      <w:r>
        <w:t xml:space="preserve"> </w:t>
      </w:r>
    </w:p>
    <w:p w14:paraId="5041EF11" w14:textId="77777777" w:rsidR="007A0708" w:rsidRPr="001430C6" w:rsidRDefault="00F80ACD" w:rsidP="001430C6">
      <w:pPr>
        <w:pStyle w:val="Normal1"/>
      </w:pPr>
      <w:r w:rsidRPr="001430C6">
        <w:t xml:space="preserve">Community engagement is a process that includes the motive of social well-being in certain demographic diversity. Community engagement has different stages such as the creation of plans, arranging contributors, finding service takers. The main aim of community engagement is to involve the older to the young generation in overall well-being. Though there are different types of community engagement in society and they cover different parts such as children's education, health checkups, social awareness, awareness of different diseases, environmental benefits and others (McMullen et al., 2020). All the principles of all sorts of community engagement are the same. Accuracy in planning, choosing the area for communal well-being and impactful actions with sufficient sponsorship are the basic rules of community engagement. Thames Path Challenge is one of the important community engagements going to happen in September 2022. Around 3000 adventurers will participate in this community engagement to perform different physical activities for covering up to 100 km route. It will include cycling, marathon and other performances as physical activities for social and personal well-being. In this report, an elaborate discussion on the Thames Path challenge will take place (Kline et al., 2018). Relationship with the stakeholders in the context of this project and social media influence for making it successful will be highlighted along with prospects of the same. </w:t>
      </w:r>
    </w:p>
    <w:p w14:paraId="0C7D2EAE" w14:textId="77777777" w:rsidR="007A0708" w:rsidRDefault="001430C6" w:rsidP="001430C6">
      <w:pPr>
        <w:pStyle w:val="1"/>
        <w:rPr>
          <w:sz w:val="24"/>
        </w:rPr>
      </w:pPr>
      <w:bookmarkStart w:id="1" w:name="_Toc99559652"/>
      <w:r>
        <w:t>Discussion on the project</w:t>
      </w:r>
      <w:bookmarkEnd w:id="1"/>
      <w:r>
        <w:t xml:space="preserve"> </w:t>
      </w:r>
    </w:p>
    <w:p w14:paraId="66D8CF23" w14:textId="77777777" w:rsidR="00A94523" w:rsidRDefault="00F80ACD" w:rsidP="001430C6">
      <w:pPr>
        <w:pStyle w:val="Normal1"/>
      </w:pPr>
      <w:r w:rsidRPr="001430C6">
        <w:t xml:space="preserve">The Thames is the greatest river in England. The backdrop of this river gives an excellent view which energises the people to participate in various physical activities on the way. Keeping that in mind, an exclusive challenge has been sorted out which has been named Thames Path Challenge and it will be held from the 10th to 11th of September, 2022. Over 3000 participants or adventurers will be joining in this challenge from Putney Bridge. A total of 100 km route will be upstreamed towards Henley throughout the Thames Towpath (Devi et al., 2019). Some historical places with wonderful riverside lines will be covered in this challenge. A few of the names of the places are Hampton Court, Windsor, Richmond and Runnymede. All the adventurers will be given entire </w:t>
      </w:r>
      <w:r w:rsidRPr="001430C6">
        <w:lastRenderedPageBreak/>
        <w:t xml:space="preserve">support and hospitality throughout the way they will cover. Participants can choose the options in the challenge such as 25 km distance covered and 50 km distance covered. Thames Path Challenge also includes Thames Bridges Trek and Moonlight 10 via Central London. It will give an </w:t>
      </w:r>
      <w:r w:rsidR="00A94523" w:rsidRPr="001430C6">
        <w:t>ultra-experience</w:t>
      </w:r>
      <w:r w:rsidRPr="001430C6">
        <w:t xml:space="preserve"> where people can walk, jog and run depending upon the pace of the challenger. This event has been organised with the equipment of a wide range of fitness and depending upon the ages. A total of 14 events will be there in this series. Apart from participating in the Thames Path Challenge as an adventurer, people will enjoy the excellent outdoors. The organisers will be supporting the candidates with a bunch of drinks and food throughout the way. There will be rest stops as well to help the candidate if found unwell (Kimmel et al., 2019). Medical facilities, massage parlours will also be arranged in the entire router within a stopgap. The winners will be enjoying a series of celebrations at the finish line. </w:t>
      </w:r>
    </w:p>
    <w:p w14:paraId="397471F9" w14:textId="16D60E2B" w:rsidR="007A0708" w:rsidRPr="001430C6" w:rsidRDefault="00F80ACD" w:rsidP="001430C6">
      <w:pPr>
        <w:pStyle w:val="Normal1"/>
      </w:pPr>
      <w:r w:rsidRPr="001430C6">
        <w:t xml:space="preserve">Overall, it will be exciting to join there as it can offer real challenges in life. It is advised by the organisers to the challengers to prepare themselves carefully and more attentively. Smart planning will be the key to success. The organisers have launched a challenging app with the modules of training, walks, route map, online forums and all the latest news updates. Every 12.5 km, there will be major rest stops. The organisers have also kept medical and welfare tents every 25 km. Catering services, changing rooms, and sitting arrangements will also be available. A route map has been uploaded to the challenge app. The pink arrows on the map will guide the participants. There will be distance markers to identify the distance covered and the distance left (Dutta et al., 2020). Glowsticks will be provided at night. The trek masters have thought of departing the entire group at night so that nobody will have to walk alone. There will be a chip system of timing which will be placed in the control room located at different rest stops. Family members of the participants may contact the rest stops to know the progress report of the candidate. Participants need to book the camping package as per the options given and can enjoy the adventure. </w:t>
      </w:r>
    </w:p>
    <w:p w14:paraId="4345301A" w14:textId="77777777" w:rsidR="007A0708" w:rsidRDefault="00F80ACD" w:rsidP="001430C6">
      <w:pPr>
        <w:pStyle w:val="1"/>
      </w:pPr>
      <w:bookmarkStart w:id="2" w:name="_Toc99559653"/>
      <w:r>
        <w:t>Stakeholders’ relationship with the organisation and project campai</w:t>
      </w:r>
      <w:r w:rsidR="001430C6">
        <w:t>gn</w:t>
      </w:r>
      <w:bookmarkEnd w:id="2"/>
      <w:r w:rsidR="001430C6">
        <w:t xml:space="preserve"> </w:t>
      </w:r>
    </w:p>
    <w:p w14:paraId="50533CB2" w14:textId="77777777" w:rsidR="007A0708" w:rsidRPr="001430C6" w:rsidRDefault="00F80ACD" w:rsidP="001430C6">
      <w:pPr>
        <w:pStyle w:val="Normal1"/>
      </w:pPr>
      <w:r w:rsidRPr="001430C6">
        <w:t xml:space="preserve">The participants of the Thames Path Challenge are the prime stakeholders of this project. The organisation maintains a professional cum emotional relationship with all the stakeholders. The challengers need to pay Euro 198 to participate in this programme. Therefore, the committee of Thames Path Challenge offers an exclusive courtesy to their participants cum stakeholders. While looking into the services towards the team members, the organisers are ways ahead with the </w:t>
      </w:r>
      <w:r w:rsidRPr="001430C6">
        <w:lastRenderedPageBreak/>
        <w:t xml:space="preserve">equipped arrangements. Such impressive presentations motivate the stakeholders to join every year (Zaid et al., 2021). Therefore, the funding of the organisation becomes lucrative. On the other hand, stakeholders also have the option to raise their funds by themselves. While registering the name, it has an option to choose whether funds will be contributed from the participant or the fund is to be raised. The stakeholders are treated as prestigious throughout the event. All the medical facilities on the long runway were replaced for the benefit of participants. Stakeholders are also prioritised by arranging rest stops after a certain interval of distance. No lack of food or drinks is placed in this event. The entire fund arranged for Thames Path Challenge is contributed to the cancer patients of the UK. The organisers play this job every year to engage a large number of community members in this noble work. There are many sponsorships from different companies that are granted to make this programme successful. It is also believed that maintaining a good relationship with all the stakeholders benefits the committee of Thames Path Challenge socially and economically (Fusch et al., 2018). There are many funding options available for this event such as self-funding, charity sponsorship and mixed funding. To join in this event, stakeholders need to select any one of the funding options. Based upon that, the selection of the participants takes place. </w:t>
      </w:r>
    </w:p>
    <w:p w14:paraId="244C5E0B" w14:textId="77777777" w:rsidR="007A0708" w:rsidRDefault="00F80ACD" w:rsidP="001430C6">
      <w:pPr>
        <w:pStyle w:val="1"/>
      </w:pPr>
      <w:bookmarkStart w:id="3" w:name="_Toc99559654"/>
      <w:r>
        <w:t>Techniques of social media in collaboration with Multicultur</w:t>
      </w:r>
      <w:r w:rsidR="001430C6">
        <w:t>alism and Social Integration</w:t>
      </w:r>
      <w:bookmarkEnd w:id="3"/>
      <w:r w:rsidR="001430C6">
        <w:t xml:space="preserve"> </w:t>
      </w:r>
    </w:p>
    <w:p w14:paraId="20C09C9F" w14:textId="77777777" w:rsidR="007A0708" w:rsidRDefault="00F80ACD">
      <w:pPr>
        <w:pStyle w:val="Normal1"/>
        <w:rPr>
          <w:rFonts w:eastAsia="Times New Roman" w:cs="Times New Roman"/>
          <w:color w:val="0E101A"/>
          <w:szCs w:val="24"/>
        </w:rPr>
      </w:pPr>
      <w:r>
        <w:rPr>
          <w:rFonts w:eastAsia="Times New Roman" w:cs="Times New Roman"/>
          <w:b/>
          <w:color w:val="0E101A"/>
          <w:szCs w:val="24"/>
        </w:rPr>
        <w:t xml:space="preserve">Influence of social media on multiculturalism - </w:t>
      </w:r>
      <w:r w:rsidR="001430C6">
        <w:rPr>
          <w:rFonts w:eastAsia="Times New Roman" w:cs="Times New Roman"/>
          <w:color w:val="0E101A"/>
          <w:szCs w:val="24"/>
        </w:rPr>
        <w:t>S</w:t>
      </w:r>
      <w:r>
        <w:rPr>
          <w:rFonts w:eastAsia="Times New Roman" w:cs="Times New Roman"/>
          <w:color w:val="0E101A"/>
          <w:szCs w:val="24"/>
        </w:rPr>
        <w:t xml:space="preserve">ocial media has a powerful role in indulging diversity in society. Facebook, Instagram, Twitter and other social media pages are effective enough to enhance the reaction of mass participants in the background of any topic. The unknown people start reacting to any content or picture may be with or without knowing the matter. As social media does not have any boundaries or limits, it reaches too many people just in a while and instant reaction from the participants reflects in the result. Social media encourages people from different backgrounds to actively participate in the public forum (Radlick et al., 2020). Therefore, a set up multicultural takes place undoubtedly. The organisers of The Thames Path Challenge also use social media extensively to promote The Thames Path Challenge so that the maximum number of people can join. They also use social media for promotion in favour of communal diversity. Many people get attractracted to such advertisements and participate in this challenge. The advertisement contains the links for registration. While registering for the Thames Path Challenge, </w:t>
      </w:r>
      <w:r>
        <w:rPr>
          <w:rFonts w:eastAsia="Times New Roman" w:cs="Times New Roman"/>
          <w:color w:val="0E101A"/>
          <w:szCs w:val="24"/>
        </w:rPr>
        <w:lastRenderedPageBreak/>
        <w:t>a nominal registration is to be given to avail the facility of participation. The organisers have widely used social media to publish their fundraising policies. These policies have three segments that are briefed on their website. Self-funding policy, charity sponsorship and mixed funding are also kept in the frontline while posting the advertisements on social media (Ergashev and Farxodjonova, 2020) As social media covers a larger amount of wide-area without any barrier, therefore, the scope of visitors or participants coming from abroad is also initiated. Therefore, multiculturalism has been propagated by social media.</w:t>
      </w:r>
    </w:p>
    <w:p w14:paraId="18454453" w14:textId="66154CEE" w:rsidR="007A0708" w:rsidRPr="001430C6" w:rsidRDefault="00F80ACD">
      <w:pPr>
        <w:pStyle w:val="Normal1"/>
      </w:pPr>
      <w:r>
        <w:rPr>
          <w:rFonts w:eastAsia="Times New Roman" w:cs="Times New Roman"/>
          <w:b/>
          <w:color w:val="0E101A"/>
          <w:szCs w:val="24"/>
        </w:rPr>
        <w:t xml:space="preserve">Influence of social media on cultural integration - </w:t>
      </w:r>
      <w:r w:rsidRPr="001430C6">
        <w:t xml:space="preserve">Apart from multiculturalism, social media has a strong base to create cultural integrity in society. Cultural integration can be defined as the permutation and combination of different cultures people to stay together for any specific reason. It enhances the quality of the participants to be more user friendly and flexible. Social media is a vast world where every member operates their account to share pictures, content with the expectation that other members will react to it. It establishes a well-defined communication among the known and unknown members from the different corners of the world (Yoon, 2018). Communication is established among all the members of the social media upon the discussion on national and international issues, media and sports. Many groups are operated on social media which consists of a large number of people and everybody is well-connected to each other though they are unknown by face (McCreary et al., 2020). Cultural integration is well-established in this way on the social media platforms and the </w:t>
      </w:r>
      <w:r w:rsidR="00A94523" w:rsidRPr="001430C6">
        <w:t>organizers</w:t>
      </w:r>
      <w:r w:rsidRPr="001430C6">
        <w:t xml:space="preserve"> of Thames Path Challenge have taken wide advantage of social media to establish integrity among the viewers. by posting the advertisements or images, they have noticed that several people from several backgrounds easily react to it and share their views of each other on a common platform. </w:t>
      </w:r>
    </w:p>
    <w:p w14:paraId="345ADF59" w14:textId="77777777" w:rsidR="007A0708" w:rsidRDefault="001430C6" w:rsidP="001430C6">
      <w:pPr>
        <w:pStyle w:val="1"/>
        <w:rPr>
          <w:sz w:val="24"/>
        </w:rPr>
      </w:pPr>
      <w:bookmarkStart w:id="4" w:name="_Toc99559655"/>
      <w:r>
        <w:t>Upcoming Approaches</w:t>
      </w:r>
      <w:bookmarkEnd w:id="4"/>
      <w:r>
        <w:t xml:space="preserve"> </w:t>
      </w:r>
    </w:p>
    <w:p w14:paraId="1D371FD8" w14:textId="77777777" w:rsidR="007A0708" w:rsidRDefault="00F80ACD">
      <w:pPr>
        <w:pStyle w:val="Normal1"/>
        <w:rPr>
          <w:rFonts w:eastAsia="Times New Roman" w:cs="Times New Roman"/>
          <w:color w:val="0E101A"/>
          <w:szCs w:val="24"/>
        </w:rPr>
      </w:pPr>
      <w:r>
        <w:rPr>
          <w:rFonts w:eastAsia="Times New Roman" w:cs="Times New Roman"/>
          <w:color w:val="0E101A"/>
          <w:szCs w:val="24"/>
        </w:rPr>
        <w:t>The organisers of Thames Path Challenge have a set of upcoming approaches which are listed below:</w:t>
      </w:r>
    </w:p>
    <w:p w14:paraId="66CD5205" w14:textId="77777777" w:rsidR="007A0708" w:rsidRDefault="00F80ACD">
      <w:pPr>
        <w:pStyle w:val="Normal1"/>
        <w:numPr>
          <w:ilvl w:val="0"/>
          <w:numId w:val="1"/>
        </w:numPr>
        <w:rPr>
          <w:rFonts w:eastAsia="Times New Roman" w:cs="Times New Roman"/>
          <w:szCs w:val="24"/>
        </w:rPr>
      </w:pPr>
      <w:r>
        <w:rPr>
          <w:rFonts w:eastAsia="Times New Roman" w:cs="Times New Roman"/>
          <w:b/>
          <w:color w:val="0E101A"/>
          <w:szCs w:val="24"/>
        </w:rPr>
        <w:t>More Sponsorship -</w:t>
      </w:r>
      <w:r>
        <w:rPr>
          <w:rFonts w:eastAsia="Times New Roman" w:cs="Times New Roman"/>
          <w:color w:val="0E101A"/>
          <w:szCs w:val="24"/>
        </w:rPr>
        <w:t xml:space="preserve"> Thames Path Challenge team is cultivating ways to bring more sponsorship for arranging exclusively figured out events where participants will be more attracted and will influence others to join actively. </w:t>
      </w:r>
    </w:p>
    <w:p w14:paraId="6DD07EA1" w14:textId="77777777" w:rsidR="007A0708" w:rsidRDefault="001430C6">
      <w:pPr>
        <w:pStyle w:val="Normal1"/>
        <w:numPr>
          <w:ilvl w:val="0"/>
          <w:numId w:val="1"/>
        </w:numPr>
        <w:rPr>
          <w:rFonts w:eastAsia="Times New Roman" w:cs="Times New Roman"/>
          <w:szCs w:val="24"/>
        </w:rPr>
      </w:pPr>
      <w:r>
        <w:rPr>
          <w:rFonts w:eastAsia="Times New Roman" w:cs="Times New Roman"/>
          <w:b/>
          <w:color w:val="0E101A"/>
          <w:szCs w:val="24"/>
        </w:rPr>
        <w:t>Crowd funding</w:t>
      </w:r>
      <w:r w:rsidR="00F80ACD">
        <w:rPr>
          <w:rFonts w:eastAsia="Times New Roman" w:cs="Times New Roman"/>
          <w:b/>
          <w:color w:val="0E101A"/>
          <w:szCs w:val="24"/>
        </w:rPr>
        <w:t xml:space="preserve"> - </w:t>
      </w:r>
      <w:r w:rsidR="00F80ACD">
        <w:rPr>
          <w:rFonts w:eastAsia="Times New Roman" w:cs="Times New Roman"/>
          <w:color w:val="0E101A"/>
          <w:szCs w:val="24"/>
        </w:rPr>
        <w:t xml:space="preserve">Thames Path Challenge organisers have kept the option of charity sponsorship for the participants while they are registering themselves. Here the participants </w:t>
      </w:r>
      <w:r w:rsidR="00F80ACD">
        <w:rPr>
          <w:rFonts w:eastAsia="Times New Roman" w:cs="Times New Roman"/>
          <w:color w:val="0E101A"/>
          <w:szCs w:val="24"/>
        </w:rPr>
        <w:lastRenderedPageBreak/>
        <w:t xml:space="preserve">need to pay at least 50% of the total fund he or she wants to donate and the rest should be managed by the organisers (Kakuhikire et al., 2021). To actively share the contribution with the participants in charity sponsorship or mixed funding, the organisers are looking for a crowdfunding system where non-active members of the society will donate as per their choice. </w:t>
      </w:r>
    </w:p>
    <w:p w14:paraId="7296C725" w14:textId="77777777" w:rsidR="007A0708" w:rsidRDefault="00F80ACD">
      <w:pPr>
        <w:pStyle w:val="Normal1"/>
        <w:numPr>
          <w:ilvl w:val="0"/>
          <w:numId w:val="1"/>
        </w:numPr>
        <w:rPr>
          <w:rFonts w:eastAsia="Times New Roman" w:cs="Times New Roman"/>
          <w:szCs w:val="24"/>
        </w:rPr>
      </w:pPr>
      <w:r>
        <w:rPr>
          <w:rFonts w:eastAsia="Times New Roman" w:cs="Times New Roman"/>
          <w:color w:val="0E101A"/>
          <w:szCs w:val="24"/>
        </w:rPr>
        <w:t xml:space="preserve">Safety and security - The organisers of The Thames Path Challenge have an upcoming approach to ensure more safety and security for the participants as well as optimising furthermore benefits to them. Medical and massage benefits along with fitness activities can be merged with trainers, coaches or guides which will make the participants feel that they are more secure (Carter-Edwards and Taylor, 2022). Healthy food and drinks as per the dietary instructions can be initiated by the team members. </w:t>
      </w:r>
    </w:p>
    <w:p w14:paraId="1D62BC92" w14:textId="77777777" w:rsidR="007A0708" w:rsidRDefault="001430C6" w:rsidP="001430C6">
      <w:pPr>
        <w:pStyle w:val="1"/>
        <w:rPr>
          <w:sz w:val="24"/>
        </w:rPr>
      </w:pPr>
      <w:bookmarkStart w:id="5" w:name="_Toc99559656"/>
      <w:r>
        <w:t>Conclusion</w:t>
      </w:r>
      <w:bookmarkEnd w:id="5"/>
      <w:r>
        <w:t xml:space="preserve"> </w:t>
      </w:r>
    </w:p>
    <w:p w14:paraId="6FE8F6B1" w14:textId="56223CEE" w:rsidR="007A0708" w:rsidRPr="001430C6" w:rsidRDefault="00A94523" w:rsidP="001430C6">
      <w:pPr>
        <w:pStyle w:val="Normal1"/>
      </w:pPr>
      <w:r w:rsidRPr="001430C6">
        <w:t>Therefore,</w:t>
      </w:r>
      <w:r w:rsidR="00F80ACD" w:rsidRPr="001430C6">
        <w:t xml:space="preserve"> to conclude, engagement of local people in any activity which is performed in the community creates bonding in social culture. Many organisations repeatedly perform community engagement programmes for social and </w:t>
      </w:r>
      <w:r w:rsidRPr="001430C6">
        <w:t>economic</w:t>
      </w:r>
      <w:r w:rsidR="00F80ACD" w:rsidRPr="001430C6">
        <w:t xml:space="preserve"> benefits. The organisers may be from corporate backgrounds or charitable organisations. The purpose of such community engagement is to stand by the society where a certain community or underprivileged people needs external support. Thames Path Challenge is one of the renowned community engagements which is organised for the well-being of cancer patients in the UK. here the participants join online to fit into the programme. Organisers have certain advertising links where they promote their programmes. Participants can apply through that online link for joining purposes with a nominal registration fee of Euro 198. The participants also need to donate an amount if they want to get the application sanctioned by the authority. There is self-funding where participants can donate from their side. Charitable sponsorship and mixed funding are also there where a minimum amount is to be given by the participant and the rest is managed by the organisation. The entire donation amount goes into the well-being of the cancer sufferers in the UK at the same time, participants can also enjoy an adventurous programme. The organisation maintains a fabulous relationship with the participants as they are the prime stakeholders of the Thames Path Challenge. Founders are solely responsible to arrange food, drinks, medical checkups, fitness equipment and the safety and security of the participants throughout the event. The organisers use social media as their </w:t>
      </w:r>
      <w:r w:rsidR="00F80ACD" w:rsidRPr="001430C6">
        <w:lastRenderedPageBreak/>
        <w:t xml:space="preserve">promotional tool to achieve maximum support and help to create cultural integration among the team members. Therefore, It has been found that community engagement is well managed by the Thames Path Challenge. </w:t>
      </w:r>
    </w:p>
    <w:p w14:paraId="574CD358" w14:textId="77777777" w:rsidR="007A0708" w:rsidRPr="001430C6" w:rsidRDefault="007A0708" w:rsidP="001430C6">
      <w:pPr>
        <w:pStyle w:val="Normal1"/>
      </w:pPr>
    </w:p>
    <w:p w14:paraId="5C2118C3" w14:textId="77777777" w:rsidR="00A94523" w:rsidRDefault="00A94523">
      <w:pPr>
        <w:rPr>
          <w:rFonts w:ascii="Times New Roman" w:hAnsi="Times New Roman"/>
          <w:b/>
          <w:sz w:val="28"/>
          <w:szCs w:val="40"/>
        </w:rPr>
      </w:pPr>
      <w:bookmarkStart w:id="6" w:name="_Toc99559657"/>
      <w:r>
        <w:br w:type="page"/>
      </w:r>
    </w:p>
    <w:p w14:paraId="3954B84D" w14:textId="7A885B3C" w:rsidR="007A0708" w:rsidRDefault="00F80ACD" w:rsidP="001430C6">
      <w:pPr>
        <w:pStyle w:val="1"/>
      </w:pPr>
      <w:r>
        <w:lastRenderedPageBreak/>
        <w:t>Reference list</w:t>
      </w:r>
      <w:bookmarkEnd w:id="6"/>
    </w:p>
    <w:p w14:paraId="022F39F1" w14:textId="77777777" w:rsidR="001430C6" w:rsidRPr="001430C6" w:rsidRDefault="001430C6" w:rsidP="001430C6">
      <w:pPr>
        <w:pStyle w:val="Normal1"/>
      </w:pPr>
      <w:r w:rsidRPr="001430C6">
        <w:t xml:space="preserve">Carter-Edwards, L. and Taylor, M.M., 2022. Bridging the Urban-Rural Divide in Chronic Disease Through Community Engagement in Health Program Delivery. North Carolina Medical Journal, 83(2), pp.103-106. Available at: </w:t>
      </w:r>
      <w:hyperlink r:id="rId8">
        <w:r w:rsidRPr="001430C6">
          <w:t>https://www.ncmedicaljournal.com/content/ncm/83/2/103.full.pdf</w:t>
        </w:r>
      </w:hyperlink>
      <w:r w:rsidRPr="001430C6">
        <w:t xml:space="preserve"> </w:t>
      </w:r>
    </w:p>
    <w:p w14:paraId="68CE8F77" w14:textId="77777777" w:rsidR="001430C6" w:rsidRPr="001430C6" w:rsidRDefault="001430C6" w:rsidP="001430C6">
      <w:pPr>
        <w:pStyle w:val="Normal1"/>
      </w:pPr>
      <w:r w:rsidRPr="001430C6">
        <w:t xml:space="preserve">Devi, G.R., Hough, H., Barrett, N., Cristofanilli, M., Overmoyer, B., Spector, N., Ueno, N.T., Woodward, W., Kirkpatrick, J., Vincent, B. and Williams, K.P., 2019. Perspectives on inflammatory breast cancer (IBC) research, clinical management and community engagement from the Duke IBC consortium. Journal of Cancer, 10(15), p.3344. Available at: </w:t>
      </w:r>
      <w:hyperlink r:id="rId9">
        <w:r w:rsidRPr="001430C6">
          <w:t>https://www.ncbi.nlm.nih.gov/pmc/articles/pmc6603420/</w:t>
        </w:r>
      </w:hyperlink>
      <w:r w:rsidRPr="001430C6">
        <w:t xml:space="preserve"> </w:t>
      </w:r>
    </w:p>
    <w:p w14:paraId="5762BBEC" w14:textId="77777777" w:rsidR="001430C6" w:rsidRPr="001430C6" w:rsidRDefault="001430C6" w:rsidP="001430C6">
      <w:pPr>
        <w:pStyle w:val="Normal1"/>
      </w:pPr>
      <w:r w:rsidRPr="001430C6">
        <w:t xml:space="preserve">Dutta, T., Meyerson, B.E., Agley, J., Barnes, P.A., Sherwood-Laughlin, C. and Nicholson-Crotty, J., 2020. A qualitative analysis of vaccine decision makers’ conceptualization and fostering of ‘community engagement’in India. International journal for equity in health, 19(1), pp.1-14. Available at: </w:t>
      </w:r>
      <w:hyperlink r:id="rId10">
        <w:r w:rsidRPr="001430C6">
          <w:t>https://link.springer.com/article/10.1186/s12939-020-01290-5</w:t>
        </w:r>
      </w:hyperlink>
      <w:r w:rsidRPr="001430C6">
        <w:t xml:space="preserve"> </w:t>
      </w:r>
    </w:p>
    <w:p w14:paraId="01D0289A" w14:textId="77777777" w:rsidR="001430C6" w:rsidRPr="001430C6" w:rsidRDefault="001430C6" w:rsidP="001430C6">
      <w:pPr>
        <w:pStyle w:val="Normal1"/>
      </w:pPr>
      <w:r w:rsidRPr="001430C6">
        <w:t xml:space="preserve">Ergashev, I. and Farxodjonova, N., 2020. Integration of national culture in the process of globalization. Journal of Critical Reviews, 7(2), p.477. Available at: </w:t>
      </w:r>
      <w:hyperlink r:id="rId11">
        <w:r w:rsidRPr="001430C6">
          <w:t>https://www.researchgate.net/profile/Ergasev-Ibodulla/publication/348233407_Journal_of_Critical_Reviews_Review_Article_INTEGRATION_OF_NATIONAL_CULTURE_IN_THE_PROCESS_OF_GLOBALIZATION/links/5ff453a8299bf1408870877f/Journal-of-Critical-Reviews-Review-Article-INTEGRATION-OF-NATIONAL-CULTURE-IN-THE-PROCESS-OF-GLOBALIZATION.pdf</w:t>
        </w:r>
      </w:hyperlink>
      <w:r w:rsidRPr="001430C6">
        <w:t xml:space="preserve"> </w:t>
      </w:r>
    </w:p>
    <w:p w14:paraId="29B24396" w14:textId="77777777" w:rsidR="001430C6" w:rsidRPr="001430C6" w:rsidRDefault="001430C6" w:rsidP="001430C6">
      <w:pPr>
        <w:pStyle w:val="Normal1"/>
      </w:pPr>
      <w:r w:rsidRPr="001430C6">
        <w:t xml:space="preserve">Fusch, P.I., Hall, J.A. and Fusch, G.E., 2018. Empowering internal stakeholders through the dissemination of useful information: A review of crisis management concepts. Journal of Social Change, 10(1), p.12. Available at: </w:t>
      </w:r>
      <w:hyperlink r:id="rId12">
        <w:r w:rsidRPr="001430C6">
          <w:t>https://scholarworks.waldenu.edu/cgi/viewcontent.cgi?article=1205&amp;context=jsc</w:t>
        </w:r>
      </w:hyperlink>
      <w:r w:rsidRPr="001430C6">
        <w:t xml:space="preserve"> </w:t>
      </w:r>
    </w:p>
    <w:p w14:paraId="36D78858" w14:textId="77777777" w:rsidR="001430C6" w:rsidRPr="001430C6" w:rsidRDefault="001430C6" w:rsidP="001430C6">
      <w:pPr>
        <w:pStyle w:val="Normal1"/>
      </w:pPr>
      <w:r w:rsidRPr="001430C6">
        <w:t xml:space="preserve">Kakuhikire, B., Satinsky, E.N., Baguma, C., Rasmussen, J.D., Perkins, J.M., Gumisiriza, P., Juliet, M., Ayebare, P., Mushavi, R.C., Burns, B.F. and Evans, C.Q., 2021. Correlates of attendance at community engagement meetings held in advance of bio-behavioral research studies: A longitudinal, sociocentric social network study in rural Uganda. PLoS medicine, 18(7), p.e1003705. Available at: </w:t>
      </w:r>
      <w:hyperlink r:id="rId13">
        <w:r w:rsidRPr="001430C6">
          <w:t>https://journals.plos.org/plosmedicine/article?id=10.1371/journal.pmed.1003705</w:t>
        </w:r>
      </w:hyperlink>
      <w:r w:rsidRPr="001430C6">
        <w:t xml:space="preserve"> </w:t>
      </w:r>
    </w:p>
    <w:p w14:paraId="059660F4" w14:textId="77777777" w:rsidR="001430C6" w:rsidRPr="001430C6" w:rsidRDefault="001430C6" w:rsidP="001430C6">
      <w:pPr>
        <w:pStyle w:val="Normal1"/>
      </w:pPr>
      <w:r w:rsidRPr="001430C6">
        <w:lastRenderedPageBreak/>
        <w:t xml:space="preserve">Kimmel, P.L., Jefferson, N., Norton, J.M. and Star, R.A., 2019. How community engagement is enhancing NIDDK research. Clinical Journal of the American Society of Nephrology, 14(5), pp.768-770. Available at: </w:t>
      </w:r>
      <w:hyperlink r:id="rId14">
        <w:r w:rsidRPr="001430C6">
          <w:t>https://cjasn.asnjournals.org/content/14/5/768?WT.MC_ID=TMD01&amp;utm_campaign=Clin_J_Am_Soc_Nephrol_TrendMD_1&amp;utm_medium=cpc&amp;utm_source=TrendMD</w:t>
        </w:r>
      </w:hyperlink>
      <w:r w:rsidRPr="001430C6">
        <w:t xml:space="preserve"> </w:t>
      </w:r>
    </w:p>
    <w:p w14:paraId="751220F7" w14:textId="77777777" w:rsidR="001430C6" w:rsidRPr="001430C6" w:rsidRDefault="001430C6" w:rsidP="001430C6">
      <w:pPr>
        <w:pStyle w:val="Normal1"/>
      </w:pPr>
      <w:r w:rsidRPr="001430C6">
        <w:t xml:space="preserve">Kline, C., Asadian, W., Godolphin, W., Graham, S., Hewitt, C. and Towle, A., 2018. From “academic projectitis” to partnership: community perspectives for authentic community engagement in health professional education. Engaged Scholar Journal: Community-Engaged Research, Teaching, and Learning, 4(1), pp.79-96. Available at: </w:t>
      </w:r>
      <w:hyperlink r:id="rId15">
        <w:r w:rsidRPr="001430C6">
          <w:t>https://esj.usask.ca/index.php/esj/article/download/61585/46530</w:t>
        </w:r>
      </w:hyperlink>
      <w:r w:rsidRPr="001430C6">
        <w:t xml:space="preserve"> </w:t>
      </w:r>
    </w:p>
    <w:p w14:paraId="5387AA00" w14:textId="77777777" w:rsidR="001430C6" w:rsidRPr="001430C6" w:rsidRDefault="001430C6" w:rsidP="001430C6">
      <w:pPr>
        <w:pStyle w:val="Normal1"/>
      </w:pPr>
      <w:r w:rsidRPr="001430C6">
        <w:t xml:space="preserve">McCreary, A., Seekamp, E., Davenport, M. and Smith, J.W., 2020. Exploring qualitative applications of social media data for place-based assessments in destination planning. Current Issues in Tourism, 23(1), pp.82-98. Available at: </w:t>
      </w:r>
      <w:hyperlink r:id="rId16">
        <w:r w:rsidRPr="001430C6">
          <w:t>https://drive.google.com/file/d/1sLS0vuzXLCMrFYT7Uc2lvyH-IJj2d9Jp/view</w:t>
        </w:r>
      </w:hyperlink>
      <w:r w:rsidRPr="001430C6">
        <w:t xml:space="preserve"> </w:t>
      </w:r>
    </w:p>
    <w:p w14:paraId="1691AF06" w14:textId="77777777" w:rsidR="001430C6" w:rsidRPr="001430C6" w:rsidRDefault="001430C6" w:rsidP="001430C6">
      <w:pPr>
        <w:pStyle w:val="Normal1"/>
      </w:pPr>
      <w:r w:rsidRPr="001430C6">
        <w:t xml:space="preserve">McMullen, J.M., George, M., Ingman, B.C., Pulling Kuhn, A., Graham, D.J. and Carson, R.L., 2020. A systematic review of community engagement outcomes research in school‐based health interventions. Journal of School Health, 90(12), pp.985-994. Available at: </w:t>
      </w:r>
      <w:hyperlink r:id="rId17">
        <w:r w:rsidRPr="001430C6">
          <w:t>https://onlinelibrary.wiley.com/doi/pdf/10.1111/josh.12962</w:t>
        </w:r>
      </w:hyperlink>
      <w:r w:rsidRPr="001430C6">
        <w:t xml:space="preserve"> </w:t>
      </w:r>
    </w:p>
    <w:p w14:paraId="6DF437AB" w14:textId="77777777" w:rsidR="001430C6" w:rsidRPr="001430C6" w:rsidRDefault="001430C6" w:rsidP="001430C6">
      <w:pPr>
        <w:pStyle w:val="Normal1"/>
      </w:pPr>
      <w:r w:rsidRPr="001430C6">
        <w:t xml:space="preserve">Radlick, R.L., Mirkovic, J., Przedpelska, S., Brendmo, E.H. and Gammon, D., 2020. Experiences and needs of multicultural youth and their mentors, and implications for digital mentoring platforms: Qualitative exploratory study. JMIR formative research, 4(2), p.e15500. Available at: </w:t>
      </w:r>
      <w:hyperlink r:id="rId18">
        <w:r w:rsidRPr="001430C6">
          <w:t>https://formative.jmir.org/2020/2/e15500</w:t>
        </w:r>
      </w:hyperlink>
      <w:r w:rsidRPr="001430C6">
        <w:t xml:space="preserve"> </w:t>
      </w:r>
    </w:p>
    <w:p w14:paraId="4D0887B1" w14:textId="77777777" w:rsidR="001430C6" w:rsidRPr="001430C6" w:rsidRDefault="001430C6" w:rsidP="001430C6">
      <w:pPr>
        <w:pStyle w:val="Normal1"/>
      </w:pPr>
      <w:r w:rsidRPr="001430C6">
        <w:t xml:space="preserve">Yoon, K., 2018. Multicultural digital media practices of 1.5-generation Korean immigrants in Canada. Asian and Pacific Migration Journal, 27(2), pp.148-165. Available at: </w:t>
      </w:r>
      <w:hyperlink r:id="rId19">
        <w:r w:rsidRPr="001430C6">
          <w:t>https://www.researchgate.net/profile/Kyong-Yoon/publication/324755780_Multicultural_digital_media_practices_of_15-generation_Korean_immigrants_in_Canada/links/5d238367299bf1547ca4d934/Multicultural-digital-media-practices-of-15-generation-Korean-immigrants-in-Canada.pdf</w:t>
        </w:r>
      </w:hyperlink>
      <w:r w:rsidRPr="001430C6">
        <w:t xml:space="preserve"> </w:t>
      </w:r>
    </w:p>
    <w:p w14:paraId="5B4A72C8" w14:textId="77777777" w:rsidR="001430C6" w:rsidRPr="001430C6" w:rsidRDefault="001430C6" w:rsidP="001430C6">
      <w:pPr>
        <w:pStyle w:val="Normal1"/>
      </w:pPr>
      <w:r w:rsidRPr="001430C6">
        <w:t xml:space="preserve">Zaid, A., Sleimi, M. and Alaqra, N., 2021. Environmental Logistic Management, Stakeholders Pressures and Sustainable Performance. Journal of University of Shanghai for Science and Technology, 23 (1), pp.391-396. Available at: </w:t>
      </w:r>
      <w:hyperlink r:id="rId20">
        <w:r w:rsidRPr="001430C6">
          <w:t>https://jusst.org/wp-</w:t>
        </w:r>
        <w:r w:rsidRPr="001430C6">
          <w:lastRenderedPageBreak/>
          <w:t>content/uploads/2021/01/Environmental-Logistic-Management-Stakeholders-Pressures-and-Sustainable-performance-1.pdf</w:t>
        </w:r>
      </w:hyperlink>
      <w:r w:rsidRPr="001430C6">
        <w:t xml:space="preserve"> </w:t>
      </w:r>
    </w:p>
    <w:sectPr w:rsidR="001430C6" w:rsidRPr="001430C6" w:rsidSect="001430C6">
      <w:footerReference w:type="default" r:id="rId2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28171" w14:textId="77777777" w:rsidR="000C0695" w:rsidRDefault="000C0695" w:rsidP="001430C6">
      <w:pPr>
        <w:spacing w:line="240" w:lineRule="auto"/>
      </w:pPr>
      <w:r>
        <w:separator/>
      </w:r>
    </w:p>
  </w:endnote>
  <w:endnote w:type="continuationSeparator" w:id="0">
    <w:p w14:paraId="3F560137" w14:textId="77777777" w:rsidR="000C0695" w:rsidRDefault="000C0695" w:rsidP="001430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316495"/>
      <w:docPartObj>
        <w:docPartGallery w:val="Page Numbers (Bottom of Page)"/>
        <w:docPartUnique/>
      </w:docPartObj>
    </w:sdtPr>
    <w:sdtEndPr/>
    <w:sdtContent>
      <w:sdt>
        <w:sdtPr>
          <w:id w:val="565050523"/>
          <w:docPartObj>
            <w:docPartGallery w:val="Page Numbers (Top of Page)"/>
            <w:docPartUnique/>
          </w:docPartObj>
        </w:sdtPr>
        <w:sdtEndPr/>
        <w:sdtContent>
          <w:p w14:paraId="6E6C020F" w14:textId="77777777" w:rsidR="001430C6" w:rsidRDefault="001430C6">
            <w:pPr>
              <w:pStyle w:val="ab"/>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sdtContent>
      </w:sdt>
    </w:sdtContent>
  </w:sdt>
  <w:p w14:paraId="4097F54E" w14:textId="77777777" w:rsidR="001430C6" w:rsidRDefault="001430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DA4C5" w14:textId="77777777" w:rsidR="000C0695" w:rsidRDefault="000C0695" w:rsidP="001430C6">
      <w:pPr>
        <w:spacing w:line="240" w:lineRule="auto"/>
      </w:pPr>
      <w:r>
        <w:separator/>
      </w:r>
    </w:p>
  </w:footnote>
  <w:footnote w:type="continuationSeparator" w:id="0">
    <w:p w14:paraId="718069FF" w14:textId="77777777" w:rsidR="000C0695" w:rsidRDefault="000C0695" w:rsidP="001430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0B3F99"/>
    <w:multiLevelType w:val="multilevel"/>
    <w:tmpl w:val="DD62A98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4912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removePersonalInformation/>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708"/>
    <w:rsid w:val="00085218"/>
    <w:rsid w:val="000C0695"/>
    <w:rsid w:val="001430C6"/>
    <w:rsid w:val="007A0708"/>
    <w:rsid w:val="008E4015"/>
    <w:rsid w:val="009563A3"/>
    <w:rsid w:val="00A94523"/>
    <w:rsid w:val="00CB3E4D"/>
    <w:rsid w:val="00D240D5"/>
    <w:rsid w:val="00EB04DE"/>
    <w:rsid w:val="00F80ACD"/>
    <w:rsid w:val="00FF3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4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Normal1"/>
    <w:next w:val="Normal1"/>
    <w:rsid w:val="001430C6"/>
    <w:pPr>
      <w:keepNext/>
      <w:keepLines/>
      <w:spacing w:before="400" w:after="120"/>
      <w:outlineLvl w:val="0"/>
    </w:pPr>
    <w:rPr>
      <w:b/>
      <w:sz w:val="28"/>
      <w:szCs w:val="40"/>
    </w:rPr>
  </w:style>
  <w:style w:type="paragraph" w:styleId="2">
    <w:name w:val="heading 2"/>
    <w:basedOn w:val="Normal1"/>
    <w:next w:val="Normal1"/>
    <w:rsid w:val="007A0708"/>
    <w:pPr>
      <w:keepNext/>
      <w:keepLines/>
      <w:spacing w:before="360" w:after="120"/>
      <w:outlineLvl w:val="1"/>
    </w:pPr>
    <w:rPr>
      <w:sz w:val="32"/>
      <w:szCs w:val="32"/>
    </w:rPr>
  </w:style>
  <w:style w:type="paragraph" w:styleId="3">
    <w:name w:val="heading 3"/>
    <w:basedOn w:val="Normal1"/>
    <w:next w:val="Normal1"/>
    <w:rsid w:val="007A0708"/>
    <w:pPr>
      <w:keepNext/>
      <w:keepLines/>
      <w:spacing w:before="320" w:after="80"/>
      <w:outlineLvl w:val="2"/>
    </w:pPr>
    <w:rPr>
      <w:color w:val="434343"/>
      <w:sz w:val="28"/>
      <w:szCs w:val="28"/>
    </w:rPr>
  </w:style>
  <w:style w:type="paragraph" w:styleId="4">
    <w:name w:val="heading 4"/>
    <w:basedOn w:val="Normal1"/>
    <w:next w:val="Normal1"/>
    <w:rsid w:val="007A0708"/>
    <w:pPr>
      <w:keepNext/>
      <w:keepLines/>
      <w:spacing w:before="280" w:after="80"/>
      <w:outlineLvl w:val="3"/>
    </w:pPr>
    <w:rPr>
      <w:color w:val="666666"/>
      <w:szCs w:val="24"/>
    </w:rPr>
  </w:style>
  <w:style w:type="paragraph" w:styleId="5">
    <w:name w:val="heading 5"/>
    <w:basedOn w:val="Normal1"/>
    <w:next w:val="Normal1"/>
    <w:rsid w:val="007A0708"/>
    <w:pPr>
      <w:keepNext/>
      <w:keepLines/>
      <w:spacing w:before="240" w:after="80"/>
      <w:outlineLvl w:val="4"/>
    </w:pPr>
    <w:rPr>
      <w:color w:val="666666"/>
      <w:sz w:val="22"/>
    </w:rPr>
  </w:style>
  <w:style w:type="paragraph" w:styleId="6">
    <w:name w:val="heading 6"/>
    <w:basedOn w:val="Normal1"/>
    <w:next w:val="Normal1"/>
    <w:rsid w:val="007A0708"/>
    <w:pPr>
      <w:keepNext/>
      <w:keepLines/>
      <w:spacing w:before="240" w:after="80"/>
      <w:outlineLvl w:val="5"/>
    </w:pPr>
    <w:rPr>
      <w:i/>
      <w:color w:val="666666"/>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1430C6"/>
    <w:pPr>
      <w:spacing w:line="360" w:lineRule="auto"/>
      <w:jc w:val="both"/>
    </w:pPr>
    <w:rPr>
      <w:rFonts w:ascii="Times New Roman" w:hAnsi="Times New Roman"/>
      <w:sz w:val="24"/>
    </w:rPr>
  </w:style>
  <w:style w:type="paragraph" w:styleId="a3">
    <w:name w:val="Title"/>
    <w:basedOn w:val="Normal1"/>
    <w:next w:val="Normal1"/>
    <w:rsid w:val="007A0708"/>
    <w:pPr>
      <w:keepNext/>
      <w:keepLines/>
      <w:spacing w:after="60"/>
    </w:pPr>
    <w:rPr>
      <w:sz w:val="52"/>
      <w:szCs w:val="52"/>
    </w:rPr>
  </w:style>
  <w:style w:type="paragraph" w:styleId="a4">
    <w:name w:val="Subtitle"/>
    <w:basedOn w:val="Normal1"/>
    <w:next w:val="Normal1"/>
    <w:rsid w:val="007A0708"/>
    <w:pPr>
      <w:keepNext/>
      <w:keepLines/>
      <w:spacing w:after="320"/>
    </w:pPr>
    <w:rPr>
      <w:rFonts w:ascii="Arial" w:hAnsi="Arial"/>
      <w:color w:val="666666"/>
      <w:sz w:val="30"/>
      <w:szCs w:val="30"/>
    </w:rPr>
  </w:style>
  <w:style w:type="paragraph" w:styleId="a5">
    <w:name w:val="TOC Heading"/>
    <w:basedOn w:val="1"/>
    <w:next w:val="a"/>
    <w:uiPriority w:val="39"/>
    <w:semiHidden/>
    <w:unhideWhenUsed/>
    <w:qFormat/>
    <w:rsid w:val="001430C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10">
    <w:name w:val="toc 1"/>
    <w:basedOn w:val="a"/>
    <w:next w:val="a"/>
    <w:autoRedefine/>
    <w:uiPriority w:val="39"/>
    <w:unhideWhenUsed/>
    <w:rsid w:val="001430C6"/>
    <w:pPr>
      <w:spacing w:after="100"/>
    </w:pPr>
  </w:style>
  <w:style w:type="character" w:styleId="a6">
    <w:name w:val="Hyperlink"/>
    <w:basedOn w:val="a0"/>
    <w:uiPriority w:val="99"/>
    <w:unhideWhenUsed/>
    <w:rsid w:val="001430C6"/>
    <w:rPr>
      <w:color w:val="0000FF" w:themeColor="hyperlink"/>
      <w:u w:val="single"/>
    </w:rPr>
  </w:style>
  <w:style w:type="paragraph" w:styleId="a7">
    <w:name w:val="Balloon Text"/>
    <w:basedOn w:val="a"/>
    <w:link w:val="a8"/>
    <w:uiPriority w:val="99"/>
    <w:semiHidden/>
    <w:unhideWhenUsed/>
    <w:rsid w:val="001430C6"/>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30C6"/>
    <w:rPr>
      <w:rFonts w:ascii="Tahoma" w:hAnsi="Tahoma" w:cs="Tahoma"/>
      <w:sz w:val="16"/>
      <w:szCs w:val="16"/>
    </w:rPr>
  </w:style>
  <w:style w:type="paragraph" w:styleId="a9">
    <w:name w:val="header"/>
    <w:basedOn w:val="a"/>
    <w:link w:val="aa"/>
    <w:uiPriority w:val="99"/>
    <w:unhideWhenUsed/>
    <w:rsid w:val="001430C6"/>
    <w:pPr>
      <w:tabs>
        <w:tab w:val="center" w:pos="4680"/>
        <w:tab w:val="right" w:pos="9360"/>
      </w:tabs>
      <w:spacing w:line="240" w:lineRule="auto"/>
    </w:pPr>
  </w:style>
  <w:style w:type="character" w:customStyle="1" w:styleId="aa">
    <w:name w:val="Верхний колонтитул Знак"/>
    <w:basedOn w:val="a0"/>
    <w:link w:val="a9"/>
    <w:uiPriority w:val="99"/>
    <w:rsid w:val="001430C6"/>
  </w:style>
  <w:style w:type="paragraph" w:styleId="ab">
    <w:name w:val="footer"/>
    <w:basedOn w:val="a"/>
    <w:link w:val="ac"/>
    <w:uiPriority w:val="99"/>
    <w:unhideWhenUsed/>
    <w:rsid w:val="001430C6"/>
    <w:pPr>
      <w:tabs>
        <w:tab w:val="center" w:pos="4680"/>
        <w:tab w:val="right" w:pos="9360"/>
      </w:tabs>
      <w:spacing w:line="240" w:lineRule="auto"/>
    </w:pPr>
  </w:style>
  <w:style w:type="character" w:customStyle="1" w:styleId="ac">
    <w:name w:val="Нижний колонтитул Знак"/>
    <w:basedOn w:val="a0"/>
    <w:link w:val="ab"/>
    <w:uiPriority w:val="99"/>
    <w:rsid w:val="00143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cmedicaljournal.com/content/ncm/83/2/103.full.pdf" TargetMode="External"/><Relationship Id="rId13" Type="http://schemas.openxmlformats.org/officeDocument/2006/relationships/hyperlink" Target="https://journals.plos.org/plosmedicine/article?id=10.1371/journal.pmed.1003705" TargetMode="External"/><Relationship Id="rId18" Type="http://schemas.openxmlformats.org/officeDocument/2006/relationships/hyperlink" Target="https://formative.jmir.org/2020/2/e1550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cholarworks.waldenu.edu/cgi/viewcontent.cgi?article=1205&amp;context=jsc" TargetMode="External"/><Relationship Id="rId17" Type="http://schemas.openxmlformats.org/officeDocument/2006/relationships/hyperlink" Target="https://onlinelibrary.wiley.com/doi/pdf/10.1111/josh.12962" TargetMode="External"/><Relationship Id="rId2" Type="http://schemas.openxmlformats.org/officeDocument/2006/relationships/numbering" Target="numbering.xml"/><Relationship Id="rId16" Type="http://schemas.openxmlformats.org/officeDocument/2006/relationships/hyperlink" Target="https://drive.google.com/file/d/1sLS0vuzXLCMrFYT7Uc2lvyH-IJj2d9Jp/view" TargetMode="External"/><Relationship Id="rId20" Type="http://schemas.openxmlformats.org/officeDocument/2006/relationships/hyperlink" Target="https://jusst.org/wp-content/uploads/2021/01/Environmental-Logistic-Management-Stakeholders-Pressures-and-Sustainable-performance-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Ergasev-Ibodulla/publication/348233407_Journal_of_Critical_Reviews_Review_Article_INTEGRATION_OF_NATIONAL_CULTURE_IN_THE_PROCESS_OF_GLOBALIZATION/links/5ff453a8299bf1408870877f/Journal-of-Critical-Reviews-Review-Article-INTEGRATION-OF-NATIONAL-CULTURE-IN-THE-PROCESS-OF-GLOBALIZATION.pdf" TargetMode="External"/><Relationship Id="rId5" Type="http://schemas.openxmlformats.org/officeDocument/2006/relationships/webSettings" Target="webSettings.xml"/><Relationship Id="rId15" Type="http://schemas.openxmlformats.org/officeDocument/2006/relationships/hyperlink" Target="https://esj.usask.ca/index.php/esj/article/download/61585/46530" TargetMode="External"/><Relationship Id="rId23" Type="http://schemas.openxmlformats.org/officeDocument/2006/relationships/theme" Target="theme/theme1.xml"/><Relationship Id="rId10" Type="http://schemas.openxmlformats.org/officeDocument/2006/relationships/hyperlink" Target="https://link.springer.com/article/10.1186/s12939-020-01290-5" TargetMode="External"/><Relationship Id="rId19" Type="http://schemas.openxmlformats.org/officeDocument/2006/relationships/hyperlink" Target="https://www.researchgate.net/profile/Kyong-Yoon/publication/324755780_Multicultural_digital_media_practices_of_15-generation_Korean_immigrants_in_Canada/links/5d238367299bf1547ca4d934/Multicultural-digital-media-practices-of-15-generation-Korean-immigrants-in-Canada.pdf" TargetMode="External"/><Relationship Id="rId4" Type="http://schemas.openxmlformats.org/officeDocument/2006/relationships/settings" Target="settings.xml"/><Relationship Id="rId9" Type="http://schemas.openxmlformats.org/officeDocument/2006/relationships/hyperlink" Target="https://www.ncbi.nlm.nih.gov/pmc/articles/pmc6603420/" TargetMode="External"/><Relationship Id="rId14" Type="http://schemas.openxmlformats.org/officeDocument/2006/relationships/hyperlink" Target="https://cjasn.asnjournals.org/content/14/5/768?WT.MC_ID=TMD01&amp;utm_campaign=Clin_J_Am_Soc_Nephrol_TrendMD_1&amp;utm_medium=cpc&amp;utm_source=Trend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E80DF-06BF-4C96-94DC-415B3A4BD3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3066</Words>
  <Characters>17480</Characters>
  <Application>Microsoft Office Word</Application>
  <DocSecurity>0</DocSecurity>
  <Lines>145</Lines>
  <Paragraphs>41</Paragraphs>
  <ScaleCrop>false</ScaleCrop>
  <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2022-04-30T09:07:00Z</dcterms:created>
  <dcterms:modified xsi:type="dcterms:W3CDTF">2022-04-30T09:07:00Z</dcterms:modified>
</cp:coreProperties>
</file>