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6"/>
          <w:szCs w:val="36"/>
          <w:u w:val="single"/>
          <w:lang w:val="en-GB"/>
        </w:rPr>
      </w:pPr>
      <w:r>
        <w:rPr>
          <w:sz w:val="36"/>
          <w:szCs w:val="36"/>
          <w:u w:val="single"/>
          <w:lang w:val="en-GB"/>
        </w:rPr>
        <w:t>Critically examine the descriptions given by Greek authors about the land,animals and peoples of India prior to Alexander the Great. What can they tell us about Archaic and Classical Greek conception of the edges of the earth?</w:t>
      </w:r>
    </w:p>
    <w:p>
      <w:pPr>
        <w:rPr>
          <w:sz w:val="36"/>
          <w:szCs w:val="36"/>
          <w:u w:val="single"/>
          <w:lang w:val="en-GB"/>
        </w:rPr>
      </w:pPr>
    </w:p>
    <w:p>
      <w:pPr>
        <w:rPr>
          <w:sz w:val="28"/>
          <w:szCs w:val="28"/>
          <w:u w:val="none"/>
          <w:lang w:val="en-GB"/>
        </w:rPr>
      </w:pPr>
      <w:r>
        <w:rPr>
          <w:sz w:val="28"/>
          <w:szCs w:val="28"/>
          <w:u w:val="none"/>
          <w:lang w:val="en-GB"/>
        </w:rPr>
        <w:t>In this essay I will be looking at what the Greek authors tell us about the land, animals and people of India and what they can tell us about how the Greeks viewed India. In this essay I will be looking at what Scylax, Ctsesias, Herodotus and Hecataeus tell us about India. The land of India was not visited by many Greek and was considered to be quite exotic and full of creatures that were not found anywhere else in the known world. India was also considered to be at the edge of the world.</w:t>
      </w:r>
    </w:p>
    <w:p>
      <w:pPr>
        <w:rPr>
          <w:sz w:val="28"/>
          <w:szCs w:val="28"/>
          <w:u w:val="none"/>
          <w:lang w:val="en-GB"/>
        </w:rPr>
      </w:pPr>
    </w:p>
    <w:p>
      <w:pPr>
        <w:rPr>
          <w:rFonts w:hint="default"/>
          <w:sz w:val="28"/>
          <w:szCs w:val="28"/>
          <w:u w:val="none"/>
          <w:lang w:val="en-GB"/>
        </w:rPr>
      </w:pPr>
      <w:r>
        <w:rPr>
          <w:sz w:val="28"/>
          <w:szCs w:val="28"/>
          <w:u w:val="none"/>
          <w:lang w:val="en-GB"/>
        </w:rPr>
        <w:t xml:space="preserve">Scylax was the first reported Greek to have had contact with the country of India. We are told this by Herodotus as he says: </w:t>
      </w:r>
      <w:r>
        <w:rPr>
          <w:rFonts w:hint="default"/>
          <w:sz w:val="28"/>
          <w:szCs w:val="28"/>
          <w:u w:val="none"/>
          <w:lang w:val="en-GB"/>
        </w:rPr>
        <w:t>“Darius,desiring to know where the Indus empties into the sea, sent ships manned by Scylax, a man of Caryanda and whose he trusted.”</w:t>
      </w:r>
      <w:r>
        <w:rPr>
          <w:rStyle w:val="4"/>
          <w:rFonts w:hint="default"/>
          <w:sz w:val="28"/>
          <w:szCs w:val="28"/>
          <w:u w:val="none"/>
          <w:lang w:val="en-GB"/>
        </w:rPr>
        <w:footnoteReference w:id="0"/>
      </w:r>
      <w:r>
        <w:rPr>
          <w:rFonts w:hint="default"/>
          <w:sz w:val="28"/>
          <w:szCs w:val="28"/>
          <w:u w:val="none"/>
          <w:lang w:val="en-GB"/>
        </w:rPr>
        <w:t xml:space="preserve"> A couple of sections later Herodotus says: “After this circumnavigation, Darius subjugated the Indians and made use of this sea. Thus is was discovered that Asia, except the parts towards the rising sun, was in other respects like Libya.”</w:t>
      </w:r>
      <w:r>
        <w:rPr>
          <w:rStyle w:val="4"/>
          <w:rFonts w:hint="default"/>
          <w:sz w:val="28"/>
          <w:szCs w:val="28"/>
          <w:u w:val="none"/>
          <w:lang w:val="en-GB"/>
        </w:rPr>
        <w:footnoteReference w:id="1"/>
      </w:r>
      <w:r>
        <w:rPr>
          <w:rFonts w:hint="default"/>
          <w:sz w:val="28"/>
          <w:szCs w:val="28"/>
          <w:u w:val="none"/>
          <w:lang w:val="en-GB"/>
        </w:rPr>
        <w:t xml:space="preserve"> Herodotus here tell us that the country of India is very similar to Libya. Unfortunately Scylax’s work is in fragments so we have to use other historians to understand what he said about India. Therefore, we may encounter some problems with the historians we have to use when learning about what Scylax says as they may have changed his work slightly depending on their opinions of him as a person.</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From other authors we also learn that Scylax mentions lots of strange creatures which exist in India. Philostratus says “ and as to the Pigmies, he said that they lived underground, and that they lay on the other side of the Ganges and lived in the manner which is related by all. As to the men that are shadow-footed or have long heads, and as to other special poetical fancies which the treatise of Scylax recounts about them, he said that they didn’t live anywhere on the earth, and least of all India.”</w:t>
      </w:r>
      <w:r>
        <w:rPr>
          <w:rStyle w:val="4"/>
          <w:rFonts w:hint="default"/>
          <w:sz w:val="28"/>
          <w:szCs w:val="28"/>
          <w:u w:val="none"/>
          <w:lang w:val="en-GB"/>
        </w:rPr>
        <w:footnoteReference w:id="2"/>
      </w:r>
      <w:r>
        <w:rPr>
          <w:rFonts w:hint="default"/>
          <w:sz w:val="28"/>
          <w:szCs w:val="28"/>
          <w:u w:val="none"/>
          <w:lang w:val="en-GB"/>
        </w:rPr>
        <w:t xml:space="preserve"> this quote shows that Syclax claims Pigmies and shadow-footed people apparently lived in India. Scylax most likely would have never seen a monkey before so when he first saw he one might have thought it was just a smaller human as humans and monkeys are similar which is why he claimed them to be Pigmies. Philostratus is saying that the Pigmies, Shadow-footed people and any other of the mystical creatures Scylax wrote about did not actually exist and definitely did not exist in India. </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From Athenaeus we learn that Hecataeus talks about artichokes growing in India. Athenaeus says “Hecataeus of Miletus, in the description of Asia, has the following [description of the mountains around Hyrcancian sea where artichoke]…he also says that the artichoke grows in the region of the Indus river.”</w:t>
      </w:r>
      <w:r>
        <w:rPr>
          <w:rStyle w:val="4"/>
          <w:rFonts w:hint="default"/>
          <w:sz w:val="28"/>
          <w:szCs w:val="28"/>
          <w:u w:val="none"/>
          <w:lang w:val="en-GB"/>
        </w:rPr>
        <w:footnoteReference w:id="3"/>
      </w:r>
      <w:r>
        <w:rPr>
          <w:rFonts w:hint="default"/>
          <w:sz w:val="28"/>
          <w:szCs w:val="28"/>
          <w:u w:val="none"/>
          <w:lang w:val="en-GB"/>
        </w:rPr>
        <w:t xml:space="preserve"> this shows that the land of India has the ability to grow artichokes.</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Herodotus gives us a description of India. He says “to the east of the Indian country is sand.”</w:t>
      </w:r>
      <w:r>
        <w:rPr>
          <w:rStyle w:val="4"/>
          <w:rFonts w:hint="default"/>
          <w:sz w:val="28"/>
          <w:szCs w:val="28"/>
          <w:u w:val="none"/>
          <w:lang w:val="en-GB"/>
        </w:rPr>
        <w:footnoteReference w:id="4"/>
      </w:r>
      <w:r>
        <w:rPr>
          <w:rFonts w:hint="default"/>
          <w:sz w:val="28"/>
          <w:szCs w:val="28"/>
          <w:u w:val="none"/>
          <w:lang w:val="en-GB"/>
        </w:rPr>
        <w:t xml:space="preserve"> this shows that the Greeks believed that India is at the edge of the inhabited world and no one else could possible live beyond the desert east of India. Herodotus also describes some of the types of people who reside in India. He says “ Other Indians, to the east of these, are nomads and eat raw flesh: they are called Padaei. It is said  to be their custom that when anyone of their fellow, whether man or woman, is sick, a man’s closest friends kill him, saying that if wasted by disease he will be lost to them meat; though he denies that he is sick, they will not believe him, but kill him and eat him.”</w:t>
      </w:r>
      <w:r>
        <w:rPr>
          <w:rStyle w:val="4"/>
          <w:rFonts w:hint="default"/>
          <w:sz w:val="28"/>
          <w:szCs w:val="28"/>
          <w:u w:val="none"/>
          <w:lang w:val="en-GB"/>
        </w:rPr>
        <w:footnoteReference w:id="5"/>
      </w:r>
      <w:r>
        <w:rPr>
          <w:rFonts w:hint="default"/>
          <w:sz w:val="28"/>
          <w:szCs w:val="28"/>
          <w:u w:val="none"/>
          <w:lang w:val="en-GB"/>
        </w:rPr>
        <w:t xml:space="preserve"> This quote shoes that the Greeks believed there was a big difference between the Indians and the Greeks and that some of the Indians were considered to be barbarians as they would eat other humans.</w:t>
      </w:r>
    </w:p>
    <w:p>
      <w:pPr>
        <w:rPr>
          <w:rFonts w:hint="default"/>
          <w:sz w:val="28"/>
          <w:szCs w:val="28"/>
          <w:u w:val="none"/>
          <w:lang w:val="en-GB"/>
        </w:rPr>
      </w:pPr>
      <w:r>
        <w:rPr>
          <w:rFonts w:hint="default"/>
          <w:sz w:val="28"/>
          <w:szCs w:val="28"/>
          <w:u w:val="none"/>
          <w:lang w:val="en-GB"/>
        </w:rPr>
        <w:t>Herodotus also says “These Indians whom I have described have intercourse like cattle; they are all black skinned, like Ethiopians.”</w:t>
      </w:r>
      <w:r>
        <w:rPr>
          <w:rStyle w:val="4"/>
          <w:rFonts w:hint="default"/>
          <w:sz w:val="28"/>
          <w:szCs w:val="28"/>
          <w:u w:val="none"/>
          <w:lang w:val="en-GB"/>
        </w:rPr>
        <w:footnoteReference w:id="6"/>
      </w:r>
      <w:r>
        <w:rPr>
          <w:rFonts w:hint="default"/>
          <w:sz w:val="28"/>
          <w:szCs w:val="28"/>
          <w:u w:val="none"/>
          <w:lang w:val="en-GB"/>
        </w:rPr>
        <w:t xml:space="preserve"> this quotes shows that the Indians have been compared to cattle which shows the Greeks think they are uncivilised and more barbaric than they themselves are. They have also been compared to the Ethiopians which was also considered to be part of the edge of the world which shows they believe the further away you get from the centre the darker your skin tone is. There is also another reference to Indians being similar to Ethiopians from Herodotus, he says “ their semen too which they ejaculate into the women, is not white, but black like their skin, and resembles in this respect in this respect that of the Ethiopians.”</w:t>
      </w:r>
      <w:r>
        <w:rPr>
          <w:rStyle w:val="4"/>
          <w:rFonts w:hint="default"/>
          <w:sz w:val="28"/>
          <w:szCs w:val="28"/>
          <w:u w:val="none"/>
          <w:lang w:val="en-GB"/>
        </w:rPr>
        <w:footnoteReference w:id="7"/>
      </w:r>
      <w:r>
        <w:rPr>
          <w:rFonts w:hint="default"/>
          <w:sz w:val="28"/>
          <w:szCs w:val="28"/>
          <w:u w:val="none"/>
          <w:lang w:val="en-GB"/>
        </w:rPr>
        <w:t xml:space="preserve"> this quote again shows that Herodotus considers that people towards the edge of the known world means you are darker in skin tone and that the Indians are very similar to the Ethiopians. </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Herodotus also gives us an idea that he was aware the Greeks had a wrong impression of some of the Indian peoples. He said “When Darius was king, he summoned the Greeks who were with him and asked them for what price they would eat their fathers’ dead bodies. They answered that there was no price for which they would do it. Then Darius summoned those Indians who are called Callatiae, who eat their parents, and asked them (the Greeks being present and understanding through interpreters what was said) what would make them willing to burn their fathers at death. The Indians cried aloud, that he should not speak of so horrid an act…”</w:t>
      </w:r>
      <w:r>
        <w:rPr>
          <w:rStyle w:val="4"/>
          <w:rFonts w:hint="default"/>
          <w:sz w:val="28"/>
          <w:szCs w:val="28"/>
          <w:u w:val="none"/>
          <w:lang w:val="en-GB"/>
        </w:rPr>
        <w:footnoteReference w:id="8"/>
      </w:r>
      <w:r>
        <w:rPr>
          <w:rFonts w:hint="default"/>
          <w:sz w:val="28"/>
          <w:szCs w:val="28"/>
          <w:u w:val="none"/>
          <w:lang w:val="en-GB"/>
        </w:rPr>
        <w:t xml:space="preserve"> this quote shows that the Greek perception of some of the Indian peoples was wrong and that they were not as uncivilised or barbaric as they had perhaps initially thought.</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Herodotus also talks about extremely large ants which dig up gold. Herodotus says “In this sandy desert are Ants, not as big as dogs but bigger than foxes; the Persian king have some of these which have been caught there. These ants live underground, digging out sand in the same way as the ants in Greece, to which they are very similar in shape, and the sand which they carry from the holes is full of gold.”</w:t>
      </w:r>
      <w:r>
        <w:rPr>
          <w:rStyle w:val="4"/>
          <w:rFonts w:hint="default"/>
          <w:sz w:val="28"/>
          <w:szCs w:val="28"/>
          <w:u w:val="none"/>
          <w:lang w:val="en-GB"/>
        </w:rPr>
        <w:footnoteReference w:id="9"/>
      </w:r>
      <w:r>
        <w:rPr>
          <w:rFonts w:hint="default"/>
          <w:sz w:val="28"/>
          <w:szCs w:val="28"/>
          <w:u w:val="none"/>
          <w:lang w:val="en-GB"/>
        </w:rPr>
        <w:t xml:space="preserve"> These giant ants show that thing in India are much bigger and stranger than any animals in Greece which Herodotus would have seen himself Herodotus himself most likely never went to India which means he would never have actually seen these giant gold digging ants for himself. This means that he would have had to have asked people to find out this information which mean we can have to question the reliability of Herodotus when looking at India.</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Ctesias was another ancient writer who spoke about India. The work of Ctesias like Scylax is also found in fragments so most of the information we get about what Ctesias wrote about we find from looking at other ancient authors who write about him in their own works. He describes another mystical creature called the manticore. Pausanias says “that it has three rows of teeth along each jaw and spikes at the tip of its tail with which it defends itself at close quarters, while it hurls them like an archer’s arrows at more distance enemies; all this is, I think, a false story that the Indians pass on from one another owing to their excessive dread of the beast.”</w:t>
      </w:r>
      <w:r>
        <w:rPr>
          <w:rStyle w:val="4"/>
          <w:rFonts w:hint="default"/>
          <w:sz w:val="28"/>
          <w:szCs w:val="28"/>
          <w:u w:val="none"/>
          <w:lang w:val="en-GB"/>
        </w:rPr>
        <w:footnoteReference w:id="10"/>
      </w:r>
      <w:r>
        <w:rPr>
          <w:rFonts w:hint="default"/>
          <w:sz w:val="28"/>
          <w:szCs w:val="28"/>
          <w:u w:val="none"/>
          <w:lang w:val="en-GB"/>
        </w:rPr>
        <w:t xml:space="preserve"> This is showing that Pausanias does not believe the existence of the Manticore which means he think Ctesias was making stuff up.</w:t>
      </w:r>
    </w:p>
    <w:p>
      <w:pPr>
        <w:rPr>
          <w:rFonts w:hint="default"/>
          <w:sz w:val="28"/>
          <w:szCs w:val="28"/>
          <w:u w:val="none"/>
          <w:lang w:val="en-GB"/>
        </w:rPr>
      </w:pPr>
    </w:p>
    <w:p>
      <w:pPr>
        <w:rPr>
          <w:rFonts w:hint="default"/>
          <w:sz w:val="28"/>
          <w:szCs w:val="28"/>
          <w:u w:val="none"/>
          <w:lang w:val="en-GB"/>
        </w:rPr>
      </w:pPr>
      <w:r>
        <w:rPr>
          <w:rFonts w:hint="default"/>
          <w:sz w:val="28"/>
          <w:szCs w:val="28"/>
          <w:u w:val="none"/>
          <w:lang w:val="en-GB"/>
        </w:rPr>
        <w:t>In conclusion most of the authors who write about India did not seem to have a proper idea at what India was like as they believed that some of the Indian people were cannibals and they seemed to make up creatures that did not exist. The Greek perception seemed to suggest they were slightly barbaric and uncivilised. This may have been because the culture differences between them were different that they did not understand what they were hearing about or seeing with the Indians so it may have made them exaggerate or make up lies when talking about the creatures of India and the people of India.</w:t>
      </w:r>
    </w:p>
    <w:p>
      <w:pPr>
        <w:rPr>
          <w:rFonts w:hint="default"/>
          <w:sz w:val="28"/>
          <w:szCs w:val="28"/>
          <w:u w:val="none"/>
          <w:lang w:val="en-GB"/>
        </w:rPr>
      </w:pPr>
    </w:p>
    <w:p>
      <w:pPr>
        <w:rPr>
          <w:rFonts w:hint="default"/>
          <w:sz w:val="28"/>
          <w:szCs w:val="28"/>
          <w:u w:val="none"/>
          <w:lang w:val="en-GB"/>
        </w:rPr>
      </w:pPr>
    </w:p>
    <w:p>
      <w:pPr>
        <w:rPr>
          <w:rFonts w:hint="default"/>
          <w:sz w:val="28"/>
          <w:szCs w:val="28"/>
          <w:u w:val="none"/>
          <w:lang w:val="en-GB"/>
        </w:rPr>
      </w:pPr>
    </w:p>
    <w:p>
      <w:pPr>
        <w:rPr>
          <w:rFonts w:hint="default"/>
          <w:sz w:val="28"/>
          <w:szCs w:val="28"/>
          <w:u w:val="none"/>
          <w:lang w:val="en-GB"/>
        </w:rPr>
      </w:pPr>
    </w:p>
    <w:p>
      <w:pPr>
        <w:rPr>
          <w:rFonts w:hint="default"/>
          <w:sz w:val="28"/>
          <w:szCs w:val="28"/>
          <w:u w:val="non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p>
    <w:p>
      <w:pPr>
        <w:rPr>
          <w:rFonts w:hint="default"/>
          <w:sz w:val="28"/>
          <w:szCs w:val="28"/>
          <w:u w:val="single"/>
          <w:lang w:val="en-GB"/>
        </w:rPr>
      </w:pPr>
      <w:r>
        <w:rPr>
          <w:rFonts w:hint="default"/>
          <w:sz w:val="28"/>
          <w:szCs w:val="28"/>
          <w:u w:val="single"/>
          <w:lang w:val="en-GB"/>
        </w:rPr>
        <w:t>Bibliography</w:t>
      </w:r>
    </w:p>
    <w:p>
      <w:pPr>
        <w:rPr>
          <w:rFonts w:hint="default"/>
          <w:sz w:val="28"/>
          <w:szCs w:val="28"/>
          <w:u w:val="single"/>
          <w:lang w:val="en-GB"/>
        </w:rPr>
      </w:pPr>
    </w:p>
    <w:p>
      <w:pPr>
        <w:numPr>
          <w:ilvl w:val="0"/>
          <w:numId w:val="1"/>
        </w:numPr>
        <w:rPr>
          <w:rFonts w:hint="default"/>
          <w:sz w:val="28"/>
          <w:szCs w:val="28"/>
          <w:u w:val="none"/>
          <w:lang w:val="en-GB"/>
        </w:rPr>
      </w:pPr>
      <w:r>
        <w:rPr>
          <w:rFonts w:hint="default"/>
          <w:sz w:val="28"/>
          <w:szCs w:val="28"/>
          <w:u w:val="none"/>
          <w:lang w:val="en-GB"/>
        </w:rPr>
        <w:t>Athenaeus, The Deipnosophists, Henry G Bohn (trans), 1854, York Street Covent Garden.</w:t>
      </w:r>
    </w:p>
    <w:p>
      <w:pPr>
        <w:numPr>
          <w:ilvl w:val="0"/>
          <w:numId w:val="1"/>
        </w:numPr>
        <w:rPr>
          <w:rFonts w:hint="default"/>
          <w:sz w:val="28"/>
          <w:szCs w:val="28"/>
          <w:u w:val="none"/>
          <w:lang w:val="en-GB"/>
        </w:rPr>
      </w:pPr>
      <w:r>
        <w:rPr>
          <w:rFonts w:hint="default"/>
          <w:sz w:val="28"/>
          <w:szCs w:val="28"/>
          <w:u w:val="none"/>
          <w:lang w:val="en-GB"/>
        </w:rPr>
        <w:t>Herodotus, The Histories</w:t>
      </w:r>
      <w:r>
        <w:rPr>
          <w:rFonts w:hint="default"/>
          <w:i/>
          <w:iCs/>
          <w:sz w:val="28"/>
          <w:szCs w:val="28"/>
          <w:u w:val="none"/>
          <w:lang w:val="en-GB"/>
        </w:rPr>
        <w:t>,</w:t>
      </w:r>
      <w:r>
        <w:rPr>
          <w:rFonts w:hint="default"/>
          <w:i w:val="0"/>
          <w:iCs w:val="0"/>
          <w:sz w:val="28"/>
          <w:szCs w:val="28"/>
          <w:u w:val="none"/>
          <w:lang w:val="en-GB"/>
        </w:rPr>
        <w:t xml:space="preserve"> Godley (trans), 1920 Cambridge, Harvard university press.</w:t>
      </w:r>
    </w:p>
    <w:p>
      <w:pPr>
        <w:numPr>
          <w:ilvl w:val="0"/>
          <w:numId w:val="1"/>
        </w:numPr>
        <w:rPr>
          <w:rFonts w:hint="default"/>
          <w:sz w:val="28"/>
          <w:szCs w:val="28"/>
          <w:u w:val="none"/>
          <w:lang w:val="en-GB"/>
        </w:rPr>
      </w:pPr>
      <w:r>
        <w:rPr>
          <w:rFonts w:hint="default"/>
          <w:sz w:val="28"/>
          <w:szCs w:val="28"/>
          <w:u w:val="none"/>
          <w:lang w:val="en-GB"/>
        </w:rPr>
        <w:t>Pausanias, description of Greece, W.H.S Jones (trans)</w:t>
      </w:r>
    </w:p>
    <w:p>
      <w:pPr>
        <w:numPr>
          <w:ilvl w:val="0"/>
          <w:numId w:val="1"/>
        </w:numPr>
        <w:rPr>
          <w:rFonts w:hint="default"/>
          <w:sz w:val="28"/>
          <w:szCs w:val="28"/>
          <w:u w:val="none"/>
          <w:lang w:val="en-GB"/>
        </w:rPr>
      </w:pPr>
      <w:r>
        <w:rPr>
          <w:rFonts w:hint="default"/>
          <w:i w:val="0"/>
          <w:iCs w:val="0"/>
          <w:sz w:val="28"/>
          <w:szCs w:val="28"/>
          <w:u w:val="none"/>
          <w:lang w:val="en-GB"/>
        </w:rPr>
        <w:t>Philostratus, Life of Apollonius or Tyana, F C Conybeare (trans), 1912, Loeb Classical Library.</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
        <w:snapToGrid w:val="0"/>
        <w:rPr>
          <w:lang w:val="en-GB"/>
        </w:rPr>
      </w:pPr>
      <w:r>
        <w:rPr>
          <w:rStyle w:val="4"/>
        </w:rPr>
        <w:footnoteRef/>
      </w:r>
      <w:r>
        <w:t xml:space="preserve"> </w:t>
      </w:r>
      <w:r>
        <w:rPr>
          <w:lang w:val="en-GB"/>
        </w:rPr>
        <w:t>Hdt.44.4.1</w:t>
      </w:r>
    </w:p>
  </w:footnote>
  <w:footnote w:id="1">
    <w:p>
      <w:pPr>
        <w:pStyle w:val="2"/>
        <w:snapToGrid w:val="0"/>
        <w:rPr>
          <w:lang w:val="en-GB"/>
        </w:rPr>
      </w:pPr>
      <w:r>
        <w:rPr>
          <w:rStyle w:val="4"/>
        </w:rPr>
        <w:footnoteRef/>
      </w:r>
      <w:r>
        <w:t xml:space="preserve"> </w:t>
      </w:r>
      <w:r>
        <w:rPr>
          <w:lang w:val="en-GB"/>
        </w:rPr>
        <w:t>Hdt.44.4.3</w:t>
      </w:r>
    </w:p>
  </w:footnote>
  <w:footnote w:id="2">
    <w:p>
      <w:pPr>
        <w:pStyle w:val="2"/>
        <w:snapToGrid w:val="0"/>
        <w:rPr>
          <w:lang w:val="en-GB"/>
        </w:rPr>
      </w:pPr>
      <w:r>
        <w:rPr>
          <w:rStyle w:val="4"/>
        </w:rPr>
        <w:footnoteRef/>
      </w:r>
      <w:r>
        <w:t xml:space="preserve"> </w:t>
      </w:r>
      <w:r>
        <w:rPr>
          <w:lang w:val="en-GB"/>
        </w:rPr>
        <w:t>Philostr V A. 3.47</w:t>
      </w:r>
    </w:p>
  </w:footnote>
  <w:footnote w:id="3">
    <w:p>
      <w:pPr>
        <w:pStyle w:val="2"/>
        <w:snapToGrid w:val="0"/>
        <w:rPr>
          <w:lang w:val="en-GB"/>
        </w:rPr>
      </w:pPr>
      <w:r>
        <w:rPr>
          <w:rStyle w:val="4"/>
        </w:rPr>
        <w:footnoteRef/>
      </w:r>
      <w:r>
        <w:t xml:space="preserve"> </w:t>
      </w:r>
      <w:r>
        <w:rPr>
          <w:lang w:val="en-GB"/>
        </w:rPr>
        <w:t>Ath 2.70b-c</w:t>
      </w:r>
    </w:p>
  </w:footnote>
  <w:footnote w:id="4">
    <w:p>
      <w:pPr>
        <w:pStyle w:val="2"/>
        <w:snapToGrid w:val="0"/>
        <w:rPr>
          <w:lang w:val="en-GB"/>
        </w:rPr>
      </w:pPr>
      <w:r>
        <w:rPr>
          <w:rStyle w:val="4"/>
        </w:rPr>
        <w:footnoteRef/>
      </w:r>
      <w:r>
        <w:t xml:space="preserve"> </w:t>
      </w:r>
      <w:r>
        <w:rPr>
          <w:lang w:val="en-GB"/>
        </w:rPr>
        <w:t>Hdt 3.98.2</w:t>
      </w:r>
    </w:p>
  </w:footnote>
  <w:footnote w:id="5">
    <w:p>
      <w:pPr>
        <w:pStyle w:val="2"/>
        <w:snapToGrid w:val="0"/>
        <w:rPr>
          <w:lang w:val="en-GB"/>
        </w:rPr>
      </w:pPr>
      <w:r>
        <w:rPr>
          <w:rStyle w:val="4"/>
        </w:rPr>
        <w:footnoteRef/>
      </w:r>
      <w:r>
        <w:t xml:space="preserve"> </w:t>
      </w:r>
      <w:r>
        <w:rPr>
          <w:lang w:val="en-GB"/>
        </w:rPr>
        <w:t>Hdt 3.99.1</w:t>
      </w:r>
    </w:p>
  </w:footnote>
  <w:footnote w:id="6">
    <w:p>
      <w:pPr>
        <w:pStyle w:val="2"/>
        <w:snapToGrid w:val="0"/>
        <w:rPr>
          <w:lang w:val="en-GB"/>
        </w:rPr>
      </w:pPr>
      <w:r>
        <w:rPr>
          <w:rStyle w:val="4"/>
        </w:rPr>
        <w:footnoteRef/>
      </w:r>
      <w:r>
        <w:t xml:space="preserve"> </w:t>
      </w:r>
      <w:r>
        <w:rPr>
          <w:lang w:val="en-GB"/>
        </w:rPr>
        <w:t>Hdt 3.101.1</w:t>
      </w:r>
    </w:p>
  </w:footnote>
  <w:footnote w:id="7">
    <w:p>
      <w:pPr>
        <w:pStyle w:val="2"/>
        <w:snapToGrid w:val="0"/>
        <w:rPr>
          <w:lang w:val="en-GB"/>
        </w:rPr>
      </w:pPr>
      <w:r>
        <w:rPr>
          <w:rStyle w:val="4"/>
        </w:rPr>
        <w:footnoteRef/>
      </w:r>
      <w:r>
        <w:t xml:space="preserve"> </w:t>
      </w:r>
      <w:r>
        <w:rPr>
          <w:lang w:val="en-GB"/>
        </w:rPr>
        <w:t>Hdt.3.101.2</w:t>
      </w:r>
    </w:p>
  </w:footnote>
  <w:footnote w:id="8">
    <w:p>
      <w:pPr>
        <w:pStyle w:val="2"/>
        <w:snapToGrid w:val="0"/>
        <w:rPr>
          <w:lang w:val="en-GB"/>
        </w:rPr>
      </w:pPr>
      <w:r>
        <w:rPr>
          <w:rStyle w:val="4"/>
        </w:rPr>
        <w:footnoteRef/>
      </w:r>
      <w:r>
        <w:t xml:space="preserve"> </w:t>
      </w:r>
      <w:r>
        <w:rPr>
          <w:lang w:val="en-GB"/>
        </w:rPr>
        <w:t>Hdt. 3.38</w:t>
      </w:r>
    </w:p>
  </w:footnote>
  <w:footnote w:id="9">
    <w:p>
      <w:pPr>
        <w:pStyle w:val="2"/>
        <w:snapToGrid w:val="0"/>
        <w:rPr>
          <w:lang w:val="en-GB"/>
        </w:rPr>
      </w:pPr>
      <w:r>
        <w:rPr>
          <w:rStyle w:val="4"/>
        </w:rPr>
        <w:footnoteRef/>
      </w:r>
      <w:r>
        <w:t xml:space="preserve"> </w:t>
      </w:r>
      <w:r>
        <w:rPr>
          <w:lang w:val="en-GB"/>
        </w:rPr>
        <w:t>Hdt. 3.102.2</w:t>
      </w:r>
    </w:p>
  </w:footnote>
  <w:footnote w:id="10">
    <w:p>
      <w:pPr>
        <w:pStyle w:val="2"/>
        <w:snapToGrid w:val="0"/>
        <w:rPr>
          <w:lang w:val="en-GB"/>
        </w:rPr>
      </w:pPr>
      <w:r>
        <w:rPr>
          <w:rStyle w:val="4"/>
        </w:rPr>
        <w:footnoteRef/>
      </w:r>
      <w:r>
        <w:t xml:space="preserve"> </w:t>
      </w:r>
      <w:r>
        <w:rPr>
          <w:lang w:val="en-GB"/>
        </w:rPr>
        <w:t>Paus. 9.21.4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B8C999"/>
    <w:multiLevelType w:val="singleLevel"/>
    <w:tmpl w:val="D4B8C9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50F88"/>
    <w:rsid w:val="0DD128FB"/>
    <w:rsid w:val="0E3F1C15"/>
    <w:rsid w:val="167D646C"/>
    <w:rsid w:val="20187CD9"/>
    <w:rsid w:val="23F752FD"/>
    <w:rsid w:val="25B678B5"/>
    <w:rsid w:val="269F5322"/>
    <w:rsid w:val="27B60924"/>
    <w:rsid w:val="285C209D"/>
    <w:rsid w:val="3A850985"/>
    <w:rsid w:val="3D7D1A31"/>
    <w:rsid w:val="3F401D9D"/>
    <w:rsid w:val="44730F58"/>
    <w:rsid w:val="494A606E"/>
    <w:rsid w:val="58AF0616"/>
    <w:rsid w:val="5B10438E"/>
    <w:rsid w:val="5DC921F4"/>
    <w:rsid w:val="5E2C54DD"/>
    <w:rsid w:val="5FA863B0"/>
    <w:rsid w:val="66950F88"/>
    <w:rsid w:val="67B65961"/>
    <w:rsid w:val="6C654A64"/>
    <w:rsid w:val="6CCA1EA4"/>
    <w:rsid w:val="6F08132B"/>
    <w:rsid w:val="71BC4FCA"/>
    <w:rsid w:val="71E50512"/>
    <w:rsid w:val="76175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note text"/>
    <w:basedOn w:val="1"/>
    <w:uiPriority w:val="0"/>
    <w:pPr>
      <w:snapToGrid w:val="0"/>
      <w:jc w:val="left"/>
    </w:pPr>
    <w:rPr>
      <w:sz w:val="18"/>
      <w:szCs w:val="18"/>
    </w:rPr>
  </w:style>
  <w:style w:type="character" w:styleId="4">
    <w:name w:val="footnote reference"/>
    <w:basedOn w:val="3"/>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2018-12-20T10:02:00Z</dcterms:created>
  <dc:creator>Nicholas</dc:creator>
  <cp:lastModifiedBy>Nicholas</cp:lastModifiedBy>
  <dcterms:modified xsi:type="dcterms:W3CDTF">2018-12-20T15:23:12Z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2057-10.2.0.7587</vt:lpwstr>
  </property>
</Properties>
</file>