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2F2F2" w:themeColor="background1" w:themeShade="F2"/>
  <w:body>
    <w:p w14:paraId="7A2762E3" w14:textId="3AE7CC92" w:rsidR="00D16EDA" w:rsidRDefault="001D4BC5">
      <w:pPr>
        <w:rPr>
          <w:noProof/>
        </w:rPr>
      </w:pPr>
      <w:r>
        <w:rPr>
          <w:noProof/>
        </w:rPr>
        <w:drawing>
          <wp:inline distT="0" distB="0" distL="0" distR="0" wp14:anchorId="699FC964" wp14:editId="2DF667E6">
            <wp:extent cx="5731167" cy="3454400"/>
            <wp:effectExtent l="0" t="0" r="3175" b="0"/>
            <wp:docPr id="5" name="Picture 2" descr="The City grandees who let the Post Office fight to the bitter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ity grandees who let the Post Office fight to the bitter e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970" cy="3455487"/>
                    </a:xfrm>
                    <a:prstGeom prst="rect">
                      <a:avLst/>
                    </a:prstGeom>
                    <a:noFill/>
                    <a:ln>
                      <a:noFill/>
                    </a:ln>
                  </pic:spPr>
                </pic:pic>
              </a:graphicData>
            </a:graphic>
          </wp:inline>
        </w:drawing>
      </w:r>
    </w:p>
    <w:p w14:paraId="4FD18FB0" w14:textId="77777777" w:rsidR="00302B10" w:rsidRDefault="00302B10" w:rsidP="00302B10">
      <w:pPr>
        <w:rPr>
          <w:rFonts w:cs="Arial"/>
          <w:szCs w:val="22"/>
        </w:rPr>
      </w:pPr>
    </w:p>
    <w:p w14:paraId="50D27B4A" w14:textId="77777777" w:rsidR="00036D84" w:rsidRDefault="00036D84" w:rsidP="00302B10">
      <w:pPr>
        <w:rPr>
          <w:rFonts w:cs="Arial"/>
          <w:szCs w:val="22"/>
        </w:rPr>
      </w:pPr>
    </w:p>
    <w:p w14:paraId="2166988B" w14:textId="77777777" w:rsidR="00036D84" w:rsidRPr="00302B10" w:rsidRDefault="00036D84" w:rsidP="00302B10">
      <w:pPr>
        <w:rPr>
          <w:rFonts w:cs="Arial"/>
          <w:szCs w:val="22"/>
        </w:rPr>
      </w:pPr>
    </w:p>
    <w:p w14:paraId="5CE5CC82" w14:textId="77777777" w:rsidR="00302B10" w:rsidRPr="00302B10" w:rsidRDefault="00302B10" w:rsidP="00302B10">
      <w:pPr>
        <w:rPr>
          <w:rFonts w:cs="Arial"/>
          <w:szCs w:val="22"/>
        </w:rPr>
      </w:pPr>
    </w:p>
    <w:p w14:paraId="10CE2FD2" w14:textId="6ABAB219" w:rsidR="00302B10" w:rsidRDefault="00302B10" w:rsidP="00302B10">
      <w:pPr>
        <w:rPr>
          <w:rFonts w:cs="Arial"/>
          <w:b/>
          <w:bCs/>
          <w:noProof/>
          <w:color w:val="7B230B" w:themeColor="accent1" w:themeShade="BF"/>
          <w:sz w:val="40"/>
          <w:szCs w:val="40"/>
        </w:rPr>
      </w:pPr>
      <w:r w:rsidRPr="00302B10">
        <w:rPr>
          <w:rFonts w:cs="Arial"/>
          <w:b/>
          <w:bCs/>
          <w:noProof/>
          <w:color w:val="7B230B" w:themeColor="accent1" w:themeShade="BF"/>
          <w:sz w:val="40"/>
          <w:szCs w:val="40"/>
        </w:rPr>
        <w:t>Post Office Workers' Strike of May 3rd, 2022</w:t>
      </w:r>
    </w:p>
    <w:p w14:paraId="44AC47B8" w14:textId="77777777" w:rsidR="00302B10" w:rsidRDefault="00302B10" w:rsidP="00302B10">
      <w:pPr>
        <w:rPr>
          <w:rFonts w:cs="Arial"/>
          <w:b/>
          <w:bCs/>
          <w:noProof/>
          <w:color w:val="7B230B" w:themeColor="accent1" w:themeShade="BF"/>
          <w:sz w:val="40"/>
          <w:szCs w:val="40"/>
        </w:rPr>
      </w:pPr>
    </w:p>
    <w:p w14:paraId="0BF7B87C" w14:textId="77777777" w:rsidR="00302B10" w:rsidRPr="00302B10" w:rsidRDefault="00302B10" w:rsidP="00302B10">
      <w:pPr>
        <w:rPr>
          <w:rFonts w:cs="Arial"/>
          <w:b/>
          <w:bCs/>
          <w:noProof/>
          <w:color w:val="7B230B" w:themeColor="accent1" w:themeShade="BF"/>
          <w:sz w:val="40"/>
          <w:szCs w:val="40"/>
        </w:rPr>
      </w:pPr>
    </w:p>
    <w:tbl>
      <w:tblPr>
        <w:tblStyle w:val="TableGrid"/>
        <w:tblpPr w:leftFromText="180" w:rightFromText="180" w:vertAnchor="text" w:horzAnchor="margin" w:tblpY="52"/>
        <w:tblW w:w="0" w:type="auto"/>
        <w:tblLook w:val="04A0" w:firstRow="1" w:lastRow="0" w:firstColumn="1" w:lastColumn="0" w:noHBand="0" w:noVBand="1"/>
      </w:tblPr>
      <w:tblGrid>
        <w:gridCol w:w="3074"/>
        <w:gridCol w:w="5862"/>
      </w:tblGrid>
      <w:tr w:rsidR="00036D84" w14:paraId="3A5F9EEC" w14:textId="77777777" w:rsidTr="00036D84">
        <w:tc>
          <w:tcPr>
            <w:tcW w:w="3074" w:type="dxa"/>
            <w:tcBorders>
              <w:top w:val="thinThickSmallGap" w:sz="24" w:space="0" w:color="D55816" w:themeColor="accent2"/>
              <w:left w:val="thinThickSmallGap" w:sz="24" w:space="0" w:color="D55816" w:themeColor="accent2"/>
            </w:tcBorders>
          </w:tcPr>
          <w:p w14:paraId="155D52CB" w14:textId="77777777" w:rsidR="00036D84" w:rsidRPr="00EA74AD" w:rsidRDefault="00036D84" w:rsidP="00036D84">
            <w:pPr>
              <w:rPr>
                <w:rFonts w:cs="Arial"/>
                <w:sz w:val="28"/>
                <w:szCs w:val="28"/>
              </w:rPr>
            </w:pPr>
            <w:r w:rsidRPr="00EA74AD">
              <w:rPr>
                <w:rFonts w:cs="Arial"/>
                <w:color w:val="5E473D" w:themeColor="accent5" w:themeShade="BF"/>
                <w:sz w:val="28"/>
                <w:szCs w:val="28"/>
              </w:rPr>
              <w:t>Student name</w:t>
            </w:r>
          </w:p>
        </w:tc>
        <w:tc>
          <w:tcPr>
            <w:tcW w:w="5862" w:type="dxa"/>
            <w:tcBorders>
              <w:top w:val="thinThickSmallGap" w:sz="24" w:space="0" w:color="D55816" w:themeColor="accent2"/>
              <w:right w:val="thinThickSmallGap" w:sz="24" w:space="0" w:color="D55816" w:themeColor="accent2"/>
            </w:tcBorders>
          </w:tcPr>
          <w:p w14:paraId="383DEAA5" w14:textId="77777777" w:rsidR="00036D84" w:rsidRPr="00EA74AD" w:rsidRDefault="00036D84" w:rsidP="00036D84">
            <w:pPr>
              <w:rPr>
                <w:rFonts w:cs="Arial"/>
                <w:color w:val="5E473D" w:themeColor="accent5" w:themeShade="BF"/>
                <w:sz w:val="28"/>
                <w:szCs w:val="28"/>
              </w:rPr>
            </w:pPr>
            <w:r w:rsidRPr="00EA74AD">
              <w:rPr>
                <w:rFonts w:cs="Arial"/>
                <w:color w:val="5E473D" w:themeColor="accent5" w:themeShade="BF"/>
                <w:sz w:val="28"/>
                <w:szCs w:val="28"/>
              </w:rPr>
              <w:t>Radoslav Nikolov</w:t>
            </w:r>
          </w:p>
        </w:tc>
      </w:tr>
      <w:tr w:rsidR="00036D84" w14:paraId="0D45A140" w14:textId="77777777" w:rsidTr="00036D84">
        <w:tc>
          <w:tcPr>
            <w:tcW w:w="3074" w:type="dxa"/>
            <w:tcBorders>
              <w:left w:val="thinThickSmallGap" w:sz="24" w:space="0" w:color="D55816" w:themeColor="accent2"/>
            </w:tcBorders>
          </w:tcPr>
          <w:p w14:paraId="01609B8E"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Student ID</w:t>
            </w:r>
          </w:p>
        </w:tc>
        <w:tc>
          <w:tcPr>
            <w:tcW w:w="5862" w:type="dxa"/>
            <w:tcBorders>
              <w:right w:val="thinThickSmallGap" w:sz="24" w:space="0" w:color="D55816" w:themeColor="accent2"/>
            </w:tcBorders>
          </w:tcPr>
          <w:p w14:paraId="723C4590"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2118366</w:t>
            </w:r>
          </w:p>
        </w:tc>
      </w:tr>
      <w:tr w:rsidR="00036D84" w14:paraId="38026EC9" w14:textId="77777777" w:rsidTr="00036D84">
        <w:tc>
          <w:tcPr>
            <w:tcW w:w="3074" w:type="dxa"/>
            <w:tcBorders>
              <w:left w:val="thinThickSmallGap" w:sz="24" w:space="0" w:color="D55816" w:themeColor="accent2"/>
            </w:tcBorders>
          </w:tcPr>
          <w:p w14:paraId="4347BD89"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Module code</w:t>
            </w:r>
          </w:p>
        </w:tc>
        <w:tc>
          <w:tcPr>
            <w:tcW w:w="5862" w:type="dxa"/>
            <w:tcBorders>
              <w:right w:val="thinThickSmallGap" w:sz="24" w:space="0" w:color="D55816" w:themeColor="accent2"/>
            </w:tcBorders>
          </w:tcPr>
          <w:p w14:paraId="323F0DD5"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BMSW6103</w:t>
            </w:r>
          </w:p>
        </w:tc>
      </w:tr>
      <w:tr w:rsidR="00036D84" w14:paraId="6194E8EC" w14:textId="77777777" w:rsidTr="00036D84">
        <w:tc>
          <w:tcPr>
            <w:tcW w:w="3074" w:type="dxa"/>
            <w:tcBorders>
              <w:left w:val="thinThickSmallGap" w:sz="24" w:space="0" w:color="D55816" w:themeColor="accent2"/>
            </w:tcBorders>
          </w:tcPr>
          <w:p w14:paraId="5060D6A8"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Assignment section</w:t>
            </w:r>
          </w:p>
        </w:tc>
        <w:tc>
          <w:tcPr>
            <w:tcW w:w="5862" w:type="dxa"/>
            <w:tcBorders>
              <w:right w:val="thinThickSmallGap" w:sz="24" w:space="0" w:color="D55816" w:themeColor="accent2"/>
            </w:tcBorders>
          </w:tcPr>
          <w:p w14:paraId="2E17C95E"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Leading and implementing workplace change</w:t>
            </w:r>
          </w:p>
        </w:tc>
      </w:tr>
      <w:tr w:rsidR="00036D84" w14:paraId="53043BE5" w14:textId="77777777" w:rsidTr="00036D84">
        <w:tc>
          <w:tcPr>
            <w:tcW w:w="3074" w:type="dxa"/>
            <w:tcBorders>
              <w:left w:val="thinThickSmallGap" w:sz="24" w:space="0" w:color="D55816" w:themeColor="accent2"/>
              <w:bottom w:val="thinThickSmallGap" w:sz="24" w:space="0" w:color="D55816" w:themeColor="accent2"/>
            </w:tcBorders>
          </w:tcPr>
          <w:p w14:paraId="28B89468"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Lecturer’s name</w:t>
            </w:r>
          </w:p>
        </w:tc>
        <w:tc>
          <w:tcPr>
            <w:tcW w:w="5862" w:type="dxa"/>
            <w:tcBorders>
              <w:bottom w:val="thinThickSmallGap" w:sz="24" w:space="0" w:color="D55816" w:themeColor="accent2"/>
              <w:right w:val="thinThickSmallGap" w:sz="24" w:space="0" w:color="D55816" w:themeColor="accent2"/>
            </w:tcBorders>
          </w:tcPr>
          <w:p w14:paraId="4C22181F" w14:textId="77777777" w:rsidR="00036D84" w:rsidRPr="001D4BC5" w:rsidRDefault="00036D84" w:rsidP="00036D84">
            <w:pPr>
              <w:rPr>
                <w:rFonts w:cs="Arial"/>
                <w:color w:val="5E473D" w:themeColor="accent5" w:themeShade="BF"/>
                <w:sz w:val="28"/>
                <w:szCs w:val="28"/>
              </w:rPr>
            </w:pPr>
            <w:r w:rsidRPr="001D4BC5">
              <w:rPr>
                <w:rFonts w:cs="Arial"/>
                <w:color w:val="5E473D" w:themeColor="accent5" w:themeShade="BF"/>
                <w:sz w:val="28"/>
                <w:szCs w:val="28"/>
              </w:rPr>
              <w:t>Prof Dennis Pepple</w:t>
            </w:r>
          </w:p>
        </w:tc>
      </w:tr>
    </w:tbl>
    <w:p w14:paraId="63E84A71" w14:textId="77777777" w:rsidR="00302B10" w:rsidRDefault="00302B10" w:rsidP="00302B10">
      <w:pPr>
        <w:tabs>
          <w:tab w:val="left" w:pos="560"/>
          <w:tab w:val="left" w:pos="7220"/>
        </w:tabs>
        <w:rPr>
          <w:rFonts w:cs="Arial"/>
          <w:szCs w:val="22"/>
        </w:rPr>
      </w:pPr>
      <w:r>
        <w:rPr>
          <w:rFonts w:cs="Arial"/>
          <w:szCs w:val="22"/>
        </w:rPr>
        <w:tab/>
      </w:r>
    </w:p>
    <w:p w14:paraId="18BC34B1" w14:textId="77777777" w:rsidR="00036D84" w:rsidRDefault="00036D84">
      <w:pPr>
        <w:rPr>
          <w:rFonts w:cs="Arial"/>
          <w:szCs w:val="22"/>
        </w:rPr>
      </w:pPr>
    </w:p>
    <w:p w14:paraId="75D543C8" w14:textId="77777777" w:rsidR="00036D84" w:rsidRDefault="00036D84">
      <w:pPr>
        <w:rPr>
          <w:rFonts w:cs="Arial"/>
          <w:szCs w:val="22"/>
        </w:rPr>
      </w:pPr>
      <w:r>
        <w:rPr>
          <w:rFonts w:cs="Arial"/>
          <w:szCs w:val="22"/>
        </w:rPr>
        <w:br w:type="page"/>
      </w:r>
    </w:p>
    <w:sdt>
      <w:sdtPr>
        <w:rPr>
          <w:rFonts w:asciiTheme="minorHAnsi" w:eastAsiaTheme="minorEastAsia" w:hAnsiTheme="minorHAnsi" w:cstheme="minorBidi"/>
          <w:color w:val="auto"/>
          <w:sz w:val="21"/>
          <w:szCs w:val="21"/>
        </w:rPr>
        <w:id w:val="-2132390808"/>
        <w:docPartObj>
          <w:docPartGallery w:val="Table of Contents"/>
          <w:docPartUnique/>
        </w:docPartObj>
      </w:sdtPr>
      <w:sdtEndPr>
        <w:rPr>
          <w:rFonts w:ascii="Arial" w:hAnsi="Arial"/>
          <w:b/>
          <w:bCs/>
          <w:noProof/>
          <w:sz w:val="22"/>
        </w:rPr>
      </w:sdtEndPr>
      <w:sdtContent>
        <w:p w14:paraId="705289B5" w14:textId="38D1B439" w:rsidR="00036D84" w:rsidRDefault="00036D84">
          <w:pPr>
            <w:pStyle w:val="TOCHeading"/>
          </w:pPr>
          <w:r>
            <w:t>Table of Contents</w:t>
          </w:r>
        </w:p>
        <w:p w14:paraId="0F3ED9C2" w14:textId="03B92D2C" w:rsidR="00CE1634" w:rsidRDefault="00036D84">
          <w:pPr>
            <w:pStyle w:val="TOC1"/>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72365077" w:history="1">
            <w:r w:rsidR="00CE1634" w:rsidRPr="00CF7D7B">
              <w:rPr>
                <w:rStyle w:val="Hyperlink"/>
                <w:noProof/>
              </w:rPr>
              <w:t>Introduction</w:t>
            </w:r>
            <w:r w:rsidR="00CE1634">
              <w:rPr>
                <w:noProof/>
                <w:webHidden/>
              </w:rPr>
              <w:tab/>
            </w:r>
            <w:r w:rsidR="00CE1634">
              <w:rPr>
                <w:noProof/>
                <w:webHidden/>
              </w:rPr>
              <w:fldChar w:fldCharType="begin"/>
            </w:r>
            <w:r w:rsidR="00CE1634">
              <w:rPr>
                <w:noProof/>
                <w:webHidden/>
              </w:rPr>
              <w:instrText xml:space="preserve"> PAGEREF _Toc172365077 \h </w:instrText>
            </w:r>
            <w:r w:rsidR="00CE1634">
              <w:rPr>
                <w:noProof/>
                <w:webHidden/>
              </w:rPr>
            </w:r>
            <w:r w:rsidR="00CE1634">
              <w:rPr>
                <w:noProof/>
                <w:webHidden/>
              </w:rPr>
              <w:fldChar w:fldCharType="separate"/>
            </w:r>
            <w:r w:rsidR="00CE1634">
              <w:rPr>
                <w:noProof/>
                <w:webHidden/>
              </w:rPr>
              <w:t>3</w:t>
            </w:r>
            <w:r w:rsidR="00CE1634">
              <w:rPr>
                <w:noProof/>
                <w:webHidden/>
              </w:rPr>
              <w:fldChar w:fldCharType="end"/>
            </w:r>
          </w:hyperlink>
        </w:p>
        <w:p w14:paraId="79349781" w14:textId="66071294"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78" w:history="1">
            <w:r w:rsidRPr="00CF7D7B">
              <w:rPr>
                <w:rStyle w:val="Hyperlink"/>
                <w:noProof/>
              </w:rPr>
              <w:t>Power-Interest Matrix Diagram</w:t>
            </w:r>
            <w:r>
              <w:rPr>
                <w:noProof/>
                <w:webHidden/>
              </w:rPr>
              <w:tab/>
            </w:r>
            <w:r>
              <w:rPr>
                <w:noProof/>
                <w:webHidden/>
              </w:rPr>
              <w:fldChar w:fldCharType="begin"/>
            </w:r>
            <w:r>
              <w:rPr>
                <w:noProof/>
                <w:webHidden/>
              </w:rPr>
              <w:instrText xml:space="preserve"> PAGEREF _Toc172365078 \h </w:instrText>
            </w:r>
            <w:r>
              <w:rPr>
                <w:noProof/>
                <w:webHidden/>
              </w:rPr>
            </w:r>
            <w:r>
              <w:rPr>
                <w:noProof/>
                <w:webHidden/>
              </w:rPr>
              <w:fldChar w:fldCharType="separate"/>
            </w:r>
            <w:r>
              <w:rPr>
                <w:noProof/>
                <w:webHidden/>
              </w:rPr>
              <w:t>4</w:t>
            </w:r>
            <w:r>
              <w:rPr>
                <w:noProof/>
                <w:webHidden/>
              </w:rPr>
              <w:fldChar w:fldCharType="end"/>
            </w:r>
          </w:hyperlink>
        </w:p>
        <w:p w14:paraId="71A51A42" w14:textId="0430D44C"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79" w:history="1">
            <w:r w:rsidRPr="00CF7D7B">
              <w:rPr>
                <w:rStyle w:val="Hyperlink"/>
                <w:noProof/>
              </w:rPr>
              <w:t>Detailed Explanation of Key Stakeholders: CWU and Post Office Management</w:t>
            </w:r>
            <w:r>
              <w:rPr>
                <w:noProof/>
                <w:webHidden/>
              </w:rPr>
              <w:tab/>
            </w:r>
            <w:r>
              <w:rPr>
                <w:noProof/>
                <w:webHidden/>
              </w:rPr>
              <w:fldChar w:fldCharType="begin"/>
            </w:r>
            <w:r>
              <w:rPr>
                <w:noProof/>
                <w:webHidden/>
              </w:rPr>
              <w:instrText xml:space="preserve"> PAGEREF _Toc172365079 \h </w:instrText>
            </w:r>
            <w:r>
              <w:rPr>
                <w:noProof/>
                <w:webHidden/>
              </w:rPr>
            </w:r>
            <w:r>
              <w:rPr>
                <w:noProof/>
                <w:webHidden/>
              </w:rPr>
              <w:fldChar w:fldCharType="separate"/>
            </w:r>
            <w:r>
              <w:rPr>
                <w:noProof/>
                <w:webHidden/>
              </w:rPr>
              <w:t>5</w:t>
            </w:r>
            <w:r>
              <w:rPr>
                <w:noProof/>
                <w:webHidden/>
              </w:rPr>
              <w:fldChar w:fldCharType="end"/>
            </w:r>
          </w:hyperlink>
        </w:p>
        <w:p w14:paraId="65ED537B" w14:textId="325F4264" w:rsidR="00CE1634" w:rsidRDefault="00CE1634">
          <w:pPr>
            <w:pStyle w:val="TOC2"/>
            <w:tabs>
              <w:tab w:val="right" w:leader="dot" w:pos="9016"/>
            </w:tabs>
            <w:rPr>
              <w:rFonts w:asciiTheme="minorHAnsi" w:hAnsiTheme="minorHAnsi"/>
              <w:noProof/>
              <w:kern w:val="2"/>
              <w:sz w:val="24"/>
              <w:szCs w:val="24"/>
              <w:lang w:eastAsia="en-GB"/>
              <w14:ligatures w14:val="standardContextual"/>
            </w:rPr>
          </w:pPr>
          <w:hyperlink w:anchor="_Toc172365080" w:history="1">
            <w:r w:rsidRPr="00CF7D7B">
              <w:rPr>
                <w:rStyle w:val="Hyperlink"/>
                <w:rFonts w:cs="Arial"/>
                <w:noProof/>
              </w:rPr>
              <w:t>High Power, High Interest</w:t>
            </w:r>
            <w:r>
              <w:rPr>
                <w:noProof/>
                <w:webHidden/>
              </w:rPr>
              <w:tab/>
            </w:r>
            <w:r>
              <w:rPr>
                <w:noProof/>
                <w:webHidden/>
              </w:rPr>
              <w:fldChar w:fldCharType="begin"/>
            </w:r>
            <w:r>
              <w:rPr>
                <w:noProof/>
                <w:webHidden/>
              </w:rPr>
              <w:instrText xml:space="preserve"> PAGEREF _Toc172365080 \h </w:instrText>
            </w:r>
            <w:r>
              <w:rPr>
                <w:noProof/>
                <w:webHidden/>
              </w:rPr>
            </w:r>
            <w:r>
              <w:rPr>
                <w:noProof/>
                <w:webHidden/>
              </w:rPr>
              <w:fldChar w:fldCharType="separate"/>
            </w:r>
            <w:r>
              <w:rPr>
                <w:noProof/>
                <w:webHidden/>
              </w:rPr>
              <w:t>5</w:t>
            </w:r>
            <w:r>
              <w:rPr>
                <w:noProof/>
                <w:webHidden/>
              </w:rPr>
              <w:fldChar w:fldCharType="end"/>
            </w:r>
          </w:hyperlink>
        </w:p>
        <w:p w14:paraId="5CA8791D" w14:textId="5D4830D6" w:rsidR="00CE1634" w:rsidRDefault="00CE1634">
          <w:pPr>
            <w:pStyle w:val="TOC2"/>
            <w:tabs>
              <w:tab w:val="right" w:leader="dot" w:pos="9016"/>
            </w:tabs>
            <w:rPr>
              <w:rFonts w:asciiTheme="minorHAnsi" w:hAnsiTheme="minorHAnsi"/>
              <w:noProof/>
              <w:kern w:val="2"/>
              <w:sz w:val="24"/>
              <w:szCs w:val="24"/>
              <w:lang w:eastAsia="en-GB"/>
              <w14:ligatures w14:val="standardContextual"/>
            </w:rPr>
          </w:pPr>
          <w:hyperlink w:anchor="_Toc172365081" w:history="1">
            <w:r w:rsidRPr="00CF7D7B">
              <w:rPr>
                <w:rStyle w:val="Hyperlink"/>
                <w:rFonts w:cs="Arial"/>
                <w:noProof/>
              </w:rPr>
              <w:t>High Power, Low Interest</w:t>
            </w:r>
            <w:r>
              <w:rPr>
                <w:noProof/>
                <w:webHidden/>
              </w:rPr>
              <w:tab/>
            </w:r>
            <w:r>
              <w:rPr>
                <w:noProof/>
                <w:webHidden/>
              </w:rPr>
              <w:fldChar w:fldCharType="begin"/>
            </w:r>
            <w:r>
              <w:rPr>
                <w:noProof/>
                <w:webHidden/>
              </w:rPr>
              <w:instrText xml:space="preserve"> PAGEREF _Toc172365081 \h </w:instrText>
            </w:r>
            <w:r>
              <w:rPr>
                <w:noProof/>
                <w:webHidden/>
              </w:rPr>
            </w:r>
            <w:r>
              <w:rPr>
                <w:noProof/>
                <w:webHidden/>
              </w:rPr>
              <w:fldChar w:fldCharType="separate"/>
            </w:r>
            <w:r>
              <w:rPr>
                <w:noProof/>
                <w:webHidden/>
              </w:rPr>
              <w:t>8</w:t>
            </w:r>
            <w:r>
              <w:rPr>
                <w:noProof/>
                <w:webHidden/>
              </w:rPr>
              <w:fldChar w:fldCharType="end"/>
            </w:r>
          </w:hyperlink>
        </w:p>
        <w:p w14:paraId="463B28CC" w14:textId="622B60D7" w:rsidR="00CE1634" w:rsidRDefault="00CE1634">
          <w:pPr>
            <w:pStyle w:val="TOC2"/>
            <w:tabs>
              <w:tab w:val="right" w:leader="dot" w:pos="9016"/>
            </w:tabs>
            <w:rPr>
              <w:rFonts w:asciiTheme="minorHAnsi" w:hAnsiTheme="minorHAnsi"/>
              <w:noProof/>
              <w:kern w:val="2"/>
              <w:sz w:val="24"/>
              <w:szCs w:val="24"/>
              <w:lang w:eastAsia="en-GB"/>
              <w14:ligatures w14:val="standardContextual"/>
            </w:rPr>
          </w:pPr>
          <w:hyperlink w:anchor="_Toc172365082" w:history="1">
            <w:r w:rsidRPr="00CF7D7B">
              <w:rPr>
                <w:rStyle w:val="Hyperlink"/>
                <w:rFonts w:cs="Arial"/>
                <w:noProof/>
              </w:rPr>
              <w:t>Low Power, High Interest</w:t>
            </w:r>
            <w:r>
              <w:rPr>
                <w:noProof/>
                <w:webHidden/>
              </w:rPr>
              <w:tab/>
            </w:r>
            <w:r>
              <w:rPr>
                <w:noProof/>
                <w:webHidden/>
              </w:rPr>
              <w:fldChar w:fldCharType="begin"/>
            </w:r>
            <w:r>
              <w:rPr>
                <w:noProof/>
                <w:webHidden/>
              </w:rPr>
              <w:instrText xml:space="preserve"> PAGEREF _Toc172365082 \h </w:instrText>
            </w:r>
            <w:r>
              <w:rPr>
                <w:noProof/>
                <w:webHidden/>
              </w:rPr>
            </w:r>
            <w:r>
              <w:rPr>
                <w:noProof/>
                <w:webHidden/>
              </w:rPr>
              <w:fldChar w:fldCharType="separate"/>
            </w:r>
            <w:r>
              <w:rPr>
                <w:noProof/>
                <w:webHidden/>
              </w:rPr>
              <w:t>10</w:t>
            </w:r>
            <w:r>
              <w:rPr>
                <w:noProof/>
                <w:webHidden/>
              </w:rPr>
              <w:fldChar w:fldCharType="end"/>
            </w:r>
          </w:hyperlink>
        </w:p>
        <w:p w14:paraId="6698FD16" w14:textId="165B8FFE" w:rsidR="00CE1634" w:rsidRDefault="00CE1634">
          <w:pPr>
            <w:pStyle w:val="TOC2"/>
            <w:tabs>
              <w:tab w:val="right" w:leader="dot" w:pos="9016"/>
            </w:tabs>
            <w:rPr>
              <w:rFonts w:asciiTheme="minorHAnsi" w:hAnsiTheme="minorHAnsi"/>
              <w:noProof/>
              <w:kern w:val="2"/>
              <w:sz w:val="24"/>
              <w:szCs w:val="24"/>
              <w:lang w:eastAsia="en-GB"/>
              <w14:ligatures w14:val="standardContextual"/>
            </w:rPr>
          </w:pPr>
          <w:hyperlink w:anchor="_Toc172365083" w:history="1">
            <w:r w:rsidRPr="00CF7D7B">
              <w:rPr>
                <w:rStyle w:val="Hyperlink"/>
                <w:rFonts w:cs="Arial"/>
                <w:noProof/>
              </w:rPr>
              <w:t>Low Power, Low Interest</w:t>
            </w:r>
            <w:r>
              <w:rPr>
                <w:noProof/>
                <w:webHidden/>
              </w:rPr>
              <w:tab/>
            </w:r>
            <w:r>
              <w:rPr>
                <w:noProof/>
                <w:webHidden/>
              </w:rPr>
              <w:fldChar w:fldCharType="begin"/>
            </w:r>
            <w:r>
              <w:rPr>
                <w:noProof/>
                <w:webHidden/>
              </w:rPr>
              <w:instrText xml:space="preserve"> PAGEREF _Toc172365083 \h </w:instrText>
            </w:r>
            <w:r>
              <w:rPr>
                <w:noProof/>
                <w:webHidden/>
              </w:rPr>
            </w:r>
            <w:r>
              <w:rPr>
                <w:noProof/>
                <w:webHidden/>
              </w:rPr>
              <w:fldChar w:fldCharType="separate"/>
            </w:r>
            <w:r>
              <w:rPr>
                <w:noProof/>
                <w:webHidden/>
              </w:rPr>
              <w:t>12</w:t>
            </w:r>
            <w:r>
              <w:rPr>
                <w:noProof/>
                <w:webHidden/>
              </w:rPr>
              <w:fldChar w:fldCharType="end"/>
            </w:r>
          </w:hyperlink>
        </w:p>
        <w:p w14:paraId="1632332D" w14:textId="0716725C"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4" w:history="1">
            <w:r w:rsidRPr="00CF7D7B">
              <w:rPr>
                <w:rStyle w:val="Hyperlink"/>
                <w:noProof/>
              </w:rPr>
              <w:t>Kotter’s 8-Step Model of Change Applied to the Post Office Strike</w:t>
            </w:r>
            <w:r>
              <w:rPr>
                <w:noProof/>
                <w:webHidden/>
              </w:rPr>
              <w:tab/>
            </w:r>
            <w:r>
              <w:rPr>
                <w:noProof/>
                <w:webHidden/>
              </w:rPr>
              <w:fldChar w:fldCharType="begin"/>
            </w:r>
            <w:r>
              <w:rPr>
                <w:noProof/>
                <w:webHidden/>
              </w:rPr>
              <w:instrText xml:space="preserve"> PAGEREF _Toc172365084 \h </w:instrText>
            </w:r>
            <w:r>
              <w:rPr>
                <w:noProof/>
                <w:webHidden/>
              </w:rPr>
            </w:r>
            <w:r>
              <w:rPr>
                <w:noProof/>
                <w:webHidden/>
              </w:rPr>
              <w:fldChar w:fldCharType="separate"/>
            </w:r>
            <w:r>
              <w:rPr>
                <w:noProof/>
                <w:webHidden/>
              </w:rPr>
              <w:t>14</w:t>
            </w:r>
            <w:r>
              <w:rPr>
                <w:noProof/>
                <w:webHidden/>
              </w:rPr>
              <w:fldChar w:fldCharType="end"/>
            </w:r>
          </w:hyperlink>
        </w:p>
        <w:p w14:paraId="1EE1F454" w14:textId="6BC09C18"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5" w:history="1">
            <w:r w:rsidRPr="00CF7D7B">
              <w:rPr>
                <w:rStyle w:val="Hyperlink"/>
                <w:noProof/>
              </w:rPr>
              <w:t>Conflict Resolution Styles and Recommendation for the Post Office Case</w:t>
            </w:r>
            <w:r>
              <w:rPr>
                <w:noProof/>
                <w:webHidden/>
              </w:rPr>
              <w:tab/>
            </w:r>
            <w:r>
              <w:rPr>
                <w:noProof/>
                <w:webHidden/>
              </w:rPr>
              <w:fldChar w:fldCharType="begin"/>
            </w:r>
            <w:r>
              <w:rPr>
                <w:noProof/>
                <w:webHidden/>
              </w:rPr>
              <w:instrText xml:space="preserve"> PAGEREF _Toc172365085 \h </w:instrText>
            </w:r>
            <w:r>
              <w:rPr>
                <w:noProof/>
                <w:webHidden/>
              </w:rPr>
            </w:r>
            <w:r>
              <w:rPr>
                <w:noProof/>
                <w:webHidden/>
              </w:rPr>
              <w:fldChar w:fldCharType="separate"/>
            </w:r>
            <w:r>
              <w:rPr>
                <w:noProof/>
                <w:webHidden/>
              </w:rPr>
              <w:t>16</w:t>
            </w:r>
            <w:r>
              <w:rPr>
                <w:noProof/>
                <w:webHidden/>
              </w:rPr>
              <w:fldChar w:fldCharType="end"/>
            </w:r>
          </w:hyperlink>
        </w:p>
        <w:p w14:paraId="5D671015" w14:textId="35E01E89"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6" w:history="1">
            <w:r w:rsidRPr="00CF7D7B">
              <w:rPr>
                <w:rStyle w:val="Hyperlink"/>
                <w:noProof/>
              </w:rPr>
              <w:t>Achieving a Win-Win Solution among Stakeholders</w:t>
            </w:r>
            <w:r>
              <w:rPr>
                <w:noProof/>
                <w:webHidden/>
              </w:rPr>
              <w:tab/>
            </w:r>
            <w:r>
              <w:rPr>
                <w:noProof/>
                <w:webHidden/>
              </w:rPr>
              <w:fldChar w:fldCharType="begin"/>
            </w:r>
            <w:r>
              <w:rPr>
                <w:noProof/>
                <w:webHidden/>
              </w:rPr>
              <w:instrText xml:space="preserve"> PAGEREF _Toc172365086 \h </w:instrText>
            </w:r>
            <w:r>
              <w:rPr>
                <w:noProof/>
                <w:webHidden/>
              </w:rPr>
            </w:r>
            <w:r>
              <w:rPr>
                <w:noProof/>
                <w:webHidden/>
              </w:rPr>
              <w:fldChar w:fldCharType="separate"/>
            </w:r>
            <w:r>
              <w:rPr>
                <w:noProof/>
                <w:webHidden/>
              </w:rPr>
              <w:t>19</w:t>
            </w:r>
            <w:r>
              <w:rPr>
                <w:noProof/>
                <w:webHidden/>
              </w:rPr>
              <w:fldChar w:fldCharType="end"/>
            </w:r>
          </w:hyperlink>
        </w:p>
        <w:p w14:paraId="55E0E01A" w14:textId="36245FD1"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7" w:history="1">
            <w:r w:rsidRPr="00CF7D7B">
              <w:rPr>
                <w:rStyle w:val="Hyperlink"/>
                <w:noProof/>
              </w:rPr>
              <w:t>Lose-Lose Strategy</w:t>
            </w:r>
            <w:r>
              <w:rPr>
                <w:noProof/>
                <w:webHidden/>
              </w:rPr>
              <w:tab/>
            </w:r>
            <w:r>
              <w:rPr>
                <w:noProof/>
                <w:webHidden/>
              </w:rPr>
              <w:fldChar w:fldCharType="begin"/>
            </w:r>
            <w:r>
              <w:rPr>
                <w:noProof/>
                <w:webHidden/>
              </w:rPr>
              <w:instrText xml:space="preserve"> PAGEREF _Toc172365087 \h </w:instrText>
            </w:r>
            <w:r>
              <w:rPr>
                <w:noProof/>
                <w:webHidden/>
              </w:rPr>
            </w:r>
            <w:r>
              <w:rPr>
                <w:noProof/>
                <w:webHidden/>
              </w:rPr>
              <w:fldChar w:fldCharType="separate"/>
            </w:r>
            <w:r>
              <w:rPr>
                <w:noProof/>
                <w:webHidden/>
              </w:rPr>
              <w:t>22</w:t>
            </w:r>
            <w:r>
              <w:rPr>
                <w:noProof/>
                <w:webHidden/>
              </w:rPr>
              <w:fldChar w:fldCharType="end"/>
            </w:r>
          </w:hyperlink>
        </w:p>
        <w:p w14:paraId="2F02238E" w14:textId="5A00D70E"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8" w:history="1">
            <w:r w:rsidRPr="00CF7D7B">
              <w:rPr>
                <w:rStyle w:val="Hyperlink"/>
                <w:noProof/>
              </w:rPr>
              <w:t>Personal Reflection on Conflict Resolution and Stakeholder Theory</w:t>
            </w:r>
            <w:r>
              <w:rPr>
                <w:noProof/>
                <w:webHidden/>
              </w:rPr>
              <w:tab/>
            </w:r>
            <w:r>
              <w:rPr>
                <w:noProof/>
                <w:webHidden/>
              </w:rPr>
              <w:fldChar w:fldCharType="begin"/>
            </w:r>
            <w:r>
              <w:rPr>
                <w:noProof/>
                <w:webHidden/>
              </w:rPr>
              <w:instrText xml:space="preserve"> PAGEREF _Toc172365088 \h </w:instrText>
            </w:r>
            <w:r>
              <w:rPr>
                <w:noProof/>
                <w:webHidden/>
              </w:rPr>
            </w:r>
            <w:r>
              <w:rPr>
                <w:noProof/>
                <w:webHidden/>
              </w:rPr>
              <w:fldChar w:fldCharType="separate"/>
            </w:r>
            <w:r>
              <w:rPr>
                <w:noProof/>
                <w:webHidden/>
              </w:rPr>
              <w:t>24</w:t>
            </w:r>
            <w:r>
              <w:rPr>
                <w:noProof/>
                <w:webHidden/>
              </w:rPr>
              <w:fldChar w:fldCharType="end"/>
            </w:r>
          </w:hyperlink>
        </w:p>
        <w:p w14:paraId="001ADDD3" w14:textId="06D4BF8D"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89" w:history="1">
            <w:r w:rsidRPr="00CF7D7B">
              <w:rPr>
                <w:rStyle w:val="Hyperlink"/>
                <w:noProof/>
              </w:rPr>
              <w:t>Conclusion and Recommendations</w:t>
            </w:r>
            <w:r>
              <w:rPr>
                <w:noProof/>
                <w:webHidden/>
              </w:rPr>
              <w:tab/>
            </w:r>
            <w:r>
              <w:rPr>
                <w:noProof/>
                <w:webHidden/>
              </w:rPr>
              <w:fldChar w:fldCharType="begin"/>
            </w:r>
            <w:r>
              <w:rPr>
                <w:noProof/>
                <w:webHidden/>
              </w:rPr>
              <w:instrText xml:space="preserve"> PAGEREF _Toc172365089 \h </w:instrText>
            </w:r>
            <w:r>
              <w:rPr>
                <w:noProof/>
                <w:webHidden/>
              </w:rPr>
            </w:r>
            <w:r>
              <w:rPr>
                <w:noProof/>
                <w:webHidden/>
              </w:rPr>
              <w:fldChar w:fldCharType="separate"/>
            </w:r>
            <w:r>
              <w:rPr>
                <w:noProof/>
                <w:webHidden/>
              </w:rPr>
              <w:t>26</w:t>
            </w:r>
            <w:r>
              <w:rPr>
                <w:noProof/>
                <w:webHidden/>
              </w:rPr>
              <w:fldChar w:fldCharType="end"/>
            </w:r>
          </w:hyperlink>
        </w:p>
        <w:p w14:paraId="21BC95F6" w14:textId="7294EE37" w:rsidR="00CE1634" w:rsidRDefault="00CE1634">
          <w:pPr>
            <w:pStyle w:val="TOC1"/>
            <w:tabs>
              <w:tab w:val="right" w:leader="dot" w:pos="9016"/>
            </w:tabs>
            <w:rPr>
              <w:rFonts w:asciiTheme="minorHAnsi" w:hAnsiTheme="minorHAnsi"/>
              <w:noProof/>
              <w:kern w:val="2"/>
              <w:sz w:val="24"/>
              <w:szCs w:val="24"/>
              <w:lang w:eastAsia="en-GB"/>
              <w14:ligatures w14:val="standardContextual"/>
            </w:rPr>
          </w:pPr>
          <w:hyperlink w:anchor="_Toc172365090" w:history="1">
            <w:r w:rsidRPr="00CF7D7B">
              <w:rPr>
                <w:rStyle w:val="Hyperlink"/>
                <w:noProof/>
              </w:rPr>
              <w:t>References</w:t>
            </w:r>
            <w:r>
              <w:rPr>
                <w:noProof/>
                <w:webHidden/>
              </w:rPr>
              <w:tab/>
            </w:r>
            <w:r>
              <w:rPr>
                <w:noProof/>
                <w:webHidden/>
              </w:rPr>
              <w:fldChar w:fldCharType="begin"/>
            </w:r>
            <w:r>
              <w:rPr>
                <w:noProof/>
                <w:webHidden/>
              </w:rPr>
              <w:instrText xml:space="preserve"> PAGEREF _Toc172365090 \h </w:instrText>
            </w:r>
            <w:r>
              <w:rPr>
                <w:noProof/>
                <w:webHidden/>
              </w:rPr>
            </w:r>
            <w:r>
              <w:rPr>
                <w:noProof/>
                <w:webHidden/>
              </w:rPr>
              <w:fldChar w:fldCharType="separate"/>
            </w:r>
            <w:r>
              <w:rPr>
                <w:noProof/>
                <w:webHidden/>
              </w:rPr>
              <w:t>28</w:t>
            </w:r>
            <w:r>
              <w:rPr>
                <w:noProof/>
                <w:webHidden/>
              </w:rPr>
              <w:fldChar w:fldCharType="end"/>
            </w:r>
          </w:hyperlink>
        </w:p>
        <w:p w14:paraId="2979CD95" w14:textId="5AD1BB95" w:rsidR="00036D84" w:rsidRDefault="00036D84">
          <w:r>
            <w:rPr>
              <w:b/>
              <w:bCs/>
              <w:noProof/>
            </w:rPr>
            <w:fldChar w:fldCharType="end"/>
          </w:r>
        </w:p>
      </w:sdtContent>
    </w:sdt>
    <w:p w14:paraId="506762D3" w14:textId="77777777" w:rsidR="00036D84" w:rsidRDefault="00036D84">
      <w:pPr>
        <w:rPr>
          <w:rFonts w:cs="Arial"/>
          <w:szCs w:val="22"/>
        </w:rPr>
      </w:pPr>
    </w:p>
    <w:p w14:paraId="679AC78D" w14:textId="77777777" w:rsidR="00C16B3B" w:rsidRDefault="00C16B3B">
      <w:pPr>
        <w:rPr>
          <w:rFonts w:cs="Arial"/>
          <w:szCs w:val="22"/>
        </w:rPr>
      </w:pPr>
    </w:p>
    <w:p w14:paraId="1D420A20" w14:textId="77777777" w:rsidR="00C16B3B" w:rsidRDefault="00C16B3B">
      <w:pPr>
        <w:rPr>
          <w:rFonts w:cs="Arial"/>
          <w:szCs w:val="22"/>
        </w:rPr>
      </w:pPr>
      <w:r>
        <w:rPr>
          <w:rFonts w:cs="Arial"/>
          <w:szCs w:val="22"/>
        </w:rPr>
        <w:br w:type="page"/>
      </w:r>
    </w:p>
    <w:p w14:paraId="133AAAD8" w14:textId="77777777" w:rsidR="004774DB" w:rsidRDefault="003365BF" w:rsidP="003365BF">
      <w:pPr>
        <w:pStyle w:val="Heading1"/>
      </w:pPr>
      <w:bookmarkStart w:id="0" w:name="_Toc172365077"/>
      <w:r>
        <w:lastRenderedPageBreak/>
        <w:t>Introduction</w:t>
      </w:r>
      <w:bookmarkEnd w:id="0"/>
      <w:r>
        <w:t xml:space="preserve"> </w:t>
      </w:r>
    </w:p>
    <w:p w14:paraId="566F661D" w14:textId="77777777" w:rsidR="004774DB" w:rsidRDefault="004774DB" w:rsidP="004774DB"/>
    <w:p w14:paraId="5E1F6F73" w14:textId="77777777" w:rsidR="006B3DBC" w:rsidRPr="006B3DBC" w:rsidRDefault="006B3DBC" w:rsidP="006B3DBC">
      <w:pPr>
        <w:rPr>
          <w:rFonts w:cs="Arial"/>
          <w:szCs w:val="22"/>
        </w:rPr>
      </w:pPr>
      <w:r w:rsidRPr="006B3DBC">
        <w:rPr>
          <w:rFonts w:cs="Arial"/>
          <w:szCs w:val="22"/>
        </w:rPr>
        <w:t>Stakeholder analysis is a crucial process in organisational management, involving the identification and assessment of key parties who have an interest in or influence over a project, decision, or issue. By systematically mapping stakeholders, organisations can understand their needs, expectations, and potential impacts on the project. This insight allows for the development of strategies to effectively engage stakeholders, thereby ensuring successful outcomes and minimising conflicts (Freeman, 1984).</w:t>
      </w:r>
    </w:p>
    <w:p w14:paraId="77036B63" w14:textId="77777777" w:rsidR="006B3DBC" w:rsidRPr="006B3DBC" w:rsidRDefault="006B3DBC" w:rsidP="006B3DBC">
      <w:pPr>
        <w:rPr>
          <w:rFonts w:cs="Arial"/>
          <w:szCs w:val="22"/>
        </w:rPr>
      </w:pPr>
    </w:p>
    <w:p w14:paraId="593BA249" w14:textId="77777777" w:rsidR="006B3DBC" w:rsidRPr="006B3DBC" w:rsidRDefault="006B3DBC" w:rsidP="006B3DBC">
      <w:pPr>
        <w:rPr>
          <w:rFonts w:cs="Arial"/>
          <w:szCs w:val="22"/>
        </w:rPr>
      </w:pPr>
      <w:r w:rsidRPr="006B3DBC">
        <w:rPr>
          <w:rFonts w:cs="Arial"/>
          <w:szCs w:val="22"/>
        </w:rPr>
        <w:t>In the context of the Post Office, stakeholder analysis is particularly vital due to the recent labour dispute. On 3rd May 2022, Post Office workers, represented by the Communication Workers Union (CWU), staged a one-day strike over pay issues. The workers had their wages frozen for 2021 and were offered a 2% increase plus a £250 one-off payment for 2022. The CWU deemed this offer "exceptionally poor," especially given that the Retail Price Index inflation had reached 9%, highlighting the disconnect between the offered pay and the rising cost of living (BBC News, 2022).</w:t>
      </w:r>
    </w:p>
    <w:p w14:paraId="5FCDA4F5" w14:textId="77777777" w:rsidR="006B3DBC" w:rsidRPr="006B3DBC" w:rsidRDefault="006B3DBC" w:rsidP="006B3DBC">
      <w:pPr>
        <w:rPr>
          <w:rFonts w:cs="Arial"/>
          <w:szCs w:val="22"/>
        </w:rPr>
      </w:pPr>
    </w:p>
    <w:p w14:paraId="2704B8CB" w14:textId="6F3E2E0E" w:rsidR="00036D84" w:rsidRDefault="006B3DBC" w:rsidP="006B3DBC">
      <w:r w:rsidRPr="006B3DBC">
        <w:rPr>
          <w:rFonts w:cs="Arial"/>
          <w:szCs w:val="22"/>
        </w:rPr>
        <w:t>This report aims to critically analyse the stakeholders involved in the Post Office dispute using a relevant stakeholder analysis model. It will identify and justify the key stakeholders to be engaged to resolve the crisis. Furthermore, the report will discuss conflict resolution styles, recommending the most appropriate one for this case. Based on this analysis, strategies to achieve a ‘win-win’ solution among the stakeholders will be proposed. Finally, the report will reflect on how understanding conflict resolution and stakeholder theory has prepared the author for the workplace.</w:t>
      </w:r>
      <w:r w:rsidR="00036D84">
        <w:br w:type="page"/>
      </w:r>
    </w:p>
    <w:p w14:paraId="136D97DC" w14:textId="0FA91EAA" w:rsidR="001E171B" w:rsidRDefault="001E171B" w:rsidP="001E171B">
      <w:pPr>
        <w:pStyle w:val="Caption"/>
        <w:keepNext/>
      </w:pPr>
    </w:p>
    <w:tbl>
      <w:tblPr>
        <w:tblpPr w:leftFromText="180" w:rightFromText="180" w:vertAnchor="page" w:horzAnchor="margin" w:tblpY="5503"/>
        <w:tblW w:w="8880" w:type="dxa"/>
        <w:tblCellMar>
          <w:left w:w="0" w:type="dxa"/>
          <w:right w:w="0" w:type="dxa"/>
        </w:tblCellMar>
        <w:tblLook w:val="0420" w:firstRow="1" w:lastRow="0" w:firstColumn="0" w:lastColumn="0" w:noHBand="0" w:noVBand="1"/>
      </w:tblPr>
      <w:tblGrid>
        <w:gridCol w:w="4420"/>
        <w:gridCol w:w="4460"/>
      </w:tblGrid>
      <w:tr w:rsidR="00DA5A43" w:rsidRPr="00036D84" w14:paraId="0A27235D" w14:textId="77777777" w:rsidTr="00DA5A43">
        <w:trPr>
          <w:trHeight w:val="3637"/>
        </w:trPr>
        <w:tc>
          <w:tcPr>
            <w:tcW w:w="4420" w:type="dxa"/>
            <w:tcBorders>
              <w:top w:val="single" w:sz="8" w:space="0" w:color="FFFFFF"/>
              <w:left w:val="single" w:sz="8" w:space="0" w:color="FFFFFF"/>
              <w:bottom w:val="single" w:sz="24" w:space="0" w:color="FFFFFF"/>
              <w:right w:val="single" w:sz="8" w:space="0" w:color="FFFFFF"/>
            </w:tcBorders>
            <w:shd w:val="clear" w:color="auto" w:fill="EE6D49" w:themeFill="accent1" w:themeFillTint="99"/>
            <w:tcMar>
              <w:top w:w="212" w:type="dxa"/>
              <w:left w:w="15" w:type="dxa"/>
              <w:bottom w:w="0" w:type="dxa"/>
              <w:right w:w="15" w:type="dxa"/>
            </w:tcMar>
            <w:hideMark/>
          </w:tcPr>
          <w:p w14:paraId="67F9AFFA" w14:textId="77777777" w:rsidR="00DA5A43" w:rsidRPr="00ED2FEB" w:rsidRDefault="00DA5A43" w:rsidP="00DA5A43">
            <w:pPr>
              <w:jc w:val="center"/>
              <w:rPr>
                <w:rFonts w:cs="Arial"/>
                <w:sz w:val="32"/>
                <w:szCs w:val="32"/>
              </w:rPr>
            </w:pPr>
            <w:r w:rsidRPr="00ED2FEB">
              <w:rPr>
                <w:rFonts w:cs="Arial"/>
                <w:sz w:val="32"/>
                <w:szCs w:val="32"/>
              </w:rPr>
              <w:t>High power, low interest</w:t>
            </w:r>
          </w:p>
          <w:p w14:paraId="70E0E59B" w14:textId="4274CEEA" w:rsidR="00DA5A43" w:rsidRPr="00ED2FEB" w:rsidRDefault="00DA5A43" w:rsidP="00DA5A43">
            <w:pPr>
              <w:jc w:val="center"/>
              <w:rPr>
                <w:rFonts w:cs="Arial"/>
                <w:b/>
                <w:bCs/>
                <w:szCs w:val="22"/>
              </w:rPr>
            </w:pPr>
            <w:r w:rsidRPr="00ED2FEB">
              <w:rPr>
                <w:rFonts w:cs="Arial"/>
                <w:b/>
                <w:bCs/>
                <w:szCs w:val="22"/>
              </w:rPr>
              <w:t xml:space="preserve">Keep </w:t>
            </w:r>
            <w:r w:rsidR="00220055" w:rsidRPr="00ED2FEB">
              <w:rPr>
                <w:rFonts w:cs="Arial"/>
                <w:b/>
                <w:bCs/>
                <w:szCs w:val="22"/>
              </w:rPr>
              <w:t>satisfied.</w:t>
            </w:r>
          </w:p>
          <w:p w14:paraId="7ED558B3" w14:textId="77777777" w:rsidR="00DA5A43" w:rsidRPr="00ED2FEB" w:rsidRDefault="00DA5A43" w:rsidP="00DA5A43">
            <w:pPr>
              <w:pStyle w:val="ListParagraph"/>
              <w:numPr>
                <w:ilvl w:val="0"/>
                <w:numId w:val="4"/>
              </w:numPr>
              <w:jc w:val="center"/>
              <w:rPr>
                <w:rFonts w:cs="Arial"/>
                <w:szCs w:val="22"/>
              </w:rPr>
            </w:pPr>
            <w:r w:rsidRPr="00ED2FEB">
              <w:rPr>
                <w:rFonts w:cs="Arial"/>
                <w:szCs w:val="22"/>
              </w:rPr>
              <w:t xml:space="preserve">Government/BEIS </w:t>
            </w:r>
          </w:p>
          <w:p w14:paraId="59B8D2B9" w14:textId="77777777" w:rsidR="00DA5A43" w:rsidRPr="00ED2FEB" w:rsidRDefault="00DA5A43" w:rsidP="00DA5A43">
            <w:pPr>
              <w:pStyle w:val="ListParagraph"/>
              <w:numPr>
                <w:ilvl w:val="0"/>
                <w:numId w:val="4"/>
              </w:numPr>
              <w:jc w:val="center"/>
              <w:rPr>
                <w:rFonts w:cs="Arial"/>
                <w:szCs w:val="22"/>
              </w:rPr>
            </w:pPr>
            <w:r w:rsidRPr="00ED2FEB">
              <w:rPr>
                <w:rFonts w:cs="Arial"/>
                <w:szCs w:val="22"/>
              </w:rPr>
              <w:t>Major Retail Partners</w:t>
            </w:r>
          </w:p>
          <w:p w14:paraId="2278DB40" w14:textId="77777777" w:rsidR="00DA5A43" w:rsidRPr="00ED2FEB" w:rsidRDefault="00DA5A43" w:rsidP="00DA5A43">
            <w:pPr>
              <w:jc w:val="center"/>
              <w:rPr>
                <w:rFonts w:cs="Arial"/>
                <w:szCs w:val="22"/>
              </w:rPr>
            </w:pPr>
          </w:p>
        </w:tc>
        <w:tc>
          <w:tcPr>
            <w:tcW w:w="4460" w:type="dxa"/>
            <w:tcBorders>
              <w:top w:val="single" w:sz="8" w:space="0" w:color="FFFFFF"/>
              <w:left w:val="single" w:sz="8" w:space="0" w:color="FFFFFF"/>
              <w:bottom w:val="single" w:sz="24" w:space="0" w:color="FFFFFF"/>
              <w:right w:val="single" w:sz="8" w:space="0" w:color="FFFFFF"/>
            </w:tcBorders>
            <w:shd w:val="clear" w:color="auto" w:fill="9F4110" w:themeFill="accent2" w:themeFillShade="BF"/>
            <w:tcMar>
              <w:top w:w="7" w:type="dxa"/>
              <w:left w:w="15" w:type="dxa"/>
              <w:bottom w:w="0" w:type="dxa"/>
              <w:right w:w="15" w:type="dxa"/>
            </w:tcMar>
            <w:hideMark/>
          </w:tcPr>
          <w:p w14:paraId="117FEA23" w14:textId="77777777" w:rsidR="00DA5A43" w:rsidRPr="00ED2FEB" w:rsidRDefault="00DA5A43" w:rsidP="00DA5A43">
            <w:pPr>
              <w:jc w:val="center"/>
              <w:rPr>
                <w:rFonts w:cs="Arial"/>
                <w:sz w:val="32"/>
                <w:szCs w:val="32"/>
              </w:rPr>
            </w:pPr>
            <w:r w:rsidRPr="00ED2FEB">
              <w:rPr>
                <w:rFonts w:cs="Arial"/>
                <w:sz w:val="32"/>
                <w:szCs w:val="32"/>
              </w:rPr>
              <w:t>High power, high interest</w:t>
            </w:r>
          </w:p>
          <w:p w14:paraId="734609EB" w14:textId="7BC14755" w:rsidR="00DA5A43" w:rsidRPr="00ED2FEB" w:rsidRDefault="00DA5A43" w:rsidP="00DA5A43">
            <w:pPr>
              <w:jc w:val="center"/>
              <w:rPr>
                <w:rFonts w:cs="Arial"/>
                <w:szCs w:val="22"/>
              </w:rPr>
            </w:pPr>
            <w:r w:rsidRPr="00ED2FEB">
              <w:rPr>
                <w:rFonts w:cs="Arial"/>
                <w:b/>
                <w:bCs/>
                <w:szCs w:val="22"/>
              </w:rPr>
              <w:t xml:space="preserve">Manage </w:t>
            </w:r>
            <w:r w:rsidR="00FF5B5B" w:rsidRPr="00ED2FEB">
              <w:rPr>
                <w:rFonts w:cs="Arial"/>
                <w:b/>
                <w:bCs/>
                <w:szCs w:val="22"/>
              </w:rPr>
              <w:t>closely.</w:t>
            </w:r>
          </w:p>
          <w:p w14:paraId="60F767F7" w14:textId="77777777" w:rsidR="00DA5A43" w:rsidRPr="00A066AC" w:rsidRDefault="00DA5A43" w:rsidP="00DA5A43">
            <w:pPr>
              <w:pStyle w:val="ListParagraph"/>
              <w:numPr>
                <w:ilvl w:val="0"/>
                <w:numId w:val="6"/>
              </w:numPr>
              <w:jc w:val="center"/>
              <w:rPr>
                <w:rFonts w:cs="Arial"/>
                <w:szCs w:val="22"/>
              </w:rPr>
            </w:pPr>
            <w:r w:rsidRPr="00A066AC">
              <w:rPr>
                <w:rFonts w:cs="Arial"/>
                <w:szCs w:val="22"/>
              </w:rPr>
              <w:t xml:space="preserve">CWU </w:t>
            </w:r>
          </w:p>
          <w:p w14:paraId="0E5C68A4" w14:textId="77777777" w:rsidR="00DA5A43" w:rsidRPr="00A066AC" w:rsidRDefault="00DA5A43" w:rsidP="00DA5A43">
            <w:pPr>
              <w:pStyle w:val="ListParagraph"/>
              <w:numPr>
                <w:ilvl w:val="0"/>
                <w:numId w:val="6"/>
              </w:numPr>
              <w:jc w:val="center"/>
              <w:rPr>
                <w:rFonts w:cs="Arial"/>
                <w:szCs w:val="22"/>
              </w:rPr>
            </w:pPr>
            <w:r w:rsidRPr="00A066AC">
              <w:rPr>
                <w:rFonts w:cs="Arial"/>
                <w:szCs w:val="22"/>
              </w:rPr>
              <w:t>Post Office Management</w:t>
            </w:r>
          </w:p>
        </w:tc>
      </w:tr>
      <w:tr w:rsidR="00DA5A43" w:rsidRPr="00036D84" w14:paraId="0BA3BA10" w14:textId="77777777" w:rsidTr="00DA5A43">
        <w:trPr>
          <w:trHeight w:val="3637"/>
        </w:trPr>
        <w:tc>
          <w:tcPr>
            <w:tcW w:w="4420" w:type="dxa"/>
            <w:tcBorders>
              <w:top w:val="single" w:sz="24" w:space="0" w:color="FFFFFF"/>
              <w:left w:val="single" w:sz="8" w:space="0" w:color="FFFFFF"/>
              <w:bottom w:val="single" w:sz="8" w:space="0" w:color="FFFFFF"/>
              <w:right w:val="single" w:sz="8" w:space="0" w:color="FFFFFF"/>
            </w:tcBorders>
            <w:shd w:val="clear" w:color="auto" w:fill="EFDA8D" w:themeFill="background2" w:themeFillTint="99"/>
            <w:tcMar>
              <w:top w:w="195" w:type="dxa"/>
              <w:left w:w="15" w:type="dxa"/>
              <w:bottom w:w="0" w:type="dxa"/>
              <w:right w:w="15" w:type="dxa"/>
            </w:tcMar>
            <w:hideMark/>
          </w:tcPr>
          <w:p w14:paraId="1A845AB7" w14:textId="6086B1D4" w:rsidR="00DA5A43" w:rsidRPr="00ED2FEB" w:rsidRDefault="00DA5A43" w:rsidP="00DA5A43">
            <w:pPr>
              <w:jc w:val="center"/>
              <w:rPr>
                <w:rFonts w:cs="Arial"/>
                <w:sz w:val="32"/>
                <w:szCs w:val="32"/>
              </w:rPr>
            </w:pPr>
            <w:r w:rsidRPr="00ED2FEB">
              <w:rPr>
                <w:rFonts w:cs="Arial"/>
                <w:sz w:val="32"/>
                <w:szCs w:val="32"/>
              </w:rPr>
              <w:t>low power, low interest</w:t>
            </w:r>
          </w:p>
          <w:p w14:paraId="6298CD3C" w14:textId="77777777" w:rsidR="00DA5A43" w:rsidRPr="00ED2FEB" w:rsidRDefault="00DA5A43" w:rsidP="00DA5A43">
            <w:pPr>
              <w:jc w:val="center"/>
              <w:rPr>
                <w:rFonts w:cs="Arial"/>
                <w:szCs w:val="22"/>
              </w:rPr>
            </w:pPr>
            <w:r w:rsidRPr="00ED2FEB">
              <w:rPr>
                <w:rFonts w:cs="Arial"/>
                <w:b/>
                <w:bCs/>
                <w:szCs w:val="22"/>
              </w:rPr>
              <w:t>Monitor (minimum effort)</w:t>
            </w:r>
          </w:p>
          <w:p w14:paraId="1B065DD3" w14:textId="77777777" w:rsidR="00DA5A43" w:rsidRPr="00ED2FEB" w:rsidRDefault="00DA5A43" w:rsidP="00DA5A43">
            <w:pPr>
              <w:pStyle w:val="ListParagraph"/>
              <w:numPr>
                <w:ilvl w:val="0"/>
                <w:numId w:val="5"/>
              </w:numPr>
              <w:jc w:val="center"/>
              <w:rPr>
                <w:rFonts w:cs="Arial"/>
                <w:szCs w:val="22"/>
              </w:rPr>
            </w:pPr>
            <w:r w:rsidRPr="00ED2FEB">
              <w:rPr>
                <w:rFonts w:cs="Arial"/>
                <w:szCs w:val="22"/>
              </w:rPr>
              <w:t>General Public</w:t>
            </w:r>
          </w:p>
          <w:p w14:paraId="5E4A3820" w14:textId="18F770E0" w:rsidR="00DA5A43" w:rsidRPr="00ED2FEB" w:rsidRDefault="00DA5A43" w:rsidP="00DA5A43">
            <w:pPr>
              <w:pStyle w:val="ListParagraph"/>
              <w:numPr>
                <w:ilvl w:val="0"/>
                <w:numId w:val="5"/>
              </w:numPr>
              <w:jc w:val="center"/>
              <w:rPr>
                <w:rFonts w:cs="Arial"/>
                <w:szCs w:val="22"/>
              </w:rPr>
            </w:pPr>
            <w:r w:rsidRPr="00ED2FEB">
              <w:rPr>
                <w:rFonts w:cs="Arial"/>
                <w:szCs w:val="22"/>
              </w:rPr>
              <w:t>Media</w:t>
            </w:r>
          </w:p>
        </w:tc>
        <w:tc>
          <w:tcPr>
            <w:tcW w:w="4460" w:type="dxa"/>
            <w:tcBorders>
              <w:top w:val="single" w:sz="24" w:space="0" w:color="FFFFFF"/>
              <w:left w:val="single" w:sz="8" w:space="0" w:color="FFFFFF"/>
              <w:bottom w:val="single" w:sz="8" w:space="0" w:color="FFFFFF"/>
              <w:right w:val="single" w:sz="8" w:space="0" w:color="FFFFFF"/>
            </w:tcBorders>
            <w:shd w:val="clear" w:color="auto" w:fill="EDC07C" w:themeFill="accent3" w:themeFillTint="99"/>
            <w:tcMar>
              <w:top w:w="189" w:type="dxa"/>
              <w:left w:w="15" w:type="dxa"/>
              <w:bottom w:w="0" w:type="dxa"/>
              <w:right w:w="15" w:type="dxa"/>
            </w:tcMar>
            <w:hideMark/>
          </w:tcPr>
          <w:p w14:paraId="6058009C" w14:textId="77777777" w:rsidR="00DA5A43" w:rsidRPr="00ED2FEB" w:rsidRDefault="00DA5A43" w:rsidP="00DA5A43">
            <w:pPr>
              <w:jc w:val="center"/>
              <w:rPr>
                <w:rFonts w:cs="Arial"/>
                <w:sz w:val="32"/>
                <w:szCs w:val="32"/>
              </w:rPr>
            </w:pPr>
            <w:r w:rsidRPr="00ED2FEB">
              <w:rPr>
                <w:rFonts w:cs="Arial"/>
                <w:sz w:val="32"/>
                <w:szCs w:val="32"/>
              </w:rPr>
              <w:t>Low power, high interest</w:t>
            </w:r>
          </w:p>
          <w:p w14:paraId="2B1C4A79" w14:textId="2BE5B537" w:rsidR="00DA5A43" w:rsidRPr="00ED2FEB" w:rsidRDefault="00DA5A43" w:rsidP="00DA5A43">
            <w:pPr>
              <w:jc w:val="center"/>
              <w:rPr>
                <w:rFonts w:cs="Arial"/>
                <w:b/>
                <w:bCs/>
                <w:szCs w:val="22"/>
              </w:rPr>
            </w:pPr>
            <w:r w:rsidRPr="00ED2FEB">
              <w:rPr>
                <w:rFonts w:cs="Arial"/>
                <w:b/>
                <w:bCs/>
                <w:szCs w:val="22"/>
              </w:rPr>
              <w:t xml:space="preserve">Keep </w:t>
            </w:r>
            <w:r w:rsidR="00FF5B5B" w:rsidRPr="00ED2FEB">
              <w:rPr>
                <w:rFonts w:cs="Arial"/>
                <w:b/>
                <w:bCs/>
                <w:szCs w:val="22"/>
              </w:rPr>
              <w:t>informed.</w:t>
            </w:r>
          </w:p>
          <w:p w14:paraId="7761C9B6" w14:textId="77777777" w:rsidR="00DA5A43" w:rsidRPr="00ED2FEB" w:rsidRDefault="00DA5A43" w:rsidP="00DA5A43">
            <w:pPr>
              <w:numPr>
                <w:ilvl w:val="0"/>
                <w:numId w:val="3"/>
              </w:numPr>
              <w:jc w:val="center"/>
              <w:rPr>
                <w:rFonts w:cs="Arial"/>
                <w:szCs w:val="22"/>
              </w:rPr>
            </w:pPr>
            <w:r w:rsidRPr="00ED2FEB">
              <w:rPr>
                <w:rFonts w:cs="Arial"/>
                <w:szCs w:val="22"/>
              </w:rPr>
              <w:t>Non-striking Employees</w:t>
            </w:r>
          </w:p>
          <w:p w14:paraId="7D844F70" w14:textId="77777777" w:rsidR="00DA5A43" w:rsidRPr="00ED2FEB" w:rsidRDefault="00DA5A43" w:rsidP="00DA5A43">
            <w:pPr>
              <w:numPr>
                <w:ilvl w:val="0"/>
                <w:numId w:val="3"/>
              </w:numPr>
              <w:jc w:val="center"/>
              <w:rPr>
                <w:rFonts w:cs="Arial"/>
                <w:szCs w:val="22"/>
              </w:rPr>
            </w:pPr>
            <w:r w:rsidRPr="00ED2FEB">
              <w:rPr>
                <w:rFonts w:cs="Arial"/>
                <w:szCs w:val="22"/>
              </w:rPr>
              <w:t>Customer</w:t>
            </w:r>
          </w:p>
          <w:p w14:paraId="57E8737F" w14:textId="77777777" w:rsidR="00DA5A43" w:rsidRPr="00ED2FEB" w:rsidRDefault="00DA5A43" w:rsidP="00E1539D">
            <w:pPr>
              <w:keepNext/>
              <w:jc w:val="center"/>
              <w:rPr>
                <w:rFonts w:cs="Arial"/>
                <w:szCs w:val="22"/>
              </w:rPr>
            </w:pPr>
          </w:p>
        </w:tc>
      </w:tr>
    </w:tbl>
    <w:p w14:paraId="6343C0A5" w14:textId="28A63AB2" w:rsidR="00E1539D" w:rsidRDefault="00E1539D" w:rsidP="00E1539D">
      <w:pPr>
        <w:pStyle w:val="Caption"/>
        <w:framePr w:hSpace="180" w:wrap="around" w:vAnchor="page" w:hAnchor="margin" w:y="5503"/>
      </w:pPr>
      <w:r>
        <w:t xml:space="preserve">Figure </w:t>
      </w:r>
      <w:r>
        <w:fldChar w:fldCharType="begin"/>
      </w:r>
      <w:r>
        <w:instrText xml:space="preserve"> SEQ Figure \* ARABIC </w:instrText>
      </w:r>
      <w:r>
        <w:fldChar w:fldCharType="separate"/>
      </w:r>
      <w:r>
        <w:rPr>
          <w:noProof/>
        </w:rPr>
        <w:t>1</w:t>
      </w:r>
      <w:r>
        <w:fldChar w:fldCharType="end"/>
      </w:r>
    </w:p>
    <w:p w14:paraId="0B550939" w14:textId="0A6710C6" w:rsidR="00302B10" w:rsidRPr="00953A30" w:rsidRDefault="00192826" w:rsidP="00490D68">
      <w:pPr>
        <w:pStyle w:val="Heading1"/>
        <w:rPr>
          <w:u w:val="single"/>
        </w:rPr>
      </w:pPr>
      <w:bookmarkStart w:id="1" w:name="_Toc172365078"/>
      <w:r w:rsidRPr="00953A30">
        <w:rPr>
          <w:noProof/>
          <w:u w:val="single"/>
        </w:rPr>
        <mc:AlternateContent>
          <mc:Choice Requires="wps">
            <w:drawing>
              <wp:anchor distT="0" distB="0" distL="114300" distR="114300" simplePos="0" relativeHeight="251660288" behindDoc="0" locked="0" layoutInCell="1" allowOverlap="1" wp14:anchorId="724B59FC" wp14:editId="4C748B64">
                <wp:simplePos x="0" y="0"/>
                <wp:positionH relativeFrom="margin">
                  <wp:posOffset>-120015</wp:posOffset>
                </wp:positionH>
                <wp:positionV relativeFrom="paragraph">
                  <wp:posOffset>7563485</wp:posOffset>
                </wp:positionV>
                <wp:extent cx="5727700" cy="484632"/>
                <wp:effectExtent l="0" t="19050" r="44450" b="29845"/>
                <wp:wrapNone/>
                <wp:docPr id="660990073" name="Arrow: Right 3"/>
                <wp:cNvGraphicFramePr/>
                <a:graphic xmlns:a="http://schemas.openxmlformats.org/drawingml/2006/main">
                  <a:graphicData uri="http://schemas.microsoft.com/office/word/2010/wordprocessingShape">
                    <wps:wsp>
                      <wps:cNvSpPr/>
                      <wps:spPr>
                        <a:xfrm>
                          <a:off x="0" y="0"/>
                          <a:ext cx="5727700"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3E71F0" w14:textId="73B2A2D0" w:rsidR="00B13E29" w:rsidRDefault="00B13E29" w:rsidP="00B13E29">
                            <w:pPr>
                              <w:jc w:val="center"/>
                            </w:pPr>
                            <w:r>
                              <w:t>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24B59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9.45pt;margin-top:595.55pt;width:451pt;height:38.1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FcZwIAACQFAAAOAAAAZHJzL2Uyb0RvYy54bWysVE1v2zAMvQ/YfxB0X+1k6ceCOkXQosOA&#10;og3aDj0rshQbkEWNUmJnv36U7DhFW+ww7CJTIvlIPT/q8qprDNsp9DXYgk9Ocs6UlVDWdlPwn8+3&#10;Xy4480HYUhiwquB75fnV4vOny9bN1RQqMKVCRiDWz1tX8CoEN88yLyvVCH8CTllyasBGBNriJitR&#10;tITemGya52dZC1g6BKm8p9Ob3skXCV9rJcOD1l4FZgpOvYW0YlrXcc0Wl2K+QeGqWg5tiH/oohG1&#10;paIj1I0Igm2xfgfV1BLBgw4nEpoMtK6lSneg20zyN7d5qoRT6S5EjncjTf7/wcr73ZNbIdHQOj/3&#10;ZMZbdBqb+KX+WJfI2o9kqS4wSYen59Pz85w4leSbXczOvk4jm9kx26EP3xU0LBoFx3pThSUitIkp&#10;sbvzoU84BFL2sYtkhb1RsRFjH5VmdUl1pyk7CURdG2Q7Qb9WSKlsmPSuSpSqP56c5tRhX2TMSD0m&#10;wIisa2NG7AEgiu89dg8zxMdUlfQ1Jud/a6xPHjNSZbBhTG5qC/gRgKFbDZX7+ANJPTWRpdCtOwqJ&#10;5hrK/QoZQi907+RtTeTfCR9WAknZ9L9oWsMDLdpAW3AYLM4qwN8fncd4Ehx5OWtpUgruf20FKs7M&#10;D0tS/DaZzeJopc2MZEEbfO1Zv/bYbXMN9Mcm9C44mcwYH8zB1AjNCw31MlYll7CSahdcBjxsrkM/&#10;wfQsSLVcpjAaJyfCnX1yMoJHgqOsnrsXgW5QYCDt3sNhqsT8jQT72JhpYbkNoOukzyOvA/U0iklD&#10;w7MRZ/31PkUdH7fFHwAAAP//AwBQSwMEFAAGAAgAAAAhAJJfYRzjAAAADQEAAA8AAABkcnMvZG93&#10;bnJldi54bWxMj8FOwzAQRO9I/IO1SNxaxy0KaRqnQpRyQpVoKnp1YpME4nUUO234e7YnuO3ujGbf&#10;ZJvJduxsBt86lCDmETCDldMt1hKOxW6WAPNBoVadQyPhx3jY5Lc3mUq1u+C7OR9CzSgEfaokNCH0&#10;Kee+aoxVfu56g6R9usGqQOtQcz2oC4Xbji+iKOZWtUgfGtWb58ZU34fRSiiLWL+8vX5xtV1uP3bF&#10;fn/qj6OU93fT0xpYMFP4M8MVn9AhJ6bSjag96yTMRLIiKwliJQQwsiTJkoaSTov48QF4nvH/LfJf&#10;AAAA//8DAFBLAQItABQABgAIAAAAIQC2gziS/gAAAOEBAAATAAAAAAAAAAAAAAAAAAAAAABbQ29u&#10;dGVudF9UeXBlc10ueG1sUEsBAi0AFAAGAAgAAAAhADj9If/WAAAAlAEAAAsAAAAAAAAAAAAAAAAA&#10;LwEAAF9yZWxzLy5yZWxzUEsBAi0AFAAGAAgAAAAhAJhsoVxnAgAAJAUAAA4AAAAAAAAAAAAAAAAA&#10;LgIAAGRycy9lMm9Eb2MueG1sUEsBAi0AFAAGAAgAAAAhAJJfYRzjAAAADQEAAA8AAAAAAAAAAAAA&#10;AAAAwQQAAGRycy9kb3ducmV2LnhtbFBLBQYAAAAABAAEAPMAAADRBQAAAAA=&#10;" adj="20686" fillcolor="#a5300f [3204]" strokecolor="#180702 [484]" strokeweight="2pt">
                <v:textbox>
                  <w:txbxContent>
                    <w:p w14:paraId="733E71F0" w14:textId="73B2A2D0" w:rsidR="00B13E29" w:rsidRDefault="00B13E29" w:rsidP="00B13E29">
                      <w:pPr>
                        <w:jc w:val="center"/>
                      </w:pPr>
                      <w:r>
                        <w:t>Interest</w:t>
                      </w:r>
                    </w:p>
                  </w:txbxContent>
                </v:textbox>
                <w10:wrap anchorx="margin"/>
              </v:shape>
            </w:pict>
          </mc:Fallback>
        </mc:AlternateContent>
      </w:r>
      <w:r w:rsidR="007E5411" w:rsidRPr="00953A30">
        <w:rPr>
          <w:u w:val="single"/>
        </w:rPr>
        <w:t>Power-Interest Matrix Diagram</w:t>
      </w:r>
      <w:r w:rsidR="00DA5A43" w:rsidRPr="00953A30">
        <w:rPr>
          <w:noProof/>
          <w:u w:val="single"/>
        </w:rPr>
        <mc:AlternateContent>
          <mc:Choice Requires="wps">
            <w:drawing>
              <wp:anchor distT="0" distB="0" distL="114300" distR="114300" simplePos="0" relativeHeight="251659264" behindDoc="0" locked="0" layoutInCell="1" allowOverlap="1" wp14:anchorId="694C6C25" wp14:editId="07AEB5D5">
                <wp:simplePos x="0" y="0"/>
                <wp:positionH relativeFrom="leftMargin">
                  <wp:posOffset>421821</wp:posOffset>
                </wp:positionH>
                <wp:positionV relativeFrom="paragraph">
                  <wp:posOffset>2593250</wp:posOffset>
                </wp:positionV>
                <wp:extent cx="484632" cy="5327650"/>
                <wp:effectExtent l="19050" t="19050" r="29845" b="25400"/>
                <wp:wrapNone/>
                <wp:docPr id="1721123187" name="Arrow: Up 2"/>
                <wp:cNvGraphicFramePr/>
                <a:graphic xmlns:a="http://schemas.openxmlformats.org/drawingml/2006/main">
                  <a:graphicData uri="http://schemas.microsoft.com/office/word/2010/wordprocessingShape">
                    <wps:wsp>
                      <wps:cNvSpPr/>
                      <wps:spPr>
                        <a:xfrm>
                          <a:off x="0" y="0"/>
                          <a:ext cx="484632" cy="53276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F0C622" w14:textId="77777777" w:rsidR="008C3A55" w:rsidRDefault="000D7B85" w:rsidP="000D7B85">
                            <w:pPr>
                              <w:jc w:val="center"/>
                            </w:pPr>
                            <w:r>
                              <w:t>Po</w:t>
                            </w:r>
                            <w:r w:rsidR="00D71220">
                              <w:t xml:space="preserve">wer </w:t>
                            </w:r>
                          </w:p>
                          <w:p w14:paraId="5D6F802C" w14:textId="77777777" w:rsidR="008C3A55" w:rsidRDefault="008C3A55" w:rsidP="000D7B85">
                            <w:pPr>
                              <w:jc w:val="center"/>
                            </w:pPr>
                          </w:p>
                          <w:p w14:paraId="134093FC" w14:textId="69EDA8BE" w:rsidR="000D7B85" w:rsidRDefault="00D71220" w:rsidP="000D7B85">
                            <w:pPr>
                              <w:jc w:val="center"/>
                            </w:pPr>
                            <w:r>
                              <w:t>influence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94C6C2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7" type="#_x0000_t68" style="position:absolute;margin-left:33.2pt;margin-top:204.2pt;width:38.15pt;height:419.5pt;z-index:25165926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MNagIAACgFAAAOAAAAZHJzL2Uyb0RvYy54bWysVFFP2zAQfp+0/2D5fSQtLbCKFFUgpkkI&#10;qsHEs+vYJJLj885uk+7X7+ykKQK0h2kvjs939935y3e+vOoaw3YKfQ224JOTnDNlJZS1fSn4z6fb&#10;Lxec+SBsKQxYVfC98vxq+fnTZesWagoVmFIhIxDrF60reBWCW2SZl5VqhD8Bpyw5NWAjApn4kpUo&#10;WkJvTDbN87OsBSwdglTe0+lN7+TLhK+1kuFBa68CMwWn3kJaMa2buGbLS7F4QeGqWg5tiH/oohG1&#10;paIj1I0Igm2xfgfV1BLBgw4nEpoMtK6lSneg20zyN7d5rIRT6S5EjncjTf7/wcr73aNbI9HQOr/w&#10;tI236DQ28Uv9sS6RtR/JUl1gkg5nF7Oz0ylnklzz0+n52TyxmR2zHfrwTUHD4qbgW7dChDbRJHZ3&#10;PlBRij5EkXFsIe3C3qjYhbE/lGZ1SUWnKTupQ10bZDtB/1VIqWyY9K5KlKo/nszz/NDSmJFKJsCI&#10;rGtjRuwBICrvPXbf6xAfU1US15ic/62xPnnMSJXBhjG5qS3gRwCGbjVU7uMPJPXURJZCt+mIG5q9&#10;GBlPNlDu18gQerF7J29r+gF3woe1QFI3zQFNbHigRRtoCw7DjrMK8PdH5zGeREdezlqaloL7X1uB&#10;ijPz3ZIcv05mszheyZjNz6dk4GvP5rXHbptroB83obfBybSN8cEcthqheabBXsWq5BJWUu2Cy4AH&#10;4zr0U0xPg1SrVQqjkXIi3NlHJyN45Dmq66l7FugGFQbS7z0cJkss3iixj42ZFlbbALpOMj3yOvwB&#10;GsckpeHpiPP+2k5Rxwdu+QcAAP//AwBQSwMEFAAGAAgAAAAhAE49F2XgAAAACwEAAA8AAABkcnMv&#10;ZG93bnJldi54bWxMj01PwzAMhu9I/IfISNxY0qrqqtJ0QkgcQBzYx2HcssZrqzVO1WRb+fd4J7i9&#10;lh+9flytZjeIC06h96QhWSgQSI23PbUadtu3pwJEiIasGTyhhh8MsKrv7ypTWn+lNV42sRVcQqE0&#10;GroYx1LK0HToTFj4EYl3Rz85E3mcWmknc+VyN8hUqVw60xNf6MyIrx02p83ZacDPIyUnhe/zx/5r&#10;G3eF/14nXuvHh/nlGUTEOf7BcNNndajZ6eDPZIMYNOR5xqSGTBUcbkCWLkEcOKTZMgNZV/L/D/Uv&#10;AAAA//8DAFBLAQItABQABgAIAAAAIQC2gziS/gAAAOEBAAATAAAAAAAAAAAAAAAAAAAAAABbQ29u&#10;dGVudF9UeXBlc10ueG1sUEsBAi0AFAAGAAgAAAAhADj9If/WAAAAlAEAAAsAAAAAAAAAAAAAAAAA&#10;LwEAAF9yZWxzLy5yZWxzUEsBAi0AFAAGAAgAAAAhAPIL4w1qAgAAKAUAAA4AAAAAAAAAAAAAAAAA&#10;LgIAAGRycy9lMm9Eb2MueG1sUEsBAi0AFAAGAAgAAAAhAE49F2XgAAAACwEAAA8AAAAAAAAAAAAA&#10;AAAAxAQAAGRycy9kb3ducmV2LnhtbFBLBQYAAAAABAAEAPMAAADRBQAAAAA=&#10;" adj="982" fillcolor="#a5300f [3204]" strokecolor="#180702 [484]" strokeweight="2pt">
                <v:textbox>
                  <w:txbxContent>
                    <w:p w14:paraId="02F0C622" w14:textId="77777777" w:rsidR="008C3A55" w:rsidRDefault="000D7B85" w:rsidP="000D7B85">
                      <w:pPr>
                        <w:jc w:val="center"/>
                      </w:pPr>
                      <w:r>
                        <w:t>Po</w:t>
                      </w:r>
                      <w:r w:rsidR="00D71220">
                        <w:t xml:space="preserve">wer </w:t>
                      </w:r>
                    </w:p>
                    <w:p w14:paraId="5D6F802C" w14:textId="77777777" w:rsidR="008C3A55" w:rsidRDefault="008C3A55" w:rsidP="000D7B85">
                      <w:pPr>
                        <w:jc w:val="center"/>
                      </w:pPr>
                    </w:p>
                    <w:p w14:paraId="134093FC" w14:textId="69EDA8BE" w:rsidR="000D7B85" w:rsidRDefault="00D71220" w:rsidP="000D7B85">
                      <w:pPr>
                        <w:jc w:val="center"/>
                      </w:pPr>
                      <w:r>
                        <w:t>influence</w:t>
                      </w:r>
                    </w:p>
                  </w:txbxContent>
                </v:textbox>
                <w10:wrap anchorx="margin"/>
              </v:shape>
            </w:pict>
          </mc:Fallback>
        </mc:AlternateContent>
      </w:r>
      <w:bookmarkEnd w:id="1"/>
      <w:r w:rsidR="00302B10" w:rsidRPr="00953A30">
        <w:rPr>
          <w:u w:val="single"/>
        </w:rPr>
        <w:br w:type="page"/>
      </w:r>
    </w:p>
    <w:p w14:paraId="1A6F0F9A" w14:textId="742A2A4C" w:rsidR="005421FC" w:rsidRDefault="00006412" w:rsidP="00490D68">
      <w:pPr>
        <w:pStyle w:val="Heading1"/>
      </w:pPr>
      <w:bookmarkStart w:id="2" w:name="_Toc172365079"/>
      <w:r w:rsidRPr="00006412">
        <w:lastRenderedPageBreak/>
        <w:t>Detailed Explanation of Key Stakeholders: CWU and Post Office Management</w:t>
      </w:r>
      <w:bookmarkEnd w:id="2"/>
    </w:p>
    <w:p w14:paraId="0F6CFF1B" w14:textId="77777777" w:rsidR="00006412" w:rsidRDefault="00006412" w:rsidP="00A77041">
      <w:pPr>
        <w:pStyle w:val="Heading2"/>
        <w:rPr>
          <w:rFonts w:ascii="Arial" w:hAnsi="Arial" w:cs="Arial"/>
          <w:sz w:val="22"/>
          <w:szCs w:val="22"/>
        </w:rPr>
      </w:pPr>
    </w:p>
    <w:p w14:paraId="5FA84459" w14:textId="36338A74" w:rsidR="00983004" w:rsidRDefault="00983004" w:rsidP="00854958">
      <w:pPr>
        <w:pStyle w:val="Heading2"/>
        <w:rPr>
          <w:rFonts w:ascii="Arial" w:hAnsi="Arial" w:cs="Arial"/>
        </w:rPr>
      </w:pPr>
      <w:bookmarkStart w:id="3" w:name="_Toc172365080"/>
      <w:r w:rsidRPr="00854958">
        <w:rPr>
          <w:rFonts w:ascii="Arial" w:hAnsi="Arial" w:cs="Arial"/>
        </w:rPr>
        <w:t>High Power, High Interest</w:t>
      </w:r>
      <w:bookmarkEnd w:id="3"/>
    </w:p>
    <w:p w14:paraId="7C5BCD4E" w14:textId="77777777" w:rsidR="002957EA" w:rsidRPr="002957EA" w:rsidRDefault="002957EA" w:rsidP="002957EA"/>
    <w:p w14:paraId="40803D5D" w14:textId="43692D86" w:rsidR="00983004" w:rsidRPr="00983004" w:rsidRDefault="00983004" w:rsidP="002957EA">
      <w:r w:rsidRPr="00983004">
        <w:t>The Communication Workers Union (CWU) is the primary representative body for Post Office workers and plays a crucial role in labour negotiations. Their inclusion as a key stakeholder in the Power-Interest Matrix is based on several factors:</w:t>
      </w:r>
    </w:p>
    <w:p w14:paraId="12BEE31E" w14:textId="402E22F8" w:rsidR="00983004" w:rsidRPr="00983004" w:rsidRDefault="00983004" w:rsidP="002957EA">
      <w:r w:rsidRPr="00983004">
        <w:t>Representation and Advocacy: The CWU represents the collective interests of the workers, giving them a strong voice in matters related to employment terms, working conditions, and pay negotiations. Their primary role is to advocate for the rights and benefits of their members, which directly impacts the resolution of the strike (Freeman, 1984).</w:t>
      </w:r>
    </w:p>
    <w:p w14:paraId="01518D23" w14:textId="4C885BF1" w:rsidR="00983004" w:rsidRPr="00983004" w:rsidRDefault="00983004" w:rsidP="002957EA">
      <w:r w:rsidRPr="00983004">
        <w:t>Mobilisation Power: The CWU has the capacity to organise and mobilise its members, as demonstrated by the one-day strike on 3rd May 2022. This ability to disrupt operations gives them significant power in negotiations. For instance, the strike action highlighted their influence by bringing national attention to the workers’ grievances and pressuring the Post Office to address their demands (Bryson, 2004).</w:t>
      </w:r>
    </w:p>
    <w:p w14:paraId="09C89DF2" w14:textId="01ED24DE" w:rsidR="00983004" w:rsidRPr="00983004" w:rsidRDefault="00983004" w:rsidP="002957EA">
      <w:r w:rsidRPr="00983004">
        <w:t>Negotiation Leverage: The CWU's high interest in securing better pay and working conditions for their members means they are deeply invested in the outcome. Their dissatisfaction with the offer of a 2% pay increase and a £250 one-off payment, particularly in the context of 9% Retail Price Index inflation, underscores their commitment to achieving a more favourable resolution (Fisher, Ury, &amp; Patton, 1991).</w:t>
      </w:r>
    </w:p>
    <w:p w14:paraId="2EAC960C" w14:textId="0F428F71" w:rsidR="00983004" w:rsidRPr="00983004" w:rsidRDefault="00983004" w:rsidP="00983004">
      <w:pPr>
        <w:rPr>
          <w:rFonts w:cs="Arial"/>
          <w:b/>
          <w:bCs/>
          <w:sz w:val="24"/>
          <w:szCs w:val="24"/>
        </w:rPr>
      </w:pPr>
      <w:r w:rsidRPr="00983004">
        <w:rPr>
          <w:rFonts w:cs="Arial"/>
          <w:b/>
          <w:bCs/>
          <w:sz w:val="24"/>
          <w:szCs w:val="24"/>
        </w:rPr>
        <w:t>Example:</w:t>
      </w:r>
    </w:p>
    <w:p w14:paraId="2E051FB4" w14:textId="77777777" w:rsidR="00983004" w:rsidRPr="00983004" w:rsidRDefault="00983004" w:rsidP="002957EA">
      <w:r w:rsidRPr="00983004">
        <w:t>During the 2022 strike, the CWU’s leadership actively engaged with both the Post Office management and the media to communicate the workers’ stance, showcasing their strategic role in negotiations. Their influence was evident when they described the pay offer as "exceptionally poor," effectively framing the discourse and rallying support from the public and other labour organisations (BBC News, 2022).</w:t>
      </w:r>
    </w:p>
    <w:p w14:paraId="547261F6" w14:textId="77777777" w:rsidR="002957EA" w:rsidRDefault="002957EA" w:rsidP="00983004">
      <w:pPr>
        <w:rPr>
          <w:rFonts w:cs="Arial"/>
          <w:b/>
          <w:bCs/>
          <w:sz w:val="24"/>
          <w:szCs w:val="24"/>
        </w:rPr>
      </w:pPr>
    </w:p>
    <w:p w14:paraId="7E5728CA" w14:textId="77777777" w:rsidR="002957EA" w:rsidRDefault="002957EA" w:rsidP="00983004">
      <w:pPr>
        <w:rPr>
          <w:rFonts w:cs="Arial"/>
          <w:b/>
          <w:bCs/>
          <w:sz w:val="24"/>
          <w:szCs w:val="24"/>
        </w:rPr>
      </w:pPr>
    </w:p>
    <w:p w14:paraId="48D36808" w14:textId="77777777" w:rsidR="002957EA" w:rsidRDefault="002957EA" w:rsidP="00983004">
      <w:pPr>
        <w:rPr>
          <w:rFonts w:cs="Arial"/>
          <w:b/>
          <w:bCs/>
          <w:sz w:val="24"/>
          <w:szCs w:val="24"/>
        </w:rPr>
      </w:pPr>
    </w:p>
    <w:p w14:paraId="5C918EEC" w14:textId="77777777" w:rsidR="002957EA" w:rsidRDefault="002957EA" w:rsidP="00983004">
      <w:pPr>
        <w:rPr>
          <w:rFonts w:cs="Arial"/>
          <w:b/>
          <w:bCs/>
          <w:sz w:val="24"/>
          <w:szCs w:val="24"/>
        </w:rPr>
      </w:pPr>
    </w:p>
    <w:p w14:paraId="07E2A594" w14:textId="714AC5C2" w:rsidR="007E1A70" w:rsidRDefault="00983004" w:rsidP="00983004">
      <w:pPr>
        <w:rPr>
          <w:rFonts w:cs="Arial"/>
          <w:b/>
          <w:bCs/>
          <w:sz w:val="24"/>
          <w:szCs w:val="24"/>
        </w:rPr>
      </w:pPr>
      <w:r w:rsidRPr="00983004">
        <w:rPr>
          <w:rFonts w:cs="Arial"/>
          <w:b/>
          <w:bCs/>
          <w:sz w:val="24"/>
          <w:szCs w:val="24"/>
        </w:rPr>
        <w:lastRenderedPageBreak/>
        <w:t>Post Office Management</w:t>
      </w:r>
    </w:p>
    <w:p w14:paraId="45FD4E66" w14:textId="77777777" w:rsidR="007E1A70" w:rsidRDefault="007E1A70" w:rsidP="00983004">
      <w:pPr>
        <w:rPr>
          <w:rFonts w:cs="Arial"/>
          <w:b/>
          <w:bCs/>
          <w:sz w:val="24"/>
          <w:szCs w:val="24"/>
        </w:rPr>
      </w:pPr>
    </w:p>
    <w:p w14:paraId="34B4FC6E" w14:textId="1CF6E008" w:rsidR="00983004" w:rsidRPr="00983004" w:rsidRDefault="00983004" w:rsidP="00983004">
      <w:pPr>
        <w:rPr>
          <w:rFonts w:cs="Arial"/>
          <w:b/>
          <w:bCs/>
          <w:sz w:val="24"/>
          <w:szCs w:val="24"/>
        </w:rPr>
      </w:pPr>
      <w:r w:rsidRPr="00983004">
        <w:rPr>
          <w:rFonts w:cs="Arial"/>
          <w:b/>
          <w:bCs/>
          <w:sz w:val="24"/>
          <w:szCs w:val="24"/>
        </w:rPr>
        <w:t>Justification:</w:t>
      </w:r>
    </w:p>
    <w:p w14:paraId="1E44E732" w14:textId="77777777" w:rsidR="00983004" w:rsidRPr="00983004" w:rsidRDefault="00983004" w:rsidP="002957EA">
      <w:r w:rsidRPr="00983004">
        <w:t>Post Office management is another critical stakeholder due to their decision-making authority and responsibility for operational continuity. Their inclusion is justified based on the following factors:</w:t>
      </w:r>
    </w:p>
    <w:p w14:paraId="715EF7F5" w14:textId="35116E86" w:rsidR="00983004" w:rsidRPr="00983004" w:rsidRDefault="00983004" w:rsidP="002957EA">
      <w:r w:rsidRPr="00983004">
        <w:t>Operational Control: Management holds significant power as they are responsible for making decisions related to employee wages, working conditions, and organisational policies. Their decisions directly impact the financial and operational aspects of the Post Office, making them key players in resolving the strike (Freeman, 1984).</w:t>
      </w:r>
    </w:p>
    <w:p w14:paraId="42C6B4A1" w14:textId="215A973B" w:rsidR="00983004" w:rsidRPr="00983004" w:rsidRDefault="00983004" w:rsidP="002957EA">
      <w:r w:rsidRPr="00983004">
        <w:t>Financial Stewardship: The management team is tasked with ensuring the financial sustainability of the Post Office. This includes balancing the budgetary constraints with the demands for higher wages. Their interest in maintaining operational efficiency and financial health is high, particularly in a competitive and economically challenging environment (Bryson, 2004).</w:t>
      </w:r>
    </w:p>
    <w:p w14:paraId="615AB062" w14:textId="0704E891" w:rsidR="00983004" w:rsidRPr="00983004" w:rsidRDefault="00983004" w:rsidP="002957EA">
      <w:r w:rsidRPr="00983004">
        <w:t>Strategic Negotiation Role: Management's involvement is crucial for negotiating terms with the CWU that are both feasible for the organisation and acceptable to the workers. They need to find a middle ground that addresses the workers’ grievances while keeping the organisation financially viable. This role places them at the centre of conflict resolution efforts (Thomas &amp; Kilmann, 1974).</w:t>
      </w:r>
    </w:p>
    <w:p w14:paraId="43475FCB" w14:textId="250C811A" w:rsidR="00983004" w:rsidRPr="00983004" w:rsidRDefault="00983004" w:rsidP="00983004">
      <w:pPr>
        <w:rPr>
          <w:rFonts w:cs="Arial"/>
          <w:b/>
          <w:bCs/>
          <w:sz w:val="24"/>
          <w:szCs w:val="24"/>
        </w:rPr>
      </w:pPr>
      <w:r w:rsidRPr="00983004">
        <w:rPr>
          <w:rFonts w:cs="Arial"/>
          <w:b/>
          <w:bCs/>
          <w:sz w:val="24"/>
          <w:szCs w:val="24"/>
        </w:rPr>
        <w:t>Example:</w:t>
      </w:r>
    </w:p>
    <w:p w14:paraId="2432D014" w14:textId="77777777" w:rsidR="00983004" w:rsidRPr="00983004" w:rsidRDefault="00983004" w:rsidP="002957EA">
      <w:r w:rsidRPr="00983004">
        <w:t>During the strike, Post Office management had to engage in discussions with the CWU to negotiate a potential resolution. Their strategic role included not only offering revised pay terms but also communicating the financial realities and constraints faced by the organisation. This dual responsibility of managing the organisation's interests while addressing employee demands highlights their pivotal role in the stakeholder landscape (Post Office Ltd, 2022).</w:t>
      </w:r>
    </w:p>
    <w:p w14:paraId="4C65673B" w14:textId="77777777" w:rsidR="00983004" w:rsidRPr="00983004" w:rsidRDefault="00983004" w:rsidP="00983004">
      <w:pPr>
        <w:rPr>
          <w:rFonts w:cs="Arial"/>
          <w:b/>
          <w:bCs/>
          <w:sz w:val="24"/>
          <w:szCs w:val="24"/>
        </w:rPr>
      </w:pPr>
    </w:p>
    <w:p w14:paraId="693625B6" w14:textId="1DE63731" w:rsidR="00983004" w:rsidRPr="00983004" w:rsidRDefault="00983004" w:rsidP="00983004">
      <w:pPr>
        <w:rPr>
          <w:rFonts w:cs="Arial"/>
          <w:b/>
          <w:bCs/>
          <w:sz w:val="24"/>
          <w:szCs w:val="24"/>
        </w:rPr>
      </w:pPr>
      <w:r w:rsidRPr="00983004">
        <w:rPr>
          <w:rFonts w:cs="Arial"/>
          <w:b/>
          <w:bCs/>
          <w:sz w:val="24"/>
          <w:szCs w:val="24"/>
        </w:rPr>
        <w:t>Conclusion</w:t>
      </w:r>
    </w:p>
    <w:p w14:paraId="5D51AACE" w14:textId="77777777" w:rsidR="00983004" w:rsidRPr="00983004" w:rsidRDefault="00983004" w:rsidP="002957EA">
      <w:r w:rsidRPr="00983004">
        <w:t xml:space="preserve">Both the CWU and Post Office management are classified under "High Power, High Interest" in the Power-Interest Matrix due to their significant influence and vested interest in the outcome of the strike. Their active engagement is essential for resolving the crisis effectively. </w:t>
      </w:r>
      <w:r w:rsidRPr="00983004">
        <w:lastRenderedPageBreak/>
        <w:t>By understanding and addressing the needs and concerns of these key stakeholders, a more sustainable and acceptable resolution can be achieved. </w:t>
      </w:r>
    </w:p>
    <w:p w14:paraId="5F93F284" w14:textId="35FA79B1" w:rsidR="00983004" w:rsidRPr="00983004" w:rsidRDefault="00983004" w:rsidP="002957EA">
      <w:r w:rsidRPr="00983004">
        <w:t>Detailed Explanation of Key Stakeholders: Government/BEIS and Major Retail Partners</w:t>
      </w:r>
    </w:p>
    <w:p w14:paraId="49CB8E57" w14:textId="77777777" w:rsidR="00983004" w:rsidRDefault="00983004" w:rsidP="00983004">
      <w:pPr>
        <w:rPr>
          <w:rFonts w:cs="Arial"/>
          <w:b/>
          <w:bCs/>
          <w:sz w:val="24"/>
          <w:szCs w:val="24"/>
        </w:rPr>
      </w:pPr>
    </w:p>
    <w:p w14:paraId="145A3869" w14:textId="77777777" w:rsidR="004923F3" w:rsidRDefault="004923F3" w:rsidP="00983004">
      <w:pPr>
        <w:rPr>
          <w:rFonts w:cs="Arial"/>
          <w:b/>
          <w:bCs/>
          <w:sz w:val="24"/>
          <w:szCs w:val="24"/>
        </w:rPr>
      </w:pPr>
    </w:p>
    <w:p w14:paraId="0A073D1C" w14:textId="77777777" w:rsidR="004923F3" w:rsidRDefault="004923F3" w:rsidP="00983004">
      <w:pPr>
        <w:rPr>
          <w:rFonts w:cs="Arial"/>
          <w:b/>
          <w:bCs/>
          <w:sz w:val="24"/>
          <w:szCs w:val="24"/>
        </w:rPr>
      </w:pPr>
    </w:p>
    <w:p w14:paraId="2FF5A5D6" w14:textId="77777777" w:rsidR="004923F3" w:rsidRDefault="004923F3" w:rsidP="00983004">
      <w:pPr>
        <w:rPr>
          <w:rFonts w:cs="Arial"/>
          <w:b/>
          <w:bCs/>
          <w:sz w:val="24"/>
          <w:szCs w:val="24"/>
        </w:rPr>
      </w:pPr>
    </w:p>
    <w:p w14:paraId="40E3EA5F" w14:textId="77777777" w:rsidR="004923F3" w:rsidRDefault="004923F3" w:rsidP="00983004">
      <w:pPr>
        <w:rPr>
          <w:rFonts w:cs="Arial"/>
          <w:b/>
          <w:bCs/>
          <w:sz w:val="24"/>
          <w:szCs w:val="24"/>
        </w:rPr>
      </w:pPr>
    </w:p>
    <w:p w14:paraId="48346BFC" w14:textId="77777777" w:rsidR="004923F3" w:rsidRDefault="004923F3" w:rsidP="00983004">
      <w:pPr>
        <w:rPr>
          <w:rFonts w:cs="Arial"/>
          <w:b/>
          <w:bCs/>
          <w:sz w:val="24"/>
          <w:szCs w:val="24"/>
        </w:rPr>
      </w:pPr>
    </w:p>
    <w:p w14:paraId="396105BA" w14:textId="77777777" w:rsidR="004923F3" w:rsidRDefault="004923F3" w:rsidP="00983004">
      <w:pPr>
        <w:rPr>
          <w:rFonts w:cs="Arial"/>
          <w:b/>
          <w:bCs/>
          <w:sz w:val="24"/>
          <w:szCs w:val="24"/>
        </w:rPr>
      </w:pPr>
    </w:p>
    <w:p w14:paraId="6B55E5AC" w14:textId="77777777" w:rsidR="004923F3" w:rsidRDefault="004923F3" w:rsidP="00983004">
      <w:pPr>
        <w:rPr>
          <w:rFonts w:cs="Arial"/>
          <w:b/>
          <w:bCs/>
          <w:sz w:val="24"/>
          <w:szCs w:val="24"/>
        </w:rPr>
      </w:pPr>
    </w:p>
    <w:p w14:paraId="40350562" w14:textId="77777777" w:rsidR="004923F3" w:rsidRDefault="004923F3" w:rsidP="00983004">
      <w:pPr>
        <w:rPr>
          <w:rFonts w:cs="Arial"/>
          <w:b/>
          <w:bCs/>
          <w:sz w:val="24"/>
          <w:szCs w:val="24"/>
        </w:rPr>
      </w:pPr>
    </w:p>
    <w:p w14:paraId="434EBEB8" w14:textId="77777777" w:rsidR="00394BA3" w:rsidRDefault="00394BA3" w:rsidP="00983004">
      <w:pPr>
        <w:rPr>
          <w:rFonts w:cs="Arial"/>
          <w:b/>
          <w:bCs/>
          <w:sz w:val="24"/>
          <w:szCs w:val="24"/>
        </w:rPr>
      </w:pPr>
    </w:p>
    <w:p w14:paraId="360E7436" w14:textId="77777777" w:rsidR="00394BA3" w:rsidRDefault="00394BA3" w:rsidP="00983004">
      <w:pPr>
        <w:rPr>
          <w:rFonts w:cs="Arial"/>
          <w:b/>
          <w:bCs/>
          <w:sz w:val="24"/>
          <w:szCs w:val="24"/>
        </w:rPr>
      </w:pPr>
    </w:p>
    <w:p w14:paraId="373AB2A4" w14:textId="77777777" w:rsidR="00394BA3" w:rsidRDefault="00394BA3" w:rsidP="00983004">
      <w:pPr>
        <w:rPr>
          <w:rFonts w:cs="Arial"/>
          <w:b/>
          <w:bCs/>
          <w:sz w:val="24"/>
          <w:szCs w:val="24"/>
        </w:rPr>
      </w:pPr>
    </w:p>
    <w:p w14:paraId="05CDBC46" w14:textId="77777777" w:rsidR="00394BA3" w:rsidRDefault="00394BA3" w:rsidP="00983004">
      <w:pPr>
        <w:rPr>
          <w:rFonts w:cs="Arial"/>
          <w:b/>
          <w:bCs/>
          <w:sz w:val="24"/>
          <w:szCs w:val="24"/>
        </w:rPr>
      </w:pPr>
    </w:p>
    <w:p w14:paraId="179DFE26" w14:textId="77777777" w:rsidR="00394BA3" w:rsidRDefault="00394BA3" w:rsidP="00983004">
      <w:pPr>
        <w:rPr>
          <w:rFonts w:cs="Arial"/>
          <w:b/>
          <w:bCs/>
          <w:sz w:val="24"/>
          <w:szCs w:val="24"/>
        </w:rPr>
      </w:pPr>
    </w:p>
    <w:p w14:paraId="5FAC9FED" w14:textId="77777777" w:rsidR="00394BA3" w:rsidRDefault="00394BA3" w:rsidP="00983004">
      <w:pPr>
        <w:rPr>
          <w:rFonts w:cs="Arial"/>
          <w:b/>
          <w:bCs/>
          <w:sz w:val="24"/>
          <w:szCs w:val="24"/>
        </w:rPr>
      </w:pPr>
    </w:p>
    <w:p w14:paraId="5E30FE2E" w14:textId="77777777" w:rsidR="00394BA3" w:rsidRDefault="00394BA3" w:rsidP="00983004">
      <w:pPr>
        <w:rPr>
          <w:rFonts w:cs="Arial"/>
          <w:b/>
          <w:bCs/>
          <w:sz w:val="24"/>
          <w:szCs w:val="24"/>
        </w:rPr>
      </w:pPr>
    </w:p>
    <w:p w14:paraId="0498C334" w14:textId="77777777" w:rsidR="00394BA3" w:rsidRDefault="00394BA3" w:rsidP="00983004">
      <w:pPr>
        <w:rPr>
          <w:rFonts w:cs="Arial"/>
          <w:b/>
          <w:bCs/>
          <w:sz w:val="24"/>
          <w:szCs w:val="24"/>
        </w:rPr>
      </w:pPr>
    </w:p>
    <w:p w14:paraId="5F1CF251" w14:textId="77777777" w:rsidR="00394BA3" w:rsidRDefault="00394BA3" w:rsidP="00983004">
      <w:pPr>
        <w:rPr>
          <w:rFonts w:cs="Arial"/>
          <w:b/>
          <w:bCs/>
          <w:sz w:val="24"/>
          <w:szCs w:val="24"/>
        </w:rPr>
      </w:pPr>
    </w:p>
    <w:p w14:paraId="0D02DE45" w14:textId="77777777" w:rsidR="00B77D5A" w:rsidRDefault="00B77D5A" w:rsidP="00983004">
      <w:pPr>
        <w:rPr>
          <w:rFonts w:cs="Arial"/>
          <w:b/>
          <w:bCs/>
          <w:sz w:val="24"/>
          <w:szCs w:val="24"/>
        </w:rPr>
      </w:pPr>
    </w:p>
    <w:p w14:paraId="57CBD784" w14:textId="77777777" w:rsidR="00B77D5A" w:rsidRDefault="00B77D5A" w:rsidP="00983004">
      <w:pPr>
        <w:rPr>
          <w:rFonts w:cs="Arial"/>
          <w:b/>
          <w:bCs/>
          <w:sz w:val="24"/>
          <w:szCs w:val="24"/>
        </w:rPr>
      </w:pPr>
    </w:p>
    <w:p w14:paraId="2DCF1A6D" w14:textId="77777777" w:rsidR="00B77D5A" w:rsidRDefault="00B77D5A" w:rsidP="00983004">
      <w:pPr>
        <w:rPr>
          <w:rFonts w:cs="Arial"/>
          <w:b/>
          <w:bCs/>
          <w:sz w:val="24"/>
          <w:szCs w:val="24"/>
        </w:rPr>
      </w:pPr>
    </w:p>
    <w:p w14:paraId="697480C8" w14:textId="77777777" w:rsidR="00B77D5A" w:rsidRDefault="00B77D5A" w:rsidP="00983004">
      <w:pPr>
        <w:rPr>
          <w:rFonts w:cs="Arial"/>
          <w:b/>
          <w:bCs/>
          <w:sz w:val="24"/>
          <w:szCs w:val="24"/>
        </w:rPr>
      </w:pPr>
    </w:p>
    <w:p w14:paraId="0FD4BA26" w14:textId="77777777" w:rsidR="00B77D5A" w:rsidRPr="00983004" w:rsidRDefault="00B77D5A" w:rsidP="00983004">
      <w:pPr>
        <w:rPr>
          <w:rFonts w:cs="Arial"/>
          <w:b/>
          <w:bCs/>
          <w:sz w:val="24"/>
          <w:szCs w:val="24"/>
        </w:rPr>
      </w:pPr>
    </w:p>
    <w:p w14:paraId="21207806" w14:textId="74838D6C" w:rsidR="00983004" w:rsidRPr="00461F41" w:rsidRDefault="00983004" w:rsidP="00461F41">
      <w:pPr>
        <w:pStyle w:val="Heading2"/>
        <w:rPr>
          <w:rFonts w:ascii="Arial" w:hAnsi="Arial" w:cs="Arial"/>
        </w:rPr>
      </w:pPr>
      <w:bookmarkStart w:id="4" w:name="_Toc172365081"/>
      <w:r w:rsidRPr="00461F41">
        <w:rPr>
          <w:rFonts w:ascii="Arial" w:hAnsi="Arial" w:cs="Arial"/>
        </w:rPr>
        <w:lastRenderedPageBreak/>
        <w:t>High Power, Low Interest</w:t>
      </w:r>
      <w:bookmarkEnd w:id="4"/>
    </w:p>
    <w:p w14:paraId="181FB656" w14:textId="77777777" w:rsidR="007E1A70" w:rsidRPr="00983004" w:rsidRDefault="007E1A70" w:rsidP="00B77D5A"/>
    <w:p w14:paraId="75A93E8A" w14:textId="77777777" w:rsidR="00983004" w:rsidRPr="00983004" w:rsidRDefault="00983004" w:rsidP="00B77D5A">
      <w:r w:rsidRPr="00983004">
        <w:t>The Government, specifically the Department for Business, Energy &amp; Industrial Strategy (BEIS), is a critical stakeholder in the context of the Post Office workers' strike due to the following reasons:</w:t>
      </w:r>
    </w:p>
    <w:p w14:paraId="0CFCB721" w14:textId="14C4635A" w:rsidR="00983004" w:rsidRPr="00983004" w:rsidRDefault="00983004" w:rsidP="00B77D5A">
      <w:r w:rsidRPr="00983004">
        <w:t>Regulatory Influence: The government, through BEIS, has significant regulatory power over the Post Office. They can enact policies or provide funding that directly impacts the operation and financial stability of the Post Office. This regulatory influence grants them high power in resolving the strike (Freeman, 1984).</w:t>
      </w:r>
    </w:p>
    <w:p w14:paraId="5C10D7F9" w14:textId="38184268" w:rsidR="00983004" w:rsidRPr="00983004" w:rsidRDefault="00983004" w:rsidP="00B77D5A">
      <w:r w:rsidRPr="00983004">
        <w:t>Public Service Responsibility: As the Post Office is a key public service provider, the government has a vested interest in ensuring its uninterrupted operation. Strikes that disrupt postal services can lead to widespread public inconvenience, which the government aims to avoid. However, their interest might not be as immediate unless the situation escalates, thus positioning them in the high power but low interest quadrant (Bryson, 2004).</w:t>
      </w:r>
    </w:p>
    <w:p w14:paraId="10787B2A" w14:textId="4E1ACC1D" w:rsidR="00983004" w:rsidRPr="00983004" w:rsidRDefault="00983004" w:rsidP="00B77D5A">
      <w:r w:rsidRPr="00983004">
        <w:t>Political Implications: Labour disputes, especially in public services, can have broader political implications. The government's stance and actions can affect public opinion and voter sentiments. Therefore, while their direct interest might be low initially, the potential political fallout increases their relevance (Freeman, 1984).</w:t>
      </w:r>
    </w:p>
    <w:p w14:paraId="67BAE785" w14:textId="582680B5" w:rsidR="00983004" w:rsidRPr="00983004" w:rsidRDefault="00983004" w:rsidP="00983004">
      <w:pPr>
        <w:rPr>
          <w:rFonts w:cs="Arial"/>
          <w:b/>
          <w:bCs/>
          <w:sz w:val="24"/>
          <w:szCs w:val="24"/>
        </w:rPr>
      </w:pPr>
      <w:r w:rsidRPr="00983004">
        <w:rPr>
          <w:rFonts w:cs="Arial"/>
          <w:b/>
          <w:bCs/>
          <w:sz w:val="24"/>
          <w:szCs w:val="24"/>
        </w:rPr>
        <w:t>Example:</w:t>
      </w:r>
    </w:p>
    <w:p w14:paraId="0850CFA2" w14:textId="77777777" w:rsidR="00983004" w:rsidRPr="00983004" w:rsidRDefault="00983004" w:rsidP="00B77D5A">
      <w:r w:rsidRPr="00983004">
        <w:t>During the 2022 strike, the government monitored the situation closely but did not intervene immediately. Their role was to ensure that the Post Office management had the necessary support to manage the dispute while maintaining an arm's length to avoid direct political fallout (Post Office Ltd, 2022).</w:t>
      </w:r>
    </w:p>
    <w:p w14:paraId="14D2EDBC" w14:textId="7E85674D" w:rsidR="00983004" w:rsidRPr="00983004" w:rsidRDefault="00983004" w:rsidP="00983004">
      <w:pPr>
        <w:rPr>
          <w:rFonts w:cs="Arial"/>
          <w:b/>
          <w:bCs/>
          <w:sz w:val="24"/>
          <w:szCs w:val="24"/>
        </w:rPr>
      </w:pPr>
      <w:r w:rsidRPr="00983004">
        <w:rPr>
          <w:rFonts w:cs="Arial"/>
          <w:b/>
          <w:bCs/>
          <w:sz w:val="24"/>
          <w:szCs w:val="24"/>
        </w:rPr>
        <w:t>Major Retail Partners</w:t>
      </w:r>
    </w:p>
    <w:p w14:paraId="7AF7086E" w14:textId="2D577558" w:rsidR="00983004" w:rsidRPr="00983004" w:rsidRDefault="00983004" w:rsidP="00983004">
      <w:pPr>
        <w:rPr>
          <w:rFonts w:cs="Arial"/>
          <w:b/>
          <w:bCs/>
          <w:sz w:val="24"/>
          <w:szCs w:val="24"/>
        </w:rPr>
      </w:pPr>
      <w:r w:rsidRPr="00983004">
        <w:rPr>
          <w:rFonts w:cs="Arial"/>
          <w:b/>
          <w:bCs/>
          <w:sz w:val="24"/>
          <w:szCs w:val="24"/>
        </w:rPr>
        <w:t>Justification:</w:t>
      </w:r>
    </w:p>
    <w:p w14:paraId="720B5A92" w14:textId="77777777" w:rsidR="00983004" w:rsidRPr="00983004" w:rsidRDefault="00983004" w:rsidP="002957EA">
      <w:r w:rsidRPr="00983004">
        <w:t>Major retail partners, such as e-commerce companies and large retailers, are also crucial stakeholders due to their dependency on the Post Office’s services. Their inclusion in the high power but low interest quadrant is justified by the following factors:</w:t>
      </w:r>
    </w:p>
    <w:p w14:paraId="33DD21CB" w14:textId="397CEFAD" w:rsidR="00983004" w:rsidRPr="00983004" w:rsidRDefault="00983004" w:rsidP="002957EA">
      <w:r w:rsidRPr="00983004">
        <w:t>Economic Influence: Large retail partners significantly contribute to the Post Office's revenue through bulk mailing and delivery contracts. Their economic power gives them substantial leverage in influencing the Post Office’s decisions. This makes them important stakeholders in the resolution process (Freeman, 1984).</w:t>
      </w:r>
    </w:p>
    <w:p w14:paraId="7C5505D8" w14:textId="2326C94D" w:rsidR="00983004" w:rsidRPr="00983004" w:rsidRDefault="00983004" w:rsidP="002957EA">
      <w:r w:rsidRPr="00983004">
        <w:lastRenderedPageBreak/>
        <w:t>Operational Dependency: These partners rely heavily on timely and efficient postal services for their operations. Disruptions caused by strikes can affect their business operations, leading to potential financial losses and customer dissatisfaction. Their operational dependency on the Post Office services increases their power in this context (Bryson, 2004).</w:t>
      </w:r>
    </w:p>
    <w:p w14:paraId="56CAF6DA" w14:textId="50BA34E8" w:rsidR="00983004" w:rsidRPr="00983004" w:rsidRDefault="00983004" w:rsidP="002957EA">
      <w:r w:rsidRPr="00983004">
        <w:t>Stake in Stability: While their interest might be low initially, major disruptions can prompt them to exert pressure on the Post Office management to resolve the dispute quickly. They seek stability and continuity in postal services to avoid business interruptions (Freeman, 1984).</w:t>
      </w:r>
    </w:p>
    <w:p w14:paraId="4403B9CB" w14:textId="221DB55D" w:rsidR="00983004" w:rsidRPr="00983004" w:rsidRDefault="00983004" w:rsidP="00983004">
      <w:pPr>
        <w:rPr>
          <w:rFonts w:cs="Arial"/>
          <w:b/>
          <w:bCs/>
          <w:sz w:val="24"/>
          <w:szCs w:val="24"/>
        </w:rPr>
      </w:pPr>
      <w:r w:rsidRPr="00983004">
        <w:rPr>
          <w:rFonts w:cs="Arial"/>
          <w:b/>
          <w:bCs/>
          <w:sz w:val="24"/>
          <w:szCs w:val="24"/>
        </w:rPr>
        <w:t>Example:</w:t>
      </w:r>
    </w:p>
    <w:p w14:paraId="5DFB830D" w14:textId="77777777" w:rsidR="00983004" w:rsidRPr="00983004" w:rsidRDefault="00983004" w:rsidP="002957EA">
      <w:r w:rsidRPr="00983004">
        <w:t>During the strike, major retail partners expressed concerns about potential delays and disruptions in their delivery services. While they did not directly intervene in the negotiations, their feedback and pressure influenced the urgency with which the Post Office management approached the resolution (BBC News, 2022).</w:t>
      </w:r>
    </w:p>
    <w:p w14:paraId="5AC7484A" w14:textId="52AEAE9B" w:rsidR="00983004" w:rsidRPr="00983004" w:rsidRDefault="00983004" w:rsidP="00983004">
      <w:pPr>
        <w:rPr>
          <w:rFonts w:cs="Arial"/>
          <w:b/>
          <w:bCs/>
          <w:sz w:val="24"/>
          <w:szCs w:val="24"/>
        </w:rPr>
      </w:pPr>
      <w:r w:rsidRPr="00983004">
        <w:rPr>
          <w:rFonts w:cs="Arial"/>
          <w:b/>
          <w:bCs/>
          <w:sz w:val="24"/>
          <w:szCs w:val="24"/>
        </w:rPr>
        <w:t>Conclusion</w:t>
      </w:r>
    </w:p>
    <w:p w14:paraId="2A2D3772" w14:textId="77777777" w:rsidR="00983004" w:rsidRPr="00983004" w:rsidRDefault="00983004" w:rsidP="002957EA">
      <w:r w:rsidRPr="00983004">
        <w:t>Both the Government/BEIS and Major Retail Partners are classified under "High Power, Low Interest" in the Power-Interest Matrix due to their significant influence over the operations and decisions of the Post Office, albeit with varying degrees of direct interest. Keeping these stakeholders satisfied is crucial to prevent them from becoming more actively involved, which could complicate the negotiation process further. Understanding their perspectives and managing their concerns is essential for a balanced and effective resolution to the crisis.</w:t>
      </w:r>
    </w:p>
    <w:p w14:paraId="23B4CDDB" w14:textId="77777777" w:rsidR="00983004" w:rsidRPr="00983004" w:rsidRDefault="00983004" w:rsidP="00983004">
      <w:pPr>
        <w:rPr>
          <w:rFonts w:cs="Arial"/>
          <w:b/>
          <w:bCs/>
          <w:sz w:val="24"/>
          <w:szCs w:val="24"/>
        </w:rPr>
      </w:pPr>
    </w:p>
    <w:p w14:paraId="6A4A224C" w14:textId="6C32E4DE" w:rsidR="00983004" w:rsidRPr="00983004" w:rsidRDefault="00983004" w:rsidP="00B77D5A">
      <w:r w:rsidRPr="00983004">
        <w:t>Detailed Explanation of Key Stakeholders: Non-striking Employees and Customers</w:t>
      </w:r>
    </w:p>
    <w:p w14:paraId="3912B259" w14:textId="77777777" w:rsidR="00983004" w:rsidRDefault="00983004" w:rsidP="00983004">
      <w:pPr>
        <w:rPr>
          <w:rFonts w:cs="Arial"/>
          <w:b/>
          <w:bCs/>
          <w:sz w:val="24"/>
          <w:szCs w:val="24"/>
        </w:rPr>
      </w:pPr>
    </w:p>
    <w:p w14:paraId="44D1D9B8" w14:textId="77777777" w:rsidR="00394BA3" w:rsidRDefault="00394BA3" w:rsidP="00983004">
      <w:pPr>
        <w:rPr>
          <w:rFonts w:cs="Arial"/>
          <w:b/>
          <w:bCs/>
          <w:sz w:val="24"/>
          <w:szCs w:val="24"/>
        </w:rPr>
      </w:pPr>
    </w:p>
    <w:p w14:paraId="53E83E7D" w14:textId="77777777" w:rsidR="00394BA3" w:rsidRDefault="00394BA3" w:rsidP="00983004">
      <w:pPr>
        <w:rPr>
          <w:rFonts w:cs="Arial"/>
          <w:b/>
          <w:bCs/>
          <w:sz w:val="24"/>
          <w:szCs w:val="24"/>
        </w:rPr>
      </w:pPr>
    </w:p>
    <w:p w14:paraId="41785924" w14:textId="77777777" w:rsidR="00394BA3" w:rsidRDefault="00394BA3" w:rsidP="00983004">
      <w:pPr>
        <w:rPr>
          <w:rFonts w:cs="Arial"/>
          <w:b/>
          <w:bCs/>
          <w:sz w:val="24"/>
          <w:szCs w:val="24"/>
        </w:rPr>
      </w:pPr>
    </w:p>
    <w:p w14:paraId="50A4541C" w14:textId="77777777" w:rsidR="00394BA3" w:rsidRDefault="00394BA3" w:rsidP="00983004">
      <w:pPr>
        <w:rPr>
          <w:rFonts w:cs="Arial"/>
          <w:b/>
          <w:bCs/>
          <w:sz w:val="24"/>
          <w:szCs w:val="24"/>
        </w:rPr>
      </w:pPr>
    </w:p>
    <w:p w14:paraId="45D462FD" w14:textId="77777777" w:rsidR="00394BA3" w:rsidRDefault="00394BA3" w:rsidP="00983004">
      <w:pPr>
        <w:rPr>
          <w:rFonts w:cs="Arial"/>
          <w:b/>
          <w:bCs/>
          <w:sz w:val="24"/>
          <w:szCs w:val="24"/>
        </w:rPr>
      </w:pPr>
    </w:p>
    <w:p w14:paraId="4287ED5B" w14:textId="77777777" w:rsidR="00394BA3" w:rsidRDefault="00394BA3" w:rsidP="00983004">
      <w:pPr>
        <w:rPr>
          <w:rFonts w:cs="Arial"/>
          <w:b/>
          <w:bCs/>
          <w:sz w:val="24"/>
          <w:szCs w:val="24"/>
        </w:rPr>
      </w:pPr>
    </w:p>
    <w:p w14:paraId="4A617BD1" w14:textId="77777777" w:rsidR="00394BA3" w:rsidRDefault="00394BA3" w:rsidP="00983004">
      <w:pPr>
        <w:rPr>
          <w:rFonts w:cs="Arial"/>
          <w:b/>
          <w:bCs/>
          <w:sz w:val="24"/>
          <w:szCs w:val="24"/>
        </w:rPr>
      </w:pPr>
    </w:p>
    <w:p w14:paraId="1D50DA06" w14:textId="63B49DBF" w:rsidR="00983004" w:rsidRPr="00461F41" w:rsidRDefault="00983004" w:rsidP="00461F41">
      <w:pPr>
        <w:pStyle w:val="Heading2"/>
        <w:rPr>
          <w:rFonts w:ascii="Arial" w:hAnsi="Arial" w:cs="Arial"/>
        </w:rPr>
      </w:pPr>
      <w:bookmarkStart w:id="5" w:name="_Toc172365082"/>
      <w:r w:rsidRPr="00461F41">
        <w:rPr>
          <w:rFonts w:ascii="Arial" w:hAnsi="Arial" w:cs="Arial"/>
        </w:rPr>
        <w:lastRenderedPageBreak/>
        <w:t>Low Power, High Interest</w:t>
      </w:r>
      <w:bookmarkEnd w:id="5"/>
    </w:p>
    <w:p w14:paraId="68FC4CE4" w14:textId="77777777" w:rsidR="005D3B35" w:rsidRPr="00983004" w:rsidRDefault="005D3B35" w:rsidP="00983004">
      <w:pPr>
        <w:rPr>
          <w:rFonts w:cs="Arial"/>
          <w:b/>
          <w:bCs/>
          <w:sz w:val="24"/>
          <w:szCs w:val="24"/>
        </w:rPr>
      </w:pPr>
    </w:p>
    <w:p w14:paraId="41C8DBEA" w14:textId="6425657B" w:rsidR="00983004" w:rsidRPr="00983004" w:rsidRDefault="00983004" w:rsidP="00983004">
      <w:pPr>
        <w:rPr>
          <w:rFonts w:cs="Arial"/>
          <w:b/>
          <w:bCs/>
          <w:sz w:val="24"/>
          <w:szCs w:val="24"/>
        </w:rPr>
      </w:pPr>
      <w:r w:rsidRPr="00983004">
        <w:rPr>
          <w:rFonts w:cs="Arial"/>
          <w:b/>
          <w:bCs/>
          <w:sz w:val="24"/>
          <w:szCs w:val="24"/>
        </w:rPr>
        <w:t>Non-striking Employees</w:t>
      </w:r>
    </w:p>
    <w:p w14:paraId="51A981A3" w14:textId="1EC3101B" w:rsidR="00983004" w:rsidRPr="00983004" w:rsidRDefault="00983004" w:rsidP="00983004">
      <w:pPr>
        <w:rPr>
          <w:rFonts w:cs="Arial"/>
          <w:b/>
          <w:bCs/>
          <w:sz w:val="24"/>
          <w:szCs w:val="24"/>
        </w:rPr>
      </w:pPr>
      <w:r w:rsidRPr="00983004">
        <w:rPr>
          <w:rFonts w:cs="Arial"/>
          <w:b/>
          <w:bCs/>
          <w:sz w:val="24"/>
          <w:szCs w:val="24"/>
        </w:rPr>
        <w:t>Justification:</w:t>
      </w:r>
    </w:p>
    <w:p w14:paraId="6EDF3E0D" w14:textId="77777777" w:rsidR="00983004" w:rsidRPr="00983004" w:rsidRDefault="00983004" w:rsidP="00255313">
      <w:r w:rsidRPr="00983004">
        <w:t>Non-striking employees are an important stakeholder group due to their direct connection to the workplace environment and operations. Their inclusion in the Low Power, High Interest quadrant is based on the following factors:</w:t>
      </w:r>
    </w:p>
    <w:p w14:paraId="4689BA00" w14:textId="4F5DDFF1" w:rsidR="00983004" w:rsidRPr="00983004" w:rsidRDefault="00983004" w:rsidP="00255313">
      <w:r w:rsidRPr="00983004">
        <w:t>Operational Continuity: Non-striking employees play a crucial role in maintaining operational continuity during the strike. Their willingness and ability to work ensure that some level of service is maintained, which is vital for the organisation's functioning (Freeman, 1984).</w:t>
      </w:r>
    </w:p>
    <w:p w14:paraId="2F0CB710" w14:textId="147B957E" w:rsidR="00983004" w:rsidRPr="00983004" w:rsidRDefault="00983004" w:rsidP="00255313">
      <w:r w:rsidRPr="00983004">
        <w:t>Workplace Morale and Productivity: These employees are directly impacted by the strike and its resolution. Their morale and productivity can be influenced by how the dispute is managed and resolved. Ensuring they are well-informed helps in maintaining a positive work environment and mitigating feelings of neglect or unfair treatment (Bryson, 2004).</w:t>
      </w:r>
    </w:p>
    <w:p w14:paraId="0BF03A95" w14:textId="4AC66DF6" w:rsidR="00983004" w:rsidRPr="00983004" w:rsidRDefault="00983004" w:rsidP="00255313">
      <w:r w:rsidRPr="00983004">
        <w:t>Future Implications: The treatment and communication with non-striking employees during the strike can have long-term implications on employee relations and trust in management. They are interested in the outcome as it could set a precedent for how future disputes are managed and how their own grievances might be addressed (Thomas &amp; Kilmann, 1974).</w:t>
      </w:r>
    </w:p>
    <w:p w14:paraId="2AAA7D3B" w14:textId="00565B81" w:rsidR="00983004" w:rsidRPr="00983004" w:rsidRDefault="00983004" w:rsidP="00983004">
      <w:pPr>
        <w:rPr>
          <w:rFonts w:cs="Arial"/>
          <w:b/>
          <w:bCs/>
          <w:sz w:val="24"/>
          <w:szCs w:val="24"/>
        </w:rPr>
      </w:pPr>
      <w:r w:rsidRPr="00983004">
        <w:rPr>
          <w:rFonts w:cs="Arial"/>
          <w:b/>
          <w:bCs/>
          <w:sz w:val="24"/>
          <w:szCs w:val="24"/>
        </w:rPr>
        <w:t>Example:</w:t>
      </w:r>
    </w:p>
    <w:p w14:paraId="69931566" w14:textId="77777777" w:rsidR="00983004" w:rsidRPr="00983004" w:rsidRDefault="00983004" w:rsidP="00255313">
      <w:r w:rsidRPr="00983004">
        <w:t>During the 2022 strike, non-striking employees were essential in keeping some Post Office branches operational. Their dedication allowed the organisation to continue serving customers to a certain extent, thus reducing the overall impact of the strike. Ensuring these employees were kept informed about the progress of negotiations and the management's efforts to resolve the strike helped maintain their morale and productivity (Post Office Ltd, 2022).</w:t>
      </w:r>
    </w:p>
    <w:p w14:paraId="4D12F8F1" w14:textId="3DD012A3" w:rsidR="00983004" w:rsidRPr="00983004" w:rsidRDefault="00983004" w:rsidP="00983004">
      <w:pPr>
        <w:rPr>
          <w:rFonts w:cs="Arial"/>
          <w:b/>
          <w:bCs/>
          <w:sz w:val="24"/>
          <w:szCs w:val="24"/>
        </w:rPr>
      </w:pPr>
      <w:r w:rsidRPr="00983004">
        <w:rPr>
          <w:rFonts w:cs="Arial"/>
          <w:b/>
          <w:bCs/>
          <w:sz w:val="24"/>
          <w:szCs w:val="24"/>
        </w:rPr>
        <w:t>Customers</w:t>
      </w:r>
    </w:p>
    <w:p w14:paraId="6BE511C9" w14:textId="6AE4E7DC" w:rsidR="00983004" w:rsidRPr="00983004" w:rsidRDefault="00983004" w:rsidP="00983004">
      <w:pPr>
        <w:rPr>
          <w:rFonts w:cs="Arial"/>
          <w:b/>
          <w:bCs/>
          <w:sz w:val="24"/>
          <w:szCs w:val="24"/>
        </w:rPr>
      </w:pPr>
      <w:r w:rsidRPr="00983004">
        <w:rPr>
          <w:rFonts w:cs="Arial"/>
          <w:b/>
          <w:bCs/>
          <w:sz w:val="24"/>
          <w:szCs w:val="24"/>
        </w:rPr>
        <w:t>Justification:</w:t>
      </w:r>
    </w:p>
    <w:p w14:paraId="4DE83CDC" w14:textId="77777777" w:rsidR="00983004" w:rsidRPr="00983004" w:rsidRDefault="00983004" w:rsidP="00255313">
      <w:r w:rsidRPr="00983004">
        <w:t>Customers are another critical stakeholder group due to their dependence on Post Office services for personal and business needs. Their inclusion in the Low Power, High Interest quadrant is justified by the following factors:</w:t>
      </w:r>
    </w:p>
    <w:p w14:paraId="2EA86EC9" w14:textId="5CBCB4CF" w:rsidR="00983004" w:rsidRPr="00983004" w:rsidRDefault="00983004" w:rsidP="00255313">
      <w:r w:rsidRPr="00983004">
        <w:t xml:space="preserve">Service Dependence: Customers rely on the Post Office for a variety of services, including mailing, shipping, banking, and bill payments. Disruptions due to the strike directly affect </w:t>
      </w:r>
      <w:r w:rsidRPr="00983004">
        <w:lastRenderedPageBreak/>
        <w:t>their daily lives and business operations, making them highly interested in a quick resolution (Freeman, 1984).</w:t>
      </w:r>
    </w:p>
    <w:p w14:paraId="0EAEDAEE" w14:textId="77777777" w:rsidR="00983004" w:rsidRPr="00983004" w:rsidRDefault="00983004" w:rsidP="00983004">
      <w:pPr>
        <w:rPr>
          <w:rFonts w:cs="Arial"/>
          <w:b/>
          <w:bCs/>
          <w:sz w:val="24"/>
          <w:szCs w:val="24"/>
        </w:rPr>
      </w:pPr>
    </w:p>
    <w:p w14:paraId="6511A1FE" w14:textId="5FDC8F75" w:rsidR="00983004" w:rsidRPr="00983004" w:rsidRDefault="00983004" w:rsidP="00255313">
      <w:r w:rsidRPr="00983004">
        <w:t>Public Perception and Trust: The way the Post Office manages the strike can influence public perception and customer trust. Keeping customers informed about the reasons for the strike, the steps being taken to resolve it, and any potential service disruptions is crucial for maintaining their trust and loyalty (Bryson, 2004).</w:t>
      </w:r>
    </w:p>
    <w:p w14:paraId="0C3C6FF7" w14:textId="56E75F7E" w:rsidR="00983004" w:rsidRPr="00983004" w:rsidRDefault="00983004" w:rsidP="00255313">
      <w:r w:rsidRPr="00983004">
        <w:t>Potential Advocacy: While individual customers may have low power, collectively they can exert pressure on the Post Office management through advocacy, social media, and public opinion. Ensuring customers are well-informed can help mitigate negative reactions and mobilise support for a fair resolution (Thomas &amp; Kilmann, 1974).</w:t>
      </w:r>
    </w:p>
    <w:p w14:paraId="6804E14D" w14:textId="73C5BAD0" w:rsidR="00983004" w:rsidRPr="00983004" w:rsidRDefault="00983004" w:rsidP="00983004">
      <w:pPr>
        <w:rPr>
          <w:rFonts w:cs="Arial"/>
          <w:b/>
          <w:bCs/>
          <w:sz w:val="24"/>
          <w:szCs w:val="24"/>
        </w:rPr>
      </w:pPr>
      <w:r w:rsidRPr="00983004">
        <w:rPr>
          <w:rFonts w:cs="Arial"/>
          <w:b/>
          <w:bCs/>
          <w:sz w:val="24"/>
          <w:szCs w:val="24"/>
        </w:rPr>
        <w:t>Example:</w:t>
      </w:r>
    </w:p>
    <w:p w14:paraId="1E44466E" w14:textId="77777777" w:rsidR="00983004" w:rsidRPr="00983004" w:rsidRDefault="00983004" w:rsidP="00255313">
      <w:r w:rsidRPr="00983004">
        <w:t>During the strike on 3rd</w:t>
      </w:r>
    </w:p>
    <w:p w14:paraId="2ECF854D" w14:textId="77777777" w:rsidR="00983004" w:rsidRPr="00983004" w:rsidRDefault="00983004" w:rsidP="00255313">
      <w:r w:rsidRPr="00983004">
        <w:t xml:space="preserve"> May 2022, customers faced delays and disruptions in postal services. The Post Office's efforts to communicate transparently about the strike, its causes, and the expected impact helped to manage customer expectations and maintain trust. For example, clear notices in branches and updates on the Post Office's website and social media platforms were essential in keeping customers informed (BBC News, 2022).</w:t>
      </w:r>
    </w:p>
    <w:p w14:paraId="73E460F5" w14:textId="77777777" w:rsidR="0087321A" w:rsidRDefault="0087321A" w:rsidP="00983004">
      <w:pPr>
        <w:rPr>
          <w:rFonts w:cs="Arial"/>
          <w:b/>
          <w:bCs/>
          <w:sz w:val="24"/>
          <w:szCs w:val="24"/>
        </w:rPr>
      </w:pPr>
    </w:p>
    <w:p w14:paraId="1630016C" w14:textId="77777777" w:rsidR="0087321A" w:rsidRDefault="0087321A" w:rsidP="00983004">
      <w:pPr>
        <w:rPr>
          <w:rFonts w:cs="Arial"/>
          <w:b/>
          <w:bCs/>
          <w:sz w:val="24"/>
          <w:szCs w:val="24"/>
        </w:rPr>
      </w:pPr>
    </w:p>
    <w:p w14:paraId="408D1BBF" w14:textId="1B689530" w:rsidR="00983004" w:rsidRPr="00983004" w:rsidRDefault="00983004" w:rsidP="00983004">
      <w:pPr>
        <w:rPr>
          <w:rFonts w:cs="Arial"/>
          <w:b/>
          <w:bCs/>
          <w:sz w:val="24"/>
          <w:szCs w:val="24"/>
        </w:rPr>
      </w:pPr>
      <w:r w:rsidRPr="00983004">
        <w:rPr>
          <w:rFonts w:cs="Arial"/>
          <w:b/>
          <w:bCs/>
          <w:sz w:val="24"/>
          <w:szCs w:val="24"/>
        </w:rPr>
        <w:t>Conclusion</w:t>
      </w:r>
    </w:p>
    <w:p w14:paraId="006E489B" w14:textId="77777777" w:rsidR="00983004" w:rsidRPr="00983004" w:rsidRDefault="00983004" w:rsidP="00255313">
      <w:r w:rsidRPr="00983004">
        <w:t>Both non-striking employees and customers are classified under "Low Power, High Interest" in the Power-Interest Matrix due to their direct stake in the outcomes of the strike, despite their limited ability to influence the resolution process. Keeping these stakeholders informed is crucial to maintaining operational stability, trust, and morale. By addressing their concerns and ensuring transparent communication, the Post Office can mitigate negative impacts and foster a supportive environment for resolving the dispute.</w:t>
      </w:r>
    </w:p>
    <w:p w14:paraId="446425DE" w14:textId="1FBE6572" w:rsidR="00983004" w:rsidRPr="00983004" w:rsidRDefault="00983004" w:rsidP="00255313">
      <w:r w:rsidRPr="00983004">
        <w:t>Detailed Explanation of Key Stakeholders: General Public and Media</w:t>
      </w:r>
    </w:p>
    <w:p w14:paraId="510D913F" w14:textId="77777777" w:rsidR="00983004" w:rsidRDefault="00983004" w:rsidP="00983004">
      <w:pPr>
        <w:rPr>
          <w:rFonts w:cs="Arial"/>
          <w:b/>
          <w:bCs/>
          <w:sz w:val="24"/>
          <w:szCs w:val="24"/>
        </w:rPr>
      </w:pPr>
    </w:p>
    <w:p w14:paraId="3D313E4A" w14:textId="77777777" w:rsidR="00F42B45" w:rsidRDefault="00F42B45" w:rsidP="00983004">
      <w:pPr>
        <w:rPr>
          <w:rFonts w:cs="Arial"/>
          <w:b/>
          <w:bCs/>
          <w:sz w:val="24"/>
          <w:szCs w:val="24"/>
        </w:rPr>
      </w:pPr>
    </w:p>
    <w:p w14:paraId="44F136EF" w14:textId="77777777" w:rsidR="004923F3" w:rsidRDefault="004923F3" w:rsidP="00983004">
      <w:pPr>
        <w:rPr>
          <w:rFonts w:cs="Arial"/>
          <w:b/>
          <w:bCs/>
          <w:sz w:val="24"/>
          <w:szCs w:val="24"/>
        </w:rPr>
      </w:pPr>
    </w:p>
    <w:p w14:paraId="108A0D15" w14:textId="0F9506A9" w:rsidR="00983004" w:rsidRPr="00CC689D" w:rsidRDefault="00983004" w:rsidP="00CC689D">
      <w:pPr>
        <w:pStyle w:val="Heading2"/>
        <w:rPr>
          <w:rFonts w:ascii="Arial" w:hAnsi="Arial" w:cs="Arial"/>
        </w:rPr>
      </w:pPr>
      <w:bookmarkStart w:id="6" w:name="_Toc172365083"/>
      <w:r w:rsidRPr="00CC689D">
        <w:rPr>
          <w:rFonts w:ascii="Arial" w:hAnsi="Arial" w:cs="Arial"/>
        </w:rPr>
        <w:lastRenderedPageBreak/>
        <w:t>Low Power, Low Interest</w:t>
      </w:r>
      <w:bookmarkEnd w:id="6"/>
    </w:p>
    <w:p w14:paraId="1B24A763" w14:textId="5A5CE6F1" w:rsidR="00983004" w:rsidRPr="00983004" w:rsidRDefault="00983004" w:rsidP="00983004">
      <w:pPr>
        <w:rPr>
          <w:rFonts w:cs="Arial"/>
          <w:b/>
          <w:bCs/>
          <w:sz w:val="24"/>
          <w:szCs w:val="24"/>
        </w:rPr>
      </w:pPr>
      <w:r w:rsidRPr="00983004">
        <w:rPr>
          <w:rFonts w:cs="Arial"/>
          <w:b/>
          <w:bCs/>
          <w:sz w:val="24"/>
          <w:szCs w:val="24"/>
        </w:rPr>
        <w:t>General Public</w:t>
      </w:r>
    </w:p>
    <w:p w14:paraId="683642C0" w14:textId="3F718866" w:rsidR="00983004" w:rsidRPr="00983004" w:rsidRDefault="00983004" w:rsidP="00983004">
      <w:pPr>
        <w:rPr>
          <w:rFonts w:cs="Arial"/>
          <w:b/>
          <w:bCs/>
          <w:sz w:val="24"/>
          <w:szCs w:val="24"/>
        </w:rPr>
      </w:pPr>
      <w:r w:rsidRPr="00983004">
        <w:rPr>
          <w:rFonts w:cs="Arial"/>
          <w:b/>
          <w:bCs/>
          <w:sz w:val="24"/>
          <w:szCs w:val="24"/>
        </w:rPr>
        <w:t>Justification:</w:t>
      </w:r>
    </w:p>
    <w:p w14:paraId="04ABAC06" w14:textId="77777777" w:rsidR="00983004" w:rsidRPr="00983004" w:rsidRDefault="00983004" w:rsidP="00356319">
      <w:r w:rsidRPr="00983004">
        <w:t>The public is an important stakeholder group in the context of the Post Office workers' strike, primarily due to their potential to be affected by the disruption in services. Their inclusion in the Low Power, Low Interest quadrant is based on the following factors:</w:t>
      </w:r>
    </w:p>
    <w:p w14:paraId="33476089" w14:textId="4740BB4E" w:rsidR="00983004" w:rsidRPr="00983004" w:rsidRDefault="00983004" w:rsidP="00356319">
      <w:r w:rsidRPr="00983004">
        <w:t>Indirect Impact: While the public may not be directly involved in the strike, they are indirectly affected by the disruptions in postal services. This can include delays in receiving mail, packages, and important documents. The general public's interest in the strike resolution is thus related to how quickly normal services can be restored (Freeman, 1984).</w:t>
      </w:r>
    </w:p>
    <w:p w14:paraId="002768C1" w14:textId="5D076091" w:rsidR="00983004" w:rsidRPr="00983004" w:rsidRDefault="00983004" w:rsidP="00356319">
      <w:r w:rsidRPr="00983004">
        <w:t>Public Opinion and Social Stability: The general public’s perception of the strike can influence broader social sentiments and stability. If the strike causes significant inconvenience, it can lead to public dissatisfaction and pressure on the government and Post Office management to resolve the dispute. However, their power to directly influence the outcome is limited (Bryson, 2004).</w:t>
      </w:r>
    </w:p>
    <w:p w14:paraId="72C35DFD" w14:textId="7B5E7931" w:rsidR="00983004" w:rsidRPr="00983004" w:rsidRDefault="00983004" w:rsidP="00356319">
      <w:r w:rsidRPr="00983004">
        <w:t>Potential Advocacy: While individually the public has low power, collectively they can create significant pressure through public opinion and advocacy. This can manifest through petitions, social media campaigns, or lobbying local representatives to act. Their overall interest might be lower compared to directly affected parties, but significant service disruptions can elevate their concern (Fisher, Ury, &amp; Patton, 1991).</w:t>
      </w:r>
    </w:p>
    <w:p w14:paraId="41790AE2" w14:textId="775FB3A6" w:rsidR="00983004" w:rsidRPr="00983004" w:rsidRDefault="00983004" w:rsidP="00983004">
      <w:pPr>
        <w:rPr>
          <w:rFonts w:cs="Arial"/>
          <w:b/>
          <w:bCs/>
          <w:sz w:val="24"/>
          <w:szCs w:val="24"/>
        </w:rPr>
      </w:pPr>
      <w:r w:rsidRPr="00983004">
        <w:rPr>
          <w:rFonts w:cs="Arial"/>
          <w:b/>
          <w:bCs/>
          <w:sz w:val="24"/>
          <w:szCs w:val="24"/>
        </w:rPr>
        <w:t>Example:</w:t>
      </w:r>
    </w:p>
    <w:p w14:paraId="5BA369C0" w14:textId="77777777" w:rsidR="00983004" w:rsidRPr="00983004" w:rsidRDefault="00983004" w:rsidP="00356319">
      <w:r w:rsidRPr="00983004">
        <w:t>During the 2022 strike, the public experienced delays in receiving their mail and packages. This inconvenience led to frustration among some members of the public, who voiced their concerns on social media platforms. Although the public did not have a direct role in the negotiations, their collective dissatisfaction contributed to the urgency with which the Post Office management sought to resolve the strike (BBC News, 2022).</w:t>
      </w:r>
    </w:p>
    <w:p w14:paraId="16555F07" w14:textId="0440A071" w:rsidR="00983004" w:rsidRPr="00983004" w:rsidRDefault="00983004" w:rsidP="00983004">
      <w:pPr>
        <w:rPr>
          <w:rFonts w:cs="Arial"/>
          <w:b/>
          <w:bCs/>
          <w:sz w:val="24"/>
          <w:szCs w:val="24"/>
        </w:rPr>
      </w:pPr>
      <w:r w:rsidRPr="00983004">
        <w:rPr>
          <w:rFonts w:cs="Arial"/>
          <w:b/>
          <w:bCs/>
          <w:sz w:val="24"/>
          <w:szCs w:val="24"/>
        </w:rPr>
        <w:t>Media</w:t>
      </w:r>
    </w:p>
    <w:p w14:paraId="642B6017" w14:textId="084D53BA" w:rsidR="00983004" w:rsidRPr="00983004" w:rsidRDefault="00983004" w:rsidP="00983004">
      <w:pPr>
        <w:rPr>
          <w:rFonts w:cs="Arial"/>
          <w:b/>
          <w:bCs/>
          <w:sz w:val="24"/>
          <w:szCs w:val="24"/>
        </w:rPr>
      </w:pPr>
      <w:r w:rsidRPr="00983004">
        <w:rPr>
          <w:rFonts w:cs="Arial"/>
          <w:b/>
          <w:bCs/>
          <w:sz w:val="24"/>
          <w:szCs w:val="24"/>
        </w:rPr>
        <w:t>Justification:</w:t>
      </w:r>
    </w:p>
    <w:p w14:paraId="6F12364F" w14:textId="77777777" w:rsidR="00983004" w:rsidRPr="00983004" w:rsidRDefault="00983004" w:rsidP="00783EBF">
      <w:r w:rsidRPr="00983004">
        <w:t>The media is a crucial stakeholder in the context of the Post Office workers' strike due to their role in shaping public perception and disseminating information. Their inclusion in the Low Power, Low Interest quadrant is based on the following factors:</w:t>
      </w:r>
    </w:p>
    <w:p w14:paraId="102A0173" w14:textId="01FBC5C1" w:rsidR="00983004" w:rsidRPr="00983004" w:rsidRDefault="00983004" w:rsidP="00982992">
      <w:r w:rsidRPr="00783EBF">
        <w:t xml:space="preserve">Information Dissemination: The media plays a vital role in informing the public about the strike, its reasons, and its impacts. They function as a </w:t>
      </w:r>
      <w:r w:rsidRPr="00BF0151">
        <w:t>conduit between the stakeholders</w:t>
      </w:r>
      <w:r w:rsidRPr="00983004">
        <w:t xml:space="preserve"> </w:t>
      </w:r>
      <w:r w:rsidRPr="00983004">
        <w:lastRenderedPageBreak/>
        <w:t>involved in the strike and the public. While the media itself may not have a direct interest in the outcome, their role in communication is essential (Freeman, 1984).</w:t>
      </w:r>
    </w:p>
    <w:p w14:paraId="5A4A7E39" w14:textId="625F3F8E" w:rsidR="00983004" w:rsidRPr="00983004" w:rsidRDefault="00983004" w:rsidP="00982992">
      <w:r w:rsidRPr="00983004">
        <w:t>Shaping Public Opinion: Through news reports, editorials, and analyses, the media can shape public opinion about the strike. Their coverage can influence how the public, customers, and other stakeholders perceive the actions of the Post Office management and the CWU. This makes them influential in indirectly impacting the negotiation process (Bryson, 2004).</w:t>
      </w:r>
    </w:p>
    <w:p w14:paraId="050E255A" w14:textId="408D768F" w:rsidR="00983004" w:rsidRPr="00983004" w:rsidRDefault="00983004" w:rsidP="00982992">
      <w:r w:rsidRPr="00983004">
        <w:t>Monitoring and Accountability: The media’s role in monitoring the situation and holding the involved parties accountable is crucial. They ensure transparency in the negotiation process and highlight any discrepancies or unfair practices. Although their power to directly influence the resolution is low, their impact on public perception and stakeholder actions is significant (Thomas &amp; Kilmann, 1974).</w:t>
      </w:r>
    </w:p>
    <w:p w14:paraId="5D398E9A" w14:textId="6089DD10" w:rsidR="00983004" w:rsidRPr="00E23224" w:rsidRDefault="00983004" w:rsidP="00982992">
      <w:pPr>
        <w:rPr>
          <w:b/>
          <w:bCs/>
        </w:rPr>
      </w:pPr>
      <w:r w:rsidRPr="00E23224">
        <w:rPr>
          <w:b/>
          <w:bCs/>
        </w:rPr>
        <w:t>Example:</w:t>
      </w:r>
    </w:p>
    <w:p w14:paraId="04208417" w14:textId="77777777" w:rsidR="00983004" w:rsidRPr="00983004" w:rsidRDefault="00983004" w:rsidP="00982992">
      <w:r w:rsidRPr="00983004">
        <w:t>During the 2022 strike, media outlets provided extensive coverage of the events, explaining the reasons behind the strike and its potential impact on the public. News reports highlighted statements from both the CWU and Post Office management, providing a balanced view of the conflict. This coverage helped inform the public and keep the pressure on the involved parties to negotiate a resolution (Post Office Ltd, 2022).</w:t>
      </w:r>
    </w:p>
    <w:p w14:paraId="6E78072C" w14:textId="77777777" w:rsidR="00983004" w:rsidRDefault="00983004" w:rsidP="00983004">
      <w:pPr>
        <w:rPr>
          <w:rFonts w:cs="Arial"/>
          <w:b/>
          <w:bCs/>
          <w:sz w:val="24"/>
          <w:szCs w:val="24"/>
        </w:rPr>
      </w:pPr>
    </w:p>
    <w:p w14:paraId="2F98A4FB" w14:textId="77777777" w:rsidR="001C175F" w:rsidRPr="00983004" w:rsidRDefault="001C175F" w:rsidP="00983004">
      <w:pPr>
        <w:rPr>
          <w:rFonts w:cs="Arial"/>
          <w:b/>
          <w:bCs/>
          <w:sz w:val="24"/>
          <w:szCs w:val="24"/>
        </w:rPr>
      </w:pPr>
    </w:p>
    <w:p w14:paraId="0DB81242" w14:textId="591B11AA" w:rsidR="00983004" w:rsidRPr="00983004" w:rsidRDefault="00983004" w:rsidP="00983004">
      <w:pPr>
        <w:rPr>
          <w:rFonts w:cs="Arial"/>
          <w:b/>
          <w:bCs/>
          <w:sz w:val="24"/>
          <w:szCs w:val="24"/>
        </w:rPr>
      </w:pPr>
      <w:r w:rsidRPr="00983004">
        <w:rPr>
          <w:rFonts w:cs="Arial"/>
          <w:b/>
          <w:bCs/>
          <w:sz w:val="24"/>
          <w:szCs w:val="24"/>
        </w:rPr>
        <w:t>Conclusion</w:t>
      </w:r>
    </w:p>
    <w:p w14:paraId="764E6A22" w14:textId="69A11769" w:rsidR="00F37DE7" w:rsidRDefault="00983004" w:rsidP="00982992">
      <w:pPr>
        <w:rPr>
          <w:szCs w:val="22"/>
        </w:rPr>
      </w:pPr>
      <w:r w:rsidRPr="00983004">
        <w:t>Both the public and the media are classified under "Low Power, Low Interest" in the Power-Interest Matrix due to their indirect involvement and limited ability to influence the resolution of the strike directly. However, their role in shaping public perception and maintaining transparency is crucial. Monitoring these stakeholders ensures that any significant changes in their power or interest are promptly addressed, maintaining a balanced approach to resolving the dispute.</w:t>
      </w:r>
      <w:r w:rsidR="00F37DE7">
        <w:rPr>
          <w:szCs w:val="22"/>
        </w:rPr>
        <w:br w:type="page"/>
      </w:r>
    </w:p>
    <w:p w14:paraId="5AFCB779" w14:textId="77777777" w:rsidR="00F37DE7" w:rsidRPr="00F37DE7" w:rsidRDefault="00F37DE7" w:rsidP="00F37DE7">
      <w:pPr>
        <w:pStyle w:val="Heading1"/>
      </w:pPr>
      <w:bookmarkStart w:id="7" w:name="_Toc172365084"/>
      <w:r w:rsidRPr="00F37DE7">
        <w:lastRenderedPageBreak/>
        <w:t>Kotter’s 8-Step Model of Change Applied to the Post Office Strike</w:t>
      </w:r>
      <w:bookmarkEnd w:id="7"/>
    </w:p>
    <w:p w14:paraId="60CB4F07" w14:textId="01D97FB3" w:rsidR="00FF18B1" w:rsidRDefault="00FF18B1" w:rsidP="00FF18B1">
      <w:pPr>
        <w:pStyle w:val="Caption"/>
        <w:keepNext/>
      </w:pPr>
      <w:r>
        <w:t xml:space="preserve">Table </w:t>
      </w:r>
      <w:r>
        <w:fldChar w:fldCharType="begin"/>
      </w:r>
      <w:r>
        <w:instrText xml:space="preserve"> SEQ Table \* ARABIC </w:instrText>
      </w:r>
      <w:r>
        <w:fldChar w:fldCharType="separate"/>
      </w:r>
      <w:r>
        <w:rPr>
          <w:noProof/>
        </w:rPr>
        <w:t>1</w:t>
      </w:r>
      <w:r>
        <w:fldChar w:fldCharType="end"/>
      </w:r>
    </w:p>
    <w:tbl>
      <w:tblPr>
        <w:tblpPr w:leftFromText="180" w:rightFromText="180" w:vertAnchor="page" w:horzAnchor="margin" w:tblpY="3421"/>
        <w:tblW w:w="901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316"/>
        <w:gridCol w:w="4207"/>
        <w:gridCol w:w="2493"/>
      </w:tblGrid>
      <w:tr w:rsidR="00661D94" w:rsidRPr="00F37DE7" w14:paraId="740E3B72" w14:textId="77777777" w:rsidTr="00661D94">
        <w:trPr>
          <w:tblHeader/>
          <w:tblCellSpacing w:w="15" w:type="dxa"/>
        </w:trPr>
        <w:tc>
          <w:tcPr>
            <w:tcW w:w="2271" w:type="dxa"/>
            <w:tcBorders>
              <w:top w:val="single" w:sz="12" w:space="0" w:color="D55816" w:themeColor="accent2"/>
              <w:left w:val="single" w:sz="12" w:space="0" w:color="D55816" w:themeColor="accent2"/>
            </w:tcBorders>
            <w:shd w:val="clear" w:color="auto" w:fill="F4BA9B" w:themeFill="accent2" w:themeFillTint="66"/>
            <w:vAlign w:val="center"/>
            <w:hideMark/>
          </w:tcPr>
          <w:p w14:paraId="6610C974" w14:textId="77777777" w:rsidR="00F37DE7" w:rsidRPr="00CC55A4" w:rsidRDefault="00F37DE7" w:rsidP="00661D94">
            <w:pPr>
              <w:rPr>
                <w:rFonts w:cs="Arial"/>
                <w:b/>
                <w:bCs/>
                <w:szCs w:val="22"/>
              </w:rPr>
            </w:pPr>
          </w:p>
          <w:p w14:paraId="2C179392" w14:textId="0BB97D83" w:rsidR="00F37DE7" w:rsidRPr="00F37DE7" w:rsidRDefault="00F37DE7" w:rsidP="00661D94">
            <w:pPr>
              <w:rPr>
                <w:rFonts w:cs="Arial"/>
                <w:b/>
                <w:bCs/>
                <w:szCs w:val="22"/>
              </w:rPr>
            </w:pPr>
            <w:r w:rsidRPr="00F37DE7">
              <w:rPr>
                <w:rFonts w:cs="Arial"/>
                <w:b/>
                <w:bCs/>
                <w:szCs w:val="22"/>
              </w:rPr>
              <w:t>Step</w:t>
            </w:r>
          </w:p>
        </w:tc>
        <w:tc>
          <w:tcPr>
            <w:tcW w:w="4177" w:type="dxa"/>
            <w:tcBorders>
              <w:top w:val="single" w:sz="12" w:space="0" w:color="D55816" w:themeColor="accent2"/>
              <w:left w:val="single" w:sz="12" w:space="0" w:color="D55816"/>
              <w:right w:val="single" w:sz="12" w:space="0" w:color="D55816"/>
            </w:tcBorders>
            <w:shd w:val="clear" w:color="auto" w:fill="F4BA9B" w:themeFill="accent2" w:themeFillTint="66"/>
            <w:vAlign w:val="center"/>
            <w:hideMark/>
          </w:tcPr>
          <w:p w14:paraId="763C50E2" w14:textId="77777777" w:rsidR="00F37DE7" w:rsidRPr="00CC55A4" w:rsidRDefault="00F37DE7" w:rsidP="00661D94">
            <w:pPr>
              <w:rPr>
                <w:rFonts w:cs="Arial"/>
                <w:b/>
                <w:bCs/>
                <w:szCs w:val="22"/>
              </w:rPr>
            </w:pPr>
          </w:p>
          <w:p w14:paraId="1F85101F" w14:textId="2D0D672F" w:rsidR="00F37DE7" w:rsidRPr="00F37DE7" w:rsidRDefault="00F37DE7" w:rsidP="00661D94">
            <w:pPr>
              <w:rPr>
                <w:rFonts w:cs="Arial"/>
                <w:b/>
                <w:bCs/>
                <w:szCs w:val="22"/>
              </w:rPr>
            </w:pPr>
            <w:r w:rsidRPr="00F37DE7">
              <w:rPr>
                <w:rFonts w:cs="Arial"/>
                <w:b/>
                <w:bCs/>
                <w:szCs w:val="22"/>
              </w:rPr>
              <w:t>Actions</w:t>
            </w:r>
          </w:p>
        </w:tc>
        <w:tc>
          <w:tcPr>
            <w:tcW w:w="2448" w:type="dxa"/>
            <w:tcBorders>
              <w:top w:val="single" w:sz="12" w:space="0" w:color="D55816" w:themeColor="accent2"/>
              <w:left w:val="single" w:sz="4" w:space="0" w:color="auto"/>
              <w:right w:val="single" w:sz="12" w:space="0" w:color="D55816" w:themeColor="accent2"/>
            </w:tcBorders>
            <w:shd w:val="clear" w:color="auto" w:fill="F4BA9B" w:themeFill="accent2" w:themeFillTint="66"/>
            <w:vAlign w:val="center"/>
            <w:hideMark/>
          </w:tcPr>
          <w:p w14:paraId="7D586E40" w14:textId="77777777" w:rsidR="00F37DE7" w:rsidRPr="00CC55A4" w:rsidRDefault="00F37DE7" w:rsidP="00661D94">
            <w:pPr>
              <w:rPr>
                <w:rFonts w:cs="Arial"/>
                <w:b/>
                <w:bCs/>
                <w:szCs w:val="22"/>
              </w:rPr>
            </w:pPr>
          </w:p>
          <w:p w14:paraId="4EC8450F" w14:textId="02F7F401" w:rsidR="00F37DE7" w:rsidRPr="00F37DE7" w:rsidRDefault="00F37DE7" w:rsidP="00661D94">
            <w:pPr>
              <w:rPr>
                <w:rFonts w:cs="Arial"/>
                <w:b/>
                <w:bCs/>
                <w:szCs w:val="22"/>
              </w:rPr>
            </w:pPr>
            <w:r w:rsidRPr="00F37DE7">
              <w:rPr>
                <w:rFonts w:cs="Arial"/>
                <w:b/>
                <w:bCs/>
                <w:szCs w:val="22"/>
              </w:rPr>
              <w:t>Visual/Icon</w:t>
            </w:r>
          </w:p>
        </w:tc>
      </w:tr>
      <w:tr w:rsidR="00661D94" w:rsidRPr="00F37DE7" w14:paraId="4D4FAC81" w14:textId="77777777" w:rsidTr="00351F6C">
        <w:trPr>
          <w:tblCellSpacing w:w="15" w:type="dxa"/>
        </w:trPr>
        <w:tc>
          <w:tcPr>
            <w:tcW w:w="2271" w:type="dxa"/>
            <w:tcBorders>
              <w:top w:val="single" w:sz="12" w:space="0" w:color="D55816"/>
              <w:left w:val="single" w:sz="12" w:space="0" w:color="D55816" w:themeColor="accent2"/>
              <w:bottom w:val="single" w:sz="12" w:space="0" w:color="D55816"/>
            </w:tcBorders>
            <w:shd w:val="clear" w:color="auto" w:fill="F4BA9B" w:themeFill="accent2" w:themeFillTint="66"/>
            <w:vAlign w:val="center"/>
            <w:hideMark/>
          </w:tcPr>
          <w:p w14:paraId="610B6CF0" w14:textId="77777777" w:rsidR="00F37DE7" w:rsidRPr="00F37DE7" w:rsidRDefault="00F37DE7" w:rsidP="00661D94">
            <w:pPr>
              <w:rPr>
                <w:rFonts w:cs="Arial"/>
                <w:szCs w:val="22"/>
              </w:rPr>
            </w:pPr>
            <w:r w:rsidRPr="00F37DE7">
              <w:rPr>
                <w:rFonts w:cs="Arial"/>
                <w:b/>
                <w:bCs/>
                <w:szCs w:val="22"/>
              </w:rPr>
              <w:t>1. Create a Sense of Urgency</w:t>
            </w:r>
          </w:p>
        </w:tc>
        <w:tc>
          <w:tcPr>
            <w:tcW w:w="4177" w:type="dxa"/>
            <w:tcBorders>
              <w:top w:val="single" w:sz="12" w:space="0" w:color="D55816"/>
              <w:left w:val="single" w:sz="12" w:space="0" w:color="D55816"/>
              <w:bottom w:val="single" w:sz="12" w:space="0" w:color="D55816"/>
              <w:right w:val="single" w:sz="12" w:space="0" w:color="D55816"/>
            </w:tcBorders>
            <w:vAlign w:val="center"/>
            <w:hideMark/>
          </w:tcPr>
          <w:p w14:paraId="0E5F1C04" w14:textId="4839C838" w:rsidR="00F37DE7" w:rsidRPr="00F37DE7" w:rsidRDefault="00F37DE7" w:rsidP="00661D94">
            <w:pPr>
              <w:rPr>
                <w:rFonts w:cs="Arial"/>
                <w:szCs w:val="22"/>
              </w:rPr>
            </w:pPr>
            <w:r w:rsidRPr="00F37DE7">
              <w:rPr>
                <w:rFonts w:cs="Arial"/>
                <w:szCs w:val="22"/>
              </w:rPr>
              <w:t>- Communicate consequences of strike</w:t>
            </w:r>
            <w:r w:rsidR="00BA1612">
              <w:rPr>
                <w:rFonts w:cs="Arial"/>
                <w:szCs w:val="22"/>
              </w:rPr>
              <w:t xml:space="preserve"> </w:t>
            </w:r>
            <w:r w:rsidRPr="00F37DE7">
              <w:rPr>
                <w:rFonts w:cs="Arial"/>
                <w:szCs w:val="22"/>
              </w:rPr>
              <w:t>-Highlight 9% inflation</w:t>
            </w:r>
            <w:r w:rsidR="00BA1612">
              <w:rPr>
                <w:rFonts w:cs="Arial"/>
                <w:szCs w:val="22"/>
              </w:rPr>
              <w:t xml:space="preserve"> </w:t>
            </w:r>
            <w:r w:rsidRPr="00F37DE7">
              <w:rPr>
                <w:rFonts w:cs="Arial"/>
                <w:szCs w:val="22"/>
              </w:rPr>
              <w:t>- Emphasize inadequacy of 2% pay increase plus £250</w:t>
            </w:r>
          </w:p>
        </w:tc>
        <w:tc>
          <w:tcPr>
            <w:tcW w:w="2448" w:type="dxa"/>
            <w:tcBorders>
              <w:top w:val="single" w:sz="12" w:space="0" w:color="D55816"/>
              <w:left w:val="single" w:sz="4" w:space="0" w:color="auto"/>
              <w:bottom w:val="single" w:sz="12" w:space="0" w:color="D55816"/>
              <w:right w:val="single" w:sz="12" w:space="0" w:color="D55816" w:themeColor="accent2"/>
            </w:tcBorders>
            <w:vAlign w:val="center"/>
            <w:hideMark/>
          </w:tcPr>
          <w:p w14:paraId="71C27D59"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Urgency: Red flag or warning sign</w:t>
            </w:r>
          </w:p>
        </w:tc>
      </w:tr>
      <w:tr w:rsidR="00661D94" w:rsidRPr="00F37DE7" w14:paraId="51D66D06"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04999D5E" w14:textId="77777777" w:rsidR="00F37DE7" w:rsidRPr="00F37DE7" w:rsidRDefault="00F37DE7" w:rsidP="00661D94">
            <w:pPr>
              <w:rPr>
                <w:rFonts w:cs="Arial"/>
                <w:szCs w:val="22"/>
              </w:rPr>
            </w:pPr>
            <w:r w:rsidRPr="00F37DE7">
              <w:rPr>
                <w:rFonts w:cs="Arial"/>
                <w:b/>
                <w:bCs/>
                <w:szCs w:val="22"/>
              </w:rPr>
              <w:t>2. Build a Guiding Coalition</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1436E416" w14:textId="77777777" w:rsidR="00F37DE7" w:rsidRPr="00F37DE7" w:rsidRDefault="00F37DE7" w:rsidP="00661D94">
            <w:pPr>
              <w:rPr>
                <w:rFonts w:cs="Arial"/>
                <w:szCs w:val="22"/>
              </w:rPr>
            </w:pPr>
            <w:r w:rsidRPr="00F37DE7">
              <w:rPr>
                <w:rFonts w:cs="Arial"/>
                <w:szCs w:val="22"/>
              </w:rPr>
              <w:t>- Form coalition with CWU reps, Post Office management, BEIS officials, and external mediators</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18D8D7AB"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Coalition: Circle of stakeholder icons holding hands</w:t>
            </w:r>
          </w:p>
        </w:tc>
      </w:tr>
      <w:tr w:rsidR="00661D94" w:rsidRPr="00F37DE7" w14:paraId="23527DDC"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2A2157F9" w14:textId="2045C749" w:rsidR="00F37DE7" w:rsidRPr="00F37DE7" w:rsidRDefault="00F37DE7" w:rsidP="00661D94">
            <w:pPr>
              <w:rPr>
                <w:rFonts w:cs="Arial"/>
                <w:szCs w:val="22"/>
              </w:rPr>
            </w:pPr>
            <w:r w:rsidRPr="00F37DE7">
              <w:rPr>
                <w:rFonts w:cs="Arial"/>
                <w:b/>
                <w:bCs/>
                <w:szCs w:val="22"/>
              </w:rPr>
              <w:t>3. Develop a Vision and Strategy</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5C38A84C" w14:textId="5882E330" w:rsidR="00F37DE7" w:rsidRPr="00F37DE7" w:rsidRDefault="00F37DE7" w:rsidP="00661D94">
            <w:pPr>
              <w:rPr>
                <w:rFonts w:cs="Arial"/>
                <w:szCs w:val="22"/>
              </w:rPr>
            </w:pPr>
            <w:r w:rsidRPr="00F37DE7">
              <w:rPr>
                <w:rFonts w:cs="Arial"/>
                <w:szCs w:val="22"/>
              </w:rPr>
              <w:t>- Create vision of fair compensation</w:t>
            </w:r>
            <w:r w:rsidR="00BA1612">
              <w:rPr>
                <w:rFonts w:cs="Arial"/>
                <w:szCs w:val="22"/>
              </w:rPr>
              <w:t xml:space="preserve"> </w:t>
            </w:r>
            <w:r w:rsidRPr="00F37DE7">
              <w:rPr>
                <w:rFonts w:cs="Arial"/>
                <w:szCs w:val="22"/>
              </w:rPr>
              <w:t>- Plan for phased pay increases</w:t>
            </w:r>
            <w:r w:rsidR="00BA1612">
              <w:rPr>
                <w:rFonts w:cs="Arial"/>
                <w:szCs w:val="22"/>
              </w:rPr>
              <w:t xml:space="preserve"> </w:t>
            </w:r>
            <w:r w:rsidRPr="00F37DE7">
              <w:rPr>
                <w:rFonts w:cs="Arial"/>
                <w:szCs w:val="22"/>
              </w:rPr>
              <w:t>- Outline ongoing dialogue mechanisms</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049D5856"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Vision &amp; Strategy: Lightbulb and roadmap</w:t>
            </w:r>
          </w:p>
        </w:tc>
      </w:tr>
      <w:tr w:rsidR="00661D94" w:rsidRPr="00F37DE7" w14:paraId="4DC990E4"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2EB3379E" w14:textId="77777777" w:rsidR="00F37DE7" w:rsidRPr="00F37DE7" w:rsidRDefault="00F37DE7" w:rsidP="00661D94">
            <w:pPr>
              <w:rPr>
                <w:rFonts w:cs="Arial"/>
                <w:szCs w:val="22"/>
              </w:rPr>
            </w:pPr>
            <w:r w:rsidRPr="00F37DE7">
              <w:rPr>
                <w:rFonts w:cs="Arial"/>
                <w:b/>
                <w:bCs/>
                <w:szCs w:val="22"/>
              </w:rPr>
              <w:t>4. Communicate the Change Vision</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2C6961F2" w14:textId="77777777" w:rsidR="00F37DE7" w:rsidRPr="00F37DE7" w:rsidRDefault="00F37DE7" w:rsidP="00661D94">
            <w:pPr>
              <w:rPr>
                <w:rFonts w:cs="Arial"/>
                <w:szCs w:val="22"/>
              </w:rPr>
            </w:pPr>
            <w:r w:rsidRPr="00F37DE7">
              <w:rPr>
                <w:rFonts w:cs="Arial"/>
                <w:szCs w:val="22"/>
              </w:rPr>
              <w:t>- Use town hall meetings, newsletters, social media to communicate vision and strategy</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61DF4792"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Communication: Megaphone or speech bubble</w:t>
            </w:r>
          </w:p>
        </w:tc>
      </w:tr>
      <w:tr w:rsidR="00661D94" w:rsidRPr="00F37DE7" w14:paraId="49B3CDA2"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48C86766" w14:textId="77777777" w:rsidR="00F37DE7" w:rsidRPr="00F37DE7" w:rsidRDefault="00F37DE7" w:rsidP="00661D94">
            <w:pPr>
              <w:rPr>
                <w:rFonts w:cs="Arial"/>
                <w:szCs w:val="22"/>
              </w:rPr>
            </w:pPr>
            <w:r w:rsidRPr="00F37DE7">
              <w:rPr>
                <w:rFonts w:cs="Arial"/>
                <w:b/>
                <w:bCs/>
                <w:szCs w:val="22"/>
              </w:rPr>
              <w:t>5. Empower Broad-Based Action</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4B339576" w14:textId="308DEA48" w:rsidR="00F37DE7" w:rsidRPr="00F37DE7" w:rsidRDefault="00F37DE7" w:rsidP="00661D94">
            <w:pPr>
              <w:rPr>
                <w:rFonts w:cs="Arial"/>
                <w:szCs w:val="22"/>
              </w:rPr>
            </w:pPr>
            <w:r w:rsidRPr="00F37DE7">
              <w:rPr>
                <w:rFonts w:cs="Arial"/>
                <w:szCs w:val="22"/>
              </w:rPr>
              <w:t>- Remove bureaucratic barriers</w:t>
            </w:r>
            <w:r w:rsidR="00BA1612">
              <w:rPr>
                <w:rFonts w:cs="Arial"/>
                <w:szCs w:val="22"/>
              </w:rPr>
              <w:t xml:space="preserve"> </w:t>
            </w:r>
            <w:r w:rsidRPr="00F37DE7">
              <w:rPr>
                <w:rFonts w:cs="Arial"/>
                <w:szCs w:val="22"/>
              </w:rPr>
              <w:t>- Allocate resources</w:t>
            </w:r>
            <w:r w:rsidR="00BA1612">
              <w:rPr>
                <w:rFonts w:cs="Arial"/>
                <w:szCs w:val="22"/>
              </w:rPr>
              <w:t xml:space="preserve"> </w:t>
            </w:r>
            <w:r w:rsidRPr="00F37DE7">
              <w:rPr>
                <w:rFonts w:cs="Arial"/>
                <w:szCs w:val="22"/>
              </w:rPr>
              <w:t>- Encourage employee participation</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14F9AECE" w14:textId="77777777" w:rsidR="00F37DE7" w:rsidRPr="00F37DE7" w:rsidRDefault="00F37DE7" w:rsidP="00661D94">
            <w:pPr>
              <w:rPr>
                <w:rFonts w:cs="Arial"/>
                <w:szCs w:val="22"/>
              </w:rPr>
            </w:pPr>
            <w:r w:rsidRPr="00F37DE7">
              <w:rPr>
                <w:rFonts w:ascii="Segoe UI Symbol" w:hAnsi="Segoe UI Symbol" w:cs="Segoe UI Symbol"/>
                <w:szCs w:val="22"/>
              </w:rPr>
              <w:t>🛠</w:t>
            </w:r>
            <w:r w:rsidRPr="00F37DE7">
              <w:rPr>
                <w:rFonts w:cs="Arial"/>
                <w:szCs w:val="22"/>
              </w:rPr>
              <w:t xml:space="preserve"> Empowerment: Tools or gear</w:t>
            </w:r>
          </w:p>
        </w:tc>
      </w:tr>
      <w:tr w:rsidR="00661D94" w:rsidRPr="00F37DE7" w14:paraId="2A4EC336"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11E48D8E" w14:textId="77777777" w:rsidR="00F37DE7" w:rsidRPr="00F37DE7" w:rsidRDefault="00F37DE7" w:rsidP="00661D94">
            <w:pPr>
              <w:rPr>
                <w:rFonts w:cs="Arial"/>
                <w:szCs w:val="22"/>
              </w:rPr>
            </w:pPr>
            <w:r w:rsidRPr="00F37DE7">
              <w:rPr>
                <w:rFonts w:cs="Arial"/>
                <w:b/>
                <w:bCs/>
                <w:szCs w:val="22"/>
              </w:rPr>
              <w:t>6. Generate Short-Term Wins</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081741ED" w14:textId="4DCF2A57" w:rsidR="00F37DE7" w:rsidRPr="00F37DE7" w:rsidRDefault="00F37DE7" w:rsidP="00661D94">
            <w:pPr>
              <w:rPr>
                <w:rFonts w:cs="Arial"/>
                <w:szCs w:val="22"/>
              </w:rPr>
            </w:pPr>
            <w:r w:rsidRPr="00F37DE7">
              <w:rPr>
                <w:rFonts w:cs="Arial"/>
                <w:szCs w:val="22"/>
              </w:rPr>
              <w:t>- Implement immediate pay increase or bonus</w:t>
            </w:r>
            <w:r w:rsidR="00BA1612">
              <w:rPr>
                <w:rFonts w:cs="Arial"/>
                <w:szCs w:val="22"/>
              </w:rPr>
              <w:t xml:space="preserve"> </w:t>
            </w:r>
            <w:r w:rsidRPr="00F37DE7">
              <w:rPr>
                <w:rFonts w:cs="Arial"/>
                <w:szCs w:val="22"/>
              </w:rPr>
              <w:t>- Recognize and reward efforts</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7F48E38E"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Short-Term Wins: Trophy or checkmark</w:t>
            </w:r>
          </w:p>
        </w:tc>
      </w:tr>
      <w:tr w:rsidR="00661D94" w:rsidRPr="00F37DE7" w14:paraId="154B9ACB" w14:textId="77777777" w:rsidTr="00351F6C">
        <w:trPr>
          <w:tblCellSpacing w:w="15" w:type="dxa"/>
        </w:trPr>
        <w:tc>
          <w:tcPr>
            <w:tcW w:w="2271" w:type="dxa"/>
            <w:tcBorders>
              <w:top w:val="single" w:sz="4" w:space="0" w:color="auto"/>
              <w:left w:val="single" w:sz="12" w:space="0" w:color="D55816" w:themeColor="accent2"/>
              <w:bottom w:val="single" w:sz="12" w:space="0" w:color="D55816"/>
            </w:tcBorders>
            <w:shd w:val="clear" w:color="auto" w:fill="F4BA9B" w:themeFill="accent2" w:themeFillTint="66"/>
            <w:vAlign w:val="center"/>
            <w:hideMark/>
          </w:tcPr>
          <w:p w14:paraId="2AA3B593" w14:textId="77777777" w:rsidR="00F37DE7" w:rsidRPr="00F37DE7" w:rsidRDefault="00F37DE7" w:rsidP="00661D94">
            <w:pPr>
              <w:rPr>
                <w:rFonts w:cs="Arial"/>
                <w:szCs w:val="22"/>
              </w:rPr>
            </w:pPr>
            <w:r w:rsidRPr="00F37DE7">
              <w:rPr>
                <w:rFonts w:cs="Arial"/>
                <w:b/>
                <w:bCs/>
                <w:szCs w:val="22"/>
              </w:rPr>
              <w:t>7. Consolidate Gains and Produce More Change</w:t>
            </w:r>
          </w:p>
        </w:tc>
        <w:tc>
          <w:tcPr>
            <w:tcW w:w="4177" w:type="dxa"/>
            <w:tcBorders>
              <w:top w:val="single" w:sz="4" w:space="0" w:color="auto"/>
              <w:left w:val="single" w:sz="12" w:space="0" w:color="D55816"/>
              <w:bottom w:val="single" w:sz="12" w:space="0" w:color="D55816"/>
              <w:right w:val="single" w:sz="12" w:space="0" w:color="D55816"/>
            </w:tcBorders>
            <w:vAlign w:val="center"/>
            <w:hideMark/>
          </w:tcPr>
          <w:p w14:paraId="6579A2C4" w14:textId="7E94D413" w:rsidR="00F37DE7" w:rsidRPr="00F37DE7" w:rsidRDefault="00F37DE7" w:rsidP="00661D94">
            <w:pPr>
              <w:rPr>
                <w:rFonts w:cs="Arial"/>
                <w:szCs w:val="22"/>
              </w:rPr>
            </w:pPr>
            <w:r w:rsidRPr="00F37DE7">
              <w:rPr>
                <w:rFonts w:cs="Arial"/>
                <w:szCs w:val="22"/>
              </w:rPr>
              <w:t>- Continue negotiations</w:t>
            </w:r>
            <w:r w:rsidR="00BF3499">
              <w:rPr>
                <w:rFonts w:cs="Arial"/>
                <w:szCs w:val="22"/>
              </w:rPr>
              <w:t xml:space="preserve"> </w:t>
            </w:r>
            <w:r w:rsidRPr="00F37DE7">
              <w:rPr>
                <w:rFonts w:cs="Arial"/>
                <w:szCs w:val="22"/>
              </w:rPr>
              <w:t>- Introduce further changes</w:t>
            </w:r>
            <w:r w:rsidR="00BF3499">
              <w:rPr>
                <w:rFonts w:cs="Arial"/>
                <w:szCs w:val="22"/>
              </w:rPr>
              <w:t xml:space="preserve"> </w:t>
            </w:r>
            <w:r w:rsidRPr="00F37DE7">
              <w:rPr>
                <w:rFonts w:cs="Arial"/>
                <w:szCs w:val="22"/>
              </w:rPr>
              <w:t>- Monitor progress</w:t>
            </w:r>
          </w:p>
        </w:tc>
        <w:tc>
          <w:tcPr>
            <w:tcW w:w="2448" w:type="dxa"/>
            <w:tcBorders>
              <w:top w:val="single" w:sz="4" w:space="0" w:color="auto"/>
              <w:left w:val="single" w:sz="4" w:space="0" w:color="auto"/>
              <w:bottom w:val="single" w:sz="12" w:space="0" w:color="D55816"/>
              <w:right w:val="single" w:sz="12" w:space="0" w:color="D55816" w:themeColor="accent2"/>
            </w:tcBorders>
            <w:vAlign w:val="center"/>
            <w:hideMark/>
          </w:tcPr>
          <w:p w14:paraId="0666154B"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Consolidation: Building blocks or staircase</w:t>
            </w:r>
          </w:p>
        </w:tc>
      </w:tr>
      <w:tr w:rsidR="00661D94" w:rsidRPr="00F37DE7" w14:paraId="784D8161" w14:textId="77777777" w:rsidTr="00351F6C">
        <w:trPr>
          <w:tblCellSpacing w:w="15" w:type="dxa"/>
        </w:trPr>
        <w:tc>
          <w:tcPr>
            <w:tcW w:w="2271" w:type="dxa"/>
            <w:tcBorders>
              <w:left w:val="single" w:sz="12" w:space="0" w:color="D55816" w:themeColor="accent2"/>
              <w:bottom w:val="single" w:sz="12" w:space="0" w:color="D55816" w:themeColor="accent2"/>
            </w:tcBorders>
            <w:shd w:val="clear" w:color="auto" w:fill="F4BA9B" w:themeFill="accent2" w:themeFillTint="66"/>
            <w:vAlign w:val="center"/>
            <w:hideMark/>
          </w:tcPr>
          <w:p w14:paraId="107E083C" w14:textId="77777777" w:rsidR="00F37DE7" w:rsidRPr="00F37DE7" w:rsidRDefault="00F37DE7" w:rsidP="00661D94">
            <w:pPr>
              <w:rPr>
                <w:rFonts w:cs="Arial"/>
                <w:szCs w:val="22"/>
              </w:rPr>
            </w:pPr>
            <w:r w:rsidRPr="00F37DE7">
              <w:rPr>
                <w:rFonts w:cs="Arial"/>
                <w:b/>
                <w:bCs/>
                <w:szCs w:val="22"/>
              </w:rPr>
              <w:t>8. Anchor New Approaches in the Culture</w:t>
            </w:r>
          </w:p>
        </w:tc>
        <w:tc>
          <w:tcPr>
            <w:tcW w:w="4177" w:type="dxa"/>
            <w:tcBorders>
              <w:left w:val="single" w:sz="12" w:space="0" w:color="D55816"/>
              <w:bottom w:val="single" w:sz="12" w:space="0" w:color="D55816" w:themeColor="accent2"/>
              <w:right w:val="single" w:sz="12" w:space="0" w:color="D55816"/>
            </w:tcBorders>
            <w:vAlign w:val="center"/>
            <w:hideMark/>
          </w:tcPr>
          <w:p w14:paraId="4E0E98E6" w14:textId="5F6DC232" w:rsidR="00F37DE7" w:rsidRPr="00F37DE7" w:rsidRDefault="00F37DE7" w:rsidP="00661D94">
            <w:pPr>
              <w:rPr>
                <w:rFonts w:cs="Arial"/>
                <w:szCs w:val="22"/>
              </w:rPr>
            </w:pPr>
            <w:r w:rsidRPr="00F37DE7">
              <w:rPr>
                <w:rFonts w:cs="Arial"/>
                <w:szCs w:val="22"/>
              </w:rPr>
              <w:t>- Integrate new compensation practices</w:t>
            </w:r>
            <w:r w:rsidR="00BF3499">
              <w:rPr>
                <w:rFonts w:cs="Arial"/>
                <w:szCs w:val="22"/>
              </w:rPr>
              <w:t xml:space="preserve"> </w:t>
            </w:r>
            <w:r w:rsidRPr="00F37DE7">
              <w:rPr>
                <w:rFonts w:cs="Arial"/>
                <w:szCs w:val="22"/>
              </w:rPr>
              <w:t>- Promote success stories</w:t>
            </w:r>
            <w:r w:rsidR="00BF3499">
              <w:rPr>
                <w:rFonts w:cs="Arial"/>
                <w:szCs w:val="22"/>
              </w:rPr>
              <w:t xml:space="preserve"> </w:t>
            </w:r>
            <w:r w:rsidRPr="00F37DE7">
              <w:rPr>
                <w:rFonts w:cs="Arial"/>
                <w:szCs w:val="22"/>
              </w:rPr>
              <w:t>- Establish feedback mechanisms</w:t>
            </w:r>
          </w:p>
        </w:tc>
        <w:tc>
          <w:tcPr>
            <w:tcW w:w="2448" w:type="dxa"/>
            <w:tcBorders>
              <w:left w:val="single" w:sz="4" w:space="0" w:color="auto"/>
              <w:bottom w:val="single" w:sz="12" w:space="0" w:color="D55816" w:themeColor="accent2"/>
              <w:right w:val="single" w:sz="12" w:space="0" w:color="D55816" w:themeColor="accent2"/>
            </w:tcBorders>
            <w:vAlign w:val="center"/>
            <w:hideMark/>
          </w:tcPr>
          <w:p w14:paraId="210C84C0" w14:textId="77777777" w:rsidR="00F37DE7" w:rsidRPr="00F37DE7" w:rsidRDefault="00F37DE7" w:rsidP="00661D94">
            <w:pPr>
              <w:rPr>
                <w:rFonts w:cs="Arial"/>
                <w:szCs w:val="22"/>
              </w:rPr>
            </w:pPr>
            <w:r w:rsidRPr="00F37DE7">
              <w:rPr>
                <w:rFonts w:ascii="Segoe UI Emoji" w:hAnsi="Segoe UI Emoji" w:cs="Segoe UI Emoji"/>
                <w:szCs w:val="22"/>
              </w:rPr>
              <w:t>⚓</w:t>
            </w:r>
            <w:r w:rsidRPr="00F37DE7">
              <w:rPr>
                <w:rFonts w:cs="Arial"/>
                <w:szCs w:val="22"/>
              </w:rPr>
              <w:t xml:space="preserve"> Culture: Anchor or tree with roots</w:t>
            </w:r>
          </w:p>
        </w:tc>
      </w:tr>
    </w:tbl>
    <w:p w14:paraId="6DADAABF" w14:textId="3F915263" w:rsidR="00856DE4" w:rsidRDefault="00856DE4">
      <w:pPr>
        <w:rPr>
          <w:rFonts w:eastAsiaTheme="majorEastAsia" w:cstheme="majorBidi"/>
          <w:color w:val="7B230B" w:themeColor="accent1" w:themeShade="BF"/>
          <w:sz w:val="36"/>
          <w:szCs w:val="36"/>
        </w:rPr>
      </w:pPr>
    </w:p>
    <w:p w14:paraId="451277DB" w14:textId="78D21B50" w:rsidR="00856DE4" w:rsidRPr="00216DB8" w:rsidRDefault="00216DB8" w:rsidP="00216DB8">
      <w:pPr>
        <w:rPr>
          <w:rFonts w:eastAsiaTheme="majorEastAsia" w:cs="Arial"/>
          <w:szCs w:val="22"/>
        </w:rPr>
      </w:pPr>
      <w:r w:rsidRPr="00216DB8">
        <w:rPr>
          <w:rFonts w:eastAsiaTheme="majorEastAsia" w:cs="Arial"/>
          <w:szCs w:val="22"/>
        </w:rPr>
        <w:lastRenderedPageBreak/>
        <w:t xml:space="preserve">Applying Kotter’s 8-step model to the Post Office strike provides a comprehensive framework for managing the conflict and implementing sustainable changes. By creating urgency, building a coalition, </w:t>
      </w:r>
      <w:r w:rsidR="00FD7CA4" w:rsidRPr="00216DB8">
        <w:rPr>
          <w:rFonts w:eastAsiaTheme="majorEastAsia" w:cs="Arial"/>
          <w:szCs w:val="22"/>
        </w:rPr>
        <w:t>developing,</w:t>
      </w:r>
      <w:r w:rsidRPr="00216DB8">
        <w:rPr>
          <w:rFonts w:eastAsiaTheme="majorEastAsia" w:cs="Arial"/>
          <w:szCs w:val="22"/>
        </w:rPr>
        <w:t xml:space="preserve"> and communicating a vision, empowering action, generating short-term wins, consolidating gains, and anchoring new approaches in the culture, the Post Office can address the workers' concerns and foster a collaborative and resilient organizational environment.</w:t>
      </w:r>
      <w:r w:rsidR="00856DE4" w:rsidRPr="00216DB8">
        <w:rPr>
          <w:rFonts w:eastAsiaTheme="majorEastAsia" w:cs="Arial"/>
          <w:szCs w:val="22"/>
        </w:rPr>
        <w:br w:type="page"/>
      </w:r>
    </w:p>
    <w:p w14:paraId="6FE4E6AA" w14:textId="675CC991" w:rsidR="00FC0F4C" w:rsidRPr="002D7D0B" w:rsidRDefault="00FC0F4C" w:rsidP="002D7D0B">
      <w:pPr>
        <w:pStyle w:val="Heading1"/>
      </w:pPr>
      <w:bookmarkStart w:id="8" w:name="_Toc172365085"/>
      <w:r w:rsidRPr="002D7D0B">
        <w:lastRenderedPageBreak/>
        <w:t>Conflict Resolution Styles and Recommendation for the Post Office Case</w:t>
      </w:r>
      <w:bookmarkEnd w:id="8"/>
    </w:p>
    <w:p w14:paraId="56678CE9" w14:textId="77777777" w:rsidR="002D7D0B" w:rsidRDefault="002D7D0B" w:rsidP="00FC0F4C">
      <w:pPr>
        <w:rPr>
          <w:rFonts w:cs="Arial"/>
          <w:szCs w:val="22"/>
        </w:rPr>
      </w:pPr>
    </w:p>
    <w:p w14:paraId="3B71F561" w14:textId="500B23C1" w:rsidR="00FC0F4C" w:rsidRPr="00AD5062" w:rsidRDefault="00FC0F4C" w:rsidP="008D741C">
      <w:pPr>
        <w:pStyle w:val="NoSpacing"/>
      </w:pPr>
      <w:r w:rsidRPr="00AD5062">
        <w:t>Understanding Conflict</w:t>
      </w:r>
    </w:p>
    <w:p w14:paraId="1C93B603" w14:textId="05D5C408" w:rsidR="00FC0F4C" w:rsidRPr="00C17B36" w:rsidRDefault="00FC0F4C" w:rsidP="00FC0F4C">
      <w:pPr>
        <w:rPr>
          <w:rFonts w:cs="Arial"/>
          <w:szCs w:val="22"/>
        </w:rPr>
      </w:pPr>
      <w:r w:rsidRPr="00C17B36">
        <w:rPr>
          <w:rFonts w:cs="Arial"/>
          <w:szCs w:val="22"/>
        </w:rPr>
        <w:t xml:space="preserve">Conflict is a natural and inevitable part of organizational life. It arises when there are perceived incompatible differences between parties, such as disagreements over goals, values, or resources (Rahim, 2002). Conflict can be both beneficial and detrimental to organizations. On the positive side, it can stimulate innovation, improve decision-making, and foster change by encouraging open communication and diverse viewpoints (Jehn, 1995). Conversely, </w:t>
      </w:r>
      <w:r w:rsidR="00FD7CA4" w:rsidRPr="00C17B36">
        <w:rPr>
          <w:rFonts w:cs="Arial"/>
          <w:szCs w:val="22"/>
        </w:rPr>
        <w:t>unresolved,</w:t>
      </w:r>
      <w:r w:rsidRPr="00C17B36">
        <w:rPr>
          <w:rFonts w:cs="Arial"/>
          <w:szCs w:val="22"/>
        </w:rPr>
        <w:t xml:space="preserve"> or poorly managed conflict can lead to decreased morale, reduced productivity, and strained relationships, ultimately harming organizational performance (Thomas, 1992).</w:t>
      </w:r>
    </w:p>
    <w:p w14:paraId="69BA4B02" w14:textId="77777777" w:rsidR="00FC0F4C" w:rsidRPr="00C20FE0" w:rsidRDefault="00FC0F4C" w:rsidP="00C20FE0">
      <w:pPr>
        <w:rPr>
          <w:rFonts w:cs="Arial"/>
          <w:sz w:val="24"/>
          <w:szCs w:val="24"/>
        </w:rPr>
      </w:pPr>
      <w:r w:rsidRPr="00C20FE0">
        <w:rPr>
          <w:rFonts w:cs="Arial"/>
          <w:sz w:val="24"/>
          <w:szCs w:val="24"/>
        </w:rPr>
        <w:t>Conflict Resolution Styles</w:t>
      </w:r>
    </w:p>
    <w:p w14:paraId="668A0251" w14:textId="1BC01D1A" w:rsidR="00FC0F4C" w:rsidRPr="00C17B36" w:rsidRDefault="00FC0F4C" w:rsidP="00FC0F4C">
      <w:pPr>
        <w:rPr>
          <w:rFonts w:cs="Arial"/>
          <w:szCs w:val="22"/>
        </w:rPr>
      </w:pPr>
      <w:r w:rsidRPr="00C17B36">
        <w:rPr>
          <w:rFonts w:cs="Arial"/>
          <w:szCs w:val="22"/>
        </w:rPr>
        <w:t>Various conflict resolution styles can be employed to address and manage disputes. These styles differ in their approach to handling conflicts and can be categorized into five primary types: avoidance, accommodation, competition, compromise, and collaboration (Thomas &amp; Kilmann, 1974).</w:t>
      </w:r>
    </w:p>
    <w:p w14:paraId="5787CBDE" w14:textId="77777777" w:rsidR="00FC0F4C" w:rsidRPr="00C20FE0" w:rsidRDefault="00FC0F4C" w:rsidP="008D741C">
      <w:pPr>
        <w:pStyle w:val="NoSpacing"/>
      </w:pPr>
      <w:r w:rsidRPr="00C20FE0">
        <w:t>Avoidance:</w:t>
      </w:r>
    </w:p>
    <w:p w14:paraId="0FA4F9D0" w14:textId="77777777" w:rsidR="00FC0F4C" w:rsidRPr="00C17B36" w:rsidRDefault="00FC0F4C" w:rsidP="00FC0F4C">
      <w:pPr>
        <w:rPr>
          <w:rFonts w:cs="Arial"/>
          <w:szCs w:val="22"/>
        </w:rPr>
      </w:pPr>
    </w:p>
    <w:p w14:paraId="47106532" w14:textId="77777777" w:rsidR="00FC0F4C" w:rsidRPr="00C17B36" w:rsidRDefault="00FC0F4C" w:rsidP="00FC0F4C">
      <w:pPr>
        <w:rPr>
          <w:rFonts w:cs="Arial"/>
          <w:szCs w:val="22"/>
        </w:rPr>
      </w:pPr>
      <w:r w:rsidRPr="00C17B36">
        <w:rPr>
          <w:rFonts w:cs="Arial"/>
          <w:szCs w:val="22"/>
        </w:rPr>
        <w:t>Description: Avoidance involves ignoring the conflict or withdrawing from the situation.</w:t>
      </w:r>
    </w:p>
    <w:p w14:paraId="5B0717B0" w14:textId="77777777" w:rsidR="00FC0F4C" w:rsidRPr="00C17B36" w:rsidRDefault="00FC0F4C" w:rsidP="00FC0F4C">
      <w:pPr>
        <w:rPr>
          <w:rFonts w:cs="Arial"/>
          <w:szCs w:val="22"/>
        </w:rPr>
      </w:pPr>
      <w:r w:rsidRPr="00C17B36">
        <w:rPr>
          <w:rFonts w:cs="Arial"/>
          <w:szCs w:val="22"/>
        </w:rPr>
        <w:t>Application: This style may be useful when the issue is trivial or when parties need time to cool down. However, it is not suitable for the Post Office strike as it would ignore the workers' legitimate grievances and could lead to prolonged dissatisfaction and unrest (Rahim, 2002).</w:t>
      </w:r>
    </w:p>
    <w:p w14:paraId="3A24A3B0" w14:textId="77777777" w:rsidR="00FC0F4C" w:rsidRPr="00C20FE0" w:rsidRDefault="00FC0F4C" w:rsidP="008D741C">
      <w:pPr>
        <w:pStyle w:val="NoSpacing"/>
      </w:pPr>
      <w:r w:rsidRPr="00C20FE0">
        <w:t>Accommodation:</w:t>
      </w:r>
    </w:p>
    <w:p w14:paraId="2AA86E3B" w14:textId="77777777" w:rsidR="00FC0F4C" w:rsidRPr="00C17B36" w:rsidRDefault="00FC0F4C" w:rsidP="00FC0F4C">
      <w:pPr>
        <w:rPr>
          <w:rFonts w:cs="Arial"/>
          <w:szCs w:val="22"/>
        </w:rPr>
      </w:pPr>
    </w:p>
    <w:p w14:paraId="1A99985D" w14:textId="77777777" w:rsidR="00FC0F4C" w:rsidRPr="00C17B36" w:rsidRDefault="00FC0F4C" w:rsidP="00FC0F4C">
      <w:pPr>
        <w:rPr>
          <w:rFonts w:cs="Arial"/>
          <w:szCs w:val="22"/>
        </w:rPr>
      </w:pPr>
      <w:r w:rsidRPr="00C17B36">
        <w:rPr>
          <w:rFonts w:cs="Arial"/>
          <w:szCs w:val="22"/>
        </w:rPr>
        <w:t>Description: Accommodation involves one party giving in to the wishes or demands of another.</w:t>
      </w:r>
    </w:p>
    <w:p w14:paraId="1176F3D7" w14:textId="77777777" w:rsidR="00FC0F4C" w:rsidRDefault="00FC0F4C" w:rsidP="00FC0F4C">
      <w:pPr>
        <w:rPr>
          <w:rFonts w:cs="Arial"/>
          <w:szCs w:val="22"/>
        </w:rPr>
      </w:pPr>
      <w:r w:rsidRPr="00C17B36">
        <w:rPr>
          <w:rFonts w:cs="Arial"/>
          <w:szCs w:val="22"/>
        </w:rPr>
        <w:t>Application: This style can preserve harmony but may result in resentment if one party feels their needs are consistently overlooked. In the context of the Post Office strike, management accommodating all union demands without addressing organizational constraints could lead to unsustainable practices (Thomas, 1992).</w:t>
      </w:r>
    </w:p>
    <w:p w14:paraId="0415DA66" w14:textId="77777777" w:rsidR="00642C01" w:rsidRPr="00C17B36" w:rsidRDefault="00642C01" w:rsidP="00FC0F4C">
      <w:pPr>
        <w:rPr>
          <w:rFonts w:cs="Arial"/>
          <w:szCs w:val="22"/>
        </w:rPr>
      </w:pPr>
    </w:p>
    <w:p w14:paraId="1B754098" w14:textId="77777777" w:rsidR="00FC0F4C" w:rsidRPr="00C20FE0" w:rsidRDefault="00FC0F4C" w:rsidP="008D741C">
      <w:pPr>
        <w:pStyle w:val="NoSpacing"/>
      </w:pPr>
      <w:r w:rsidRPr="00C20FE0">
        <w:lastRenderedPageBreak/>
        <w:t>Competition:</w:t>
      </w:r>
    </w:p>
    <w:p w14:paraId="7C3BD79D" w14:textId="77777777" w:rsidR="00FC0F4C" w:rsidRPr="00C17B36" w:rsidRDefault="00FC0F4C" w:rsidP="00FC0F4C">
      <w:pPr>
        <w:rPr>
          <w:rFonts w:cs="Arial"/>
          <w:szCs w:val="22"/>
        </w:rPr>
      </w:pPr>
    </w:p>
    <w:p w14:paraId="1ECB9E6B" w14:textId="77777777" w:rsidR="00FC0F4C" w:rsidRPr="00C17B36" w:rsidRDefault="00FC0F4C" w:rsidP="00FC0F4C">
      <w:pPr>
        <w:rPr>
          <w:rFonts w:cs="Arial"/>
          <w:szCs w:val="22"/>
        </w:rPr>
      </w:pPr>
      <w:r w:rsidRPr="00C17B36">
        <w:rPr>
          <w:rFonts w:cs="Arial"/>
          <w:szCs w:val="22"/>
        </w:rPr>
        <w:t>Description: Competition is a win-lose approach where one party seeks to achieve their goals at the expense of the other.</w:t>
      </w:r>
    </w:p>
    <w:p w14:paraId="0489366E" w14:textId="77777777" w:rsidR="00FC0F4C" w:rsidRPr="00C17B36" w:rsidRDefault="00FC0F4C" w:rsidP="00FC0F4C">
      <w:pPr>
        <w:rPr>
          <w:rFonts w:cs="Arial"/>
          <w:szCs w:val="22"/>
        </w:rPr>
      </w:pPr>
      <w:r w:rsidRPr="00C17B36">
        <w:rPr>
          <w:rFonts w:cs="Arial"/>
          <w:szCs w:val="22"/>
        </w:rPr>
        <w:t>Application: While this style can be effective in situations requiring quick, decisive action, it is likely to escalate tensions in the Post Office conflict. Adopting a competitive stance could further alienate workers and damage long-term relationships (Jehn, 1995).</w:t>
      </w:r>
    </w:p>
    <w:p w14:paraId="1EF9DF59" w14:textId="77777777" w:rsidR="00FC0F4C" w:rsidRPr="00C20FE0" w:rsidRDefault="00FC0F4C" w:rsidP="008D741C">
      <w:pPr>
        <w:pStyle w:val="NoSpacing"/>
      </w:pPr>
      <w:r w:rsidRPr="00C20FE0">
        <w:t>Compromise:</w:t>
      </w:r>
    </w:p>
    <w:p w14:paraId="72FA1473" w14:textId="77777777" w:rsidR="00FC0F4C" w:rsidRPr="00C17B36" w:rsidRDefault="00FC0F4C" w:rsidP="00FC0F4C">
      <w:pPr>
        <w:rPr>
          <w:rFonts w:cs="Arial"/>
          <w:szCs w:val="22"/>
        </w:rPr>
      </w:pPr>
    </w:p>
    <w:p w14:paraId="7EEF65AD" w14:textId="77777777" w:rsidR="00FC0F4C" w:rsidRPr="00C17B36" w:rsidRDefault="00FC0F4C" w:rsidP="00FC0F4C">
      <w:pPr>
        <w:rPr>
          <w:rFonts w:cs="Arial"/>
          <w:szCs w:val="22"/>
        </w:rPr>
      </w:pPr>
      <w:r w:rsidRPr="00C17B36">
        <w:rPr>
          <w:rFonts w:cs="Arial"/>
          <w:szCs w:val="22"/>
        </w:rPr>
        <w:t>Description: Compromise involves both parties making concessions to reach a mutually acceptable solution.</w:t>
      </w:r>
    </w:p>
    <w:p w14:paraId="411C9F40" w14:textId="77777777" w:rsidR="00FC0F4C" w:rsidRPr="00C17B36" w:rsidRDefault="00FC0F4C" w:rsidP="00FC0F4C">
      <w:pPr>
        <w:rPr>
          <w:rFonts w:cs="Arial"/>
          <w:szCs w:val="22"/>
        </w:rPr>
      </w:pPr>
      <w:r w:rsidRPr="00C17B36">
        <w:rPr>
          <w:rFonts w:cs="Arial"/>
          <w:szCs w:val="22"/>
        </w:rPr>
        <w:t>Application: This style can be effective in resolving the Post Office strike as it allows both management and the union to gain some of what they want. However, it may also lead to a solution that is only partially satisfactory to both parties, potentially leaving underlying issues unresolved (Rahim, 2002).</w:t>
      </w:r>
    </w:p>
    <w:p w14:paraId="02162868" w14:textId="77777777" w:rsidR="00FC0F4C" w:rsidRPr="00C20FE0" w:rsidRDefault="00FC0F4C" w:rsidP="008D741C">
      <w:pPr>
        <w:pStyle w:val="NoSpacing"/>
      </w:pPr>
      <w:r w:rsidRPr="00C20FE0">
        <w:t>Collaboration:</w:t>
      </w:r>
    </w:p>
    <w:p w14:paraId="2718BC34" w14:textId="77777777" w:rsidR="00FC0F4C" w:rsidRPr="00C17B36" w:rsidRDefault="00FC0F4C" w:rsidP="00FC0F4C">
      <w:pPr>
        <w:rPr>
          <w:rFonts w:cs="Arial"/>
          <w:szCs w:val="22"/>
        </w:rPr>
      </w:pPr>
    </w:p>
    <w:p w14:paraId="7AF8E6FD" w14:textId="77777777" w:rsidR="00FC0F4C" w:rsidRPr="00C17B36" w:rsidRDefault="00FC0F4C" w:rsidP="00FC0F4C">
      <w:pPr>
        <w:rPr>
          <w:rFonts w:cs="Arial"/>
          <w:szCs w:val="22"/>
        </w:rPr>
      </w:pPr>
      <w:r w:rsidRPr="00C17B36">
        <w:rPr>
          <w:rFonts w:cs="Arial"/>
          <w:szCs w:val="22"/>
        </w:rPr>
        <w:t>Description: Collaboration is a win-win approach where parties work together to find a solution that fully satisfies the concerns of both.</w:t>
      </w:r>
    </w:p>
    <w:p w14:paraId="39C26F6C" w14:textId="1809D2FD" w:rsidR="00FC0F4C" w:rsidRPr="00C17B36" w:rsidRDefault="00FC0F4C" w:rsidP="00FC0F4C">
      <w:pPr>
        <w:rPr>
          <w:rFonts w:cs="Arial"/>
          <w:szCs w:val="22"/>
        </w:rPr>
      </w:pPr>
      <w:r w:rsidRPr="00C17B36">
        <w:rPr>
          <w:rFonts w:cs="Arial"/>
          <w:szCs w:val="22"/>
        </w:rPr>
        <w:t xml:space="preserve">Application: This is the most suitable style for the Post Office strike. Collaboration involves open communication, mutual respect, and a thorough exploration of underlying interests. By collaboratively addressing the pay dispute, both management and the union can develop a solution that meets the financial constraints of the organization while </w:t>
      </w:r>
      <w:r w:rsidR="00FF5B5B" w:rsidRPr="00C17B36">
        <w:rPr>
          <w:rFonts w:cs="Arial"/>
          <w:szCs w:val="22"/>
        </w:rPr>
        <w:t>compensating</w:t>
      </w:r>
      <w:r w:rsidRPr="00C17B36">
        <w:rPr>
          <w:rFonts w:cs="Arial"/>
          <w:szCs w:val="22"/>
        </w:rPr>
        <w:t xml:space="preserve"> workers </w:t>
      </w:r>
      <w:r w:rsidR="00FF5B5B" w:rsidRPr="00C17B36">
        <w:rPr>
          <w:rFonts w:cs="Arial"/>
          <w:szCs w:val="22"/>
        </w:rPr>
        <w:t>considering</w:t>
      </w:r>
      <w:r w:rsidRPr="00C17B36">
        <w:rPr>
          <w:rFonts w:cs="Arial"/>
          <w:szCs w:val="22"/>
        </w:rPr>
        <w:t xml:space="preserve"> inflation (Thomas &amp; Kilmann, 1974).</w:t>
      </w:r>
    </w:p>
    <w:p w14:paraId="73395148" w14:textId="77777777" w:rsidR="00FC0F4C" w:rsidRPr="00C17B36" w:rsidRDefault="00FC0F4C" w:rsidP="00FC0F4C">
      <w:pPr>
        <w:rPr>
          <w:rFonts w:cs="Arial"/>
          <w:szCs w:val="22"/>
        </w:rPr>
      </w:pPr>
      <w:r w:rsidRPr="00C17B36">
        <w:rPr>
          <w:rFonts w:cs="Arial"/>
          <w:szCs w:val="22"/>
        </w:rPr>
        <w:t>Recommendation for the Post Office Case</w:t>
      </w:r>
    </w:p>
    <w:p w14:paraId="78F02932" w14:textId="77777777" w:rsidR="00FC0F4C" w:rsidRPr="00C17B36" w:rsidRDefault="00FC0F4C" w:rsidP="00FC0F4C">
      <w:pPr>
        <w:rPr>
          <w:rFonts w:cs="Arial"/>
          <w:szCs w:val="22"/>
        </w:rPr>
      </w:pPr>
      <w:r w:rsidRPr="00C17B36">
        <w:rPr>
          <w:rFonts w:cs="Arial"/>
          <w:szCs w:val="22"/>
        </w:rPr>
        <w:t>For the Post Office strike, the collaboration style is recommended. This approach aligns with the need for a sustainable and amicable resolution that considers the interests of both parties. Collaborative conflict resolution can be implemented through several steps:</w:t>
      </w:r>
    </w:p>
    <w:p w14:paraId="30694EB0" w14:textId="77777777" w:rsidR="00FC0F4C" w:rsidRPr="00C17B36" w:rsidRDefault="00FC0F4C" w:rsidP="00FC0F4C">
      <w:pPr>
        <w:rPr>
          <w:rFonts w:cs="Arial"/>
          <w:szCs w:val="22"/>
        </w:rPr>
      </w:pPr>
    </w:p>
    <w:p w14:paraId="52FC8297" w14:textId="77777777" w:rsidR="00FC0F4C" w:rsidRPr="00C17B36" w:rsidRDefault="00FC0F4C" w:rsidP="00FC0F4C">
      <w:pPr>
        <w:rPr>
          <w:rFonts w:cs="Arial"/>
          <w:szCs w:val="22"/>
        </w:rPr>
      </w:pPr>
      <w:r w:rsidRPr="00C17B36">
        <w:rPr>
          <w:rFonts w:cs="Arial"/>
          <w:szCs w:val="22"/>
        </w:rPr>
        <w:t>Open Dialogue: Facilitate open and honest discussions between management and the CWU to understand each party’s concerns and constraints. Creating a joint committee can help ensure continuous communication and foster mutual understanding (Rahim, 2002).</w:t>
      </w:r>
    </w:p>
    <w:p w14:paraId="3C2AADBA" w14:textId="77777777" w:rsidR="00FC0F4C" w:rsidRPr="00C17B36" w:rsidRDefault="00FC0F4C" w:rsidP="00FC0F4C">
      <w:pPr>
        <w:rPr>
          <w:rFonts w:cs="Arial"/>
          <w:szCs w:val="22"/>
        </w:rPr>
      </w:pPr>
    </w:p>
    <w:p w14:paraId="4C578E5D" w14:textId="77777777" w:rsidR="00FC0F4C" w:rsidRPr="00C17B36" w:rsidRDefault="00FC0F4C" w:rsidP="00FC0F4C">
      <w:pPr>
        <w:rPr>
          <w:rFonts w:cs="Arial"/>
          <w:szCs w:val="22"/>
        </w:rPr>
      </w:pPr>
      <w:r w:rsidRPr="00C17B36">
        <w:rPr>
          <w:rFonts w:cs="Arial"/>
          <w:szCs w:val="22"/>
        </w:rPr>
        <w:lastRenderedPageBreak/>
        <w:t>Interest-Based Negotiation: Focus on underlying interests rather than positions. For example, management can explain the financial limitations while the union can articulate the impact of inflation on workers’ livelihoods. This understanding can lead to creative solutions, such as phased pay increases tied to organizational performance or additional non-monetary benefits (Fisher, Ury &amp; Patton, 1991).</w:t>
      </w:r>
    </w:p>
    <w:p w14:paraId="55FD5ECD" w14:textId="77777777" w:rsidR="00FC0F4C" w:rsidRPr="00C17B36" w:rsidRDefault="00FC0F4C" w:rsidP="00FC0F4C">
      <w:pPr>
        <w:rPr>
          <w:rFonts w:cs="Arial"/>
          <w:szCs w:val="22"/>
        </w:rPr>
      </w:pPr>
    </w:p>
    <w:p w14:paraId="742AB037" w14:textId="77777777" w:rsidR="00FC0F4C" w:rsidRPr="00C17B36" w:rsidRDefault="00FC0F4C" w:rsidP="00FC0F4C">
      <w:pPr>
        <w:rPr>
          <w:rFonts w:cs="Arial"/>
          <w:szCs w:val="22"/>
        </w:rPr>
      </w:pPr>
      <w:r w:rsidRPr="00C17B36">
        <w:rPr>
          <w:rFonts w:cs="Arial"/>
          <w:szCs w:val="22"/>
        </w:rPr>
        <w:t>Joint Problem-Solving: Encourage joint problem-solving to develop mutually beneficial solutions. This could involve brainstorming sessions, mediated negotiations, or involving a neutral third party to facilitate discussions. Collaborative efforts can lead to innovative solutions that neither party might have considered independently (Thomas &amp; Kilmann, 1974).</w:t>
      </w:r>
    </w:p>
    <w:p w14:paraId="24B734B4" w14:textId="77777777" w:rsidR="00FC0F4C" w:rsidRPr="00C17B36" w:rsidRDefault="00FC0F4C" w:rsidP="00FC0F4C">
      <w:pPr>
        <w:rPr>
          <w:rFonts w:cs="Arial"/>
          <w:szCs w:val="22"/>
        </w:rPr>
      </w:pPr>
    </w:p>
    <w:p w14:paraId="04C70878" w14:textId="77777777" w:rsidR="002B137C" w:rsidRPr="00C17B36" w:rsidRDefault="00FC0F4C" w:rsidP="00FC0F4C">
      <w:pPr>
        <w:rPr>
          <w:rFonts w:cs="Arial"/>
          <w:szCs w:val="22"/>
        </w:rPr>
      </w:pPr>
      <w:r w:rsidRPr="00C17B36">
        <w:rPr>
          <w:rFonts w:cs="Arial"/>
          <w:szCs w:val="22"/>
        </w:rPr>
        <w:t xml:space="preserve">Long-Term Relationship Building: Focus on building long-term relationships and trust. This includes setting up mechanisms for ongoing dialogue and conflict management, ensuring that both parties feel heard and valued beyond the immediate resolution of the strike (Jehn, </w:t>
      </w:r>
    </w:p>
    <w:p w14:paraId="2EDA8280" w14:textId="77777777" w:rsidR="002B137C" w:rsidRPr="00C17B36" w:rsidRDefault="002B137C">
      <w:pPr>
        <w:rPr>
          <w:rFonts w:cs="Arial"/>
          <w:szCs w:val="22"/>
        </w:rPr>
      </w:pPr>
      <w:r w:rsidRPr="00C17B36">
        <w:rPr>
          <w:rFonts w:cs="Arial"/>
          <w:szCs w:val="22"/>
        </w:rPr>
        <w:br w:type="page"/>
      </w:r>
    </w:p>
    <w:p w14:paraId="4C691B5C" w14:textId="77777777" w:rsidR="0041068B" w:rsidRPr="0041068B" w:rsidRDefault="0041068B" w:rsidP="0041068B">
      <w:pPr>
        <w:pStyle w:val="Heading1"/>
      </w:pPr>
      <w:bookmarkStart w:id="9" w:name="_Toc172365086"/>
      <w:r w:rsidRPr="0041068B">
        <w:lastRenderedPageBreak/>
        <w:t>Achieving a Win-Win Solution among Stakeholders</w:t>
      </w:r>
      <w:bookmarkEnd w:id="9"/>
    </w:p>
    <w:p w14:paraId="5DF5645F" w14:textId="77777777" w:rsidR="0041068B" w:rsidRDefault="0041068B" w:rsidP="0041068B">
      <w:pPr>
        <w:rPr>
          <w:rFonts w:cs="Arial"/>
          <w:szCs w:val="22"/>
        </w:rPr>
      </w:pPr>
    </w:p>
    <w:p w14:paraId="774B6CB7" w14:textId="14BE2746" w:rsidR="0041068B" w:rsidRPr="0041068B" w:rsidRDefault="0041068B" w:rsidP="0041068B">
      <w:pPr>
        <w:rPr>
          <w:rFonts w:cs="Arial"/>
          <w:szCs w:val="22"/>
        </w:rPr>
      </w:pPr>
      <w:r w:rsidRPr="0041068B">
        <w:rPr>
          <w:rFonts w:cs="Arial"/>
          <w:szCs w:val="22"/>
        </w:rPr>
        <w:t>A win-win solution is essential for resolving the Post Office strike, ensuring that both the management and employees' needs are met while maintaining organizational stability. Based on the stakeholder analysis and conflict resolution styles discussed, several strategies can facilitate a collaborative resolution that benefits all parties involved.</w:t>
      </w:r>
    </w:p>
    <w:p w14:paraId="620F1E92" w14:textId="77777777" w:rsidR="0041068B" w:rsidRPr="00657FAD" w:rsidRDefault="0041068B" w:rsidP="00642C01">
      <w:pPr>
        <w:pStyle w:val="NoSpacing"/>
      </w:pPr>
      <w:r w:rsidRPr="00657FAD">
        <w:t>Engaging Key Stakeholders</w:t>
      </w:r>
    </w:p>
    <w:p w14:paraId="7145ECFD" w14:textId="77777777" w:rsidR="004B3608" w:rsidRPr="00C20FE0" w:rsidRDefault="004B3608" w:rsidP="00C20FE0">
      <w:pPr>
        <w:rPr>
          <w:rFonts w:cs="Arial"/>
          <w:sz w:val="24"/>
          <w:szCs w:val="24"/>
        </w:rPr>
      </w:pPr>
    </w:p>
    <w:p w14:paraId="79149FE7" w14:textId="598C31D7" w:rsidR="0041068B" w:rsidRPr="0041068B" w:rsidRDefault="0041068B" w:rsidP="0041068B">
      <w:pPr>
        <w:rPr>
          <w:rFonts w:cs="Arial"/>
          <w:szCs w:val="22"/>
        </w:rPr>
      </w:pPr>
      <w:r w:rsidRPr="0041068B">
        <w:rPr>
          <w:rFonts w:cs="Arial"/>
          <w:szCs w:val="22"/>
        </w:rPr>
        <w:t xml:space="preserve">Effective engagement of key stakeholders—such as the CWU, Post Office management, government/BEIS, major retail partners, non-striking employees, customers, </w:t>
      </w:r>
      <w:r w:rsidR="00FF5B5B" w:rsidRPr="0041068B">
        <w:rPr>
          <w:rFonts w:cs="Arial"/>
          <w:szCs w:val="22"/>
        </w:rPr>
        <w:t>public</w:t>
      </w:r>
      <w:r w:rsidRPr="0041068B">
        <w:rPr>
          <w:rFonts w:cs="Arial"/>
          <w:szCs w:val="22"/>
        </w:rPr>
        <w:t>, and media—is crucial for a comprehensive resolution. Each stakeholder's concerns and interests must be addressed to achieve a win-win outcome (Freeman, 1984).</w:t>
      </w:r>
    </w:p>
    <w:p w14:paraId="75189A07" w14:textId="77777777" w:rsidR="0041068B" w:rsidRPr="00C20FE0" w:rsidRDefault="0041068B" w:rsidP="00642C01">
      <w:pPr>
        <w:pStyle w:val="NoSpacing"/>
      </w:pPr>
      <w:r w:rsidRPr="00C20FE0">
        <w:t>Communication and Transparency:</w:t>
      </w:r>
    </w:p>
    <w:p w14:paraId="4BD9F53B" w14:textId="77777777" w:rsidR="0041068B" w:rsidRPr="0041068B" w:rsidRDefault="0041068B" w:rsidP="0041068B">
      <w:pPr>
        <w:rPr>
          <w:rFonts w:cs="Arial"/>
          <w:szCs w:val="22"/>
        </w:rPr>
      </w:pPr>
    </w:p>
    <w:p w14:paraId="03A1A77D" w14:textId="77777777" w:rsidR="0041068B" w:rsidRPr="0041068B" w:rsidRDefault="0041068B" w:rsidP="0041068B">
      <w:pPr>
        <w:rPr>
          <w:rFonts w:cs="Arial"/>
          <w:szCs w:val="22"/>
        </w:rPr>
      </w:pPr>
      <w:r w:rsidRPr="0041068B">
        <w:rPr>
          <w:rFonts w:cs="Arial"/>
          <w:szCs w:val="22"/>
        </w:rPr>
        <w:t>Open and transparent communication between the Post Office management and the CWU is foundational. Regular updates and honest discussions about the financial constraints and workers' needs can build trust and prevent misunderstandings (Rahim, 2002).</w:t>
      </w:r>
    </w:p>
    <w:p w14:paraId="6BA30BB9" w14:textId="77777777" w:rsidR="0041068B" w:rsidRDefault="0041068B" w:rsidP="0041068B">
      <w:pPr>
        <w:rPr>
          <w:rFonts w:cs="Arial"/>
          <w:szCs w:val="22"/>
        </w:rPr>
      </w:pPr>
      <w:r w:rsidRPr="0041068B">
        <w:rPr>
          <w:rFonts w:cs="Arial"/>
          <w:szCs w:val="22"/>
        </w:rPr>
        <w:t>Engaging the government/BEIS can provide regulatory and financial support. By presenting a unified front and clear communication, the Post Office can seek additional funding or policy adjustments that facilitate better pay for workers without jeopardizing the organization’s financial health (Bryson, 2004).</w:t>
      </w:r>
    </w:p>
    <w:p w14:paraId="6905A394" w14:textId="77777777" w:rsidR="0041068B" w:rsidRPr="0041068B" w:rsidRDefault="0041068B" w:rsidP="00642C01">
      <w:pPr>
        <w:pStyle w:val="NoSpacing"/>
      </w:pPr>
      <w:r w:rsidRPr="0041068B">
        <w:t>Interest-Based Negotiation:</w:t>
      </w:r>
    </w:p>
    <w:p w14:paraId="186149D9" w14:textId="77777777" w:rsidR="0041068B" w:rsidRPr="0041068B" w:rsidRDefault="0041068B" w:rsidP="0041068B">
      <w:pPr>
        <w:rPr>
          <w:rFonts w:cs="Arial"/>
          <w:szCs w:val="22"/>
        </w:rPr>
      </w:pPr>
    </w:p>
    <w:p w14:paraId="675ABE94" w14:textId="0994F8BF" w:rsidR="0041068B" w:rsidRPr="0041068B" w:rsidRDefault="0041068B" w:rsidP="0041068B">
      <w:pPr>
        <w:rPr>
          <w:rFonts w:cs="Arial"/>
          <w:szCs w:val="22"/>
        </w:rPr>
      </w:pPr>
      <w:r w:rsidRPr="0041068B">
        <w:rPr>
          <w:rFonts w:cs="Arial"/>
          <w:szCs w:val="22"/>
        </w:rPr>
        <w:t xml:space="preserve">Adopting an interest-based negotiation approach helps uncover underlying concerns. For instance, while the CWU's primary interest is fair compensation </w:t>
      </w:r>
      <w:r w:rsidR="00FF5B5B" w:rsidRPr="0041068B">
        <w:rPr>
          <w:rFonts w:cs="Arial"/>
          <w:szCs w:val="22"/>
        </w:rPr>
        <w:t>considering</w:t>
      </w:r>
      <w:r w:rsidRPr="0041068B">
        <w:rPr>
          <w:rFonts w:cs="Arial"/>
          <w:szCs w:val="22"/>
        </w:rPr>
        <w:t xml:space="preserve"> rising inflation, the Post Office management's interest lies in financial sustainability (Fisher, Ury &amp; Patton, 1991).</w:t>
      </w:r>
    </w:p>
    <w:p w14:paraId="1F4E2F2D" w14:textId="77777777" w:rsidR="0041068B" w:rsidRDefault="0041068B" w:rsidP="0041068B">
      <w:pPr>
        <w:rPr>
          <w:rFonts w:cs="Arial"/>
          <w:szCs w:val="22"/>
        </w:rPr>
      </w:pPr>
      <w:r w:rsidRPr="0041068B">
        <w:rPr>
          <w:rFonts w:cs="Arial"/>
          <w:szCs w:val="22"/>
        </w:rPr>
        <w:t>Collaborative brainstorming sessions can identify creative solutions such as phased pay increases, performance-linked bonuses, or enhanced non-monetary benefits like additional leave or professional development opportunities.</w:t>
      </w:r>
    </w:p>
    <w:p w14:paraId="6D911B84" w14:textId="77777777" w:rsidR="00550845" w:rsidRDefault="00550845" w:rsidP="0041068B">
      <w:pPr>
        <w:rPr>
          <w:rFonts w:cs="Arial"/>
          <w:szCs w:val="22"/>
        </w:rPr>
      </w:pPr>
    </w:p>
    <w:p w14:paraId="3F4FD223" w14:textId="77777777" w:rsidR="00642C01" w:rsidRDefault="00642C01" w:rsidP="0041068B">
      <w:pPr>
        <w:rPr>
          <w:rFonts w:cs="Arial"/>
          <w:szCs w:val="22"/>
        </w:rPr>
      </w:pPr>
    </w:p>
    <w:p w14:paraId="724B2FA2" w14:textId="77777777" w:rsidR="00642C01" w:rsidRPr="0041068B" w:rsidRDefault="00642C01" w:rsidP="0041068B">
      <w:pPr>
        <w:rPr>
          <w:rFonts w:cs="Arial"/>
          <w:szCs w:val="22"/>
        </w:rPr>
      </w:pPr>
    </w:p>
    <w:p w14:paraId="15748B0C" w14:textId="77777777" w:rsidR="0041068B" w:rsidRPr="0041068B" w:rsidRDefault="0041068B" w:rsidP="00642C01">
      <w:pPr>
        <w:pStyle w:val="NoSpacing"/>
      </w:pPr>
      <w:r w:rsidRPr="0041068B">
        <w:lastRenderedPageBreak/>
        <w:t>Joint Problem-Solving Committees:</w:t>
      </w:r>
    </w:p>
    <w:p w14:paraId="3306F997" w14:textId="77777777" w:rsidR="0041068B" w:rsidRPr="0041068B" w:rsidRDefault="0041068B" w:rsidP="0041068B">
      <w:pPr>
        <w:rPr>
          <w:rFonts w:cs="Arial"/>
          <w:szCs w:val="22"/>
        </w:rPr>
      </w:pPr>
    </w:p>
    <w:p w14:paraId="2DA1F278" w14:textId="77777777" w:rsidR="0041068B" w:rsidRPr="0041068B" w:rsidRDefault="0041068B" w:rsidP="0041068B">
      <w:pPr>
        <w:rPr>
          <w:rFonts w:cs="Arial"/>
          <w:szCs w:val="22"/>
        </w:rPr>
      </w:pPr>
      <w:r w:rsidRPr="0041068B">
        <w:rPr>
          <w:rFonts w:cs="Arial"/>
          <w:szCs w:val="22"/>
        </w:rPr>
        <w:t>Establishing joint problem-solving committees with representatives from the CWU, Post Office management, and other key stakeholders can foster a sense of ownership and collaboration. These committees can work on formulating strategies that align with both financial constraints and employees' expectations (Thomas &amp; Kilmann, 1974).</w:t>
      </w:r>
    </w:p>
    <w:p w14:paraId="38DFAC8D" w14:textId="2ACC719A" w:rsidR="0041068B" w:rsidRDefault="0041068B" w:rsidP="0041068B">
      <w:pPr>
        <w:rPr>
          <w:rFonts w:cs="Arial"/>
          <w:szCs w:val="22"/>
        </w:rPr>
      </w:pPr>
      <w:r w:rsidRPr="0041068B">
        <w:rPr>
          <w:rFonts w:cs="Arial"/>
          <w:szCs w:val="22"/>
        </w:rPr>
        <w:t xml:space="preserve">Involving non-striking employees in these committees can ensure that their perspectives and morale are considered, thereby preventing internal </w:t>
      </w:r>
      <w:r w:rsidR="00FD7CA4" w:rsidRPr="0041068B">
        <w:rPr>
          <w:rFonts w:cs="Arial"/>
          <w:szCs w:val="22"/>
        </w:rPr>
        <w:t>divisions,</w:t>
      </w:r>
      <w:r w:rsidRPr="0041068B">
        <w:rPr>
          <w:rFonts w:cs="Arial"/>
          <w:szCs w:val="22"/>
        </w:rPr>
        <w:t xml:space="preserve"> and promoting a unified workforce.</w:t>
      </w:r>
    </w:p>
    <w:p w14:paraId="77EB7795" w14:textId="77777777" w:rsidR="0041068B" w:rsidRPr="0041068B" w:rsidRDefault="0041068B" w:rsidP="00642C01">
      <w:pPr>
        <w:pStyle w:val="NoSpacing"/>
      </w:pPr>
      <w:r w:rsidRPr="0041068B">
        <w:t>Leveraging External Support:</w:t>
      </w:r>
    </w:p>
    <w:p w14:paraId="1F579195" w14:textId="77777777" w:rsidR="0041068B" w:rsidRPr="0041068B" w:rsidRDefault="0041068B" w:rsidP="0041068B">
      <w:pPr>
        <w:rPr>
          <w:rFonts w:cs="Arial"/>
          <w:szCs w:val="22"/>
        </w:rPr>
      </w:pPr>
    </w:p>
    <w:p w14:paraId="7D78BDBE" w14:textId="77777777" w:rsidR="0041068B" w:rsidRPr="0041068B" w:rsidRDefault="0041068B" w:rsidP="0041068B">
      <w:pPr>
        <w:rPr>
          <w:rFonts w:cs="Arial"/>
          <w:szCs w:val="22"/>
        </w:rPr>
      </w:pPr>
      <w:r w:rsidRPr="0041068B">
        <w:rPr>
          <w:rFonts w:cs="Arial"/>
          <w:szCs w:val="22"/>
        </w:rPr>
        <w:t>Major retail partners and customers can be valuable allies. Retail partners reliant on Post Office services can provide input on maintaining service continuity, while customers can advocate for fair treatment of employees through social media and public opinion (Bryson, 2004).</w:t>
      </w:r>
    </w:p>
    <w:p w14:paraId="1C142035" w14:textId="77777777" w:rsidR="0041068B" w:rsidRDefault="0041068B" w:rsidP="0041068B">
      <w:pPr>
        <w:rPr>
          <w:rFonts w:cs="Arial"/>
          <w:szCs w:val="22"/>
        </w:rPr>
      </w:pPr>
      <w:r w:rsidRPr="0041068B">
        <w:rPr>
          <w:rFonts w:cs="Arial"/>
          <w:szCs w:val="22"/>
        </w:rPr>
        <w:t>Engaging media proactively by providing accurate and timely information can help shape a positive narrative around the negotiation process, reducing public anxiety and fostering a supportive environment for resolution (Freeman, 1984).</w:t>
      </w:r>
    </w:p>
    <w:p w14:paraId="4B24403C" w14:textId="77777777" w:rsidR="0041068B" w:rsidRPr="0041068B" w:rsidRDefault="0041068B" w:rsidP="00642C01">
      <w:pPr>
        <w:pStyle w:val="NoSpacing"/>
      </w:pPr>
      <w:r w:rsidRPr="0041068B">
        <w:t>Developing Long-Term Solutions:</w:t>
      </w:r>
    </w:p>
    <w:p w14:paraId="03EB8AB0" w14:textId="77777777" w:rsidR="008422AB" w:rsidRDefault="008422AB" w:rsidP="0041068B">
      <w:pPr>
        <w:rPr>
          <w:rFonts w:cs="Arial"/>
          <w:szCs w:val="22"/>
        </w:rPr>
      </w:pPr>
    </w:p>
    <w:p w14:paraId="3210C142" w14:textId="12B6A52E" w:rsidR="0041068B" w:rsidRDefault="0041068B" w:rsidP="0041068B">
      <w:pPr>
        <w:rPr>
          <w:rFonts w:cs="Arial"/>
          <w:szCs w:val="22"/>
        </w:rPr>
      </w:pPr>
      <w:r w:rsidRPr="0041068B">
        <w:rPr>
          <w:rFonts w:cs="Arial"/>
          <w:szCs w:val="22"/>
        </w:rPr>
        <w:t>Beyond immediate pay adjustments, developing long-term strategies for employee welfare and organizational sustainability is crucial. This includes regular reviews of pay structures in relation to inflation, establishing permanent dialogue channels between the management and CWU, and creating policies that address future conflicts proactively (Jehn, 1995).</w:t>
      </w:r>
    </w:p>
    <w:p w14:paraId="72E9F0B4" w14:textId="77777777" w:rsidR="00C67A5A" w:rsidRPr="0041068B" w:rsidRDefault="00C67A5A" w:rsidP="0041068B">
      <w:pPr>
        <w:rPr>
          <w:rFonts w:cs="Arial"/>
          <w:szCs w:val="22"/>
        </w:rPr>
      </w:pPr>
    </w:p>
    <w:p w14:paraId="47D2DF16" w14:textId="77777777" w:rsidR="0041068B" w:rsidRDefault="0041068B" w:rsidP="0041068B">
      <w:pPr>
        <w:rPr>
          <w:rFonts w:cs="Arial"/>
          <w:szCs w:val="22"/>
        </w:rPr>
      </w:pPr>
      <w:r w:rsidRPr="0041068B">
        <w:rPr>
          <w:rFonts w:cs="Arial"/>
          <w:szCs w:val="22"/>
        </w:rPr>
        <w:t>The government/BEIS can play a pivotal role in this by facilitating frameworks for continuous improvement and supporting initiatives that enhance the Post Office's financial health and service quality.</w:t>
      </w:r>
    </w:p>
    <w:p w14:paraId="7FC52E39" w14:textId="77777777" w:rsidR="0041068B" w:rsidRPr="00882A63" w:rsidRDefault="0041068B" w:rsidP="00642C01">
      <w:pPr>
        <w:pStyle w:val="NoSpacing"/>
      </w:pPr>
      <w:r w:rsidRPr="00882A63">
        <w:t>Implementing Collaborative Conflict Resolution</w:t>
      </w:r>
    </w:p>
    <w:p w14:paraId="0879648C" w14:textId="77777777" w:rsidR="008422AB" w:rsidRPr="008422AB" w:rsidRDefault="008422AB" w:rsidP="008422AB"/>
    <w:p w14:paraId="4A8B3BBD" w14:textId="77777777" w:rsidR="0041068B" w:rsidRPr="0041068B" w:rsidRDefault="0041068B" w:rsidP="0041068B">
      <w:pPr>
        <w:rPr>
          <w:rFonts w:cs="Arial"/>
          <w:szCs w:val="22"/>
        </w:rPr>
      </w:pPr>
      <w:r w:rsidRPr="0041068B">
        <w:rPr>
          <w:rFonts w:cs="Arial"/>
          <w:szCs w:val="22"/>
        </w:rPr>
        <w:t>The collaborative conflict resolution style is most suited for achieving a win-win solution. This approach focuses on open dialogue, mutual respect, and thorough exploration of underlying interests, ensuring that the final agreement is satisfactory for both the Post Office management and employees (Thomas &amp; Kilmann, 1974). Specific steps include:</w:t>
      </w:r>
    </w:p>
    <w:p w14:paraId="7AA1BDF0" w14:textId="7374E8A7" w:rsidR="0041068B" w:rsidRDefault="0041068B" w:rsidP="00642C01">
      <w:pPr>
        <w:pStyle w:val="NoSpacing"/>
      </w:pPr>
      <w:r w:rsidRPr="0041068B">
        <w:lastRenderedPageBreak/>
        <w:t>Facilitating Mediated Negotiations:</w:t>
      </w:r>
    </w:p>
    <w:p w14:paraId="5858EE65" w14:textId="77777777" w:rsidR="008422AB" w:rsidRPr="008422AB" w:rsidRDefault="008422AB" w:rsidP="008422AB"/>
    <w:p w14:paraId="2A009FF1" w14:textId="77777777" w:rsidR="0041068B" w:rsidRDefault="0041068B" w:rsidP="0041068B">
      <w:pPr>
        <w:rPr>
          <w:rFonts w:cs="Arial"/>
          <w:szCs w:val="22"/>
        </w:rPr>
      </w:pPr>
      <w:r w:rsidRPr="0041068B">
        <w:rPr>
          <w:rFonts w:cs="Arial"/>
          <w:szCs w:val="22"/>
        </w:rPr>
        <w:t>Bringing in a neutral third-party mediator can help bridge gaps between the Post Office management and the CWU, ensuring that discussions remain focused and productive. Mediators can assist in reframing issues, exploring alternatives, and maintaining a constructive atmosphere (Rahim, 2002).</w:t>
      </w:r>
    </w:p>
    <w:p w14:paraId="4FB4B3EA" w14:textId="17B38253" w:rsidR="0041068B" w:rsidRDefault="0041068B" w:rsidP="00642C01">
      <w:pPr>
        <w:pStyle w:val="NoSpacing"/>
      </w:pPr>
      <w:r w:rsidRPr="0041068B">
        <w:t>Continuous Feedback Mechanisms:</w:t>
      </w:r>
    </w:p>
    <w:p w14:paraId="3672B818" w14:textId="77777777" w:rsidR="008422AB" w:rsidRPr="008422AB" w:rsidRDefault="008422AB" w:rsidP="008422AB"/>
    <w:p w14:paraId="6267063A" w14:textId="77777777" w:rsidR="0041068B" w:rsidRDefault="0041068B" w:rsidP="0041068B">
      <w:pPr>
        <w:rPr>
          <w:rFonts w:cs="Arial"/>
          <w:szCs w:val="22"/>
        </w:rPr>
      </w:pPr>
      <w:r w:rsidRPr="0041068B">
        <w:rPr>
          <w:rFonts w:cs="Arial"/>
          <w:szCs w:val="22"/>
        </w:rPr>
        <w:t>Establishing mechanisms for continuous feedback and communication ensures that any emerging issues are addressed promptly. Regular town hall meetings, surveys, and feedback sessions with employees and other stakeholders can help identify and resolve potential conflicts early (Fisher, Ury &amp; Patton, 1991).</w:t>
      </w:r>
    </w:p>
    <w:p w14:paraId="71ED2783" w14:textId="6A34A452" w:rsidR="0041068B" w:rsidRDefault="0041068B" w:rsidP="00642C01">
      <w:pPr>
        <w:pStyle w:val="NoSpacing"/>
      </w:pPr>
      <w:r w:rsidRPr="0041068B">
        <w:t>Commitment to Shared Goals:</w:t>
      </w:r>
    </w:p>
    <w:p w14:paraId="72BCD91E" w14:textId="77777777" w:rsidR="008422AB" w:rsidRPr="008422AB" w:rsidRDefault="008422AB" w:rsidP="008422AB"/>
    <w:p w14:paraId="5145CBF7" w14:textId="3211B3FE" w:rsidR="002B137C" w:rsidRDefault="0041068B" w:rsidP="0041068B">
      <w:pPr>
        <w:rPr>
          <w:rFonts w:cs="Arial"/>
          <w:szCs w:val="22"/>
        </w:rPr>
      </w:pPr>
      <w:r w:rsidRPr="0041068B">
        <w:rPr>
          <w:rFonts w:cs="Arial"/>
          <w:szCs w:val="22"/>
        </w:rPr>
        <w:t>Both parties must commit to shared organizational goals, such as improving service quality and ensuring financial sustainability. Aligning individual and collective objectives can foster a cooperative spirit and enhance the likelihood of a sustainable resolution (Jehn, 1995).</w:t>
      </w:r>
    </w:p>
    <w:p w14:paraId="6F3C82D4" w14:textId="77777777" w:rsidR="009F0E98" w:rsidRDefault="009F0E98" w:rsidP="0041068B">
      <w:pPr>
        <w:rPr>
          <w:rFonts w:cs="Arial"/>
          <w:szCs w:val="22"/>
        </w:rPr>
      </w:pPr>
    </w:p>
    <w:p w14:paraId="1C6E7C43" w14:textId="77777777" w:rsidR="00642C01" w:rsidRDefault="00642C01" w:rsidP="0041068B">
      <w:pPr>
        <w:rPr>
          <w:rFonts w:cs="Arial"/>
          <w:szCs w:val="22"/>
        </w:rPr>
      </w:pPr>
    </w:p>
    <w:p w14:paraId="3D298D2E" w14:textId="77777777" w:rsidR="00642C01" w:rsidRDefault="00642C01" w:rsidP="0041068B">
      <w:pPr>
        <w:rPr>
          <w:rFonts w:cs="Arial"/>
          <w:szCs w:val="22"/>
        </w:rPr>
      </w:pPr>
    </w:p>
    <w:p w14:paraId="4F5DAE66" w14:textId="77777777" w:rsidR="00642C01" w:rsidRDefault="00642C01" w:rsidP="0041068B">
      <w:pPr>
        <w:rPr>
          <w:rFonts w:cs="Arial"/>
          <w:szCs w:val="22"/>
        </w:rPr>
      </w:pPr>
    </w:p>
    <w:p w14:paraId="460E888F" w14:textId="77777777" w:rsidR="00642C01" w:rsidRDefault="00642C01" w:rsidP="0041068B">
      <w:pPr>
        <w:rPr>
          <w:rFonts w:cs="Arial"/>
          <w:szCs w:val="22"/>
        </w:rPr>
      </w:pPr>
    </w:p>
    <w:p w14:paraId="3E092192" w14:textId="77777777" w:rsidR="00642C01" w:rsidRDefault="00642C01" w:rsidP="0041068B">
      <w:pPr>
        <w:rPr>
          <w:rFonts w:cs="Arial"/>
          <w:szCs w:val="22"/>
        </w:rPr>
      </w:pPr>
    </w:p>
    <w:p w14:paraId="2DE7BBD2" w14:textId="77777777" w:rsidR="00642C01" w:rsidRDefault="00642C01" w:rsidP="0041068B">
      <w:pPr>
        <w:rPr>
          <w:rFonts w:cs="Arial"/>
          <w:szCs w:val="22"/>
        </w:rPr>
      </w:pPr>
    </w:p>
    <w:p w14:paraId="55D6C8C8" w14:textId="77777777" w:rsidR="00642C01" w:rsidRDefault="00642C01" w:rsidP="0041068B">
      <w:pPr>
        <w:rPr>
          <w:rFonts w:cs="Arial"/>
          <w:szCs w:val="22"/>
        </w:rPr>
      </w:pPr>
    </w:p>
    <w:p w14:paraId="010CB4BC" w14:textId="77777777" w:rsidR="00642C01" w:rsidRDefault="00642C01" w:rsidP="0041068B">
      <w:pPr>
        <w:rPr>
          <w:rFonts w:cs="Arial"/>
          <w:szCs w:val="22"/>
        </w:rPr>
      </w:pPr>
    </w:p>
    <w:p w14:paraId="47B6E026" w14:textId="77777777" w:rsidR="00642C01" w:rsidRDefault="00642C01" w:rsidP="0041068B">
      <w:pPr>
        <w:rPr>
          <w:rFonts w:cs="Arial"/>
          <w:szCs w:val="22"/>
        </w:rPr>
      </w:pPr>
    </w:p>
    <w:p w14:paraId="556368A8" w14:textId="77777777" w:rsidR="00642C01" w:rsidRDefault="00642C01" w:rsidP="0041068B">
      <w:pPr>
        <w:rPr>
          <w:rFonts w:cs="Arial"/>
          <w:szCs w:val="22"/>
        </w:rPr>
      </w:pPr>
    </w:p>
    <w:p w14:paraId="71879642" w14:textId="77777777" w:rsidR="00642C01" w:rsidRDefault="00642C01" w:rsidP="0041068B">
      <w:pPr>
        <w:rPr>
          <w:rFonts w:cs="Arial"/>
          <w:szCs w:val="22"/>
        </w:rPr>
      </w:pPr>
    </w:p>
    <w:p w14:paraId="4B507D5B" w14:textId="77777777" w:rsidR="00642C01" w:rsidRDefault="00642C01" w:rsidP="0041068B">
      <w:pPr>
        <w:rPr>
          <w:rFonts w:cs="Arial"/>
          <w:szCs w:val="22"/>
        </w:rPr>
      </w:pPr>
    </w:p>
    <w:p w14:paraId="7056332D" w14:textId="77777777" w:rsidR="00276A15" w:rsidRPr="00276A15" w:rsidRDefault="00276A15" w:rsidP="0016450D">
      <w:pPr>
        <w:pStyle w:val="Heading1"/>
      </w:pPr>
      <w:bookmarkStart w:id="10" w:name="_Toc172365087"/>
      <w:r w:rsidRPr="00276A15">
        <w:lastRenderedPageBreak/>
        <w:t>Lose-Lose Strategy</w:t>
      </w:r>
      <w:bookmarkEnd w:id="10"/>
    </w:p>
    <w:p w14:paraId="7EA1D80B" w14:textId="77777777" w:rsidR="0016450D" w:rsidRDefault="0016450D" w:rsidP="00276A15">
      <w:pPr>
        <w:rPr>
          <w:rFonts w:cs="Arial"/>
          <w:szCs w:val="22"/>
        </w:rPr>
      </w:pPr>
    </w:p>
    <w:p w14:paraId="35F62A34" w14:textId="424C27DB" w:rsidR="00276A15" w:rsidRPr="00276A15" w:rsidRDefault="00276A15" w:rsidP="00276A15">
      <w:pPr>
        <w:rPr>
          <w:rFonts w:cs="Arial"/>
          <w:szCs w:val="22"/>
        </w:rPr>
      </w:pPr>
      <w:r w:rsidRPr="00276A15">
        <w:rPr>
          <w:rFonts w:cs="Arial"/>
          <w:szCs w:val="22"/>
        </w:rPr>
        <w:t>A lose-lose strategy results in both parties feeling dissatisfied with the outcome, often due to adversarial tactics and poor communication. This approach can exacerbate the conflict and cause long-term damage to the organization.</w:t>
      </w:r>
    </w:p>
    <w:p w14:paraId="73CD9FA7" w14:textId="77777777" w:rsidR="00276A15" w:rsidRDefault="00276A15" w:rsidP="00533C72">
      <w:pPr>
        <w:pStyle w:val="NoSpacing"/>
      </w:pPr>
      <w:r w:rsidRPr="00276A15">
        <w:t>Adversarial Negotiation</w:t>
      </w:r>
    </w:p>
    <w:p w14:paraId="48EEC4C5" w14:textId="77777777" w:rsidR="00DA61FE" w:rsidRPr="00276A15" w:rsidRDefault="00DA61FE" w:rsidP="00533C72">
      <w:pPr>
        <w:pStyle w:val="NoSpacing"/>
      </w:pPr>
    </w:p>
    <w:p w14:paraId="78FC3EA7" w14:textId="61E19636" w:rsidR="00276A15" w:rsidRPr="00276A15" w:rsidRDefault="00276A15" w:rsidP="00276A15">
      <w:pPr>
        <w:rPr>
          <w:rFonts w:cs="Arial"/>
          <w:szCs w:val="22"/>
        </w:rPr>
      </w:pPr>
      <w:r w:rsidRPr="00276A15">
        <w:rPr>
          <w:rFonts w:cs="Arial"/>
          <w:szCs w:val="22"/>
        </w:rPr>
        <w:t>Adversarial negotiation involves each party prioritizing their own interests over finding a mutual solution, often leading to a stalemate or unsatisfactory compromise (Thomas &amp; Kilmann, 1974).</w:t>
      </w:r>
    </w:p>
    <w:p w14:paraId="7FFC7D35" w14:textId="77777777" w:rsidR="00276A15" w:rsidRPr="00276A15" w:rsidRDefault="00276A15" w:rsidP="00276A15">
      <w:pPr>
        <w:rPr>
          <w:rFonts w:cs="Arial"/>
          <w:szCs w:val="22"/>
        </w:rPr>
      </w:pPr>
      <w:r w:rsidRPr="00276A15">
        <w:rPr>
          <w:rFonts w:cs="Arial"/>
          <w:szCs w:val="22"/>
        </w:rPr>
        <w:t>Actions:</w:t>
      </w:r>
    </w:p>
    <w:p w14:paraId="350A17A2" w14:textId="77777777" w:rsidR="00276A15" w:rsidRPr="00276A15" w:rsidRDefault="00276A15" w:rsidP="00276A15">
      <w:pPr>
        <w:rPr>
          <w:rFonts w:cs="Arial"/>
          <w:szCs w:val="22"/>
        </w:rPr>
      </w:pPr>
      <w:r w:rsidRPr="00276A15">
        <w:rPr>
          <w:rFonts w:cs="Arial"/>
          <w:szCs w:val="22"/>
        </w:rPr>
        <w:t>Hardline Stances: Both the CWU and Post Office management stick to their initial demands without willingness to compromise.</w:t>
      </w:r>
    </w:p>
    <w:p w14:paraId="5F396D3A" w14:textId="77777777" w:rsidR="00276A15" w:rsidRPr="00276A15" w:rsidRDefault="00276A15" w:rsidP="00276A15">
      <w:pPr>
        <w:rPr>
          <w:rFonts w:cs="Arial"/>
          <w:szCs w:val="22"/>
        </w:rPr>
      </w:pPr>
      <w:r w:rsidRPr="00276A15">
        <w:rPr>
          <w:rFonts w:cs="Arial"/>
          <w:szCs w:val="22"/>
        </w:rPr>
        <w:t>Confrontational Tactics: Use of threats, ultimatums, and public shaming to pressure the other party into submission.</w:t>
      </w:r>
    </w:p>
    <w:p w14:paraId="39203FEF" w14:textId="77777777" w:rsidR="00276A15" w:rsidRDefault="00276A15" w:rsidP="00EF7543">
      <w:pPr>
        <w:pStyle w:val="NoSpacing"/>
      </w:pPr>
      <w:r w:rsidRPr="00276A15">
        <w:t>Ignoring Inflation Adjustments</w:t>
      </w:r>
    </w:p>
    <w:p w14:paraId="6AAC6EA9" w14:textId="77777777" w:rsidR="00DA61FE" w:rsidRPr="00276A15" w:rsidRDefault="00DA61FE" w:rsidP="00EF7543">
      <w:pPr>
        <w:pStyle w:val="NoSpacing"/>
      </w:pPr>
    </w:p>
    <w:p w14:paraId="254182F3" w14:textId="77777777" w:rsidR="00276A15" w:rsidRDefault="00276A15" w:rsidP="00276A15">
      <w:pPr>
        <w:rPr>
          <w:rFonts w:cs="Arial"/>
          <w:szCs w:val="22"/>
        </w:rPr>
      </w:pPr>
      <w:r w:rsidRPr="00276A15">
        <w:rPr>
          <w:rFonts w:cs="Arial"/>
          <w:szCs w:val="22"/>
        </w:rPr>
        <w:t>Failing to address the significant rise in the Retail Price Index inflation can lead to continued dissatisfaction and potential future strikes.</w:t>
      </w:r>
    </w:p>
    <w:p w14:paraId="01FB5C25" w14:textId="20AF0CC2" w:rsidR="000738B3" w:rsidRPr="00276A15" w:rsidRDefault="000738B3" w:rsidP="00276A15">
      <w:pPr>
        <w:rPr>
          <w:rFonts w:cs="Arial"/>
          <w:szCs w:val="22"/>
        </w:rPr>
      </w:pPr>
      <w:r>
        <w:rPr>
          <w:rFonts w:cs="Arial"/>
          <w:szCs w:val="22"/>
        </w:rPr>
        <w:t>Actions:</w:t>
      </w:r>
    </w:p>
    <w:p w14:paraId="31400EB9" w14:textId="77777777" w:rsidR="00276A15" w:rsidRPr="00276A15" w:rsidRDefault="00276A15" w:rsidP="00276A15">
      <w:pPr>
        <w:rPr>
          <w:rFonts w:cs="Arial"/>
          <w:szCs w:val="22"/>
        </w:rPr>
      </w:pPr>
      <w:r w:rsidRPr="00276A15">
        <w:rPr>
          <w:rFonts w:cs="Arial"/>
          <w:szCs w:val="22"/>
        </w:rPr>
        <w:t>Minimal Pay Increases: Offering pay increases that do not match the inflation rate, leading to reduced purchasing power for employees.</w:t>
      </w:r>
    </w:p>
    <w:p w14:paraId="018193C5" w14:textId="77777777" w:rsidR="00276A15" w:rsidRPr="00276A15" w:rsidRDefault="00276A15" w:rsidP="00276A15">
      <w:pPr>
        <w:rPr>
          <w:rFonts w:cs="Arial"/>
          <w:szCs w:val="22"/>
        </w:rPr>
      </w:pPr>
      <w:r w:rsidRPr="00276A15">
        <w:rPr>
          <w:rFonts w:cs="Arial"/>
          <w:szCs w:val="22"/>
        </w:rPr>
        <w:t>One-Off Payments Only: Relying solely on one-off payments like the £250 offer, which do not provide long-term financial stability.</w:t>
      </w:r>
    </w:p>
    <w:p w14:paraId="630EA7C2" w14:textId="77777777" w:rsidR="00276A15" w:rsidRDefault="00276A15" w:rsidP="00266BC1">
      <w:pPr>
        <w:pStyle w:val="NoSpacing"/>
      </w:pPr>
      <w:r w:rsidRPr="00276A15">
        <w:t>Poor Employee Engagement</w:t>
      </w:r>
    </w:p>
    <w:p w14:paraId="79DEE2D1" w14:textId="77777777" w:rsidR="00DA61FE" w:rsidRPr="00276A15" w:rsidRDefault="00DA61FE" w:rsidP="00266BC1">
      <w:pPr>
        <w:pStyle w:val="NoSpacing"/>
      </w:pPr>
    </w:p>
    <w:p w14:paraId="6601FAB6" w14:textId="6BB0197B" w:rsidR="00276A15" w:rsidRPr="00276A15" w:rsidRDefault="00276A15" w:rsidP="00276A15">
      <w:pPr>
        <w:rPr>
          <w:rFonts w:cs="Arial"/>
          <w:szCs w:val="22"/>
        </w:rPr>
      </w:pPr>
      <w:r w:rsidRPr="00276A15">
        <w:rPr>
          <w:rFonts w:cs="Arial"/>
          <w:szCs w:val="22"/>
        </w:rPr>
        <w:t>Lack of engagement and communication can cause employees to feel undervalued and ignored, increasing turnover and reducing morale.</w:t>
      </w:r>
    </w:p>
    <w:p w14:paraId="74FC04E9" w14:textId="77777777" w:rsidR="00276A15" w:rsidRPr="00276A15" w:rsidRDefault="00276A15" w:rsidP="00276A15">
      <w:pPr>
        <w:rPr>
          <w:rFonts w:cs="Arial"/>
          <w:szCs w:val="22"/>
        </w:rPr>
      </w:pPr>
      <w:r w:rsidRPr="00276A15">
        <w:rPr>
          <w:rFonts w:cs="Arial"/>
          <w:szCs w:val="22"/>
        </w:rPr>
        <w:t>Actions:</w:t>
      </w:r>
    </w:p>
    <w:p w14:paraId="7BA90DA6" w14:textId="77777777" w:rsidR="00276A15" w:rsidRPr="00276A15" w:rsidRDefault="00276A15" w:rsidP="00276A15">
      <w:pPr>
        <w:rPr>
          <w:rFonts w:cs="Arial"/>
          <w:szCs w:val="22"/>
        </w:rPr>
      </w:pPr>
      <w:r w:rsidRPr="00276A15">
        <w:rPr>
          <w:rFonts w:cs="Arial"/>
          <w:szCs w:val="22"/>
        </w:rPr>
        <w:t>Lack of Feedback Mechanisms: Not providing avenues for employees to voice their concerns or provide input.</w:t>
      </w:r>
    </w:p>
    <w:p w14:paraId="1F7D808F" w14:textId="77777777" w:rsidR="00276A15" w:rsidRDefault="00276A15" w:rsidP="00276A15">
      <w:pPr>
        <w:rPr>
          <w:rFonts w:cs="Arial"/>
          <w:szCs w:val="22"/>
        </w:rPr>
      </w:pPr>
      <w:r w:rsidRPr="00276A15">
        <w:rPr>
          <w:rFonts w:cs="Arial"/>
          <w:szCs w:val="22"/>
        </w:rPr>
        <w:t>Neglecting Development: Failing to invest in employee development, leading to stagnation and dissatisfaction.</w:t>
      </w:r>
    </w:p>
    <w:p w14:paraId="0C33B286" w14:textId="77777777" w:rsidR="00DA61FE" w:rsidRPr="00276A15" w:rsidRDefault="00DA61FE" w:rsidP="00276A15">
      <w:pPr>
        <w:rPr>
          <w:rFonts w:cs="Arial"/>
          <w:szCs w:val="22"/>
        </w:rPr>
      </w:pPr>
    </w:p>
    <w:p w14:paraId="2CB9C40B" w14:textId="77777777" w:rsidR="00276A15" w:rsidRDefault="00276A15" w:rsidP="00266BC1">
      <w:pPr>
        <w:pStyle w:val="NoSpacing"/>
      </w:pPr>
      <w:r w:rsidRPr="00276A15">
        <w:lastRenderedPageBreak/>
        <w:t>Opaque Communication</w:t>
      </w:r>
    </w:p>
    <w:p w14:paraId="404D4EF0" w14:textId="77777777" w:rsidR="00DA61FE" w:rsidRPr="00276A15" w:rsidRDefault="00DA61FE" w:rsidP="00266BC1">
      <w:pPr>
        <w:pStyle w:val="NoSpacing"/>
      </w:pPr>
    </w:p>
    <w:p w14:paraId="6DA2A885" w14:textId="77777777" w:rsidR="00276A15" w:rsidRPr="00276A15" w:rsidRDefault="00276A15" w:rsidP="00276A15">
      <w:pPr>
        <w:rPr>
          <w:rFonts w:cs="Arial"/>
          <w:szCs w:val="22"/>
        </w:rPr>
      </w:pPr>
      <w:r w:rsidRPr="00276A15">
        <w:rPr>
          <w:rFonts w:cs="Arial"/>
          <w:szCs w:val="22"/>
        </w:rPr>
        <w:t>Poor communication fosters mistrust and confusion, exacerbating the conflict.</w:t>
      </w:r>
    </w:p>
    <w:p w14:paraId="587A487B" w14:textId="59B45CAD" w:rsidR="00276A15" w:rsidRPr="00276A15" w:rsidRDefault="00276A15" w:rsidP="00276A15">
      <w:pPr>
        <w:rPr>
          <w:rFonts w:cs="Arial"/>
          <w:szCs w:val="22"/>
        </w:rPr>
      </w:pPr>
      <w:r w:rsidRPr="00276A15">
        <w:rPr>
          <w:rFonts w:cs="Arial"/>
          <w:szCs w:val="22"/>
        </w:rPr>
        <w:t>Actions:</w:t>
      </w:r>
    </w:p>
    <w:p w14:paraId="13AB9B96" w14:textId="51CFB2B9" w:rsidR="00276A15" w:rsidRPr="00276A15" w:rsidRDefault="00276A15" w:rsidP="00276A15">
      <w:pPr>
        <w:rPr>
          <w:rFonts w:cs="Arial"/>
          <w:szCs w:val="22"/>
        </w:rPr>
      </w:pPr>
      <w:r w:rsidRPr="00276A15">
        <w:rPr>
          <w:rFonts w:cs="Arial"/>
          <w:szCs w:val="22"/>
        </w:rPr>
        <w:t xml:space="preserve">Infrequent Updates: Providing sparse updates on the negotiation process, leading to </w:t>
      </w:r>
      <w:r w:rsidR="00BC3244" w:rsidRPr="00276A15">
        <w:rPr>
          <w:rFonts w:cs="Arial"/>
          <w:szCs w:val="22"/>
        </w:rPr>
        <w:t>rumours</w:t>
      </w:r>
      <w:r w:rsidRPr="00276A15">
        <w:rPr>
          <w:rFonts w:cs="Arial"/>
          <w:szCs w:val="22"/>
        </w:rPr>
        <w:t xml:space="preserve"> and uncertainty.</w:t>
      </w:r>
    </w:p>
    <w:p w14:paraId="397C7374" w14:textId="77777777" w:rsidR="00276A15" w:rsidRPr="00276A15" w:rsidRDefault="00276A15" w:rsidP="00276A15">
      <w:pPr>
        <w:rPr>
          <w:rFonts w:cs="Arial"/>
          <w:szCs w:val="22"/>
        </w:rPr>
      </w:pPr>
      <w:r w:rsidRPr="00276A15">
        <w:rPr>
          <w:rFonts w:cs="Arial"/>
          <w:szCs w:val="22"/>
        </w:rPr>
        <w:t>Closed Forums: Avoiding open forums, preventing employees from directly addressing their concerns with management.</w:t>
      </w:r>
    </w:p>
    <w:p w14:paraId="1C7B027A" w14:textId="7665F830" w:rsidR="009F0E98" w:rsidRDefault="00276A15" w:rsidP="00276A15">
      <w:pPr>
        <w:rPr>
          <w:rFonts w:cs="Arial"/>
          <w:szCs w:val="22"/>
        </w:rPr>
      </w:pPr>
      <w:r w:rsidRPr="00276A15">
        <w:rPr>
          <w:rFonts w:cs="Arial"/>
          <w:szCs w:val="22"/>
        </w:rPr>
        <w:t>Adopting a lose-lose strategy would likely result in prolonged conflict, decreased morale, and long-term damage to the Post Office's reputation and operational efficiency (Jehn, 1995).</w:t>
      </w:r>
    </w:p>
    <w:p w14:paraId="302F0DE6" w14:textId="77777777" w:rsidR="002B137C" w:rsidRDefault="002B137C">
      <w:pPr>
        <w:rPr>
          <w:rFonts w:cs="Arial"/>
          <w:szCs w:val="22"/>
        </w:rPr>
      </w:pPr>
      <w:r>
        <w:rPr>
          <w:rFonts w:cs="Arial"/>
          <w:szCs w:val="22"/>
        </w:rPr>
        <w:br w:type="page"/>
      </w:r>
    </w:p>
    <w:p w14:paraId="3D074A9F" w14:textId="77777777" w:rsidR="00CC7978" w:rsidRPr="00CC7978" w:rsidRDefault="00CC7978" w:rsidP="00CC7978">
      <w:pPr>
        <w:pStyle w:val="Heading1"/>
      </w:pPr>
      <w:bookmarkStart w:id="11" w:name="_Toc172365088"/>
      <w:r w:rsidRPr="00CC7978">
        <w:lastRenderedPageBreak/>
        <w:t>Personal Reflection on Conflict Resolution and Stakeholder Theory</w:t>
      </w:r>
      <w:bookmarkEnd w:id="11"/>
    </w:p>
    <w:p w14:paraId="2F144FA6" w14:textId="77777777" w:rsidR="00221014" w:rsidRDefault="00221014" w:rsidP="00CC7978">
      <w:pPr>
        <w:rPr>
          <w:rFonts w:cs="Arial"/>
          <w:szCs w:val="22"/>
        </w:rPr>
      </w:pPr>
    </w:p>
    <w:p w14:paraId="5BC69751" w14:textId="0A31AF07" w:rsidR="00CC7978" w:rsidRPr="00CC7978" w:rsidRDefault="00CC7978" w:rsidP="00CC7978">
      <w:pPr>
        <w:rPr>
          <w:rFonts w:cs="Arial"/>
          <w:szCs w:val="22"/>
        </w:rPr>
      </w:pPr>
      <w:r w:rsidRPr="00CC7978">
        <w:rPr>
          <w:rFonts w:cs="Arial"/>
          <w:szCs w:val="22"/>
        </w:rPr>
        <w:t>The study of conflict resolution and stakeholder theory has profoundly shaped my preparedness for the workplace. These concepts are essential for navigating the complexities of organizational dynamics, facilitating effective communication, and fostering a collaborative environment.</w:t>
      </w:r>
    </w:p>
    <w:p w14:paraId="00FA9988" w14:textId="77777777" w:rsidR="00CC7978" w:rsidRPr="00882A63" w:rsidRDefault="00CC7978" w:rsidP="00642C01">
      <w:pPr>
        <w:pStyle w:val="NoSpacing"/>
      </w:pPr>
      <w:r w:rsidRPr="00882A63">
        <w:t>Enhanced Understanding of Conflict Resolution</w:t>
      </w:r>
    </w:p>
    <w:p w14:paraId="7504E08D" w14:textId="77777777" w:rsidR="00221014" w:rsidRPr="00221014" w:rsidRDefault="00221014" w:rsidP="00221014"/>
    <w:p w14:paraId="28E09E7F" w14:textId="77777777" w:rsidR="00CC7978" w:rsidRDefault="00CC7978" w:rsidP="00CC7978">
      <w:pPr>
        <w:rPr>
          <w:rFonts w:cs="Arial"/>
          <w:szCs w:val="22"/>
        </w:rPr>
      </w:pPr>
      <w:r w:rsidRPr="00CC7978">
        <w:rPr>
          <w:rFonts w:cs="Arial"/>
          <w:szCs w:val="22"/>
        </w:rPr>
        <w:t>Through this module, I have developed a nuanced understanding of conflict as both a potential driver of innovation and a source of disruption (Jehn, 1995). Recognizing that conflict is inevitable in any organizational setting has prepared me to approach disagreements constructively rather than avoiding or escalating them. The Thomas-Kilmann Conflict Mode Instrument (TKI) has been particularly insightful in understanding different conflict resolution styles, such as avoidance, accommodation, competition, compromise, and collaboration (Thomas &amp; Kilmann, 1974).</w:t>
      </w:r>
    </w:p>
    <w:p w14:paraId="7B74F570" w14:textId="77777777" w:rsidR="00CC7978" w:rsidRPr="00CC7978" w:rsidRDefault="00CC7978" w:rsidP="008D741C">
      <w:pPr>
        <w:pStyle w:val="NoSpacing"/>
      </w:pPr>
      <w:r w:rsidRPr="00CC7978">
        <w:t>Application in the Workplace:</w:t>
      </w:r>
    </w:p>
    <w:p w14:paraId="50F8BA61" w14:textId="77777777" w:rsidR="00CC7978" w:rsidRPr="00CC7978" w:rsidRDefault="00CC7978" w:rsidP="00CC7978">
      <w:pPr>
        <w:rPr>
          <w:rFonts w:cs="Arial"/>
          <w:szCs w:val="22"/>
        </w:rPr>
      </w:pPr>
    </w:p>
    <w:p w14:paraId="7112FC45" w14:textId="1E8687D6" w:rsidR="00CC7978" w:rsidRPr="00CC7978" w:rsidRDefault="00CC7978" w:rsidP="00CC7978">
      <w:pPr>
        <w:rPr>
          <w:rFonts w:cs="Arial"/>
          <w:szCs w:val="22"/>
        </w:rPr>
      </w:pPr>
      <w:r w:rsidRPr="00CC7978">
        <w:rPr>
          <w:rFonts w:cs="Arial"/>
          <w:szCs w:val="22"/>
        </w:rPr>
        <w:t xml:space="preserve">Collaboration: This style is the most effective in ensuring that all parties' needs are addressed, leading to sustainable solutions. For instance, if I encounter a conflict between team members over resource allocation, I </w:t>
      </w:r>
      <w:r w:rsidR="00221014" w:rsidRPr="00CC7978">
        <w:rPr>
          <w:rFonts w:cs="Arial"/>
          <w:szCs w:val="22"/>
        </w:rPr>
        <w:t>will</w:t>
      </w:r>
      <w:r w:rsidRPr="00CC7978">
        <w:rPr>
          <w:rFonts w:cs="Arial"/>
          <w:szCs w:val="22"/>
        </w:rPr>
        <w:t xml:space="preserve"> facilitate a collaborative discussion to understand everyone's underlying interests and work towards a mutually beneficial solution (Rahim, 2002).</w:t>
      </w:r>
    </w:p>
    <w:p w14:paraId="0064C587" w14:textId="77777777" w:rsidR="00CC7978" w:rsidRPr="00CC7978" w:rsidRDefault="00CC7978" w:rsidP="00CC7978">
      <w:pPr>
        <w:rPr>
          <w:rFonts w:cs="Arial"/>
          <w:szCs w:val="22"/>
        </w:rPr>
      </w:pPr>
      <w:r w:rsidRPr="00CC7978">
        <w:rPr>
          <w:rFonts w:cs="Arial"/>
          <w:szCs w:val="22"/>
        </w:rPr>
        <w:t>Compromise: When time constraints or resource limitations prevent full collaboration, I can apply compromise to ensure that all parties feel partially satisfied, maintaining team cohesion and morale (Thomas, 1992).</w:t>
      </w:r>
    </w:p>
    <w:p w14:paraId="07237834" w14:textId="0149522E" w:rsidR="00CC7978" w:rsidRPr="00CC7978" w:rsidRDefault="00CC7978" w:rsidP="00CC7978">
      <w:pPr>
        <w:rPr>
          <w:rFonts w:cs="Arial"/>
          <w:szCs w:val="22"/>
        </w:rPr>
      </w:pPr>
      <w:r w:rsidRPr="00CC7978">
        <w:rPr>
          <w:rFonts w:cs="Arial"/>
          <w:szCs w:val="22"/>
        </w:rPr>
        <w:t>Understanding these styles enables me to choose the appropriate approach based on the context, ensuring that conflicts are resolved efficiently and constructively.</w:t>
      </w:r>
    </w:p>
    <w:p w14:paraId="76C7159D" w14:textId="29660F71" w:rsidR="00CC7978" w:rsidRPr="00642C01" w:rsidRDefault="00CC7978" w:rsidP="00642C01">
      <w:pPr>
        <w:pStyle w:val="NoSpacing"/>
      </w:pPr>
      <w:r w:rsidRPr="00642C01">
        <w:t>Deepened Knowledge of Stakeholder Theory</w:t>
      </w:r>
    </w:p>
    <w:p w14:paraId="3367DC81" w14:textId="77777777" w:rsidR="00221014" w:rsidRPr="00221014" w:rsidRDefault="00221014" w:rsidP="00550845"/>
    <w:p w14:paraId="4B0A5FC6" w14:textId="38D3341A" w:rsidR="00CC7978" w:rsidRDefault="00CC7978" w:rsidP="00CC7978">
      <w:pPr>
        <w:rPr>
          <w:rFonts w:cs="Arial"/>
          <w:szCs w:val="22"/>
        </w:rPr>
      </w:pPr>
      <w:r w:rsidRPr="00CC7978">
        <w:rPr>
          <w:rFonts w:cs="Arial"/>
          <w:szCs w:val="22"/>
        </w:rPr>
        <w:t>Stakeholder theory has emphasized the importance of identifying and engaging all relevant parties who have an interest in or influence over organizational decisions (Freeman, 1984). This theory has equipped me with the tools to conduct thorough stakeholder analyses, ensuring that diverse perspectives are considered in decision-making processes.</w:t>
      </w:r>
    </w:p>
    <w:p w14:paraId="6808F968" w14:textId="77777777" w:rsidR="00CC7978" w:rsidRPr="00CC7978" w:rsidRDefault="00CC7978" w:rsidP="008D741C">
      <w:pPr>
        <w:pStyle w:val="NoSpacing"/>
      </w:pPr>
      <w:r w:rsidRPr="00CC7978">
        <w:lastRenderedPageBreak/>
        <w:t>Application in the Workplace:</w:t>
      </w:r>
    </w:p>
    <w:p w14:paraId="3B54F9C0" w14:textId="77777777" w:rsidR="00CC7978" w:rsidRPr="00CC7978" w:rsidRDefault="00CC7978" w:rsidP="00CC7978">
      <w:pPr>
        <w:rPr>
          <w:rFonts w:cs="Arial"/>
          <w:szCs w:val="22"/>
        </w:rPr>
      </w:pPr>
    </w:p>
    <w:p w14:paraId="45FE14F7" w14:textId="77777777" w:rsidR="00CC7978" w:rsidRPr="00CC7978" w:rsidRDefault="00CC7978" w:rsidP="00CC7978">
      <w:pPr>
        <w:rPr>
          <w:rFonts w:cs="Arial"/>
          <w:szCs w:val="22"/>
        </w:rPr>
      </w:pPr>
      <w:r w:rsidRPr="00CC7978">
        <w:rPr>
          <w:rFonts w:cs="Arial"/>
          <w:szCs w:val="22"/>
        </w:rPr>
        <w:t>Stakeholder Mapping: By mapping stakeholders based on their power and interest, I can prioritize engagement strategies. For example, in a project rollout, I would identify key stakeholders such as senior management (high power, high interest) and customers (low power, high interest) and tailor communication strategies accordingly (Bryson, 2004).</w:t>
      </w:r>
    </w:p>
    <w:p w14:paraId="3F7715E2" w14:textId="77777777" w:rsidR="00CC7978" w:rsidRDefault="00CC7978" w:rsidP="00CC7978">
      <w:pPr>
        <w:rPr>
          <w:rFonts w:cs="Arial"/>
          <w:szCs w:val="22"/>
        </w:rPr>
      </w:pPr>
      <w:r w:rsidRPr="00CC7978">
        <w:rPr>
          <w:rFonts w:cs="Arial"/>
          <w:szCs w:val="22"/>
        </w:rPr>
        <w:t>Effective Communication: Recognizing the need for transparent and consistent communication with stakeholders, I can develop communication plans that keep all parties informed and involved. This is crucial in maintaining trust and cooperation, especially in times of organizational change or crisis (Freeman, 1984).</w:t>
      </w:r>
    </w:p>
    <w:p w14:paraId="568F43E2" w14:textId="4F1FD468" w:rsidR="00CC7978" w:rsidRDefault="00CC7978" w:rsidP="008D741C">
      <w:pPr>
        <w:pStyle w:val="NoSpacing"/>
      </w:pPr>
      <w:r w:rsidRPr="00CC7978">
        <w:t>Practical Skills and Confidence</w:t>
      </w:r>
      <w:r w:rsidR="00550845">
        <w:t>:</w:t>
      </w:r>
    </w:p>
    <w:p w14:paraId="584B087B" w14:textId="77777777" w:rsidR="001F2D80" w:rsidRPr="001F2D80" w:rsidRDefault="001F2D80" w:rsidP="001F2D80"/>
    <w:p w14:paraId="269013D2" w14:textId="6B1D073B" w:rsidR="00CC7978" w:rsidRPr="00CC7978" w:rsidRDefault="00CC7978" w:rsidP="00CC7978">
      <w:pPr>
        <w:rPr>
          <w:rFonts w:cs="Arial"/>
          <w:szCs w:val="22"/>
        </w:rPr>
      </w:pPr>
      <w:r w:rsidRPr="00CC7978">
        <w:rPr>
          <w:rFonts w:cs="Arial"/>
          <w:szCs w:val="22"/>
        </w:rPr>
        <w:t>The integration of conflict resolution and stakeholder theory into my skill set has significantly boosted my confidence in handling workplace challenges. I am better equipped to:</w:t>
      </w:r>
    </w:p>
    <w:p w14:paraId="00553756" w14:textId="77777777" w:rsidR="00CC7978" w:rsidRPr="00CC7978" w:rsidRDefault="00CC7978" w:rsidP="00CC7978">
      <w:pPr>
        <w:rPr>
          <w:rFonts w:cs="Arial"/>
          <w:szCs w:val="22"/>
        </w:rPr>
      </w:pPr>
      <w:r w:rsidRPr="00CC7978">
        <w:rPr>
          <w:rFonts w:cs="Arial"/>
          <w:szCs w:val="22"/>
        </w:rPr>
        <w:t>Facilitate Discussions: I can mediate discussions between conflicting parties, ensuring that each voice is heard and respected, which is crucial for team dynamics and project success (Rahim, 2002).</w:t>
      </w:r>
    </w:p>
    <w:p w14:paraId="60387BC3" w14:textId="77777777" w:rsidR="00CC7978" w:rsidRPr="00CC7978" w:rsidRDefault="00CC7978" w:rsidP="00CC7978">
      <w:pPr>
        <w:rPr>
          <w:rFonts w:cs="Arial"/>
          <w:szCs w:val="22"/>
        </w:rPr>
      </w:pPr>
      <w:r w:rsidRPr="00CC7978">
        <w:rPr>
          <w:rFonts w:cs="Arial"/>
          <w:szCs w:val="22"/>
        </w:rPr>
        <w:t>Manage Change: In times of organizational change, understanding stakeholder concerns and effectively managing conflict can smooth transitions and foster a positive work environment (Freeman, 1984).</w:t>
      </w:r>
    </w:p>
    <w:p w14:paraId="71F0D768" w14:textId="77777777" w:rsidR="00CC7978" w:rsidRDefault="00CC7978" w:rsidP="00CC7978">
      <w:pPr>
        <w:rPr>
          <w:rFonts w:cs="Arial"/>
          <w:szCs w:val="22"/>
        </w:rPr>
      </w:pPr>
      <w:r w:rsidRPr="00CC7978">
        <w:rPr>
          <w:rFonts w:cs="Arial"/>
          <w:szCs w:val="22"/>
        </w:rPr>
        <w:t>Build Relationships: By appreciating the importance of stakeholder relationships, I can cultivate strong, collaborative connections with colleagues, clients, and other stakeholders, enhancing overall organizational performance (Bryson, 2004).</w:t>
      </w:r>
    </w:p>
    <w:p w14:paraId="3F84AAC4" w14:textId="411F68CC" w:rsidR="00CC7978" w:rsidRDefault="00CC7978" w:rsidP="008D741C">
      <w:pPr>
        <w:pStyle w:val="NoSpacing"/>
      </w:pPr>
      <w:r w:rsidRPr="00CC7978">
        <w:t>Reflective Practice</w:t>
      </w:r>
      <w:r w:rsidR="00550845">
        <w:t>:</w:t>
      </w:r>
    </w:p>
    <w:p w14:paraId="79148371" w14:textId="77777777" w:rsidR="001F2D80" w:rsidRPr="001F2D80" w:rsidRDefault="001F2D80" w:rsidP="001F2D80"/>
    <w:p w14:paraId="5F3CD0CA" w14:textId="5F97EFF3" w:rsidR="00801708" w:rsidRPr="0008480A" w:rsidRDefault="00CC7978" w:rsidP="00CC7978">
      <w:pPr>
        <w:rPr>
          <w:rFonts w:eastAsiaTheme="majorEastAsia" w:cs="Arial"/>
          <w:b/>
          <w:bCs/>
          <w:color w:val="7B230B" w:themeColor="accent1" w:themeShade="BF"/>
          <w:sz w:val="24"/>
          <w:szCs w:val="24"/>
        </w:rPr>
      </w:pPr>
      <w:r w:rsidRPr="00CC7978">
        <w:rPr>
          <w:rFonts w:cs="Arial"/>
          <w:szCs w:val="22"/>
        </w:rPr>
        <w:t>The module has also highlighted the importance of reflective practice in professional development. Regular reflection on conflict situations and stakeholder interactions allows me to continuously improve my approaches and strategies. This ongoing learning process is vital for adapting to new challenges and maintaining effective workplace relationships.</w:t>
      </w:r>
      <w:r w:rsidR="00801708" w:rsidRPr="0008480A">
        <w:rPr>
          <w:rFonts w:cs="Arial"/>
          <w:b/>
          <w:bCs/>
          <w:sz w:val="24"/>
          <w:szCs w:val="24"/>
        </w:rPr>
        <w:br w:type="page"/>
      </w:r>
    </w:p>
    <w:p w14:paraId="0FD80DA4" w14:textId="77777777" w:rsidR="002B5C28" w:rsidRPr="002B5C28" w:rsidRDefault="002B5C28" w:rsidP="00F747E9">
      <w:pPr>
        <w:pStyle w:val="Heading1"/>
      </w:pPr>
      <w:bookmarkStart w:id="12" w:name="_Toc172365089"/>
      <w:r w:rsidRPr="002B5C28">
        <w:lastRenderedPageBreak/>
        <w:t>Conclusion and Recommendations</w:t>
      </w:r>
      <w:bookmarkEnd w:id="12"/>
    </w:p>
    <w:p w14:paraId="5C95DF10" w14:textId="77777777" w:rsidR="00F747E9" w:rsidRDefault="00F747E9" w:rsidP="002B5C28">
      <w:pPr>
        <w:rPr>
          <w:rFonts w:cs="Arial"/>
          <w:szCs w:val="22"/>
        </w:rPr>
      </w:pPr>
    </w:p>
    <w:p w14:paraId="5DAF38CB" w14:textId="14BE387D" w:rsidR="002B60D6" w:rsidRPr="00092A24" w:rsidRDefault="002B60D6" w:rsidP="00B60C7F">
      <w:pPr>
        <w:pStyle w:val="NoSpacing"/>
      </w:pPr>
      <w:r w:rsidRPr="002B60D6">
        <w:t xml:space="preserve"> </w:t>
      </w:r>
      <w:r w:rsidRPr="00092A24">
        <w:t>Insights from Stakeholder Analysis and Conflict Resolution in the Post Office Strike</w:t>
      </w:r>
    </w:p>
    <w:p w14:paraId="2622A501" w14:textId="77777777" w:rsidR="002B60D6" w:rsidRPr="002B60D6" w:rsidRDefault="002B60D6" w:rsidP="002B60D6">
      <w:pPr>
        <w:rPr>
          <w:rFonts w:cs="Arial"/>
          <w:szCs w:val="22"/>
        </w:rPr>
      </w:pPr>
    </w:p>
    <w:p w14:paraId="1A20E85D" w14:textId="77777777" w:rsidR="002B60D6" w:rsidRPr="002B60D6" w:rsidRDefault="002B60D6" w:rsidP="002B60D6">
      <w:pPr>
        <w:rPr>
          <w:rFonts w:cs="Arial"/>
          <w:szCs w:val="22"/>
        </w:rPr>
      </w:pPr>
      <w:r w:rsidRPr="002B60D6">
        <w:rPr>
          <w:rFonts w:cs="Arial"/>
          <w:szCs w:val="22"/>
        </w:rPr>
        <w:t>The study of stakeholder analysis and conflict resolution within the context of the Post Office strike has provided valuable insights into managing organisational disputes effectively. By identifying and engaging key stakeholders, such as the CWU, Post Office management, government/BEIS, major retail partners, non-striking employees, customers, the public, and media, organisations can address concerns comprehensively and foster a collaborative environment (Freeman, 1984).</w:t>
      </w:r>
    </w:p>
    <w:p w14:paraId="511C839A" w14:textId="77777777" w:rsidR="002B60D6" w:rsidRPr="002B60D6" w:rsidRDefault="002B60D6" w:rsidP="002B60D6">
      <w:pPr>
        <w:rPr>
          <w:rFonts w:cs="Arial"/>
          <w:szCs w:val="22"/>
        </w:rPr>
      </w:pPr>
      <w:r w:rsidRPr="002B60D6">
        <w:rPr>
          <w:rFonts w:cs="Arial"/>
          <w:szCs w:val="22"/>
        </w:rPr>
        <w:t>The conflict resolution styles explored—avoidance, accommodation, competition, compromise, and collaboration—highlight the importance of selecting an appropriate approach based on the specific context of the dispute. For the Post Office strike, the collaborative conflict resolution style is most suitable, as it promotes open dialogue, mutual respect, and a thorough exploration of underlying interests (Thomas &amp; Kilmann, 1974). This approach not only addresses immediate concerns but also lays the groundwork for long-term organisational harmony and productivity (Rahim, 2002).</w:t>
      </w:r>
    </w:p>
    <w:p w14:paraId="48A4C07B" w14:textId="6E6DAD2F" w:rsidR="002B60D6" w:rsidRPr="002B60D6" w:rsidRDefault="002B60D6" w:rsidP="002B60D6">
      <w:pPr>
        <w:rPr>
          <w:rFonts w:cs="Arial"/>
          <w:szCs w:val="22"/>
        </w:rPr>
      </w:pPr>
      <w:r w:rsidRPr="002B60D6">
        <w:rPr>
          <w:rFonts w:cs="Arial"/>
          <w:szCs w:val="22"/>
        </w:rPr>
        <w:t>Recommendations</w:t>
      </w:r>
    </w:p>
    <w:p w14:paraId="04C4944E" w14:textId="355C4FCF" w:rsidR="002B60D6" w:rsidRPr="002B60D6" w:rsidRDefault="002B60D6" w:rsidP="00B60C7F">
      <w:pPr>
        <w:pStyle w:val="NoSpacing"/>
      </w:pPr>
      <w:r w:rsidRPr="002B60D6">
        <w:t>Engage in Open Communication:</w:t>
      </w:r>
    </w:p>
    <w:p w14:paraId="047A251E" w14:textId="77777777" w:rsidR="002B60D6" w:rsidRPr="002B60D6" w:rsidRDefault="002B60D6" w:rsidP="002B60D6">
      <w:pPr>
        <w:rPr>
          <w:rFonts w:cs="Arial"/>
          <w:szCs w:val="22"/>
        </w:rPr>
      </w:pPr>
    </w:p>
    <w:p w14:paraId="5CEEACE3" w14:textId="77777777" w:rsidR="002B60D6" w:rsidRPr="002B60D6" w:rsidRDefault="002B60D6" w:rsidP="002B60D6">
      <w:pPr>
        <w:rPr>
          <w:rFonts w:cs="Arial"/>
          <w:szCs w:val="22"/>
        </w:rPr>
      </w:pPr>
      <w:r w:rsidRPr="002B60D6">
        <w:rPr>
          <w:rFonts w:cs="Arial"/>
          <w:szCs w:val="22"/>
        </w:rPr>
        <w:t>Facilitate regular and transparent communication between management and the CWU to build trust and understanding. This can be achieved through joint problem-solving committees and mediated negotiations to ensure all voices are heard and respected (Fisher, Ury &amp; Patton, 1991).</w:t>
      </w:r>
    </w:p>
    <w:p w14:paraId="755F3B5C" w14:textId="0742C704" w:rsidR="002B60D6" w:rsidRPr="002B60D6" w:rsidRDefault="002B60D6" w:rsidP="00B60C7F">
      <w:pPr>
        <w:pStyle w:val="NoSpacing"/>
      </w:pPr>
      <w:r w:rsidRPr="002B60D6">
        <w:t>Adopt Interest-Based Negotiation:</w:t>
      </w:r>
    </w:p>
    <w:p w14:paraId="6175363A" w14:textId="77777777" w:rsidR="002B60D6" w:rsidRPr="002B60D6" w:rsidRDefault="002B60D6" w:rsidP="002B60D6">
      <w:pPr>
        <w:rPr>
          <w:rFonts w:cs="Arial"/>
          <w:szCs w:val="22"/>
        </w:rPr>
      </w:pPr>
    </w:p>
    <w:p w14:paraId="68AE2802" w14:textId="77777777" w:rsidR="002B60D6" w:rsidRPr="002B60D6" w:rsidRDefault="002B60D6" w:rsidP="002B60D6">
      <w:pPr>
        <w:rPr>
          <w:rFonts w:cs="Arial"/>
          <w:szCs w:val="22"/>
        </w:rPr>
      </w:pPr>
      <w:r w:rsidRPr="002B60D6">
        <w:rPr>
          <w:rFonts w:cs="Arial"/>
          <w:szCs w:val="22"/>
        </w:rPr>
        <w:t>Focus on underlying interests rather than positions to uncover creative solutions that satisfy both parties. This can involve exploring alternatives such as phased pay increases, performance-linked bonuses, or enhanced non-monetary benefits (Thomas &amp; Kilmann, 1974).</w:t>
      </w:r>
    </w:p>
    <w:p w14:paraId="7C41C5DD" w14:textId="77777777" w:rsidR="002B60D6" w:rsidRDefault="002B60D6" w:rsidP="002B60D6">
      <w:pPr>
        <w:rPr>
          <w:rFonts w:cs="Arial"/>
          <w:szCs w:val="22"/>
        </w:rPr>
      </w:pPr>
    </w:p>
    <w:p w14:paraId="12E9CF99" w14:textId="77777777" w:rsidR="00B60C7F" w:rsidRDefault="00B60C7F" w:rsidP="002B60D6">
      <w:pPr>
        <w:rPr>
          <w:rFonts w:cs="Arial"/>
          <w:szCs w:val="22"/>
        </w:rPr>
      </w:pPr>
    </w:p>
    <w:p w14:paraId="2BB71951" w14:textId="77777777" w:rsidR="00B60C7F" w:rsidRPr="002B60D6" w:rsidRDefault="00B60C7F" w:rsidP="002B60D6">
      <w:pPr>
        <w:rPr>
          <w:rFonts w:cs="Arial"/>
          <w:szCs w:val="22"/>
        </w:rPr>
      </w:pPr>
    </w:p>
    <w:p w14:paraId="0250BA22" w14:textId="47B8AF6F" w:rsidR="002B60D6" w:rsidRPr="002B60D6" w:rsidRDefault="002B60D6" w:rsidP="00B60C7F">
      <w:pPr>
        <w:pStyle w:val="NoSpacing"/>
      </w:pPr>
      <w:r w:rsidRPr="002B60D6">
        <w:lastRenderedPageBreak/>
        <w:t>Leverage Stakeholder Support:</w:t>
      </w:r>
    </w:p>
    <w:p w14:paraId="6E014DCA" w14:textId="77777777" w:rsidR="002B60D6" w:rsidRPr="002B60D6" w:rsidRDefault="002B60D6" w:rsidP="002B60D6">
      <w:pPr>
        <w:rPr>
          <w:rFonts w:cs="Arial"/>
          <w:szCs w:val="22"/>
        </w:rPr>
      </w:pPr>
    </w:p>
    <w:p w14:paraId="43123B5E" w14:textId="77777777" w:rsidR="002B60D6" w:rsidRPr="002B60D6" w:rsidRDefault="002B60D6" w:rsidP="002B60D6">
      <w:pPr>
        <w:rPr>
          <w:rFonts w:cs="Arial"/>
          <w:szCs w:val="22"/>
        </w:rPr>
      </w:pPr>
      <w:r w:rsidRPr="002B60D6">
        <w:rPr>
          <w:rFonts w:cs="Arial"/>
          <w:szCs w:val="22"/>
        </w:rPr>
        <w:t>Engage external stakeholders, including major retail partners and customers, to provide input and support for the resolution process. This can help maintain service continuity and shape a positive public narrative (Bryson, 2004).</w:t>
      </w:r>
    </w:p>
    <w:p w14:paraId="14E7FD85" w14:textId="45A4D9F8" w:rsidR="002B60D6" w:rsidRPr="002B60D6" w:rsidRDefault="002B60D6" w:rsidP="00B60C7F">
      <w:pPr>
        <w:pStyle w:val="NoSpacing"/>
      </w:pPr>
      <w:r w:rsidRPr="002B60D6">
        <w:t>Develop Long-Term Strategies:</w:t>
      </w:r>
    </w:p>
    <w:p w14:paraId="22F59223" w14:textId="77777777" w:rsidR="002B60D6" w:rsidRPr="002B60D6" w:rsidRDefault="002B60D6" w:rsidP="002B60D6">
      <w:pPr>
        <w:rPr>
          <w:rFonts w:cs="Arial"/>
          <w:szCs w:val="22"/>
        </w:rPr>
      </w:pPr>
    </w:p>
    <w:p w14:paraId="41F412BF" w14:textId="77777777" w:rsidR="002B60D6" w:rsidRPr="002B60D6" w:rsidRDefault="002B60D6" w:rsidP="002B60D6">
      <w:pPr>
        <w:rPr>
          <w:rFonts w:cs="Arial"/>
          <w:szCs w:val="22"/>
        </w:rPr>
      </w:pPr>
      <w:r w:rsidRPr="002B60D6">
        <w:rPr>
          <w:rFonts w:cs="Arial"/>
          <w:szCs w:val="22"/>
        </w:rPr>
        <w:t>Implement long-term strategies for employee welfare and organisational sustainability. This includes regular reviews of pay structures in relation to inflation, establishing permanent dialogue channels, and creating policies for proactive conflict management (Jehn, 1995).</w:t>
      </w:r>
    </w:p>
    <w:p w14:paraId="05EF3D71" w14:textId="328259B9" w:rsidR="002B60D6" w:rsidRPr="002B60D6" w:rsidRDefault="002B60D6" w:rsidP="00B60C7F">
      <w:pPr>
        <w:pStyle w:val="NoSpacing"/>
      </w:pPr>
      <w:r w:rsidRPr="002B60D6">
        <w:t>Continuous Feedback Mechanisms:</w:t>
      </w:r>
    </w:p>
    <w:p w14:paraId="4614BD97" w14:textId="77777777" w:rsidR="002B60D6" w:rsidRPr="002B60D6" w:rsidRDefault="002B60D6" w:rsidP="002B60D6">
      <w:pPr>
        <w:rPr>
          <w:rFonts w:cs="Arial"/>
          <w:szCs w:val="22"/>
        </w:rPr>
      </w:pPr>
    </w:p>
    <w:p w14:paraId="24BA23C5" w14:textId="77777777" w:rsidR="002B60D6" w:rsidRPr="002B60D6" w:rsidRDefault="002B60D6" w:rsidP="002B60D6">
      <w:pPr>
        <w:rPr>
          <w:rFonts w:cs="Arial"/>
          <w:szCs w:val="22"/>
        </w:rPr>
      </w:pPr>
      <w:r w:rsidRPr="002B60D6">
        <w:rPr>
          <w:rFonts w:cs="Arial"/>
          <w:szCs w:val="22"/>
        </w:rPr>
        <w:t>Establish mechanisms for continuous feedback and communication with all stakeholders. Regular town hall meetings, surveys, and feedback sessions can help identify and resolve potential conflicts early, ensuring ongoing alignment and cooperation (Rahim, 2002).</w:t>
      </w:r>
    </w:p>
    <w:p w14:paraId="13FB1536" w14:textId="77777777" w:rsidR="002B60D6" w:rsidRPr="002B60D6" w:rsidRDefault="002B60D6" w:rsidP="002B60D6">
      <w:pPr>
        <w:rPr>
          <w:rFonts w:cs="Arial"/>
          <w:szCs w:val="22"/>
        </w:rPr>
      </w:pPr>
    </w:p>
    <w:p w14:paraId="3AD1479D" w14:textId="22696786" w:rsidR="00302B10" w:rsidRDefault="002B60D6" w:rsidP="002B60D6">
      <w:pPr>
        <w:rPr>
          <w:rFonts w:cs="Arial"/>
          <w:szCs w:val="22"/>
        </w:rPr>
      </w:pPr>
      <w:r w:rsidRPr="002B60D6">
        <w:rPr>
          <w:rFonts w:cs="Arial"/>
          <w:szCs w:val="22"/>
        </w:rPr>
        <w:t>By adopting these recommendations, the Post Office can effectively manage the current dispute and enhance its capability to handle future conflicts. This approach not only ensures a fair and sustainable resolution but also fosters a culture of collaboration and mutual respect within the organisation.</w:t>
      </w:r>
      <w:r w:rsidR="00302B10">
        <w:rPr>
          <w:rFonts w:cs="Arial"/>
          <w:szCs w:val="22"/>
        </w:rPr>
        <w:br w:type="page"/>
      </w:r>
    </w:p>
    <w:p w14:paraId="670B58BC" w14:textId="77777777" w:rsidR="00302B10" w:rsidRPr="00302B10" w:rsidRDefault="00302B10" w:rsidP="00FC286A">
      <w:pPr>
        <w:pStyle w:val="Heading1"/>
      </w:pPr>
      <w:bookmarkStart w:id="13" w:name="_Toc172365090"/>
      <w:r w:rsidRPr="00FC286A">
        <w:lastRenderedPageBreak/>
        <w:t>References</w:t>
      </w:r>
      <w:bookmarkEnd w:id="13"/>
    </w:p>
    <w:p w14:paraId="5261BD65" w14:textId="77777777" w:rsidR="00FC286A" w:rsidRDefault="00FC286A" w:rsidP="00302B10">
      <w:pPr>
        <w:tabs>
          <w:tab w:val="left" w:pos="560"/>
          <w:tab w:val="left" w:pos="7220"/>
        </w:tabs>
        <w:rPr>
          <w:rFonts w:cs="Arial"/>
          <w:szCs w:val="22"/>
        </w:rPr>
      </w:pPr>
    </w:p>
    <w:p w14:paraId="646C87DD" w14:textId="77777777" w:rsidR="009A63BC" w:rsidRDefault="009A63BC" w:rsidP="00302B10">
      <w:pPr>
        <w:tabs>
          <w:tab w:val="left" w:pos="560"/>
          <w:tab w:val="left" w:pos="7220"/>
        </w:tabs>
        <w:rPr>
          <w:rFonts w:cs="Arial"/>
          <w:szCs w:val="22"/>
        </w:rPr>
      </w:pPr>
    </w:p>
    <w:p w14:paraId="4717A123" w14:textId="77777777" w:rsidR="006A18CB" w:rsidRDefault="006A18CB" w:rsidP="008E43CB">
      <w:pPr>
        <w:pStyle w:val="ListParagraph"/>
        <w:numPr>
          <w:ilvl w:val="0"/>
          <w:numId w:val="7"/>
        </w:numPr>
        <w:tabs>
          <w:tab w:val="left" w:pos="560"/>
          <w:tab w:val="left" w:pos="7220"/>
        </w:tabs>
        <w:rPr>
          <w:rFonts w:cs="Arial"/>
          <w:szCs w:val="22"/>
        </w:rPr>
      </w:pPr>
      <w:r w:rsidRPr="008E43CB">
        <w:rPr>
          <w:rFonts w:cs="Arial"/>
          <w:szCs w:val="22"/>
        </w:rPr>
        <w:t>BBC News. (2022). Post Office workers to strike over pay offer. [online] Available at: https://www.bbc.com/news/business-61256133 [Accessed 3 Jun. 2024].</w:t>
      </w:r>
    </w:p>
    <w:p w14:paraId="708D8584" w14:textId="530064B4" w:rsidR="006A18CB" w:rsidRPr="00672218" w:rsidRDefault="00672218" w:rsidP="00F24879">
      <w:pPr>
        <w:pStyle w:val="ListParagraph"/>
        <w:numPr>
          <w:ilvl w:val="0"/>
          <w:numId w:val="7"/>
        </w:numPr>
        <w:tabs>
          <w:tab w:val="left" w:pos="560"/>
          <w:tab w:val="left" w:pos="7220"/>
        </w:tabs>
        <w:rPr>
          <w:rFonts w:cs="Arial"/>
          <w:szCs w:val="22"/>
        </w:rPr>
      </w:pPr>
      <w:r w:rsidRPr="00672218">
        <w:rPr>
          <w:rFonts w:cs="Arial"/>
          <w:szCs w:val="22"/>
        </w:rPr>
        <w:t>Bencivenga, Jim. (2002). John Kotter on Leadership, Management and Change. School Administrator.</w:t>
      </w:r>
    </w:p>
    <w:p w14:paraId="687E4AC3" w14:textId="7F187F42" w:rsidR="006A18CB" w:rsidRDefault="006A18CB" w:rsidP="00E03C70">
      <w:pPr>
        <w:pStyle w:val="ListParagraph"/>
        <w:numPr>
          <w:ilvl w:val="0"/>
          <w:numId w:val="7"/>
        </w:numPr>
        <w:tabs>
          <w:tab w:val="left" w:pos="560"/>
          <w:tab w:val="left" w:pos="7220"/>
        </w:tabs>
        <w:rPr>
          <w:rFonts w:cs="Arial"/>
          <w:szCs w:val="22"/>
        </w:rPr>
      </w:pPr>
      <w:r w:rsidRPr="00672218">
        <w:rPr>
          <w:rFonts w:cs="Arial"/>
          <w:szCs w:val="22"/>
        </w:rPr>
        <w:t>Bryson, J. M. (2004). What to do when stakeholders matter: A guide to stakeholder identification and analysis techniques. Public Management Review, 6(1), pp. 21-53.</w:t>
      </w:r>
    </w:p>
    <w:p w14:paraId="538742A0" w14:textId="71FEBF7D" w:rsidR="00F87B68" w:rsidRPr="00672218" w:rsidRDefault="00F87B68" w:rsidP="00E03C70">
      <w:pPr>
        <w:pStyle w:val="ListParagraph"/>
        <w:numPr>
          <w:ilvl w:val="0"/>
          <w:numId w:val="7"/>
        </w:numPr>
        <w:tabs>
          <w:tab w:val="left" w:pos="560"/>
          <w:tab w:val="left" w:pos="7220"/>
        </w:tabs>
        <w:rPr>
          <w:rFonts w:cs="Arial"/>
          <w:szCs w:val="22"/>
        </w:rPr>
      </w:pPr>
      <w:r w:rsidRPr="00F87B68">
        <w:rPr>
          <w:rFonts w:cs="Arial"/>
          <w:szCs w:val="22"/>
        </w:rPr>
        <w:t>Carnall, C.A. &amp; By, R.T. (2014). Managing change in organizations. 6th ed. Harlow: Financial Times Prentice Hall.</w:t>
      </w:r>
    </w:p>
    <w:p w14:paraId="39638F0D" w14:textId="0C8C563B" w:rsidR="006A18CB" w:rsidRPr="00E52C5F" w:rsidRDefault="006A18CB" w:rsidP="00B1077F">
      <w:pPr>
        <w:pStyle w:val="ListParagraph"/>
        <w:numPr>
          <w:ilvl w:val="0"/>
          <w:numId w:val="7"/>
        </w:numPr>
        <w:tabs>
          <w:tab w:val="left" w:pos="560"/>
          <w:tab w:val="left" w:pos="7220"/>
        </w:tabs>
        <w:rPr>
          <w:rFonts w:cs="Arial"/>
          <w:szCs w:val="22"/>
        </w:rPr>
      </w:pPr>
      <w:r w:rsidRPr="00E52C5F">
        <w:rPr>
          <w:rFonts w:cs="Arial"/>
          <w:szCs w:val="22"/>
        </w:rPr>
        <w:t>Dawson, P. &amp; Andiopoulos, C. (2014). Managing Change, Creativity &amp; Innovation.</w:t>
      </w:r>
    </w:p>
    <w:p w14:paraId="5F66CD11" w14:textId="04844E2A" w:rsidR="006A18CB" w:rsidRPr="00E52C5F" w:rsidRDefault="006A18CB" w:rsidP="00B900F6">
      <w:pPr>
        <w:pStyle w:val="ListParagraph"/>
        <w:numPr>
          <w:ilvl w:val="0"/>
          <w:numId w:val="7"/>
        </w:numPr>
        <w:tabs>
          <w:tab w:val="left" w:pos="560"/>
          <w:tab w:val="left" w:pos="7220"/>
        </w:tabs>
        <w:rPr>
          <w:rFonts w:cs="Arial"/>
          <w:szCs w:val="22"/>
        </w:rPr>
      </w:pPr>
      <w:r w:rsidRPr="00E52C5F">
        <w:rPr>
          <w:rFonts w:cs="Arial"/>
          <w:szCs w:val="22"/>
        </w:rPr>
        <w:t>Fisher, R., Ury, W. &amp; Patton, B. (1991). Getting to Yes: Negotiating Agreement Without Giving In. Penguin Books.</w:t>
      </w:r>
    </w:p>
    <w:p w14:paraId="05D5DD72"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Freeman, R. E. (1984). Strategic Management: A Stakeholder Approach. Pitman.</w:t>
      </w:r>
    </w:p>
    <w:p w14:paraId="3C9BEB50"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Greenfield, A. (2017, October 31). The 5 forces of change: a blueprint for leading successful change [Video file]. In The Business &amp; Management Collection, Henry Stewart Talks. Retrieved June 14, 2024.</w:t>
      </w:r>
    </w:p>
    <w:p w14:paraId="27F85237"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Hughes, M. (2010). Managing change: a critical perspective / Mark Hughes. Second edition. London: Chartered Institute of Personnel and Development.</w:t>
      </w:r>
    </w:p>
    <w:p w14:paraId="77494C64"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Jalagat, R. (2016). The Impact of Change and Change Management in Achieving Corporate Goals and Objectives: Organizational Perspective. International Journal of Science and Research (IJSR), 5, pp. 1233-1239.</w:t>
      </w:r>
    </w:p>
    <w:p w14:paraId="127C8C43"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Jehn, K. A. (1995). A multimethod examination of the benefits and detriments of intragroup conflict. Administrative Science Quarterly, 40(2), pp. 256-282.</w:t>
      </w:r>
    </w:p>
    <w:p w14:paraId="417CAC3D" w14:textId="189B4904"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 xml:space="preserve">Kanter, R. M. (1983). The change </w:t>
      </w:r>
      <w:r w:rsidR="00FD7CA4" w:rsidRPr="008E43CB">
        <w:rPr>
          <w:rFonts w:cs="Arial"/>
          <w:szCs w:val="22"/>
        </w:rPr>
        <w:t>experts</w:t>
      </w:r>
      <w:r w:rsidRPr="008E43CB">
        <w:rPr>
          <w:rFonts w:cs="Arial"/>
          <w:szCs w:val="22"/>
        </w:rPr>
        <w:t>: innovation for productivity in the American corporation. Simon and Schuster.</w:t>
      </w:r>
    </w:p>
    <w:p w14:paraId="006EFA3C"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Kotter, J. P. (1990). A force for change: how leadership differs from management. Free Press; Collier Macmillan.</w:t>
      </w:r>
    </w:p>
    <w:p w14:paraId="76CA7C66"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Orridge, M. (2009). Change leadership: developing a change-adept organization. Farnham, England: Gower Publishing Limited.</w:t>
      </w:r>
    </w:p>
    <w:p w14:paraId="6F0DC776"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Paton, R. &amp; McCalman, J. (2000). Change management: a guide to effective implementation / Robert A. Paton, James McCalman. Second edition. London: Sage.</w:t>
      </w:r>
    </w:p>
    <w:p w14:paraId="5702D7B5"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Post Office Ltd. (2022). Annual Report 2021/22. [online] Available at: https://www.postoffice.co.uk/annual-report [Accessed 3 Jun. 2024].</w:t>
      </w:r>
    </w:p>
    <w:p w14:paraId="3980E94E"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lastRenderedPageBreak/>
        <w:t>Rahim, M. A. (2002). Toward a theory of managing organizational conflict. International Journal of Conflict Management, 13(3), pp. 206-235.</w:t>
      </w:r>
    </w:p>
    <w:p w14:paraId="42704F1A" w14:textId="77777777" w:rsidR="006A18CB"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Thomas, K. W. (1992). Conflict and negotiation processes in organizations. In M. D. Dunnette &amp; L. M. Hough (Eds.), Handbook of Industrial and Organizational Psychology, Vol. 3. Consulting Psychologists Press.</w:t>
      </w:r>
    </w:p>
    <w:p w14:paraId="4E4D5C69" w14:textId="74978EB4" w:rsidR="00BB230D" w:rsidRPr="008E43CB" w:rsidRDefault="006A18CB" w:rsidP="008E43CB">
      <w:pPr>
        <w:pStyle w:val="ListParagraph"/>
        <w:numPr>
          <w:ilvl w:val="0"/>
          <w:numId w:val="7"/>
        </w:numPr>
        <w:tabs>
          <w:tab w:val="left" w:pos="560"/>
          <w:tab w:val="left" w:pos="7220"/>
        </w:tabs>
        <w:rPr>
          <w:rFonts w:cs="Arial"/>
          <w:szCs w:val="22"/>
        </w:rPr>
      </w:pPr>
      <w:r w:rsidRPr="008E43CB">
        <w:rPr>
          <w:rFonts w:cs="Arial"/>
          <w:szCs w:val="22"/>
        </w:rPr>
        <w:t>Thomas, K. W. &amp; Kilmann, R. H. (1974). Thomas-Kilmann Conflict Mode Instrument. Xicom.</w:t>
      </w:r>
    </w:p>
    <w:sectPr w:rsidR="00BB230D" w:rsidRPr="008E43CB" w:rsidSect="00EA74AD">
      <w:headerReference w:type="default" r:id="rId9"/>
      <w:footerReference w:type="default" r:id="rId10"/>
      <w:pgSz w:w="11906" w:h="16838"/>
      <w:pgMar w:top="1440" w:right="1440" w:bottom="1440" w:left="1440" w:header="708" w:footer="708" w:gutter="0"/>
      <w:pgBorders w:offsetFrom="page">
        <w:top w:val="single" w:sz="2" w:space="24" w:color="E1CAB5" w:themeColor="accent6" w:themeTint="66"/>
        <w:left w:val="single" w:sz="2" w:space="24" w:color="E1CAB5" w:themeColor="accent6" w:themeTint="66"/>
        <w:bottom w:val="single" w:sz="2" w:space="24" w:color="E1CAB5" w:themeColor="accent6" w:themeTint="66"/>
        <w:right w:val="single" w:sz="2" w:space="24" w:color="E1CAB5" w:themeColor="accent6"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C61AC" w14:textId="77777777" w:rsidR="005B2EC3" w:rsidRDefault="005B2EC3" w:rsidP="001D4BC5">
      <w:pPr>
        <w:spacing w:after="0" w:line="240" w:lineRule="auto"/>
      </w:pPr>
      <w:r>
        <w:separator/>
      </w:r>
    </w:p>
  </w:endnote>
  <w:endnote w:type="continuationSeparator" w:id="0">
    <w:p w14:paraId="283416C8" w14:textId="77777777" w:rsidR="005B2EC3" w:rsidRDefault="005B2EC3" w:rsidP="001D4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57729"/>
      <w:docPartObj>
        <w:docPartGallery w:val="Page Numbers (Bottom of Page)"/>
        <w:docPartUnique/>
      </w:docPartObj>
    </w:sdtPr>
    <w:sdtEndPr>
      <w:rPr>
        <w:noProof/>
      </w:rPr>
    </w:sdtEndPr>
    <w:sdtContent>
      <w:p w14:paraId="606277F4" w14:textId="4DC11105" w:rsidR="000F388A" w:rsidRDefault="000F38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66BDA" w14:textId="77777777" w:rsidR="000F388A" w:rsidRDefault="000F3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139E93" w14:textId="77777777" w:rsidR="005B2EC3" w:rsidRDefault="005B2EC3" w:rsidP="001D4BC5">
      <w:pPr>
        <w:spacing w:after="0" w:line="240" w:lineRule="auto"/>
      </w:pPr>
      <w:r>
        <w:separator/>
      </w:r>
    </w:p>
  </w:footnote>
  <w:footnote w:type="continuationSeparator" w:id="0">
    <w:p w14:paraId="7814F198" w14:textId="77777777" w:rsidR="005B2EC3" w:rsidRDefault="005B2EC3" w:rsidP="001D4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832BD" w14:textId="20B28C01" w:rsidR="001D4BC5" w:rsidRDefault="001D4BC5">
    <w:pPr>
      <w:pStyle w:val="Header"/>
    </w:pPr>
  </w:p>
  <w:p w14:paraId="08273038" w14:textId="77777777" w:rsidR="001D4BC5" w:rsidRDefault="001D4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B2894"/>
    <w:multiLevelType w:val="hybridMultilevel"/>
    <w:tmpl w:val="D8420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C0E54"/>
    <w:multiLevelType w:val="hybridMultilevel"/>
    <w:tmpl w:val="BF4C5FDC"/>
    <w:lvl w:ilvl="0" w:tplc="1A385A4C">
      <w:start w:val="1"/>
      <w:numFmt w:val="bullet"/>
      <w:lvlText w:val="•"/>
      <w:lvlJc w:val="left"/>
      <w:pPr>
        <w:tabs>
          <w:tab w:val="num" w:pos="720"/>
        </w:tabs>
        <w:ind w:left="720" w:hanging="360"/>
      </w:pPr>
      <w:rPr>
        <w:rFonts w:ascii="Calibri" w:hAnsi="Calibri" w:hint="default"/>
      </w:rPr>
    </w:lvl>
    <w:lvl w:ilvl="1" w:tplc="8BBC1B42" w:tentative="1">
      <w:start w:val="1"/>
      <w:numFmt w:val="bullet"/>
      <w:lvlText w:val="•"/>
      <w:lvlJc w:val="left"/>
      <w:pPr>
        <w:tabs>
          <w:tab w:val="num" w:pos="1440"/>
        </w:tabs>
        <w:ind w:left="1440" w:hanging="360"/>
      </w:pPr>
      <w:rPr>
        <w:rFonts w:ascii="Calibri" w:hAnsi="Calibri" w:hint="default"/>
      </w:rPr>
    </w:lvl>
    <w:lvl w:ilvl="2" w:tplc="38103FD6" w:tentative="1">
      <w:start w:val="1"/>
      <w:numFmt w:val="bullet"/>
      <w:lvlText w:val="•"/>
      <w:lvlJc w:val="left"/>
      <w:pPr>
        <w:tabs>
          <w:tab w:val="num" w:pos="2160"/>
        </w:tabs>
        <w:ind w:left="2160" w:hanging="360"/>
      </w:pPr>
      <w:rPr>
        <w:rFonts w:ascii="Calibri" w:hAnsi="Calibri" w:hint="default"/>
      </w:rPr>
    </w:lvl>
    <w:lvl w:ilvl="3" w:tplc="7EA299AC" w:tentative="1">
      <w:start w:val="1"/>
      <w:numFmt w:val="bullet"/>
      <w:lvlText w:val="•"/>
      <w:lvlJc w:val="left"/>
      <w:pPr>
        <w:tabs>
          <w:tab w:val="num" w:pos="2880"/>
        </w:tabs>
        <w:ind w:left="2880" w:hanging="360"/>
      </w:pPr>
      <w:rPr>
        <w:rFonts w:ascii="Calibri" w:hAnsi="Calibri" w:hint="default"/>
      </w:rPr>
    </w:lvl>
    <w:lvl w:ilvl="4" w:tplc="E6E8FD04" w:tentative="1">
      <w:start w:val="1"/>
      <w:numFmt w:val="bullet"/>
      <w:lvlText w:val="•"/>
      <w:lvlJc w:val="left"/>
      <w:pPr>
        <w:tabs>
          <w:tab w:val="num" w:pos="3600"/>
        </w:tabs>
        <w:ind w:left="3600" w:hanging="360"/>
      </w:pPr>
      <w:rPr>
        <w:rFonts w:ascii="Calibri" w:hAnsi="Calibri" w:hint="default"/>
      </w:rPr>
    </w:lvl>
    <w:lvl w:ilvl="5" w:tplc="49DE5304" w:tentative="1">
      <w:start w:val="1"/>
      <w:numFmt w:val="bullet"/>
      <w:lvlText w:val="•"/>
      <w:lvlJc w:val="left"/>
      <w:pPr>
        <w:tabs>
          <w:tab w:val="num" w:pos="4320"/>
        </w:tabs>
        <w:ind w:left="4320" w:hanging="360"/>
      </w:pPr>
      <w:rPr>
        <w:rFonts w:ascii="Calibri" w:hAnsi="Calibri" w:hint="default"/>
      </w:rPr>
    </w:lvl>
    <w:lvl w:ilvl="6" w:tplc="54B2809E" w:tentative="1">
      <w:start w:val="1"/>
      <w:numFmt w:val="bullet"/>
      <w:lvlText w:val="•"/>
      <w:lvlJc w:val="left"/>
      <w:pPr>
        <w:tabs>
          <w:tab w:val="num" w:pos="5040"/>
        </w:tabs>
        <w:ind w:left="5040" w:hanging="360"/>
      </w:pPr>
      <w:rPr>
        <w:rFonts w:ascii="Calibri" w:hAnsi="Calibri" w:hint="default"/>
      </w:rPr>
    </w:lvl>
    <w:lvl w:ilvl="7" w:tplc="A984AD68" w:tentative="1">
      <w:start w:val="1"/>
      <w:numFmt w:val="bullet"/>
      <w:lvlText w:val="•"/>
      <w:lvlJc w:val="left"/>
      <w:pPr>
        <w:tabs>
          <w:tab w:val="num" w:pos="5760"/>
        </w:tabs>
        <w:ind w:left="5760" w:hanging="360"/>
      </w:pPr>
      <w:rPr>
        <w:rFonts w:ascii="Calibri" w:hAnsi="Calibri" w:hint="default"/>
      </w:rPr>
    </w:lvl>
    <w:lvl w:ilvl="8" w:tplc="13C021DE" w:tentative="1">
      <w:start w:val="1"/>
      <w:numFmt w:val="bullet"/>
      <w:lvlText w:val="•"/>
      <w:lvlJc w:val="left"/>
      <w:pPr>
        <w:tabs>
          <w:tab w:val="num" w:pos="6480"/>
        </w:tabs>
        <w:ind w:left="6480" w:hanging="360"/>
      </w:pPr>
      <w:rPr>
        <w:rFonts w:ascii="Calibri" w:hAnsi="Calibri" w:hint="default"/>
      </w:rPr>
    </w:lvl>
  </w:abstractNum>
  <w:abstractNum w:abstractNumId="2" w15:restartNumberingAfterBreak="0">
    <w:nsid w:val="49E34977"/>
    <w:multiLevelType w:val="hybridMultilevel"/>
    <w:tmpl w:val="625C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66544A"/>
    <w:multiLevelType w:val="hybridMultilevel"/>
    <w:tmpl w:val="AD842DAA"/>
    <w:lvl w:ilvl="0" w:tplc="4276135C">
      <w:start w:val="1"/>
      <w:numFmt w:val="bullet"/>
      <w:lvlText w:val="•"/>
      <w:lvlJc w:val="left"/>
      <w:pPr>
        <w:tabs>
          <w:tab w:val="num" w:pos="720"/>
        </w:tabs>
        <w:ind w:left="720" w:hanging="360"/>
      </w:pPr>
      <w:rPr>
        <w:rFonts w:ascii="Arial" w:hAnsi="Arial" w:hint="default"/>
      </w:rPr>
    </w:lvl>
    <w:lvl w:ilvl="1" w:tplc="36C0D5F4">
      <w:start w:val="1"/>
      <w:numFmt w:val="bullet"/>
      <w:lvlText w:val="•"/>
      <w:lvlJc w:val="left"/>
      <w:pPr>
        <w:tabs>
          <w:tab w:val="num" w:pos="1440"/>
        </w:tabs>
        <w:ind w:left="1440" w:hanging="360"/>
      </w:pPr>
      <w:rPr>
        <w:rFonts w:ascii="Arial" w:hAnsi="Arial" w:hint="default"/>
      </w:rPr>
    </w:lvl>
    <w:lvl w:ilvl="2" w:tplc="7F30C8F6" w:tentative="1">
      <w:start w:val="1"/>
      <w:numFmt w:val="bullet"/>
      <w:lvlText w:val="•"/>
      <w:lvlJc w:val="left"/>
      <w:pPr>
        <w:tabs>
          <w:tab w:val="num" w:pos="2160"/>
        </w:tabs>
        <w:ind w:left="2160" w:hanging="360"/>
      </w:pPr>
      <w:rPr>
        <w:rFonts w:ascii="Arial" w:hAnsi="Arial" w:hint="default"/>
      </w:rPr>
    </w:lvl>
    <w:lvl w:ilvl="3" w:tplc="099267E6" w:tentative="1">
      <w:start w:val="1"/>
      <w:numFmt w:val="bullet"/>
      <w:lvlText w:val="•"/>
      <w:lvlJc w:val="left"/>
      <w:pPr>
        <w:tabs>
          <w:tab w:val="num" w:pos="2880"/>
        </w:tabs>
        <w:ind w:left="2880" w:hanging="360"/>
      </w:pPr>
      <w:rPr>
        <w:rFonts w:ascii="Arial" w:hAnsi="Arial" w:hint="default"/>
      </w:rPr>
    </w:lvl>
    <w:lvl w:ilvl="4" w:tplc="74926EB6" w:tentative="1">
      <w:start w:val="1"/>
      <w:numFmt w:val="bullet"/>
      <w:lvlText w:val="•"/>
      <w:lvlJc w:val="left"/>
      <w:pPr>
        <w:tabs>
          <w:tab w:val="num" w:pos="3600"/>
        </w:tabs>
        <w:ind w:left="3600" w:hanging="360"/>
      </w:pPr>
      <w:rPr>
        <w:rFonts w:ascii="Arial" w:hAnsi="Arial" w:hint="default"/>
      </w:rPr>
    </w:lvl>
    <w:lvl w:ilvl="5" w:tplc="98069E7C" w:tentative="1">
      <w:start w:val="1"/>
      <w:numFmt w:val="bullet"/>
      <w:lvlText w:val="•"/>
      <w:lvlJc w:val="left"/>
      <w:pPr>
        <w:tabs>
          <w:tab w:val="num" w:pos="4320"/>
        </w:tabs>
        <w:ind w:left="4320" w:hanging="360"/>
      </w:pPr>
      <w:rPr>
        <w:rFonts w:ascii="Arial" w:hAnsi="Arial" w:hint="default"/>
      </w:rPr>
    </w:lvl>
    <w:lvl w:ilvl="6" w:tplc="7C1EF49C" w:tentative="1">
      <w:start w:val="1"/>
      <w:numFmt w:val="bullet"/>
      <w:lvlText w:val="•"/>
      <w:lvlJc w:val="left"/>
      <w:pPr>
        <w:tabs>
          <w:tab w:val="num" w:pos="5040"/>
        </w:tabs>
        <w:ind w:left="5040" w:hanging="360"/>
      </w:pPr>
      <w:rPr>
        <w:rFonts w:ascii="Arial" w:hAnsi="Arial" w:hint="default"/>
      </w:rPr>
    </w:lvl>
    <w:lvl w:ilvl="7" w:tplc="BB54F8AA" w:tentative="1">
      <w:start w:val="1"/>
      <w:numFmt w:val="bullet"/>
      <w:lvlText w:val="•"/>
      <w:lvlJc w:val="left"/>
      <w:pPr>
        <w:tabs>
          <w:tab w:val="num" w:pos="5760"/>
        </w:tabs>
        <w:ind w:left="5760" w:hanging="360"/>
      </w:pPr>
      <w:rPr>
        <w:rFonts w:ascii="Arial" w:hAnsi="Arial" w:hint="default"/>
      </w:rPr>
    </w:lvl>
    <w:lvl w:ilvl="8" w:tplc="438A5A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8512AF"/>
    <w:multiLevelType w:val="hybridMultilevel"/>
    <w:tmpl w:val="F28A4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536603"/>
    <w:multiLevelType w:val="hybridMultilevel"/>
    <w:tmpl w:val="A2729F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5035DB9"/>
    <w:multiLevelType w:val="hybridMultilevel"/>
    <w:tmpl w:val="955C63CC"/>
    <w:lvl w:ilvl="0" w:tplc="E3B895EE">
      <w:start w:val="1"/>
      <w:numFmt w:val="bullet"/>
      <w:lvlText w:val="•"/>
      <w:lvlJc w:val="left"/>
      <w:pPr>
        <w:tabs>
          <w:tab w:val="num" w:pos="720"/>
        </w:tabs>
        <w:ind w:left="720" w:hanging="360"/>
      </w:pPr>
      <w:rPr>
        <w:rFonts w:ascii="Arial" w:hAnsi="Arial" w:hint="default"/>
      </w:rPr>
    </w:lvl>
    <w:lvl w:ilvl="1" w:tplc="5622DB94">
      <w:numFmt w:val="bullet"/>
      <w:lvlText w:val="•"/>
      <w:lvlJc w:val="left"/>
      <w:pPr>
        <w:tabs>
          <w:tab w:val="num" w:pos="1440"/>
        </w:tabs>
        <w:ind w:left="1440" w:hanging="360"/>
      </w:pPr>
      <w:rPr>
        <w:rFonts w:ascii="Arial" w:hAnsi="Arial" w:hint="default"/>
      </w:rPr>
    </w:lvl>
    <w:lvl w:ilvl="2" w:tplc="60D891F8" w:tentative="1">
      <w:start w:val="1"/>
      <w:numFmt w:val="bullet"/>
      <w:lvlText w:val="•"/>
      <w:lvlJc w:val="left"/>
      <w:pPr>
        <w:tabs>
          <w:tab w:val="num" w:pos="2160"/>
        </w:tabs>
        <w:ind w:left="2160" w:hanging="360"/>
      </w:pPr>
      <w:rPr>
        <w:rFonts w:ascii="Arial" w:hAnsi="Arial" w:hint="default"/>
      </w:rPr>
    </w:lvl>
    <w:lvl w:ilvl="3" w:tplc="75F6E7C0" w:tentative="1">
      <w:start w:val="1"/>
      <w:numFmt w:val="bullet"/>
      <w:lvlText w:val="•"/>
      <w:lvlJc w:val="left"/>
      <w:pPr>
        <w:tabs>
          <w:tab w:val="num" w:pos="2880"/>
        </w:tabs>
        <w:ind w:left="2880" w:hanging="360"/>
      </w:pPr>
      <w:rPr>
        <w:rFonts w:ascii="Arial" w:hAnsi="Arial" w:hint="default"/>
      </w:rPr>
    </w:lvl>
    <w:lvl w:ilvl="4" w:tplc="5B3EAD1E" w:tentative="1">
      <w:start w:val="1"/>
      <w:numFmt w:val="bullet"/>
      <w:lvlText w:val="•"/>
      <w:lvlJc w:val="left"/>
      <w:pPr>
        <w:tabs>
          <w:tab w:val="num" w:pos="3600"/>
        </w:tabs>
        <w:ind w:left="3600" w:hanging="360"/>
      </w:pPr>
      <w:rPr>
        <w:rFonts w:ascii="Arial" w:hAnsi="Arial" w:hint="default"/>
      </w:rPr>
    </w:lvl>
    <w:lvl w:ilvl="5" w:tplc="E9CE0028" w:tentative="1">
      <w:start w:val="1"/>
      <w:numFmt w:val="bullet"/>
      <w:lvlText w:val="•"/>
      <w:lvlJc w:val="left"/>
      <w:pPr>
        <w:tabs>
          <w:tab w:val="num" w:pos="4320"/>
        </w:tabs>
        <w:ind w:left="4320" w:hanging="360"/>
      </w:pPr>
      <w:rPr>
        <w:rFonts w:ascii="Arial" w:hAnsi="Arial" w:hint="default"/>
      </w:rPr>
    </w:lvl>
    <w:lvl w:ilvl="6" w:tplc="5A0296BE" w:tentative="1">
      <w:start w:val="1"/>
      <w:numFmt w:val="bullet"/>
      <w:lvlText w:val="•"/>
      <w:lvlJc w:val="left"/>
      <w:pPr>
        <w:tabs>
          <w:tab w:val="num" w:pos="5040"/>
        </w:tabs>
        <w:ind w:left="5040" w:hanging="360"/>
      </w:pPr>
      <w:rPr>
        <w:rFonts w:ascii="Arial" w:hAnsi="Arial" w:hint="default"/>
      </w:rPr>
    </w:lvl>
    <w:lvl w:ilvl="7" w:tplc="A016F314" w:tentative="1">
      <w:start w:val="1"/>
      <w:numFmt w:val="bullet"/>
      <w:lvlText w:val="•"/>
      <w:lvlJc w:val="left"/>
      <w:pPr>
        <w:tabs>
          <w:tab w:val="num" w:pos="5760"/>
        </w:tabs>
        <w:ind w:left="5760" w:hanging="360"/>
      </w:pPr>
      <w:rPr>
        <w:rFonts w:ascii="Arial" w:hAnsi="Arial" w:hint="default"/>
      </w:rPr>
    </w:lvl>
    <w:lvl w:ilvl="8" w:tplc="CA9C4A1C" w:tentative="1">
      <w:start w:val="1"/>
      <w:numFmt w:val="bullet"/>
      <w:lvlText w:val="•"/>
      <w:lvlJc w:val="left"/>
      <w:pPr>
        <w:tabs>
          <w:tab w:val="num" w:pos="6480"/>
        </w:tabs>
        <w:ind w:left="6480" w:hanging="360"/>
      </w:pPr>
      <w:rPr>
        <w:rFonts w:ascii="Arial" w:hAnsi="Arial" w:hint="default"/>
      </w:rPr>
    </w:lvl>
  </w:abstractNum>
  <w:num w:numId="1" w16cid:durableId="1146553086">
    <w:abstractNumId w:val="1"/>
  </w:num>
  <w:num w:numId="2" w16cid:durableId="952593314">
    <w:abstractNumId w:val="3"/>
  </w:num>
  <w:num w:numId="3" w16cid:durableId="1228150570">
    <w:abstractNumId w:val="6"/>
  </w:num>
  <w:num w:numId="4" w16cid:durableId="1836455561">
    <w:abstractNumId w:val="2"/>
  </w:num>
  <w:num w:numId="5" w16cid:durableId="994643693">
    <w:abstractNumId w:val="5"/>
  </w:num>
  <w:num w:numId="6" w16cid:durableId="283661531">
    <w:abstractNumId w:val="0"/>
  </w:num>
  <w:num w:numId="7" w16cid:durableId="1804616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4AD"/>
    <w:rsid w:val="00006412"/>
    <w:rsid w:val="00027E65"/>
    <w:rsid w:val="00036D84"/>
    <w:rsid w:val="000375A9"/>
    <w:rsid w:val="0006283D"/>
    <w:rsid w:val="000738B3"/>
    <w:rsid w:val="00073FE2"/>
    <w:rsid w:val="0008480A"/>
    <w:rsid w:val="00092A24"/>
    <w:rsid w:val="0009369F"/>
    <w:rsid w:val="000A6DB8"/>
    <w:rsid w:val="000C3ED2"/>
    <w:rsid w:val="000D7B85"/>
    <w:rsid w:val="000E16E7"/>
    <w:rsid w:val="000F388A"/>
    <w:rsid w:val="00101204"/>
    <w:rsid w:val="00105DD6"/>
    <w:rsid w:val="0016450D"/>
    <w:rsid w:val="001650B5"/>
    <w:rsid w:val="0018344C"/>
    <w:rsid w:val="00192826"/>
    <w:rsid w:val="00197687"/>
    <w:rsid w:val="001C14D8"/>
    <w:rsid w:val="001C175F"/>
    <w:rsid w:val="001D0D26"/>
    <w:rsid w:val="001D4BC5"/>
    <w:rsid w:val="001E0A92"/>
    <w:rsid w:val="001E171B"/>
    <w:rsid w:val="001F2D80"/>
    <w:rsid w:val="00216DB8"/>
    <w:rsid w:val="002177CF"/>
    <w:rsid w:val="00220055"/>
    <w:rsid w:val="00221014"/>
    <w:rsid w:val="00246F7F"/>
    <w:rsid w:val="002477A5"/>
    <w:rsid w:val="002547E5"/>
    <w:rsid w:val="00255313"/>
    <w:rsid w:val="00266BC1"/>
    <w:rsid w:val="00271E83"/>
    <w:rsid w:val="00272FED"/>
    <w:rsid w:val="00276A15"/>
    <w:rsid w:val="002957EA"/>
    <w:rsid w:val="002A58BD"/>
    <w:rsid w:val="002A5FF7"/>
    <w:rsid w:val="002A648A"/>
    <w:rsid w:val="002B013F"/>
    <w:rsid w:val="002B137C"/>
    <w:rsid w:val="002B5C28"/>
    <w:rsid w:val="002B60D6"/>
    <w:rsid w:val="002D7D0B"/>
    <w:rsid w:val="002E2399"/>
    <w:rsid w:val="002F760A"/>
    <w:rsid w:val="00302B10"/>
    <w:rsid w:val="00302EDA"/>
    <w:rsid w:val="003160C0"/>
    <w:rsid w:val="003175D3"/>
    <w:rsid w:val="00325EFC"/>
    <w:rsid w:val="003339A5"/>
    <w:rsid w:val="00335769"/>
    <w:rsid w:val="003365BF"/>
    <w:rsid w:val="00345785"/>
    <w:rsid w:val="00351F6C"/>
    <w:rsid w:val="00354541"/>
    <w:rsid w:val="00356319"/>
    <w:rsid w:val="00394BA3"/>
    <w:rsid w:val="003953AC"/>
    <w:rsid w:val="00397712"/>
    <w:rsid w:val="003A5A49"/>
    <w:rsid w:val="0040602A"/>
    <w:rsid w:val="0041068B"/>
    <w:rsid w:val="00412B08"/>
    <w:rsid w:val="00421EAC"/>
    <w:rsid w:val="00422537"/>
    <w:rsid w:val="00440333"/>
    <w:rsid w:val="00456ECE"/>
    <w:rsid w:val="00461F41"/>
    <w:rsid w:val="004774DB"/>
    <w:rsid w:val="00490D68"/>
    <w:rsid w:val="004923F3"/>
    <w:rsid w:val="004B3608"/>
    <w:rsid w:val="004B5C64"/>
    <w:rsid w:val="0053254A"/>
    <w:rsid w:val="00533C72"/>
    <w:rsid w:val="005421FC"/>
    <w:rsid w:val="00550845"/>
    <w:rsid w:val="00552336"/>
    <w:rsid w:val="00582839"/>
    <w:rsid w:val="0059262A"/>
    <w:rsid w:val="005B2EC3"/>
    <w:rsid w:val="005C4545"/>
    <w:rsid w:val="005D3B35"/>
    <w:rsid w:val="005E0272"/>
    <w:rsid w:val="006026DB"/>
    <w:rsid w:val="00642C01"/>
    <w:rsid w:val="006439D8"/>
    <w:rsid w:val="00657FAD"/>
    <w:rsid w:val="00661D94"/>
    <w:rsid w:val="00672218"/>
    <w:rsid w:val="006A18CB"/>
    <w:rsid w:val="006B3DBC"/>
    <w:rsid w:val="006F2245"/>
    <w:rsid w:val="007234DD"/>
    <w:rsid w:val="0072483C"/>
    <w:rsid w:val="007814E2"/>
    <w:rsid w:val="00783EBF"/>
    <w:rsid w:val="0079170F"/>
    <w:rsid w:val="007A2FD1"/>
    <w:rsid w:val="007E1A70"/>
    <w:rsid w:val="007E5411"/>
    <w:rsid w:val="007F0DF5"/>
    <w:rsid w:val="00801708"/>
    <w:rsid w:val="0080530D"/>
    <w:rsid w:val="008207A6"/>
    <w:rsid w:val="008220D8"/>
    <w:rsid w:val="00837978"/>
    <w:rsid w:val="008422AB"/>
    <w:rsid w:val="00854958"/>
    <w:rsid w:val="00856B9E"/>
    <w:rsid w:val="00856DE4"/>
    <w:rsid w:val="0087321A"/>
    <w:rsid w:val="00876CB7"/>
    <w:rsid w:val="00882A63"/>
    <w:rsid w:val="0089466F"/>
    <w:rsid w:val="008B6E5A"/>
    <w:rsid w:val="008C1CF8"/>
    <w:rsid w:val="008C3A55"/>
    <w:rsid w:val="008D0C1E"/>
    <w:rsid w:val="008D42C1"/>
    <w:rsid w:val="008D741C"/>
    <w:rsid w:val="008E4024"/>
    <w:rsid w:val="008E43CB"/>
    <w:rsid w:val="009042B6"/>
    <w:rsid w:val="00915335"/>
    <w:rsid w:val="0093492B"/>
    <w:rsid w:val="00935458"/>
    <w:rsid w:val="00953A30"/>
    <w:rsid w:val="00982992"/>
    <w:rsid w:val="00983004"/>
    <w:rsid w:val="00985C1F"/>
    <w:rsid w:val="00987E64"/>
    <w:rsid w:val="009A63BC"/>
    <w:rsid w:val="009B2ADF"/>
    <w:rsid w:val="009B53FA"/>
    <w:rsid w:val="009C49F4"/>
    <w:rsid w:val="009E319C"/>
    <w:rsid w:val="009F0E98"/>
    <w:rsid w:val="00A04AB9"/>
    <w:rsid w:val="00A066AC"/>
    <w:rsid w:val="00A73FFA"/>
    <w:rsid w:val="00A77041"/>
    <w:rsid w:val="00AA4FEB"/>
    <w:rsid w:val="00AC1B73"/>
    <w:rsid w:val="00AD5062"/>
    <w:rsid w:val="00AE5786"/>
    <w:rsid w:val="00B13E29"/>
    <w:rsid w:val="00B149AE"/>
    <w:rsid w:val="00B3278F"/>
    <w:rsid w:val="00B60C7F"/>
    <w:rsid w:val="00B74ECA"/>
    <w:rsid w:val="00B77D5A"/>
    <w:rsid w:val="00B96968"/>
    <w:rsid w:val="00BA1612"/>
    <w:rsid w:val="00BA1FFA"/>
    <w:rsid w:val="00BA49F7"/>
    <w:rsid w:val="00BA52BC"/>
    <w:rsid w:val="00BB230D"/>
    <w:rsid w:val="00BB272C"/>
    <w:rsid w:val="00BB508F"/>
    <w:rsid w:val="00BC3244"/>
    <w:rsid w:val="00BC6FFE"/>
    <w:rsid w:val="00BF0151"/>
    <w:rsid w:val="00BF3499"/>
    <w:rsid w:val="00C06392"/>
    <w:rsid w:val="00C10A13"/>
    <w:rsid w:val="00C16B3B"/>
    <w:rsid w:val="00C17B36"/>
    <w:rsid w:val="00C20FE0"/>
    <w:rsid w:val="00C3003D"/>
    <w:rsid w:val="00C31309"/>
    <w:rsid w:val="00C67A5A"/>
    <w:rsid w:val="00CC55A4"/>
    <w:rsid w:val="00CC689D"/>
    <w:rsid w:val="00CC6BE4"/>
    <w:rsid w:val="00CC7978"/>
    <w:rsid w:val="00CC7BB6"/>
    <w:rsid w:val="00CE1634"/>
    <w:rsid w:val="00CF7B73"/>
    <w:rsid w:val="00D03D3B"/>
    <w:rsid w:val="00D063EE"/>
    <w:rsid w:val="00D16EDA"/>
    <w:rsid w:val="00D17E77"/>
    <w:rsid w:val="00D37355"/>
    <w:rsid w:val="00D37F66"/>
    <w:rsid w:val="00D71220"/>
    <w:rsid w:val="00D76BFE"/>
    <w:rsid w:val="00D80B01"/>
    <w:rsid w:val="00DA5A43"/>
    <w:rsid w:val="00DA5DA1"/>
    <w:rsid w:val="00DA60BB"/>
    <w:rsid w:val="00DA61FE"/>
    <w:rsid w:val="00DA7D0F"/>
    <w:rsid w:val="00DD5E2C"/>
    <w:rsid w:val="00DD7DFD"/>
    <w:rsid w:val="00DE70DE"/>
    <w:rsid w:val="00DF1AD0"/>
    <w:rsid w:val="00E0569C"/>
    <w:rsid w:val="00E1539D"/>
    <w:rsid w:val="00E23224"/>
    <w:rsid w:val="00E52C5F"/>
    <w:rsid w:val="00E60DE5"/>
    <w:rsid w:val="00E661DE"/>
    <w:rsid w:val="00E77039"/>
    <w:rsid w:val="00E812B8"/>
    <w:rsid w:val="00EA74AD"/>
    <w:rsid w:val="00EC1E8A"/>
    <w:rsid w:val="00EC527F"/>
    <w:rsid w:val="00ED2FEB"/>
    <w:rsid w:val="00EE186A"/>
    <w:rsid w:val="00EF7543"/>
    <w:rsid w:val="00F120DE"/>
    <w:rsid w:val="00F23B7A"/>
    <w:rsid w:val="00F23EE1"/>
    <w:rsid w:val="00F337F8"/>
    <w:rsid w:val="00F37DE7"/>
    <w:rsid w:val="00F42B45"/>
    <w:rsid w:val="00F4540A"/>
    <w:rsid w:val="00F747E9"/>
    <w:rsid w:val="00F80A6D"/>
    <w:rsid w:val="00F87B68"/>
    <w:rsid w:val="00F94D4E"/>
    <w:rsid w:val="00FC0F4C"/>
    <w:rsid w:val="00FC286A"/>
    <w:rsid w:val="00FC5613"/>
    <w:rsid w:val="00FD14BA"/>
    <w:rsid w:val="00FD7CA4"/>
    <w:rsid w:val="00FF18B1"/>
    <w:rsid w:val="00FF5B40"/>
    <w:rsid w:val="00FF5B5B"/>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A50F8"/>
  <w15:chartTrackingRefBased/>
  <w15:docId w15:val="{F15A23EC-8D5F-4E1F-AA16-3CE2C7B9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7EA"/>
    <w:rPr>
      <w:rFonts w:ascii="Arial" w:hAnsi="Arial"/>
      <w:sz w:val="22"/>
    </w:rPr>
  </w:style>
  <w:style w:type="paragraph" w:styleId="Heading1">
    <w:name w:val="heading 1"/>
    <w:basedOn w:val="Normal"/>
    <w:next w:val="Normal"/>
    <w:link w:val="Heading1Char"/>
    <w:uiPriority w:val="9"/>
    <w:qFormat/>
    <w:rsid w:val="00FC286A"/>
    <w:pPr>
      <w:keepNext/>
      <w:keepLines/>
      <w:pBdr>
        <w:bottom w:val="single" w:sz="4" w:space="1" w:color="A5300F" w:themeColor="accent1"/>
      </w:pBdr>
      <w:spacing w:before="400" w:after="40" w:line="240" w:lineRule="auto"/>
      <w:outlineLvl w:val="0"/>
    </w:pPr>
    <w:rPr>
      <w:rFonts w:eastAsiaTheme="majorEastAsia" w:cstheme="majorBidi"/>
      <w:color w:val="7B230B" w:themeColor="accent1" w:themeShade="BF"/>
      <w:sz w:val="36"/>
      <w:szCs w:val="36"/>
    </w:rPr>
  </w:style>
  <w:style w:type="paragraph" w:styleId="Heading2">
    <w:name w:val="heading 2"/>
    <w:basedOn w:val="Normal"/>
    <w:next w:val="Normal"/>
    <w:link w:val="Heading2Char"/>
    <w:uiPriority w:val="9"/>
    <w:unhideWhenUsed/>
    <w:qFormat/>
    <w:rsid w:val="00EA74AD"/>
    <w:pPr>
      <w:keepNext/>
      <w:keepLines/>
      <w:spacing w:before="160" w:after="0" w:line="240" w:lineRule="auto"/>
      <w:outlineLvl w:val="1"/>
    </w:pPr>
    <w:rPr>
      <w:rFonts w:asciiTheme="majorHAnsi" w:eastAsiaTheme="majorEastAsia" w:hAnsiTheme="majorHAnsi" w:cstheme="majorBidi"/>
      <w:color w:val="7B230B" w:themeColor="accent1" w:themeShade="BF"/>
      <w:sz w:val="28"/>
      <w:szCs w:val="28"/>
    </w:rPr>
  </w:style>
  <w:style w:type="paragraph" w:styleId="Heading3">
    <w:name w:val="heading 3"/>
    <w:basedOn w:val="Normal"/>
    <w:next w:val="Normal"/>
    <w:link w:val="Heading3Char"/>
    <w:uiPriority w:val="9"/>
    <w:semiHidden/>
    <w:unhideWhenUsed/>
    <w:qFormat/>
    <w:rsid w:val="00EA74A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A74A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A74AD"/>
    <w:pPr>
      <w:keepNext/>
      <w:keepLines/>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EA74A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A74A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A74A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A74A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86A"/>
    <w:rPr>
      <w:rFonts w:ascii="Arial" w:eastAsiaTheme="majorEastAsia" w:hAnsi="Arial" w:cstheme="majorBidi"/>
      <w:color w:val="7B230B" w:themeColor="accent1" w:themeShade="BF"/>
      <w:sz w:val="36"/>
      <w:szCs w:val="36"/>
    </w:rPr>
  </w:style>
  <w:style w:type="character" w:customStyle="1" w:styleId="Heading2Char">
    <w:name w:val="Heading 2 Char"/>
    <w:basedOn w:val="DefaultParagraphFont"/>
    <w:link w:val="Heading2"/>
    <w:uiPriority w:val="9"/>
    <w:rsid w:val="00EA74AD"/>
    <w:rPr>
      <w:rFonts w:asciiTheme="majorHAnsi" w:eastAsiaTheme="majorEastAsia" w:hAnsiTheme="majorHAnsi" w:cstheme="majorBidi"/>
      <w:color w:val="7B230B" w:themeColor="accent1" w:themeShade="BF"/>
      <w:sz w:val="28"/>
      <w:szCs w:val="28"/>
    </w:rPr>
  </w:style>
  <w:style w:type="character" w:customStyle="1" w:styleId="Heading3Char">
    <w:name w:val="Heading 3 Char"/>
    <w:basedOn w:val="DefaultParagraphFont"/>
    <w:link w:val="Heading3"/>
    <w:uiPriority w:val="9"/>
    <w:semiHidden/>
    <w:rsid w:val="00EA74A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A74A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A74A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A74A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A74A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A74A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A74AD"/>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EA74AD"/>
    <w:pPr>
      <w:spacing w:after="0" w:line="240" w:lineRule="auto"/>
      <w:contextualSpacing/>
    </w:pPr>
    <w:rPr>
      <w:rFonts w:asciiTheme="majorHAnsi" w:eastAsiaTheme="majorEastAsia" w:hAnsiTheme="majorHAnsi" w:cstheme="majorBidi"/>
      <w:color w:val="7B230B" w:themeColor="accent1" w:themeShade="BF"/>
      <w:spacing w:val="-7"/>
      <w:sz w:val="80"/>
      <w:szCs w:val="80"/>
    </w:rPr>
  </w:style>
  <w:style w:type="character" w:customStyle="1" w:styleId="TitleChar">
    <w:name w:val="Title Char"/>
    <w:basedOn w:val="DefaultParagraphFont"/>
    <w:link w:val="Title"/>
    <w:uiPriority w:val="10"/>
    <w:rsid w:val="00EA74AD"/>
    <w:rPr>
      <w:rFonts w:asciiTheme="majorHAnsi" w:eastAsiaTheme="majorEastAsia" w:hAnsiTheme="majorHAnsi" w:cstheme="majorBidi"/>
      <w:color w:val="7B230B" w:themeColor="accent1" w:themeShade="BF"/>
      <w:spacing w:val="-7"/>
      <w:sz w:val="80"/>
      <w:szCs w:val="80"/>
    </w:rPr>
  </w:style>
  <w:style w:type="paragraph" w:styleId="Subtitle">
    <w:name w:val="Subtitle"/>
    <w:basedOn w:val="Normal"/>
    <w:next w:val="Normal"/>
    <w:link w:val="SubtitleChar"/>
    <w:uiPriority w:val="11"/>
    <w:qFormat/>
    <w:rsid w:val="00EA74A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A74AD"/>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EA74A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A74AD"/>
    <w:rPr>
      <w:i/>
      <w:iCs/>
    </w:rPr>
  </w:style>
  <w:style w:type="paragraph" w:styleId="ListParagraph">
    <w:name w:val="List Paragraph"/>
    <w:basedOn w:val="Normal"/>
    <w:uiPriority w:val="34"/>
    <w:qFormat/>
    <w:rsid w:val="00EA74AD"/>
    <w:pPr>
      <w:ind w:left="720"/>
      <w:contextualSpacing/>
    </w:pPr>
  </w:style>
  <w:style w:type="character" w:styleId="IntenseEmphasis">
    <w:name w:val="Intense Emphasis"/>
    <w:basedOn w:val="DefaultParagraphFont"/>
    <w:uiPriority w:val="21"/>
    <w:qFormat/>
    <w:rsid w:val="00EA74AD"/>
    <w:rPr>
      <w:b/>
      <w:bCs/>
      <w:i/>
      <w:iCs/>
    </w:rPr>
  </w:style>
  <w:style w:type="paragraph" w:styleId="IntenseQuote">
    <w:name w:val="Intense Quote"/>
    <w:basedOn w:val="Normal"/>
    <w:next w:val="Normal"/>
    <w:link w:val="IntenseQuoteChar"/>
    <w:uiPriority w:val="30"/>
    <w:qFormat/>
    <w:rsid w:val="00EA74AD"/>
    <w:pPr>
      <w:spacing w:before="100" w:beforeAutospacing="1" w:after="240"/>
      <w:ind w:left="864" w:right="864"/>
      <w:jc w:val="center"/>
    </w:pPr>
    <w:rPr>
      <w:rFonts w:asciiTheme="majorHAnsi" w:eastAsiaTheme="majorEastAsia" w:hAnsiTheme="majorHAnsi" w:cstheme="majorBidi"/>
      <w:color w:val="A5300F" w:themeColor="accent1"/>
      <w:sz w:val="28"/>
      <w:szCs w:val="28"/>
    </w:rPr>
  </w:style>
  <w:style w:type="character" w:customStyle="1" w:styleId="IntenseQuoteChar">
    <w:name w:val="Intense Quote Char"/>
    <w:basedOn w:val="DefaultParagraphFont"/>
    <w:link w:val="IntenseQuote"/>
    <w:uiPriority w:val="30"/>
    <w:rsid w:val="00EA74AD"/>
    <w:rPr>
      <w:rFonts w:asciiTheme="majorHAnsi" w:eastAsiaTheme="majorEastAsia" w:hAnsiTheme="majorHAnsi" w:cstheme="majorBidi"/>
      <w:color w:val="A5300F" w:themeColor="accent1"/>
      <w:sz w:val="28"/>
      <w:szCs w:val="28"/>
    </w:rPr>
  </w:style>
  <w:style w:type="character" w:styleId="IntenseReference">
    <w:name w:val="Intense Reference"/>
    <w:basedOn w:val="DefaultParagraphFont"/>
    <w:uiPriority w:val="32"/>
    <w:qFormat/>
    <w:rsid w:val="00EA74AD"/>
    <w:rPr>
      <w:b/>
      <w:bCs/>
      <w:smallCaps/>
      <w:u w:val="single"/>
    </w:rPr>
  </w:style>
  <w:style w:type="paragraph" w:styleId="Caption">
    <w:name w:val="caption"/>
    <w:basedOn w:val="Normal"/>
    <w:next w:val="Normal"/>
    <w:uiPriority w:val="35"/>
    <w:unhideWhenUsed/>
    <w:qFormat/>
    <w:rsid w:val="00EA74AD"/>
    <w:pPr>
      <w:spacing w:line="240" w:lineRule="auto"/>
    </w:pPr>
    <w:rPr>
      <w:b/>
      <w:bCs/>
      <w:color w:val="404040" w:themeColor="text1" w:themeTint="BF"/>
      <w:sz w:val="20"/>
      <w:szCs w:val="20"/>
    </w:rPr>
  </w:style>
  <w:style w:type="character" w:styleId="Strong">
    <w:name w:val="Strong"/>
    <w:basedOn w:val="DefaultParagraphFont"/>
    <w:uiPriority w:val="22"/>
    <w:qFormat/>
    <w:rsid w:val="00EA74AD"/>
    <w:rPr>
      <w:b/>
      <w:bCs/>
    </w:rPr>
  </w:style>
  <w:style w:type="character" w:styleId="Emphasis">
    <w:name w:val="Emphasis"/>
    <w:basedOn w:val="DefaultParagraphFont"/>
    <w:uiPriority w:val="20"/>
    <w:qFormat/>
    <w:rsid w:val="00EA74AD"/>
    <w:rPr>
      <w:i/>
      <w:iCs/>
    </w:rPr>
  </w:style>
  <w:style w:type="paragraph" w:styleId="NoSpacing">
    <w:name w:val="No Spacing"/>
    <w:uiPriority w:val="1"/>
    <w:qFormat/>
    <w:rsid w:val="00876CB7"/>
    <w:pPr>
      <w:spacing w:after="0" w:line="240" w:lineRule="auto"/>
    </w:pPr>
    <w:rPr>
      <w:rFonts w:ascii="Arial" w:hAnsi="Arial"/>
      <w:b/>
      <w:sz w:val="24"/>
    </w:rPr>
  </w:style>
  <w:style w:type="character" w:styleId="SubtleEmphasis">
    <w:name w:val="Subtle Emphasis"/>
    <w:basedOn w:val="DefaultParagraphFont"/>
    <w:uiPriority w:val="19"/>
    <w:qFormat/>
    <w:rsid w:val="00EA74AD"/>
    <w:rPr>
      <w:i/>
      <w:iCs/>
      <w:color w:val="595959" w:themeColor="text1" w:themeTint="A6"/>
    </w:rPr>
  </w:style>
  <w:style w:type="character" w:styleId="SubtleReference">
    <w:name w:val="Subtle Reference"/>
    <w:basedOn w:val="DefaultParagraphFont"/>
    <w:uiPriority w:val="31"/>
    <w:qFormat/>
    <w:rsid w:val="00EA74AD"/>
    <w:rPr>
      <w:smallCaps/>
      <w:color w:val="404040" w:themeColor="text1" w:themeTint="BF"/>
    </w:rPr>
  </w:style>
  <w:style w:type="character" w:styleId="BookTitle">
    <w:name w:val="Book Title"/>
    <w:basedOn w:val="DefaultParagraphFont"/>
    <w:uiPriority w:val="33"/>
    <w:qFormat/>
    <w:rsid w:val="00EA74AD"/>
    <w:rPr>
      <w:b/>
      <w:bCs/>
      <w:smallCaps/>
    </w:rPr>
  </w:style>
  <w:style w:type="paragraph" w:styleId="TOCHeading">
    <w:name w:val="TOC Heading"/>
    <w:basedOn w:val="Heading1"/>
    <w:next w:val="Normal"/>
    <w:uiPriority w:val="39"/>
    <w:unhideWhenUsed/>
    <w:qFormat/>
    <w:rsid w:val="00EA74AD"/>
    <w:pPr>
      <w:outlineLvl w:val="9"/>
    </w:pPr>
  </w:style>
  <w:style w:type="table" w:styleId="TableGrid">
    <w:name w:val="Table Grid"/>
    <w:basedOn w:val="TableNormal"/>
    <w:uiPriority w:val="39"/>
    <w:rsid w:val="00EA7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4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BC5"/>
  </w:style>
  <w:style w:type="paragraph" w:styleId="Footer">
    <w:name w:val="footer"/>
    <w:basedOn w:val="Normal"/>
    <w:link w:val="FooterChar"/>
    <w:uiPriority w:val="99"/>
    <w:unhideWhenUsed/>
    <w:rsid w:val="001D4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BC5"/>
  </w:style>
  <w:style w:type="paragraph" w:styleId="TOC1">
    <w:name w:val="toc 1"/>
    <w:basedOn w:val="Normal"/>
    <w:next w:val="Normal"/>
    <w:autoRedefine/>
    <w:uiPriority w:val="39"/>
    <w:unhideWhenUsed/>
    <w:rsid w:val="00036D84"/>
    <w:pPr>
      <w:spacing w:after="100"/>
    </w:pPr>
  </w:style>
  <w:style w:type="character" w:styleId="Hyperlink">
    <w:name w:val="Hyperlink"/>
    <w:basedOn w:val="DefaultParagraphFont"/>
    <w:uiPriority w:val="99"/>
    <w:unhideWhenUsed/>
    <w:rsid w:val="00036D84"/>
    <w:rPr>
      <w:color w:val="6B9F25" w:themeColor="hyperlink"/>
      <w:u w:val="single"/>
    </w:rPr>
  </w:style>
  <w:style w:type="paragraph" w:styleId="TOC2">
    <w:name w:val="toc 2"/>
    <w:basedOn w:val="Normal"/>
    <w:next w:val="Normal"/>
    <w:autoRedefine/>
    <w:uiPriority w:val="39"/>
    <w:unhideWhenUsed/>
    <w:rsid w:val="00DA7D0F"/>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79019">
      <w:bodyDiv w:val="1"/>
      <w:marLeft w:val="0"/>
      <w:marRight w:val="0"/>
      <w:marTop w:val="0"/>
      <w:marBottom w:val="0"/>
      <w:divBdr>
        <w:top w:val="none" w:sz="0" w:space="0" w:color="auto"/>
        <w:left w:val="none" w:sz="0" w:space="0" w:color="auto"/>
        <w:bottom w:val="none" w:sz="0" w:space="0" w:color="auto"/>
        <w:right w:val="none" w:sz="0" w:space="0" w:color="auto"/>
      </w:divBdr>
    </w:div>
    <w:div w:id="180824868">
      <w:bodyDiv w:val="1"/>
      <w:marLeft w:val="0"/>
      <w:marRight w:val="0"/>
      <w:marTop w:val="0"/>
      <w:marBottom w:val="0"/>
      <w:divBdr>
        <w:top w:val="none" w:sz="0" w:space="0" w:color="auto"/>
        <w:left w:val="none" w:sz="0" w:space="0" w:color="auto"/>
        <w:bottom w:val="none" w:sz="0" w:space="0" w:color="auto"/>
        <w:right w:val="none" w:sz="0" w:space="0" w:color="auto"/>
      </w:divBdr>
    </w:div>
    <w:div w:id="324892841">
      <w:bodyDiv w:val="1"/>
      <w:marLeft w:val="0"/>
      <w:marRight w:val="0"/>
      <w:marTop w:val="0"/>
      <w:marBottom w:val="0"/>
      <w:divBdr>
        <w:top w:val="none" w:sz="0" w:space="0" w:color="auto"/>
        <w:left w:val="none" w:sz="0" w:space="0" w:color="auto"/>
        <w:bottom w:val="none" w:sz="0" w:space="0" w:color="auto"/>
        <w:right w:val="none" w:sz="0" w:space="0" w:color="auto"/>
      </w:divBdr>
    </w:div>
    <w:div w:id="362482982">
      <w:bodyDiv w:val="1"/>
      <w:marLeft w:val="0"/>
      <w:marRight w:val="0"/>
      <w:marTop w:val="0"/>
      <w:marBottom w:val="0"/>
      <w:divBdr>
        <w:top w:val="none" w:sz="0" w:space="0" w:color="auto"/>
        <w:left w:val="none" w:sz="0" w:space="0" w:color="auto"/>
        <w:bottom w:val="none" w:sz="0" w:space="0" w:color="auto"/>
        <w:right w:val="none" w:sz="0" w:space="0" w:color="auto"/>
      </w:divBdr>
    </w:div>
    <w:div w:id="409736390">
      <w:bodyDiv w:val="1"/>
      <w:marLeft w:val="0"/>
      <w:marRight w:val="0"/>
      <w:marTop w:val="0"/>
      <w:marBottom w:val="0"/>
      <w:divBdr>
        <w:top w:val="none" w:sz="0" w:space="0" w:color="auto"/>
        <w:left w:val="none" w:sz="0" w:space="0" w:color="auto"/>
        <w:bottom w:val="none" w:sz="0" w:space="0" w:color="auto"/>
        <w:right w:val="none" w:sz="0" w:space="0" w:color="auto"/>
      </w:divBdr>
      <w:divsChild>
        <w:div w:id="893151734">
          <w:marLeft w:val="0"/>
          <w:marRight w:val="0"/>
          <w:marTop w:val="0"/>
          <w:marBottom w:val="0"/>
          <w:divBdr>
            <w:top w:val="none" w:sz="0" w:space="0" w:color="auto"/>
            <w:left w:val="none" w:sz="0" w:space="0" w:color="auto"/>
            <w:bottom w:val="none" w:sz="0" w:space="0" w:color="auto"/>
            <w:right w:val="none" w:sz="0" w:space="0" w:color="auto"/>
          </w:divBdr>
          <w:divsChild>
            <w:div w:id="36132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12292">
      <w:bodyDiv w:val="1"/>
      <w:marLeft w:val="0"/>
      <w:marRight w:val="0"/>
      <w:marTop w:val="0"/>
      <w:marBottom w:val="0"/>
      <w:divBdr>
        <w:top w:val="none" w:sz="0" w:space="0" w:color="auto"/>
        <w:left w:val="none" w:sz="0" w:space="0" w:color="auto"/>
        <w:bottom w:val="none" w:sz="0" w:space="0" w:color="auto"/>
        <w:right w:val="none" w:sz="0" w:space="0" w:color="auto"/>
      </w:divBdr>
      <w:divsChild>
        <w:div w:id="1004940734">
          <w:marLeft w:val="0"/>
          <w:marRight w:val="0"/>
          <w:marTop w:val="0"/>
          <w:marBottom w:val="0"/>
          <w:divBdr>
            <w:top w:val="none" w:sz="0" w:space="0" w:color="auto"/>
            <w:left w:val="none" w:sz="0" w:space="0" w:color="auto"/>
            <w:bottom w:val="none" w:sz="0" w:space="0" w:color="auto"/>
            <w:right w:val="none" w:sz="0" w:space="0" w:color="auto"/>
          </w:divBdr>
          <w:divsChild>
            <w:div w:id="210475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90222">
      <w:bodyDiv w:val="1"/>
      <w:marLeft w:val="0"/>
      <w:marRight w:val="0"/>
      <w:marTop w:val="0"/>
      <w:marBottom w:val="0"/>
      <w:divBdr>
        <w:top w:val="none" w:sz="0" w:space="0" w:color="auto"/>
        <w:left w:val="none" w:sz="0" w:space="0" w:color="auto"/>
        <w:bottom w:val="none" w:sz="0" w:space="0" w:color="auto"/>
        <w:right w:val="none" w:sz="0" w:space="0" w:color="auto"/>
      </w:divBdr>
      <w:divsChild>
        <w:div w:id="686558855">
          <w:marLeft w:val="763"/>
          <w:marRight w:val="0"/>
          <w:marTop w:val="38"/>
          <w:marBottom w:val="0"/>
          <w:divBdr>
            <w:top w:val="none" w:sz="0" w:space="0" w:color="auto"/>
            <w:left w:val="none" w:sz="0" w:space="0" w:color="auto"/>
            <w:bottom w:val="none" w:sz="0" w:space="0" w:color="auto"/>
            <w:right w:val="none" w:sz="0" w:space="0" w:color="auto"/>
          </w:divBdr>
        </w:div>
        <w:div w:id="2042973068">
          <w:marLeft w:val="1584"/>
          <w:marRight w:val="1152"/>
          <w:marTop w:val="15"/>
          <w:marBottom w:val="0"/>
          <w:divBdr>
            <w:top w:val="none" w:sz="0" w:space="0" w:color="auto"/>
            <w:left w:val="none" w:sz="0" w:space="0" w:color="auto"/>
            <w:bottom w:val="none" w:sz="0" w:space="0" w:color="auto"/>
            <w:right w:val="none" w:sz="0" w:space="0" w:color="auto"/>
          </w:divBdr>
        </w:div>
        <w:div w:id="1645885981">
          <w:marLeft w:val="590"/>
          <w:marRight w:val="0"/>
          <w:marTop w:val="39"/>
          <w:marBottom w:val="0"/>
          <w:divBdr>
            <w:top w:val="none" w:sz="0" w:space="0" w:color="auto"/>
            <w:left w:val="none" w:sz="0" w:space="0" w:color="auto"/>
            <w:bottom w:val="none" w:sz="0" w:space="0" w:color="auto"/>
            <w:right w:val="none" w:sz="0" w:space="0" w:color="auto"/>
          </w:divBdr>
        </w:div>
        <w:div w:id="116993641">
          <w:marLeft w:val="230"/>
          <w:marRight w:val="0"/>
          <w:marTop w:val="40"/>
          <w:marBottom w:val="0"/>
          <w:divBdr>
            <w:top w:val="none" w:sz="0" w:space="0" w:color="auto"/>
            <w:left w:val="none" w:sz="0" w:space="0" w:color="auto"/>
            <w:bottom w:val="none" w:sz="0" w:space="0" w:color="auto"/>
            <w:right w:val="none" w:sz="0" w:space="0" w:color="auto"/>
          </w:divBdr>
        </w:div>
        <w:div w:id="2091385405">
          <w:marLeft w:val="1094"/>
          <w:marRight w:val="0"/>
          <w:marTop w:val="39"/>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Frosted Glass">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4A9FC3-C283-46FC-A87D-945160789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6513</Words>
  <Characters>37129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209</cp:revision>
  <dcterms:created xsi:type="dcterms:W3CDTF">2024-06-03T11:08:00Z</dcterms:created>
  <dcterms:modified xsi:type="dcterms:W3CDTF">2024-07-20T09:51:00Z</dcterms:modified>
</cp:coreProperties>
</file>