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0D749" w14:textId="77777777" w:rsidR="00801A1D" w:rsidRPr="004E607E" w:rsidRDefault="00801A1D" w:rsidP="00801A1D">
      <w:pPr>
        <w:jc w:val="center"/>
        <w:rPr>
          <w:rFonts w:ascii="Calibri" w:hAnsi="Calibri" w:cs="Calibri"/>
          <w:b/>
          <w:bCs/>
          <w:sz w:val="28"/>
          <w:szCs w:val="28"/>
        </w:rPr>
      </w:pPr>
      <w:r w:rsidRPr="004E607E">
        <w:rPr>
          <w:rFonts w:ascii="Calibri" w:hAnsi="Calibri" w:cs="Calibri"/>
          <w:b/>
          <w:bCs/>
          <w:sz w:val="28"/>
          <w:szCs w:val="28"/>
        </w:rPr>
        <w:t>University of Wales Trinity Saint David</w:t>
      </w:r>
    </w:p>
    <w:p w14:paraId="138FD4F4" w14:textId="77777777" w:rsidR="00801A1D" w:rsidRPr="00FA4898" w:rsidRDefault="00801A1D" w:rsidP="00801A1D">
      <w:pPr>
        <w:jc w:val="center"/>
        <w:rPr>
          <w:rFonts w:ascii="Calibri" w:hAnsi="Calibri" w:cs="Calibri"/>
          <w:b/>
          <w:bCs/>
          <w:sz w:val="20"/>
          <w:szCs w:val="20"/>
        </w:rPr>
      </w:pPr>
      <w:r w:rsidRPr="00FA4898">
        <w:rPr>
          <w:rFonts w:ascii="Calibri" w:hAnsi="Calibri" w:cs="Calibri"/>
          <w:b/>
          <w:bCs/>
          <w:sz w:val="20"/>
          <w:szCs w:val="20"/>
        </w:rPr>
        <w:t>Wales Institute of Science and Art</w:t>
      </w:r>
    </w:p>
    <w:p w14:paraId="0FE9486B" w14:textId="77777777" w:rsidR="00801A1D" w:rsidRPr="00FA4898" w:rsidRDefault="00801A1D" w:rsidP="00801A1D">
      <w:pPr>
        <w:jc w:val="center"/>
        <w:rPr>
          <w:rFonts w:ascii="Calibri" w:hAnsi="Calibri" w:cs="Calibri"/>
          <w:b/>
          <w:bCs/>
          <w:sz w:val="20"/>
          <w:szCs w:val="20"/>
        </w:rPr>
      </w:pPr>
      <w:r w:rsidRPr="00FA4898">
        <w:rPr>
          <w:rFonts w:ascii="Calibri" w:hAnsi="Calibri" w:cs="Calibri"/>
          <w:noProof/>
        </w:rPr>
        <w:drawing>
          <wp:anchor distT="0" distB="0" distL="114300" distR="114300" simplePos="0" relativeHeight="251659264" behindDoc="1" locked="0" layoutInCell="1" allowOverlap="1" wp14:anchorId="53B673C7" wp14:editId="19846D24">
            <wp:simplePos x="0" y="0"/>
            <wp:positionH relativeFrom="margin">
              <wp:posOffset>754380</wp:posOffset>
            </wp:positionH>
            <wp:positionV relativeFrom="paragraph">
              <wp:posOffset>80010</wp:posOffset>
            </wp:positionV>
            <wp:extent cx="4229100" cy="2348230"/>
            <wp:effectExtent l="0" t="0" r="0" b="0"/>
            <wp:wrapSquare wrapText="bothSides"/>
            <wp:docPr id="5"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black and yellow logo&#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29100" cy="23482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8BF80F" w14:textId="77777777" w:rsidR="00801A1D" w:rsidRPr="00FA4898" w:rsidRDefault="00801A1D" w:rsidP="00801A1D">
      <w:pPr>
        <w:rPr>
          <w:rFonts w:ascii="Calibri" w:hAnsi="Calibri" w:cs="Calibri"/>
          <w:b/>
          <w:bCs/>
          <w:sz w:val="20"/>
          <w:szCs w:val="20"/>
        </w:rPr>
      </w:pPr>
    </w:p>
    <w:p w14:paraId="2BB7F9FE" w14:textId="77777777" w:rsidR="00801A1D" w:rsidRPr="00FA4898" w:rsidRDefault="00801A1D" w:rsidP="00801A1D">
      <w:pPr>
        <w:rPr>
          <w:rFonts w:ascii="Calibri" w:hAnsi="Calibri" w:cs="Calibri"/>
          <w:b/>
          <w:bCs/>
          <w:sz w:val="20"/>
          <w:szCs w:val="20"/>
        </w:rPr>
      </w:pPr>
    </w:p>
    <w:p w14:paraId="4BFE54FF" w14:textId="77777777" w:rsidR="00801A1D" w:rsidRPr="00FA4898" w:rsidRDefault="00801A1D" w:rsidP="00801A1D">
      <w:pPr>
        <w:rPr>
          <w:rFonts w:ascii="Calibri" w:hAnsi="Calibri" w:cs="Calibri"/>
          <w:b/>
          <w:bCs/>
          <w:sz w:val="20"/>
          <w:szCs w:val="20"/>
        </w:rPr>
      </w:pPr>
    </w:p>
    <w:p w14:paraId="770F9EAA" w14:textId="77777777" w:rsidR="00801A1D" w:rsidRPr="00FA4898" w:rsidRDefault="00801A1D" w:rsidP="00801A1D">
      <w:pPr>
        <w:rPr>
          <w:rFonts w:ascii="Calibri" w:hAnsi="Calibri" w:cs="Calibri"/>
          <w:b/>
          <w:bCs/>
          <w:sz w:val="20"/>
          <w:szCs w:val="20"/>
        </w:rPr>
      </w:pPr>
    </w:p>
    <w:p w14:paraId="2D46CC68" w14:textId="77777777" w:rsidR="00801A1D" w:rsidRPr="00FA4898" w:rsidRDefault="00801A1D" w:rsidP="00801A1D">
      <w:pPr>
        <w:rPr>
          <w:rFonts w:ascii="Calibri" w:hAnsi="Calibri" w:cs="Calibri"/>
          <w:b/>
          <w:bCs/>
          <w:sz w:val="20"/>
          <w:szCs w:val="20"/>
        </w:rPr>
      </w:pPr>
    </w:p>
    <w:p w14:paraId="101C73F2" w14:textId="77777777" w:rsidR="00801A1D" w:rsidRPr="00FA4898" w:rsidRDefault="00801A1D" w:rsidP="00801A1D">
      <w:pPr>
        <w:rPr>
          <w:rFonts w:ascii="Calibri" w:hAnsi="Calibri" w:cs="Calibri"/>
          <w:b/>
          <w:bCs/>
        </w:rPr>
      </w:pPr>
    </w:p>
    <w:p w14:paraId="2E98CD4D" w14:textId="77777777" w:rsidR="00801A1D" w:rsidRPr="00FA4898" w:rsidRDefault="00801A1D" w:rsidP="00801A1D">
      <w:pPr>
        <w:rPr>
          <w:rFonts w:ascii="Calibri" w:hAnsi="Calibri" w:cs="Calibri"/>
          <w:b/>
          <w:bCs/>
        </w:rPr>
      </w:pPr>
    </w:p>
    <w:p w14:paraId="22AF9359" w14:textId="6573D064" w:rsidR="009D7860" w:rsidRPr="009D7860" w:rsidRDefault="00CB5DBB" w:rsidP="009D7860">
      <w:pPr>
        <w:spacing w:after="80" w:line="240" w:lineRule="auto"/>
        <w:contextualSpacing/>
        <w:jc w:val="center"/>
        <w:rPr>
          <w:rFonts w:ascii="Calibri" w:eastAsia="Times New Roman" w:hAnsi="Calibri" w:cs="Calibri"/>
          <w:b/>
          <w:bCs/>
          <w:spacing w:val="-10"/>
          <w:kern w:val="28"/>
          <w:sz w:val="36"/>
          <w:szCs w:val="36"/>
        </w:rPr>
      </w:pPr>
      <w:r>
        <w:rPr>
          <w:rFonts w:ascii="Calibri" w:eastAsia="Times New Roman" w:hAnsi="Calibri" w:cs="Calibri"/>
          <w:b/>
          <w:bCs/>
          <w:spacing w:val="-10"/>
          <w:kern w:val="28"/>
          <w:sz w:val="36"/>
          <w:szCs w:val="36"/>
        </w:rPr>
        <w:t xml:space="preserve">Engineering Projects Assessment 1 Report </w:t>
      </w:r>
    </w:p>
    <w:p w14:paraId="44B47ED2" w14:textId="222B7896" w:rsidR="009D7860" w:rsidRPr="009D7860" w:rsidRDefault="00CB5DBB" w:rsidP="009D7860">
      <w:pPr>
        <w:spacing w:line="278" w:lineRule="auto"/>
        <w:jc w:val="center"/>
        <w:rPr>
          <w:rFonts w:ascii="Calibri" w:eastAsia="Aptos" w:hAnsi="Calibri" w:cs="Calibri"/>
          <w:b/>
          <w:bCs/>
        </w:rPr>
      </w:pPr>
      <w:r>
        <w:rPr>
          <w:rFonts w:ascii="Calibri" w:eastAsia="Aptos" w:hAnsi="Calibri" w:cs="Calibri"/>
          <w:b/>
          <w:bCs/>
        </w:rPr>
        <w:t>Engineering Projects</w:t>
      </w:r>
      <w:r w:rsidR="009D7860" w:rsidRPr="009D7860">
        <w:rPr>
          <w:rFonts w:ascii="Calibri" w:eastAsia="Aptos" w:hAnsi="Calibri" w:cs="Calibri"/>
          <w:b/>
          <w:bCs/>
        </w:rPr>
        <w:t xml:space="preserve"> (ACHA403</w:t>
      </w:r>
      <w:r>
        <w:rPr>
          <w:rFonts w:ascii="Calibri" w:eastAsia="Aptos" w:hAnsi="Calibri" w:cs="Calibri"/>
          <w:b/>
          <w:bCs/>
        </w:rPr>
        <w:t>4</w:t>
      </w:r>
      <w:r w:rsidR="009D7860" w:rsidRPr="009D7860">
        <w:rPr>
          <w:rFonts w:ascii="Calibri" w:eastAsia="Aptos" w:hAnsi="Calibri" w:cs="Calibri"/>
          <w:b/>
          <w:bCs/>
        </w:rPr>
        <w:t>)</w:t>
      </w:r>
    </w:p>
    <w:p w14:paraId="400BA9F7" w14:textId="77777777" w:rsidR="00801A1D" w:rsidRPr="00FA4898" w:rsidRDefault="00801A1D" w:rsidP="009D7860">
      <w:pPr>
        <w:jc w:val="center"/>
        <w:rPr>
          <w:rFonts w:ascii="Calibri" w:hAnsi="Calibri" w:cs="Calibri"/>
          <w:b/>
          <w:bCs/>
          <w:sz w:val="20"/>
          <w:szCs w:val="20"/>
        </w:rPr>
      </w:pPr>
    </w:p>
    <w:p w14:paraId="1A843EC0" w14:textId="77777777" w:rsidR="00801A1D" w:rsidRPr="00FA4898" w:rsidRDefault="00801A1D" w:rsidP="00801A1D">
      <w:pPr>
        <w:rPr>
          <w:rFonts w:ascii="Calibri" w:hAnsi="Calibri" w:cs="Calibri"/>
          <w:b/>
          <w:bCs/>
          <w:sz w:val="20"/>
          <w:szCs w:val="20"/>
        </w:rPr>
      </w:pPr>
    </w:p>
    <w:p w14:paraId="5E68134E" w14:textId="77777777" w:rsidR="00801A1D" w:rsidRPr="00FA4898" w:rsidRDefault="00801A1D" w:rsidP="00801A1D">
      <w:pPr>
        <w:rPr>
          <w:rFonts w:ascii="Calibri" w:hAnsi="Calibri" w:cs="Calibri"/>
          <w:b/>
          <w:bCs/>
          <w:sz w:val="20"/>
          <w:szCs w:val="20"/>
        </w:rPr>
      </w:pPr>
    </w:p>
    <w:p w14:paraId="59B98315" w14:textId="77777777" w:rsidR="00801A1D" w:rsidRPr="00FA4898" w:rsidRDefault="00801A1D" w:rsidP="00801A1D">
      <w:pPr>
        <w:rPr>
          <w:rFonts w:ascii="Calibri" w:hAnsi="Calibri" w:cs="Calibri"/>
          <w:b/>
          <w:bCs/>
          <w:sz w:val="20"/>
          <w:szCs w:val="20"/>
        </w:rPr>
      </w:pPr>
    </w:p>
    <w:p w14:paraId="3CE69E1C" w14:textId="77777777" w:rsidR="00801A1D" w:rsidRPr="00FA4898" w:rsidRDefault="00801A1D" w:rsidP="00801A1D">
      <w:pPr>
        <w:rPr>
          <w:rFonts w:ascii="Calibri" w:hAnsi="Calibri" w:cs="Calibri"/>
          <w:b/>
          <w:bCs/>
          <w:sz w:val="20"/>
          <w:szCs w:val="20"/>
        </w:rPr>
      </w:pPr>
    </w:p>
    <w:p w14:paraId="764C7E12" w14:textId="77777777" w:rsidR="00801A1D" w:rsidRPr="00FA4898" w:rsidRDefault="00801A1D" w:rsidP="00801A1D">
      <w:pPr>
        <w:rPr>
          <w:rFonts w:ascii="Calibri" w:hAnsi="Calibri" w:cs="Calibri"/>
          <w:b/>
          <w:bCs/>
          <w:sz w:val="20"/>
          <w:szCs w:val="20"/>
        </w:rPr>
      </w:pPr>
    </w:p>
    <w:p w14:paraId="6F8D79F0" w14:textId="77777777" w:rsidR="00801A1D" w:rsidRPr="00FA4898" w:rsidRDefault="00801A1D" w:rsidP="00801A1D">
      <w:pPr>
        <w:rPr>
          <w:rFonts w:ascii="Calibri" w:hAnsi="Calibri" w:cs="Calibri"/>
          <w:b/>
          <w:bCs/>
          <w:sz w:val="20"/>
          <w:szCs w:val="20"/>
        </w:rPr>
      </w:pPr>
    </w:p>
    <w:p w14:paraId="218BE0B4" w14:textId="77777777" w:rsidR="00801A1D" w:rsidRPr="00FA4898" w:rsidRDefault="00801A1D" w:rsidP="00801A1D">
      <w:pPr>
        <w:rPr>
          <w:rFonts w:ascii="Calibri" w:hAnsi="Calibri" w:cs="Calibri"/>
          <w:b/>
          <w:bCs/>
          <w:sz w:val="20"/>
          <w:szCs w:val="20"/>
        </w:rPr>
      </w:pPr>
    </w:p>
    <w:p w14:paraId="0E381E41" w14:textId="77777777" w:rsidR="00801A1D" w:rsidRPr="00FA4898" w:rsidRDefault="00801A1D" w:rsidP="00801A1D">
      <w:pPr>
        <w:rPr>
          <w:rFonts w:ascii="Calibri" w:hAnsi="Calibri" w:cs="Calibri"/>
          <w:b/>
          <w:bCs/>
          <w:sz w:val="20"/>
          <w:szCs w:val="20"/>
        </w:rPr>
      </w:pPr>
    </w:p>
    <w:p w14:paraId="62D3ACC6" w14:textId="77777777" w:rsidR="00CB5DBB" w:rsidRDefault="00CB5DBB" w:rsidP="00CB5DBB">
      <w:pPr>
        <w:jc w:val="center"/>
        <w:rPr>
          <w:rFonts w:ascii="Calibri" w:hAnsi="Calibri" w:cs="Calibri"/>
          <w:b/>
          <w:bCs/>
          <w:sz w:val="20"/>
          <w:szCs w:val="20"/>
        </w:rPr>
      </w:pPr>
    </w:p>
    <w:p w14:paraId="74264301" w14:textId="77777777" w:rsidR="008D36E2" w:rsidRDefault="00801A1D" w:rsidP="008D36E2">
      <w:pPr>
        <w:jc w:val="center"/>
        <w:rPr>
          <w:rFonts w:ascii="Calibri" w:hAnsi="Calibri" w:cs="Calibri"/>
          <w:b/>
          <w:bCs/>
          <w:sz w:val="20"/>
          <w:szCs w:val="20"/>
        </w:rPr>
      </w:pPr>
      <w:r w:rsidRPr="00FA4898">
        <w:rPr>
          <w:rFonts w:ascii="Calibri" w:hAnsi="Calibri" w:cs="Calibri"/>
          <w:b/>
          <w:bCs/>
          <w:sz w:val="20"/>
          <w:szCs w:val="20"/>
        </w:rPr>
        <w:t xml:space="preserve">Fern </w:t>
      </w:r>
      <w:r w:rsidR="00CB5DBB">
        <w:rPr>
          <w:rFonts w:ascii="Calibri" w:hAnsi="Calibri" w:cs="Calibri"/>
          <w:b/>
          <w:bCs/>
          <w:sz w:val="20"/>
          <w:szCs w:val="20"/>
        </w:rPr>
        <w:t xml:space="preserve">Makey </w:t>
      </w:r>
    </w:p>
    <w:p w14:paraId="6A4388D2" w14:textId="7AE56D14" w:rsidR="00801A1D" w:rsidRDefault="00801A1D" w:rsidP="008D36E2">
      <w:pPr>
        <w:jc w:val="center"/>
        <w:rPr>
          <w:rFonts w:ascii="Calibri" w:hAnsi="Calibri" w:cs="Calibri"/>
          <w:b/>
          <w:bCs/>
          <w:sz w:val="20"/>
          <w:szCs w:val="20"/>
        </w:rPr>
      </w:pPr>
      <w:r w:rsidRPr="00FA4898">
        <w:rPr>
          <w:rFonts w:ascii="Calibri" w:hAnsi="Calibri" w:cs="Calibri"/>
          <w:b/>
          <w:bCs/>
          <w:sz w:val="20"/>
          <w:szCs w:val="20"/>
        </w:rPr>
        <w:t>2501474</w:t>
      </w:r>
    </w:p>
    <w:p w14:paraId="28960CA5" w14:textId="77777777" w:rsidR="000300CE" w:rsidRDefault="00801A1D" w:rsidP="00801A1D">
      <w:pPr>
        <w:jc w:val="center"/>
        <w:rPr>
          <w:rFonts w:ascii="Calibri" w:hAnsi="Calibri" w:cs="Calibri"/>
          <w:b/>
          <w:bCs/>
          <w:sz w:val="20"/>
          <w:szCs w:val="20"/>
        </w:rPr>
      </w:pPr>
      <w:r>
        <w:rPr>
          <w:rFonts w:ascii="Calibri" w:hAnsi="Calibri" w:cs="Calibri"/>
          <w:b/>
          <w:bCs/>
          <w:sz w:val="20"/>
          <w:szCs w:val="20"/>
        </w:rPr>
        <w:t>Date</w:t>
      </w:r>
    </w:p>
    <w:p w14:paraId="58862279" w14:textId="77777777" w:rsidR="008D36E2" w:rsidRDefault="008D36E2" w:rsidP="00801A1D">
      <w:pPr>
        <w:jc w:val="center"/>
        <w:rPr>
          <w:rFonts w:ascii="Calibri" w:hAnsi="Calibri" w:cs="Calibri"/>
          <w:b/>
          <w:bCs/>
          <w:sz w:val="20"/>
          <w:szCs w:val="20"/>
        </w:rPr>
      </w:pPr>
    </w:p>
    <w:sdt>
      <w:sdtPr>
        <w:rPr>
          <w:rFonts w:asciiTheme="minorHAnsi" w:eastAsiaTheme="minorHAnsi" w:hAnsiTheme="minorHAnsi" w:cstheme="minorBidi"/>
          <w:color w:val="auto"/>
          <w:kern w:val="2"/>
          <w:sz w:val="24"/>
          <w:szCs w:val="24"/>
          <w:lang w:eastAsia="en-US"/>
          <w14:ligatures w14:val="standardContextual"/>
        </w:rPr>
        <w:id w:val="4028724"/>
        <w:docPartObj>
          <w:docPartGallery w:val="Table of Contents"/>
          <w:docPartUnique/>
        </w:docPartObj>
      </w:sdtPr>
      <w:sdtEndPr>
        <w:rPr>
          <w:b/>
          <w:bCs/>
        </w:rPr>
      </w:sdtEndPr>
      <w:sdtContent>
        <w:p w14:paraId="1F6FD9D4" w14:textId="6EE2713B" w:rsidR="000300CE" w:rsidRDefault="000300CE">
          <w:pPr>
            <w:pStyle w:val="TOCHeading"/>
          </w:pPr>
          <w:r>
            <w:t>Table of Contents</w:t>
          </w:r>
        </w:p>
        <w:p w14:paraId="16F4F0A5" w14:textId="047FEA29" w:rsidR="006B5B21" w:rsidRDefault="000300CE">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3120402" w:history="1">
            <w:r w:rsidR="006B5B21" w:rsidRPr="0036644E">
              <w:rPr>
                <w:rStyle w:val="Hyperlink"/>
                <w:noProof/>
              </w:rPr>
              <w:t>1</w:t>
            </w:r>
            <w:r w:rsidR="006B5B21">
              <w:rPr>
                <w:rFonts w:eastAsiaTheme="minorEastAsia"/>
                <w:noProof/>
                <w:lang w:eastAsia="en-GB"/>
              </w:rPr>
              <w:tab/>
            </w:r>
            <w:r w:rsidR="006B5B21" w:rsidRPr="0036644E">
              <w:rPr>
                <w:rStyle w:val="Hyperlink"/>
                <w:noProof/>
              </w:rPr>
              <w:t>Introduction</w:t>
            </w:r>
            <w:r w:rsidR="006B5B21">
              <w:rPr>
                <w:noProof/>
                <w:webHidden/>
              </w:rPr>
              <w:tab/>
            </w:r>
            <w:r w:rsidR="006B5B21">
              <w:rPr>
                <w:noProof/>
                <w:webHidden/>
              </w:rPr>
              <w:fldChar w:fldCharType="begin"/>
            </w:r>
            <w:r w:rsidR="006B5B21">
              <w:rPr>
                <w:noProof/>
                <w:webHidden/>
              </w:rPr>
              <w:instrText xml:space="preserve"> PAGEREF _Toc223120402 \h </w:instrText>
            </w:r>
            <w:r w:rsidR="006B5B21">
              <w:rPr>
                <w:noProof/>
                <w:webHidden/>
              </w:rPr>
            </w:r>
            <w:r w:rsidR="006B5B21">
              <w:rPr>
                <w:noProof/>
                <w:webHidden/>
              </w:rPr>
              <w:fldChar w:fldCharType="separate"/>
            </w:r>
            <w:r w:rsidR="006B5B21">
              <w:rPr>
                <w:noProof/>
                <w:webHidden/>
              </w:rPr>
              <w:t>1</w:t>
            </w:r>
            <w:r w:rsidR="006B5B21">
              <w:rPr>
                <w:noProof/>
                <w:webHidden/>
              </w:rPr>
              <w:fldChar w:fldCharType="end"/>
            </w:r>
          </w:hyperlink>
        </w:p>
        <w:p w14:paraId="4DC09A58" w14:textId="4BB5A5DC" w:rsidR="006B5B21" w:rsidRDefault="006B5B21">
          <w:pPr>
            <w:pStyle w:val="TOC1"/>
            <w:tabs>
              <w:tab w:val="left" w:pos="480"/>
              <w:tab w:val="right" w:leader="dot" w:pos="9016"/>
            </w:tabs>
            <w:rPr>
              <w:rFonts w:eastAsiaTheme="minorEastAsia"/>
              <w:noProof/>
              <w:lang w:eastAsia="en-GB"/>
            </w:rPr>
          </w:pPr>
          <w:hyperlink w:anchor="_Toc223120403" w:history="1">
            <w:r w:rsidRPr="0036644E">
              <w:rPr>
                <w:rStyle w:val="Hyperlink"/>
                <w:noProof/>
              </w:rPr>
              <w:t>2</w:t>
            </w:r>
            <w:r>
              <w:rPr>
                <w:rFonts w:eastAsiaTheme="minorEastAsia"/>
                <w:noProof/>
                <w:lang w:eastAsia="en-GB"/>
              </w:rPr>
              <w:tab/>
            </w:r>
            <w:r w:rsidRPr="0036644E">
              <w:rPr>
                <w:rStyle w:val="Hyperlink"/>
                <w:noProof/>
              </w:rPr>
              <w:t>Experimental Procedure</w:t>
            </w:r>
            <w:r>
              <w:rPr>
                <w:noProof/>
                <w:webHidden/>
              </w:rPr>
              <w:tab/>
            </w:r>
            <w:r>
              <w:rPr>
                <w:noProof/>
                <w:webHidden/>
              </w:rPr>
              <w:fldChar w:fldCharType="begin"/>
            </w:r>
            <w:r>
              <w:rPr>
                <w:noProof/>
                <w:webHidden/>
              </w:rPr>
              <w:instrText xml:space="preserve"> PAGEREF _Toc223120403 \h </w:instrText>
            </w:r>
            <w:r>
              <w:rPr>
                <w:noProof/>
                <w:webHidden/>
              </w:rPr>
            </w:r>
            <w:r>
              <w:rPr>
                <w:noProof/>
                <w:webHidden/>
              </w:rPr>
              <w:fldChar w:fldCharType="separate"/>
            </w:r>
            <w:r>
              <w:rPr>
                <w:noProof/>
                <w:webHidden/>
              </w:rPr>
              <w:t>2</w:t>
            </w:r>
            <w:r>
              <w:rPr>
                <w:noProof/>
                <w:webHidden/>
              </w:rPr>
              <w:fldChar w:fldCharType="end"/>
            </w:r>
          </w:hyperlink>
        </w:p>
        <w:p w14:paraId="70EE08D8" w14:textId="7135CE23" w:rsidR="006B5B21" w:rsidRDefault="006B5B21">
          <w:pPr>
            <w:pStyle w:val="TOC1"/>
            <w:tabs>
              <w:tab w:val="left" w:pos="480"/>
              <w:tab w:val="right" w:leader="dot" w:pos="9016"/>
            </w:tabs>
            <w:rPr>
              <w:rFonts w:eastAsiaTheme="minorEastAsia"/>
              <w:noProof/>
              <w:lang w:eastAsia="en-GB"/>
            </w:rPr>
          </w:pPr>
          <w:hyperlink w:anchor="_Toc223120404" w:history="1">
            <w:r w:rsidRPr="0036644E">
              <w:rPr>
                <w:rStyle w:val="Hyperlink"/>
                <w:noProof/>
              </w:rPr>
              <w:t>3</w:t>
            </w:r>
            <w:r>
              <w:rPr>
                <w:rFonts w:eastAsiaTheme="minorEastAsia"/>
                <w:noProof/>
                <w:lang w:eastAsia="en-GB"/>
              </w:rPr>
              <w:tab/>
            </w:r>
            <w:r w:rsidRPr="0036644E">
              <w:rPr>
                <w:rStyle w:val="Hyperlink"/>
                <w:noProof/>
              </w:rPr>
              <w:t>Results</w:t>
            </w:r>
            <w:r>
              <w:rPr>
                <w:noProof/>
                <w:webHidden/>
              </w:rPr>
              <w:tab/>
            </w:r>
            <w:r>
              <w:rPr>
                <w:noProof/>
                <w:webHidden/>
              </w:rPr>
              <w:fldChar w:fldCharType="begin"/>
            </w:r>
            <w:r>
              <w:rPr>
                <w:noProof/>
                <w:webHidden/>
              </w:rPr>
              <w:instrText xml:space="preserve"> PAGEREF _Toc223120404 \h </w:instrText>
            </w:r>
            <w:r>
              <w:rPr>
                <w:noProof/>
                <w:webHidden/>
              </w:rPr>
            </w:r>
            <w:r>
              <w:rPr>
                <w:noProof/>
                <w:webHidden/>
              </w:rPr>
              <w:fldChar w:fldCharType="separate"/>
            </w:r>
            <w:r>
              <w:rPr>
                <w:noProof/>
                <w:webHidden/>
              </w:rPr>
              <w:t>4</w:t>
            </w:r>
            <w:r>
              <w:rPr>
                <w:noProof/>
                <w:webHidden/>
              </w:rPr>
              <w:fldChar w:fldCharType="end"/>
            </w:r>
          </w:hyperlink>
        </w:p>
        <w:p w14:paraId="76D62F5E" w14:textId="70EC94A2" w:rsidR="006B5B21" w:rsidRDefault="006B5B21">
          <w:pPr>
            <w:pStyle w:val="TOC1"/>
            <w:tabs>
              <w:tab w:val="left" w:pos="480"/>
              <w:tab w:val="right" w:leader="dot" w:pos="9016"/>
            </w:tabs>
            <w:rPr>
              <w:rFonts w:eastAsiaTheme="minorEastAsia"/>
              <w:noProof/>
              <w:lang w:eastAsia="en-GB"/>
            </w:rPr>
          </w:pPr>
          <w:hyperlink w:anchor="_Toc223120405" w:history="1">
            <w:r w:rsidRPr="0036644E">
              <w:rPr>
                <w:rStyle w:val="Hyperlink"/>
                <w:noProof/>
              </w:rPr>
              <w:t>4</w:t>
            </w:r>
            <w:r>
              <w:rPr>
                <w:rFonts w:eastAsiaTheme="minorEastAsia"/>
                <w:noProof/>
                <w:lang w:eastAsia="en-GB"/>
              </w:rPr>
              <w:tab/>
            </w:r>
            <w:r w:rsidRPr="0036644E">
              <w:rPr>
                <w:rStyle w:val="Hyperlink"/>
                <w:noProof/>
              </w:rPr>
              <w:t>Analysis</w:t>
            </w:r>
            <w:r>
              <w:rPr>
                <w:noProof/>
                <w:webHidden/>
              </w:rPr>
              <w:tab/>
            </w:r>
            <w:r>
              <w:rPr>
                <w:noProof/>
                <w:webHidden/>
              </w:rPr>
              <w:fldChar w:fldCharType="begin"/>
            </w:r>
            <w:r>
              <w:rPr>
                <w:noProof/>
                <w:webHidden/>
              </w:rPr>
              <w:instrText xml:space="preserve"> PAGEREF _Toc223120405 \h </w:instrText>
            </w:r>
            <w:r>
              <w:rPr>
                <w:noProof/>
                <w:webHidden/>
              </w:rPr>
            </w:r>
            <w:r>
              <w:rPr>
                <w:noProof/>
                <w:webHidden/>
              </w:rPr>
              <w:fldChar w:fldCharType="separate"/>
            </w:r>
            <w:r>
              <w:rPr>
                <w:noProof/>
                <w:webHidden/>
              </w:rPr>
              <w:t>5</w:t>
            </w:r>
            <w:r>
              <w:rPr>
                <w:noProof/>
                <w:webHidden/>
              </w:rPr>
              <w:fldChar w:fldCharType="end"/>
            </w:r>
          </w:hyperlink>
        </w:p>
        <w:p w14:paraId="11E40E61" w14:textId="3FD18247" w:rsidR="006B5B21" w:rsidRDefault="006B5B21">
          <w:pPr>
            <w:pStyle w:val="TOC1"/>
            <w:tabs>
              <w:tab w:val="left" w:pos="480"/>
              <w:tab w:val="right" w:leader="dot" w:pos="9016"/>
            </w:tabs>
            <w:rPr>
              <w:rFonts w:eastAsiaTheme="minorEastAsia"/>
              <w:noProof/>
              <w:lang w:eastAsia="en-GB"/>
            </w:rPr>
          </w:pPr>
          <w:hyperlink w:anchor="_Toc223120406" w:history="1">
            <w:r w:rsidRPr="0036644E">
              <w:rPr>
                <w:rStyle w:val="Hyperlink"/>
                <w:noProof/>
              </w:rPr>
              <w:t>5</w:t>
            </w:r>
            <w:r>
              <w:rPr>
                <w:rFonts w:eastAsiaTheme="minorEastAsia"/>
                <w:noProof/>
                <w:lang w:eastAsia="en-GB"/>
              </w:rPr>
              <w:tab/>
            </w:r>
            <w:r w:rsidRPr="0036644E">
              <w:rPr>
                <w:rStyle w:val="Hyperlink"/>
                <w:noProof/>
              </w:rPr>
              <w:t>Reference List</w:t>
            </w:r>
            <w:r>
              <w:rPr>
                <w:noProof/>
                <w:webHidden/>
              </w:rPr>
              <w:tab/>
            </w:r>
            <w:r>
              <w:rPr>
                <w:noProof/>
                <w:webHidden/>
              </w:rPr>
              <w:fldChar w:fldCharType="begin"/>
            </w:r>
            <w:r>
              <w:rPr>
                <w:noProof/>
                <w:webHidden/>
              </w:rPr>
              <w:instrText xml:space="preserve"> PAGEREF _Toc223120406 \h </w:instrText>
            </w:r>
            <w:r>
              <w:rPr>
                <w:noProof/>
                <w:webHidden/>
              </w:rPr>
            </w:r>
            <w:r>
              <w:rPr>
                <w:noProof/>
                <w:webHidden/>
              </w:rPr>
              <w:fldChar w:fldCharType="separate"/>
            </w:r>
            <w:r>
              <w:rPr>
                <w:noProof/>
                <w:webHidden/>
              </w:rPr>
              <w:t>10</w:t>
            </w:r>
            <w:r>
              <w:rPr>
                <w:noProof/>
                <w:webHidden/>
              </w:rPr>
              <w:fldChar w:fldCharType="end"/>
            </w:r>
          </w:hyperlink>
        </w:p>
        <w:p w14:paraId="21046339" w14:textId="750861FF" w:rsidR="000300CE" w:rsidRDefault="000300CE">
          <w:r>
            <w:rPr>
              <w:b/>
              <w:bCs/>
            </w:rPr>
            <w:fldChar w:fldCharType="end"/>
          </w:r>
        </w:p>
      </w:sdtContent>
    </w:sdt>
    <w:p w14:paraId="7C53FE11" w14:textId="77777777" w:rsidR="00840AA2" w:rsidRDefault="00840AA2" w:rsidP="00840AA2">
      <w:pPr>
        <w:rPr>
          <w:lang w:eastAsia="en-GB"/>
        </w:rPr>
      </w:pPr>
    </w:p>
    <w:p w14:paraId="12EE25CE" w14:textId="6979D2EB" w:rsidR="002A486F" w:rsidRDefault="002A486F" w:rsidP="002A486F">
      <w:pPr>
        <w:pStyle w:val="TOCHeading"/>
      </w:pPr>
      <w:r>
        <w:t>Figures</w:t>
      </w:r>
    </w:p>
    <w:p w14:paraId="77DE3B25" w14:textId="2321C34E" w:rsidR="006B5B21" w:rsidRDefault="006B5B21">
      <w:pPr>
        <w:pStyle w:val="TableofFigures"/>
        <w:tabs>
          <w:tab w:val="right" w:leader="dot" w:pos="9016"/>
        </w:tabs>
        <w:rPr>
          <w:rFonts w:eastAsiaTheme="minorEastAsia"/>
          <w:noProof/>
          <w:lang w:eastAsia="en-GB"/>
        </w:rPr>
      </w:pPr>
      <w:r>
        <w:rPr>
          <w:lang w:eastAsia="en-GB"/>
        </w:rPr>
        <w:fldChar w:fldCharType="begin"/>
      </w:r>
      <w:r>
        <w:rPr>
          <w:lang w:eastAsia="en-GB"/>
        </w:rPr>
        <w:instrText xml:space="preserve"> TOC \h \z \c "Figure" </w:instrText>
      </w:r>
      <w:r>
        <w:rPr>
          <w:lang w:eastAsia="en-GB"/>
        </w:rPr>
        <w:fldChar w:fldCharType="separate"/>
      </w:r>
      <w:hyperlink w:anchor="_Toc223120422" w:history="1">
        <w:r w:rsidRPr="00F64617">
          <w:rPr>
            <w:rStyle w:val="Hyperlink"/>
            <w:noProof/>
          </w:rPr>
          <w:t>Figure 1- Image of the apparatus used in the experiment.</w:t>
        </w:r>
        <w:r>
          <w:rPr>
            <w:noProof/>
            <w:webHidden/>
          </w:rPr>
          <w:tab/>
        </w:r>
        <w:r>
          <w:rPr>
            <w:noProof/>
            <w:webHidden/>
          </w:rPr>
          <w:fldChar w:fldCharType="begin"/>
        </w:r>
        <w:r>
          <w:rPr>
            <w:noProof/>
            <w:webHidden/>
          </w:rPr>
          <w:instrText xml:space="preserve"> PAGEREF _Toc223120422 \h </w:instrText>
        </w:r>
        <w:r>
          <w:rPr>
            <w:noProof/>
            <w:webHidden/>
          </w:rPr>
        </w:r>
        <w:r>
          <w:rPr>
            <w:noProof/>
            <w:webHidden/>
          </w:rPr>
          <w:fldChar w:fldCharType="separate"/>
        </w:r>
        <w:r>
          <w:rPr>
            <w:noProof/>
            <w:webHidden/>
          </w:rPr>
          <w:t>3</w:t>
        </w:r>
        <w:r>
          <w:rPr>
            <w:noProof/>
            <w:webHidden/>
          </w:rPr>
          <w:fldChar w:fldCharType="end"/>
        </w:r>
      </w:hyperlink>
    </w:p>
    <w:p w14:paraId="238FF5B3" w14:textId="13A2D32C" w:rsidR="006B5B21" w:rsidRDefault="006B5B21">
      <w:pPr>
        <w:pStyle w:val="TableofFigures"/>
        <w:tabs>
          <w:tab w:val="right" w:leader="dot" w:pos="9016"/>
        </w:tabs>
        <w:rPr>
          <w:rFonts w:eastAsiaTheme="minorEastAsia"/>
          <w:noProof/>
          <w:lang w:eastAsia="en-GB"/>
        </w:rPr>
      </w:pPr>
      <w:hyperlink w:anchor="_Toc223120423" w:history="1">
        <w:r w:rsidRPr="00F64617">
          <w:rPr>
            <w:rStyle w:val="Hyperlink"/>
            <w:noProof/>
          </w:rPr>
          <w:t>Figure 2- Graph showing acceleration v torque</w:t>
        </w:r>
        <w:r>
          <w:rPr>
            <w:noProof/>
            <w:webHidden/>
          </w:rPr>
          <w:tab/>
        </w:r>
        <w:r>
          <w:rPr>
            <w:noProof/>
            <w:webHidden/>
          </w:rPr>
          <w:fldChar w:fldCharType="begin"/>
        </w:r>
        <w:r>
          <w:rPr>
            <w:noProof/>
            <w:webHidden/>
          </w:rPr>
          <w:instrText xml:space="preserve"> PAGEREF _Toc223120423 \h </w:instrText>
        </w:r>
        <w:r>
          <w:rPr>
            <w:noProof/>
            <w:webHidden/>
          </w:rPr>
        </w:r>
        <w:r>
          <w:rPr>
            <w:noProof/>
            <w:webHidden/>
          </w:rPr>
          <w:fldChar w:fldCharType="separate"/>
        </w:r>
        <w:r>
          <w:rPr>
            <w:noProof/>
            <w:webHidden/>
          </w:rPr>
          <w:t>5</w:t>
        </w:r>
        <w:r>
          <w:rPr>
            <w:noProof/>
            <w:webHidden/>
          </w:rPr>
          <w:fldChar w:fldCharType="end"/>
        </w:r>
      </w:hyperlink>
    </w:p>
    <w:p w14:paraId="069FA175" w14:textId="64D1A639" w:rsidR="00E96C5F" w:rsidRPr="00840AA2" w:rsidRDefault="006B5B21" w:rsidP="00840AA2">
      <w:pPr>
        <w:rPr>
          <w:lang w:eastAsia="en-GB"/>
        </w:rPr>
      </w:pPr>
      <w:r>
        <w:rPr>
          <w:lang w:eastAsia="en-GB"/>
        </w:rPr>
        <w:fldChar w:fldCharType="end"/>
      </w:r>
    </w:p>
    <w:p w14:paraId="7F3A9C52" w14:textId="29788825" w:rsidR="006134B9" w:rsidRDefault="006134B9" w:rsidP="006134B9">
      <w:pPr>
        <w:pStyle w:val="TOCHeading"/>
      </w:pPr>
      <w:r>
        <w:t>Tabl</w:t>
      </w:r>
      <w:r>
        <w:t>es</w:t>
      </w:r>
    </w:p>
    <w:p w14:paraId="79B2C08E" w14:textId="21022BB6" w:rsidR="006134B9" w:rsidRDefault="006134B9">
      <w:pPr>
        <w:pStyle w:val="TableofFigures"/>
        <w:tabs>
          <w:tab w:val="right" w:leader="dot" w:pos="9016"/>
        </w:tabs>
        <w:rPr>
          <w:rFonts w:eastAsiaTheme="minorEastAsia"/>
          <w:noProof/>
          <w:lang w:eastAsia="en-GB"/>
        </w:rPr>
      </w:pPr>
      <w:r>
        <w:rPr>
          <w:rFonts w:ascii="Calibri" w:hAnsi="Calibri" w:cs="Calibri"/>
          <w:b/>
          <w:bCs/>
          <w:sz w:val="20"/>
          <w:szCs w:val="20"/>
        </w:rPr>
        <w:fldChar w:fldCharType="begin"/>
      </w:r>
      <w:r>
        <w:rPr>
          <w:rFonts w:ascii="Calibri" w:hAnsi="Calibri" w:cs="Calibri"/>
          <w:b/>
          <w:bCs/>
          <w:sz w:val="20"/>
          <w:szCs w:val="20"/>
        </w:rPr>
        <w:instrText xml:space="preserve"> TOC \h \z \c "Table" </w:instrText>
      </w:r>
      <w:r>
        <w:rPr>
          <w:rFonts w:ascii="Calibri" w:hAnsi="Calibri" w:cs="Calibri"/>
          <w:b/>
          <w:bCs/>
          <w:sz w:val="20"/>
          <w:szCs w:val="20"/>
        </w:rPr>
        <w:fldChar w:fldCharType="separate"/>
      </w:r>
      <w:hyperlink w:anchor="_Toc223119801" w:history="1">
        <w:r w:rsidRPr="00B718FA">
          <w:rPr>
            <w:rStyle w:val="Hyperlink"/>
            <w:noProof/>
          </w:rPr>
          <w:t>Table 1- Raw experimental data showing mass, initial height, final height, and total time for the flywheel experiment.</w:t>
        </w:r>
        <w:r>
          <w:rPr>
            <w:noProof/>
            <w:webHidden/>
          </w:rPr>
          <w:tab/>
        </w:r>
        <w:r>
          <w:rPr>
            <w:noProof/>
            <w:webHidden/>
          </w:rPr>
          <w:fldChar w:fldCharType="begin"/>
        </w:r>
        <w:r>
          <w:rPr>
            <w:noProof/>
            <w:webHidden/>
          </w:rPr>
          <w:instrText xml:space="preserve"> PAGEREF _Toc223119801 \h </w:instrText>
        </w:r>
        <w:r>
          <w:rPr>
            <w:noProof/>
            <w:webHidden/>
          </w:rPr>
        </w:r>
        <w:r>
          <w:rPr>
            <w:noProof/>
            <w:webHidden/>
          </w:rPr>
          <w:fldChar w:fldCharType="separate"/>
        </w:r>
        <w:r>
          <w:rPr>
            <w:noProof/>
            <w:webHidden/>
          </w:rPr>
          <w:t>4</w:t>
        </w:r>
        <w:r>
          <w:rPr>
            <w:noProof/>
            <w:webHidden/>
          </w:rPr>
          <w:fldChar w:fldCharType="end"/>
        </w:r>
      </w:hyperlink>
    </w:p>
    <w:p w14:paraId="7EAB49D3" w14:textId="5991F74E" w:rsidR="00EF3F8C" w:rsidRDefault="006134B9" w:rsidP="00840AA2">
      <w:pPr>
        <w:spacing w:line="278" w:lineRule="auto"/>
        <w:rPr>
          <w:rFonts w:ascii="Calibri" w:hAnsi="Calibri" w:cs="Calibri"/>
          <w:b/>
          <w:bCs/>
          <w:sz w:val="20"/>
          <w:szCs w:val="20"/>
        </w:rPr>
      </w:pPr>
      <w:r>
        <w:rPr>
          <w:rFonts w:ascii="Calibri" w:hAnsi="Calibri" w:cs="Calibri"/>
          <w:b/>
          <w:bCs/>
          <w:sz w:val="20"/>
          <w:szCs w:val="20"/>
        </w:rPr>
        <w:fldChar w:fldCharType="end"/>
      </w:r>
      <w:r w:rsidR="00EF3F8C">
        <w:rPr>
          <w:rFonts w:ascii="Calibri" w:hAnsi="Calibri" w:cs="Calibri"/>
          <w:b/>
          <w:bCs/>
          <w:sz w:val="20"/>
          <w:szCs w:val="20"/>
        </w:rPr>
        <w:br w:type="page"/>
      </w:r>
    </w:p>
    <w:p w14:paraId="0A13F242" w14:textId="77777777" w:rsidR="00801A1D" w:rsidRDefault="00801A1D" w:rsidP="00801A1D">
      <w:pPr>
        <w:jc w:val="center"/>
        <w:rPr>
          <w:rFonts w:ascii="Calibri" w:hAnsi="Calibri" w:cs="Calibri"/>
          <w:b/>
          <w:bCs/>
          <w:sz w:val="20"/>
          <w:szCs w:val="20"/>
        </w:rPr>
        <w:sectPr w:rsidR="00801A1D" w:rsidSect="00F06D7F">
          <w:headerReference w:type="default" r:id="rId12"/>
          <w:footerReference w:type="default" r:id="rId13"/>
          <w:pgSz w:w="11906" w:h="16838"/>
          <w:pgMar w:top="1440" w:right="1440" w:bottom="1440" w:left="1440" w:header="708" w:footer="708" w:gutter="0"/>
          <w:pgNumType w:fmt="lowerRoman" w:start="1"/>
          <w:cols w:space="708"/>
          <w:titlePg/>
          <w:docGrid w:linePitch="360"/>
        </w:sectPr>
      </w:pPr>
    </w:p>
    <w:p w14:paraId="44051FB8" w14:textId="22B8A921" w:rsidR="00801A1D" w:rsidRDefault="00281BE6" w:rsidP="00281BE6">
      <w:pPr>
        <w:pStyle w:val="Heading1"/>
      </w:pPr>
      <w:bookmarkStart w:id="0" w:name="_Toc223120402"/>
      <w:r>
        <w:lastRenderedPageBreak/>
        <w:t>Introduction</w:t>
      </w:r>
      <w:bookmarkEnd w:id="0"/>
    </w:p>
    <w:p w14:paraId="136E2DAA" w14:textId="36DEAC82" w:rsidR="00C92A3E" w:rsidRDefault="00C92A3E" w:rsidP="009B1053">
      <w:pPr>
        <w:rPr>
          <w:rFonts w:ascii="Calibri" w:hAnsi="Calibri" w:cs="Calibri"/>
          <w:sz w:val="22"/>
          <w:szCs w:val="22"/>
        </w:rPr>
      </w:pPr>
      <w:r>
        <w:rPr>
          <w:rFonts w:ascii="Calibri" w:hAnsi="Calibri" w:cs="Calibri"/>
          <w:sz w:val="22"/>
          <w:szCs w:val="22"/>
        </w:rPr>
        <w:t xml:space="preserve">Flywheels are mechanical components that store energy </w:t>
      </w:r>
      <w:r w:rsidR="00E02AB3">
        <w:rPr>
          <w:rFonts w:ascii="Calibri" w:hAnsi="Calibri" w:cs="Calibri"/>
          <w:sz w:val="22"/>
          <w:szCs w:val="22"/>
        </w:rPr>
        <w:t>as</w:t>
      </w:r>
      <w:r>
        <w:rPr>
          <w:rFonts w:ascii="Calibri" w:hAnsi="Calibri" w:cs="Calibri"/>
          <w:sz w:val="22"/>
          <w:szCs w:val="22"/>
        </w:rPr>
        <w:t xml:space="preserve"> rotational motion and are widely used in engineering applications. The energy stored in a flywheel depends on both its rotational speed and the distribution of its mass around the axis of rotation. As a result, flywheels are effective at storing and releasing energy quickly, making them suitable for use in automotive systems, industrial machinery, and energy recovery technologies (Olabi et al., 2021).</w:t>
      </w:r>
    </w:p>
    <w:p w14:paraId="43858F73" w14:textId="4A1F974B" w:rsidR="00C92A3E" w:rsidRDefault="00C92A3E" w:rsidP="009B1053">
      <w:pPr>
        <w:rPr>
          <w:rFonts w:ascii="Calibri" w:hAnsi="Calibri" w:cs="Calibri"/>
          <w:sz w:val="22"/>
          <w:szCs w:val="22"/>
        </w:rPr>
      </w:pPr>
      <w:r>
        <w:rPr>
          <w:rFonts w:ascii="Calibri" w:hAnsi="Calibri" w:cs="Calibri"/>
          <w:sz w:val="22"/>
          <w:szCs w:val="22"/>
        </w:rPr>
        <w:t xml:space="preserve"> The kinetic energy stored in a flywheel is given by the equation </w:t>
      </w:r>
      <w:r>
        <w:rPr>
          <w:rFonts w:ascii="Cambria Math" w:hAnsi="Cambria Math" w:cs="Cambria Math"/>
          <w:sz w:val="22"/>
          <w:szCs w:val="22"/>
        </w:rPr>
        <w:t>𝐾</w:t>
      </w:r>
      <w:r>
        <w:rPr>
          <w:rFonts w:ascii="Calibri" w:hAnsi="Calibri" w:cs="Calibri"/>
          <w:sz w:val="22"/>
          <w:szCs w:val="22"/>
        </w:rPr>
        <w:t>E=1/2I</w:t>
      </w:r>
      <w:r>
        <w:rPr>
          <w:rFonts w:ascii="Cambria Math" w:hAnsi="Cambria Math" w:cs="Cambria Math"/>
          <w:sz w:val="22"/>
          <w:szCs w:val="22"/>
        </w:rPr>
        <w:t>𝜔</w:t>
      </w:r>
      <w:r>
        <w:rPr>
          <w:rFonts w:ascii="Calibri" w:hAnsi="Calibri" w:cs="Calibri"/>
          <w:sz w:val="22"/>
          <w:szCs w:val="22"/>
        </w:rPr>
        <w:t xml:space="preserve">^2, where </w:t>
      </w:r>
      <w:r>
        <w:rPr>
          <w:rFonts w:ascii="Cambria Math" w:hAnsi="Cambria Math" w:cs="Cambria Math"/>
          <w:sz w:val="22"/>
          <w:szCs w:val="22"/>
        </w:rPr>
        <w:t>𝐼</w:t>
      </w:r>
      <w:r>
        <w:rPr>
          <w:rFonts w:ascii="Calibri" w:hAnsi="Calibri" w:cs="Calibri"/>
          <w:sz w:val="22"/>
          <w:szCs w:val="22"/>
        </w:rPr>
        <w:t xml:space="preserve"> represents the moment of inertia and ω is the angular velocity. The moment of inertia describes a rotating object’s resistance to changes in its rotational motion and is influenced by its mass and geometry (Amiryar and Pullen, 2017). When a suspended mass is attached to a flywheel via a pulley and cord arrangement, gravitational potential energy is converted into kinetic energy as the mass falls and accelerates the flywheel. However, not all of this energy is conserved, as losses occur due to friction within the bearings and air resistance acting on the rotating components (Kondoh et al., 2018).  </w:t>
      </w:r>
    </w:p>
    <w:p w14:paraId="77CA3123" w14:textId="5F14B7BC" w:rsidR="00257E45" w:rsidRPr="009B1053" w:rsidRDefault="00C92A3E" w:rsidP="009B1053">
      <w:pPr>
        <w:rPr>
          <w:rFonts w:ascii="Calibri" w:hAnsi="Calibri" w:cs="Calibri"/>
          <w:sz w:val="22"/>
          <w:szCs w:val="22"/>
        </w:rPr>
      </w:pPr>
      <w:r>
        <w:rPr>
          <w:rFonts w:ascii="Calibri" w:hAnsi="Calibri" w:cs="Calibri"/>
          <w:sz w:val="22"/>
          <w:szCs w:val="22"/>
        </w:rPr>
        <w:t>This experiment aims to investigate the transfer of potential energy into kinetic energy in a flywheel system using the Potential and Kinetic Energy Kit ES9. In addition, the experiment seeks to determine the total moment of inertia of the flywheel by analysing experimental measurements, calculations, and graphical data. By comparing theoretical energy equations with experimental results, the performance and limitations of the flywheel system can be assessed. This experiment provides practical insight into fundamental energy principles that are directly applicable to real-world mechanical and automotive engineering systems (Feng, 2022).</w:t>
      </w:r>
    </w:p>
    <w:p w14:paraId="0745BB77" w14:textId="77777777" w:rsidR="00257E45" w:rsidRDefault="00257E45" w:rsidP="00457522"/>
    <w:p w14:paraId="354C34C3" w14:textId="77777777" w:rsidR="00257E45" w:rsidRDefault="00257E45" w:rsidP="00457522"/>
    <w:p w14:paraId="1B7A4F3E" w14:textId="77777777" w:rsidR="00257E45" w:rsidRDefault="00257E45" w:rsidP="00457522"/>
    <w:p w14:paraId="0AE48774" w14:textId="77777777" w:rsidR="00257E45" w:rsidRDefault="00257E45" w:rsidP="00457522"/>
    <w:p w14:paraId="6AF8772E" w14:textId="77777777" w:rsidR="00257E45" w:rsidRDefault="00257E45" w:rsidP="00457522"/>
    <w:p w14:paraId="17F64B01" w14:textId="77777777" w:rsidR="00257E45" w:rsidRDefault="00257E45" w:rsidP="00457522"/>
    <w:p w14:paraId="726BDAA9" w14:textId="77777777" w:rsidR="00257E45" w:rsidRDefault="00257E45" w:rsidP="00457522"/>
    <w:p w14:paraId="4577EAF4" w14:textId="77777777" w:rsidR="00257E45" w:rsidRDefault="00257E45" w:rsidP="00457522"/>
    <w:p w14:paraId="4819887B" w14:textId="68F1A759" w:rsidR="00E02AB3" w:rsidRDefault="00E02AB3" w:rsidP="00E02AB3">
      <w:pPr>
        <w:pStyle w:val="Heading1"/>
      </w:pPr>
      <w:bookmarkStart w:id="1" w:name="_Toc223120403"/>
      <w:r>
        <w:t>Experimental Procedure</w:t>
      </w:r>
      <w:bookmarkEnd w:id="1"/>
    </w:p>
    <w:p w14:paraId="4F5A4D2D" w14:textId="501129AC" w:rsidR="00E02AB3" w:rsidRPr="00E02AB3" w:rsidRDefault="00E02AB3" w:rsidP="00E02AB3">
      <w:pPr>
        <w:rPr>
          <w:rFonts w:ascii="Calibri" w:hAnsi="Calibri" w:cs="Calibri"/>
          <w:sz w:val="22"/>
          <w:szCs w:val="22"/>
        </w:rPr>
      </w:pPr>
      <w:r w:rsidRPr="00E02AB3">
        <w:rPr>
          <w:rFonts w:ascii="Calibri" w:hAnsi="Calibri" w:cs="Calibri"/>
          <w:sz w:val="22"/>
          <w:szCs w:val="22"/>
        </w:rPr>
        <w:t>The experiment was conducted using the Potential and Kinetic Energy Kit ES9 in the Engineering Science laboratory to investigate energy transfer in a flywheel system. The apparatus</w:t>
      </w:r>
      <w:r w:rsidR="00BB3810">
        <w:rPr>
          <w:rFonts w:ascii="Calibri" w:hAnsi="Calibri" w:cs="Calibri"/>
          <w:sz w:val="22"/>
          <w:szCs w:val="22"/>
        </w:rPr>
        <w:t xml:space="preserve"> (Figure 1)</w:t>
      </w:r>
      <w:r w:rsidRPr="00E02AB3">
        <w:rPr>
          <w:rFonts w:ascii="Calibri" w:hAnsi="Calibri" w:cs="Calibri"/>
          <w:sz w:val="22"/>
          <w:szCs w:val="22"/>
        </w:rPr>
        <w:t xml:space="preserve"> comprised a flywheel mounted on a horizontal shaft with an attached pulley, a cord, a mass hanger with slotted masses, a vertical measuring scale, and a stopwatch. Prior to testing, the apparatus was inspected to ensure that all components were securely assembled and that the flywheel was able to rotate freely without mechanical interference.</w:t>
      </w:r>
    </w:p>
    <w:p w14:paraId="204D3EBE" w14:textId="5D4A14E7" w:rsidR="00E02AB3" w:rsidRPr="00E02AB3" w:rsidRDefault="00E02AB3" w:rsidP="00E02AB3">
      <w:pPr>
        <w:rPr>
          <w:rFonts w:ascii="Calibri" w:hAnsi="Calibri" w:cs="Calibri"/>
          <w:sz w:val="22"/>
          <w:szCs w:val="22"/>
        </w:rPr>
      </w:pPr>
      <w:r w:rsidRPr="00E02AB3">
        <w:rPr>
          <w:rFonts w:ascii="Calibri" w:hAnsi="Calibri" w:cs="Calibri"/>
          <w:sz w:val="22"/>
          <w:szCs w:val="22"/>
        </w:rPr>
        <w:t>The flywheel brake was fully disengaged to allow unrestricted rotation, as braking would significantly affect the accuracy of the results. A cord was wound evenly around the pulley, ensuring correct alignment and preventing overlap, as uneven winding can introduce additional frictional losses (Romero Piedrahita and Rodríguez, 2021). A mass hanger was attached to the free end of the cord, and known masses were added incrementally throughout the experiment.</w:t>
      </w:r>
      <w:r w:rsidRPr="00E02AB3">
        <w:rPr>
          <w:rFonts w:ascii="Calibri" w:hAnsi="Calibri" w:cs="Calibri"/>
          <w:sz w:val="22"/>
          <w:szCs w:val="22"/>
        </w:rPr>
        <w:t xml:space="preserve"> </w:t>
      </w:r>
      <w:r w:rsidRPr="00E02AB3">
        <w:rPr>
          <w:rFonts w:ascii="Calibri" w:hAnsi="Calibri" w:cs="Calibri"/>
          <w:sz w:val="22"/>
          <w:szCs w:val="22"/>
        </w:rPr>
        <w:t xml:space="preserve">The initial vertical height of the mass above the lowest point of travel was measured using the vertical scale and recorded as </w:t>
      </w:r>
      <w:r w:rsidRPr="00E02AB3">
        <w:rPr>
          <w:rFonts w:ascii="Calibri" w:hAnsi="Calibri" w:cs="Calibri"/>
          <w:sz w:val="22"/>
          <w:szCs w:val="22"/>
        </w:rPr>
        <w:t>h</w:t>
      </w:r>
      <w:r w:rsidRPr="00E02AB3">
        <w:rPr>
          <w:rFonts w:ascii="Calibri" w:hAnsi="Calibri" w:cs="Calibri"/>
          <w:sz w:val="22"/>
          <w:szCs w:val="22"/>
        </w:rPr>
        <w:t>1. This height was maintained at 0.28 m for all trials to ensure consistent experimental conditions. Measurements were taken at eye level to minimise parallax error, in accordance with recommended laboratory practice. The mass was raised to the initial height and released from rest without any additional force to ensure that motion was caused solely by gravitational acceleration.</w:t>
      </w:r>
    </w:p>
    <w:p w14:paraId="4B395B2C" w14:textId="2CE738E8" w:rsidR="00E02AB3" w:rsidRPr="00E02AB3" w:rsidRDefault="00E02AB3" w:rsidP="00E02AB3">
      <w:pPr>
        <w:rPr>
          <w:rFonts w:ascii="Calibri" w:hAnsi="Calibri" w:cs="Calibri"/>
          <w:sz w:val="22"/>
          <w:szCs w:val="22"/>
        </w:rPr>
      </w:pPr>
      <w:r w:rsidRPr="00E02AB3">
        <w:rPr>
          <w:rFonts w:ascii="Calibri" w:hAnsi="Calibri" w:cs="Calibri"/>
          <w:sz w:val="22"/>
          <w:szCs w:val="22"/>
        </w:rPr>
        <w:t xml:space="preserve">As the mass descended, it caused the flywheel to accelerate, converting gravitational potential energy into kinetic energy. The total time taken for the mass to fall to the lowest point and rise back to its maximum height was measured using a stopwatch and recorded as the total time. The final height reached by the mass after rising was recorded as </w:t>
      </w:r>
      <w:r w:rsidRPr="00E02AB3">
        <w:rPr>
          <w:rFonts w:ascii="Calibri" w:hAnsi="Calibri" w:cs="Calibri"/>
          <w:sz w:val="22"/>
          <w:szCs w:val="22"/>
        </w:rPr>
        <w:t>h</w:t>
      </w:r>
      <w:r w:rsidRPr="00E02AB3">
        <w:rPr>
          <w:rFonts w:ascii="Calibri" w:hAnsi="Calibri" w:cs="Calibri"/>
          <w:sz w:val="22"/>
          <w:szCs w:val="22"/>
        </w:rPr>
        <w:t>2, allowing energy losses within the system to be identified. Similar experimental approaches are commonly used to analyse rotational inertia and energy losses in flywheel systems (Amiryar and Pullen, 2017).</w:t>
      </w:r>
    </w:p>
    <w:p w14:paraId="7842B6CF" w14:textId="3ADB64C2" w:rsidR="00257E45" w:rsidRPr="00E02AB3" w:rsidRDefault="00E02AB3" w:rsidP="00E02AB3">
      <w:pPr>
        <w:rPr>
          <w:rFonts w:ascii="Calibri" w:hAnsi="Calibri" w:cs="Calibri"/>
          <w:sz w:val="22"/>
          <w:szCs w:val="22"/>
        </w:rPr>
      </w:pPr>
      <w:r w:rsidRPr="00E02AB3">
        <w:rPr>
          <w:rFonts w:ascii="Calibri" w:hAnsi="Calibri" w:cs="Calibri"/>
          <w:sz w:val="22"/>
          <w:szCs w:val="22"/>
        </w:rPr>
        <w:t xml:space="preserve">The procedure was initially carried out using a mass of 0.1 kg and then repeated with masses of 0.2 kg, 0.3 kg, and 0.4 kg. Each test was repeated </w:t>
      </w:r>
      <w:r>
        <w:rPr>
          <w:rFonts w:ascii="Calibri" w:hAnsi="Calibri" w:cs="Calibri"/>
          <w:sz w:val="22"/>
          <w:szCs w:val="22"/>
        </w:rPr>
        <w:t xml:space="preserve">five times </w:t>
      </w:r>
      <w:r w:rsidRPr="00E02AB3">
        <w:rPr>
          <w:rFonts w:ascii="Calibri" w:hAnsi="Calibri" w:cs="Calibri"/>
          <w:sz w:val="22"/>
          <w:szCs w:val="22"/>
        </w:rPr>
        <w:t>to improve the reliability of the data. Throughout the experiment, care was taken to ensure consistent conditions, including checking cord alignment and confirming that the flywheel brake remained fully disengaged.</w:t>
      </w:r>
    </w:p>
    <w:p w14:paraId="7AA80BF3" w14:textId="77777777" w:rsidR="00257E45" w:rsidRDefault="00257E45" w:rsidP="00457522"/>
    <w:p w14:paraId="65B5FBCE" w14:textId="77777777" w:rsidR="00257E45" w:rsidRDefault="00257E45" w:rsidP="00457522"/>
    <w:p w14:paraId="743BB5FD" w14:textId="77777777" w:rsidR="00257E45" w:rsidRDefault="00257E45" w:rsidP="00457522"/>
    <w:p w14:paraId="45809D31" w14:textId="77777777" w:rsidR="00B84978" w:rsidRDefault="00DC0FA6" w:rsidP="00B84978">
      <w:pPr>
        <w:keepNext/>
      </w:pPr>
      <w:r>
        <w:rPr>
          <w:noProof/>
        </w:rPr>
        <w:drawing>
          <wp:inline distT="0" distB="0" distL="0" distR="0" wp14:anchorId="08106720" wp14:editId="7B1F11B9">
            <wp:extent cx="3567600" cy="2674800"/>
            <wp:effectExtent l="8255" t="0" r="3175" b="3175"/>
            <wp:docPr id="1717691939" name="Picture 5" descr="A metal chair with hol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691939" name="Picture 5" descr="A metal chair with holes on i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567600" cy="2674800"/>
                    </a:xfrm>
                    <a:prstGeom prst="rect">
                      <a:avLst/>
                    </a:prstGeom>
                  </pic:spPr>
                </pic:pic>
              </a:graphicData>
            </a:graphic>
          </wp:inline>
        </w:drawing>
      </w:r>
    </w:p>
    <w:p w14:paraId="721B373A" w14:textId="4A5314D7" w:rsidR="00B84978" w:rsidRDefault="00B84978" w:rsidP="00B84978">
      <w:pPr>
        <w:pStyle w:val="Caption"/>
      </w:pPr>
      <w:bookmarkStart w:id="2" w:name="_Toc223120422"/>
      <w:r>
        <w:t xml:space="preserve">Figure </w:t>
      </w:r>
      <w:fldSimple w:instr=" SEQ Figure \* ARABIC ">
        <w:r w:rsidR="006B5B21">
          <w:rPr>
            <w:noProof/>
          </w:rPr>
          <w:t>1</w:t>
        </w:r>
      </w:fldSimple>
      <w:r>
        <w:t>- Image of the apparatus used in the experiment.</w:t>
      </w:r>
      <w:bookmarkEnd w:id="2"/>
    </w:p>
    <w:p w14:paraId="4D71C5ED" w14:textId="77777777" w:rsidR="002A486F" w:rsidRPr="002A486F" w:rsidRDefault="002A486F" w:rsidP="002A486F"/>
    <w:p w14:paraId="655B39D8" w14:textId="77777777" w:rsidR="00B84978" w:rsidRPr="00B84978" w:rsidRDefault="00B84978" w:rsidP="00B84978"/>
    <w:p w14:paraId="6BA64A74" w14:textId="70208391" w:rsidR="00257E45" w:rsidRDefault="00257E45" w:rsidP="00B84978">
      <w:pPr>
        <w:keepNext/>
      </w:pPr>
    </w:p>
    <w:p w14:paraId="186C467C" w14:textId="2CBD4627" w:rsidR="00033EFF" w:rsidRPr="000B4CC2" w:rsidRDefault="005B2F8A" w:rsidP="000B4CC2">
      <w:pPr>
        <w:pStyle w:val="Heading1"/>
        <w:numPr>
          <w:ilvl w:val="0"/>
          <w:numId w:val="0"/>
        </w:numPr>
        <w:ind w:left="432"/>
      </w:pPr>
      <w:r w:rsidRPr="000B4CC2">
        <w:rPr>
          <w:rFonts w:ascii="Calibri" w:hAnsi="Calibri" w:cs="Calibri"/>
          <w:b/>
          <w:bCs/>
          <w:sz w:val="20"/>
          <w:szCs w:val="20"/>
        </w:rPr>
        <w:fldChar w:fldCharType="begin"/>
      </w:r>
      <w:r w:rsidRPr="000B4CC2">
        <w:rPr>
          <w:rFonts w:ascii="Calibri" w:hAnsi="Calibri" w:cs="Calibri"/>
          <w:b/>
          <w:bCs/>
          <w:sz w:val="20"/>
          <w:szCs w:val="20"/>
        </w:rPr>
        <w:instrText xml:space="preserve"> TOC \h \z \c "Figure" </w:instrText>
      </w:r>
      <w:r w:rsidRPr="000B4CC2">
        <w:rPr>
          <w:rFonts w:ascii="Calibri" w:hAnsi="Calibri" w:cs="Calibri"/>
          <w:b/>
          <w:bCs/>
          <w:sz w:val="20"/>
          <w:szCs w:val="20"/>
        </w:rPr>
        <w:fldChar w:fldCharType="separate"/>
      </w:r>
      <w:r w:rsidRPr="000B4CC2">
        <w:rPr>
          <w:rFonts w:ascii="Calibri" w:hAnsi="Calibri" w:cs="Calibri"/>
          <w:b/>
          <w:bCs/>
          <w:sz w:val="20"/>
          <w:szCs w:val="20"/>
        </w:rPr>
        <w:fldChar w:fldCharType="end"/>
      </w:r>
    </w:p>
    <w:p w14:paraId="7855796D" w14:textId="1F32D01F" w:rsidR="000E20BF" w:rsidRDefault="000E20BF">
      <w:pPr>
        <w:spacing w:line="278" w:lineRule="auto"/>
        <w:rPr>
          <w:rFonts w:ascii="Calibri" w:hAnsi="Calibri" w:cs="Calibri"/>
          <w:b/>
          <w:bCs/>
          <w:sz w:val="20"/>
          <w:szCs w:val="20"/>
        </w:rPr>
      </w:pPr>
      <w:r>
        <w:rPr>
          <w:rFonts w:ascii="Calibri" w:hAnsi="Calibri" w:cs="Calibri"/>
          <w:b/>
          <w:bCs/>
          <w:sz w:val="20"/>
          <w:szCs w:val="20"/>
        </w:rPr>
        <w:br w:type="page"/>
      </w:r>
    </w:p>
    <w:p w14:paraId="7B66F420" w14:textId="3C242E12" w:rsidR="00801A1D" w:rsidRDefault="00775066" w:rsidP="00F33767">
      <w:pPr>
        <w:pStyle w:val="Heading1"/>
      </w:pPr>
      <w:bookmarkStart w:id="3" w:name="_Toc223120404"/>
      <w:r>
        <w:lastRenderedPageBreak/>
        <w:t>Results</w:t>
      </w:r>
      <w:bookmarkEnd w:id="3"/>
    </w:p>
    <w:p w14:paraId="2B857995" w14:textId="64352FD5" w:rsidR="005A10B5" w:rsidRPr="00BD4FAC" w:rsidRDefault="005A10B5" w:rsidP="005A10B5">
      <w:pPr>
        <w:rPr>
          <w:rFonts w:ascii="Calibri" w:hAnsi="Calibri" w:cs="Calibri"/>
          <w:sz w:val="22"/>
          <w:szCs w:val="22"/>
        </w:rPr>
      </w:pPr>
      <w:r w:rsidRPr="00BD4FAC">
        <w:rPr>
          <w:rFonts w:ascii="Calibri" w:hAnsi="Calibri" w:cs="Calibri"/>
          <w:sz w:val="22"/>
          <w:szCs w:val="22"/>
        </w:rPr>
        <w:t>The results obtained from the flywheel experiment are presented in Table 1. The experiment was carried out using four different masses: 0.1 kg, 0.2 kg, 0.3 kg, and 0.4 kg. For all trials, the initial height of the mass,</w:t>
      </w:r>
      <w:r w:rsidR="00D86815" w:rsidRPr="00BD4FAC">
        <w:rPr>
          <w:rFonts w:ascii="Calibri" w:hAnsi="Calibri" w:cs="Calibri"/>
          <w:sz w:val="22"/>
          <w:szCs w:val="22"/>
        </w:rPr>
        <w:t xml:space="preserve"> </w:t>
      </w:r>
      <w:r w:rsidRPr="00BD4FAC">
        <w:rPr>
          <w:rFonts w:ascii="Cambria Math" w:hAnsi="Cambria Math" w:cs="Cambria Math"/>
          <w:sz w:val="22"/>
          <w:szCs w:val="22"/>
        </w:rPr>
        <w:t>ℎ</w:t>
      </w:r>
      <w:r w:rsidR="00D86815" w:rsidRPr="00BD4FAC">
        <w:rPr>
          <w:rFonts w:ascii="Calibri" w:hAnsi="Calibri" w:cs="Calibri"/>
          <w:sz w:val="22"/>
          <w:szCs w:val="22"/>
        </w:rPr>
        <w:t>1</w:t>
      </w:r>
      <w:r w:rsidRPr="00BD4FAC">
        <w:rPr>
          <w:rFonts w:ascii="Calibri" w:hAnsi="Calibri" w:cs="Calibri"/>
          <w:sz w:val="22"/>
          <w:szCs w:val="22"/>
        </w:rPr>
        <w:t xml:space="preserve">, was kept constant at 0.28 m. The final height reached by the mass after rising, </w:t>
      </w:r>
      <w:r w:rsidRPr="00BD4FAC">
        <w:rPr>
          <w:rFonts w:ascii="Cambria Math" w:hAnsi="Cambria Math" w:cs="Cambria Math"/>
          <w:sz w:val="22"/>
          <w:szCs w:val="22"/>
        </w:rPr>
        <w:t>ℎ</w:t>
      </w:r>
      <w:r w:rsidRPr="00BD4FAC">
        <w:rPr>
          <w:rFonts w:ascii="Calibri" w:hAnsi="Calibri" w:cs="Calibri"/>
          <w:sz w:val="22"/>
          <w:szCs w:val="22"/>
        </w:rPr>
        <w:t>, and the total time taken for the mass to fall and rise,</w:t>
      </w:r>
      <w:r w:rsidR="00D86815" w:rsidRPr="00BD4FAC">
        <w:rPr>
          <w:rFonts w:ascii="Calibri" w:hAnsi="Calibri" w:cs="Calibri"/>
          <w:sz w:val="22"/>
          <w:szCs w:val="22"/>
        </w:rPr>
        <w:t xml:space="preserve"> </w:t>
      </w:r>
      <w:r w:rsidRPr="00BD4FAC">
        <w:rPr>
          <w:rFonts w:ascii="Cambria Math" w:hAnsi="Cambria Math" w:cs="Cambria Math"/>
          <w:sz w:val="22"/>
          <w:szCs w:val="22"/>
        </w:rPr>
        <w:t>𝑡𝑡</w:t>
      </w:r>
      <w:r w:rsidRPr="00BD4FAC">
        <w:rPr>
          <w:rFonts w:ascii="Calibri" w:hAnsi="Calibri" w:cs="Calibri"/>
          <w:sz w:val="22"/>
          <w:szCs w:val="22"/>
        </w:rPr>
        <w:t>, were measured and recorded.</w:t>
      </w:r>
    </w:p>
    <w:p w14:paraId="47AB5C78" w14:textId="3DB629A7" w:rsidR="005A10B5" w:rsidRPr="00BD4FAC" w:rsidRDefault="005A10B5" w:rsidP="005A10B5">
      <w:pPr>
        <w:rPr>
          <w:rFonts w:ascii="Calibri" w:hAnsi="Calibri" w:cs="Calibri"/>
          <w:sz w:val="22"/>
          <w:szCs w:val="22"/>
        </w:rPr>
      </w:pPr>
      <w:r w:rsidRPr="00BD4FAC">
        <w:rPr>
          <w:rFonts w:ascii="Calibri" w:hAnsi="Calibri" w:cs="Calibri"/>
          <w:sz w:val="22"/>
          <w:szCs w:val="22"/>
        </w:rPr>
        <w:t xml:space="preserve">As the mass increased, the total time taken for the mass to fall and rise decreased. The recorded time reduced from 4.26 s for the 0.1 kg mass to 2.43 s for the 0.4 kg mass. The final height </w:t>
      </w:r>
      <w:r w:rsidRPr="00BD4FAC">
        <w:rPr>
          <w:rFonts w:ascii="Cambria Math" w:hAnsi="Cambria Math" w:cs="Cambria Math"/>
          <w:sz w:val="22"/>
          <w:szCs w:val="22"/>
        </w:rPr>
        <w:t>ℎ</w:t>
      </w:r>
      <w:r w:rsidRPr="00BD4FAC">
        <w:rPr>
          <w:rFonts w:ascii="Calibri" w:hAnsi="Calibri" w:cs="Calibri"/>
          <w:sz w:val="22"/>
          <w:szCs w:val="22"/>
        </w:rPr>
        <w:t>2 varied between 0.2408 m and 0.2533 m and was consistently lower than the initial height, indicating energy losses within the system.</w:t>
      </w:r>
    </w:p>
    <w:p w14:paraId="62BBB16F" w14:textId="035484FA" w:rsidR="005F0927" w:rsidRPr="00BD4FAC" w:rsidRDefault="005A10B5" w:rsidP="005A10B5">
      <w:pPr>
        <w:rPr>
          <w:rFonts w:ascii="Calibri" w:hAnsi="Calibri" w:cs="Calibri"/>
          <w:sz w:val="22"/>
          <w:szCs w:val="22"/>
        </w:rPr>
      </w:pPr>
      <w:r w:rsidRPr="00BD4FAC">
        <w:rPr>
          <w:rFonts w:ascii="Calibri" w:hAnsi="Calibri" w:cs="Calibri"/>
          <w:sz w:val="22"/>
          <w:szCs w:val="22"/>
        </w:rPr>
        <w:t>The calculated potential energy at the initial height increased proportionally with mass, ranging from 0.27468 J for the 0.1 kg mass to 1.09872 J for the 0.4 kg mass. Adjusted potential energy losses were also recorded and showed an increasing trend as mass increased. These values, along with the measured times and heights, were used for further calculations and graphical analysis in the following section.</w:t>
      </w:r>
    </w:p>
    <w:p w14:paraId="3DE9726F" w14:textId="29F1C16D" w:rsidR="006134B9" w:rsidRDefault="006134B9" w:rsidP="006134B9">
      <w:pPr>
        <w:pStyle w:val="Caption"/>
        <w:keepNext/>
      </w:pPr>
      <w:bookmarkStart w:id="4" w:name="_Toc223119801"/>
      <w:r>
        <w:t xml:space="preserve">Table </w:t>
      </w:r>
      <w:fldSimple w:instr=" SEQ Table \* ARABIC ">
        <w:r>
          <w:rPr>
            <w:noProof/>
          </w:rPr>
          <w:t>1</w:t>
        </w:r>
      </w:fldSimple>
      <w:r>
        <w:t>-</w:t>
      </w:r>
      <w:r w:rsidRPr="006134B9">
        <w:t xml:space="preserve"> </w:t>
      </w:r>
      <w:r>
        <w:t>Raw experimental data showing mass, initial height, final height, and total time for the flywheel experiment.</w:t>
      </w:r>
      <w:bookmarkEnd w:id="4"/>
    </w:p>
    <w:tbl>
      <w:tblPr>
        <w:tblStyle w:val="TableGrid"/>
        <w:tblW w:w="0" w:type="auto"/>
        <w:tblLook w:val="04A0" w:firstRow="1" w:lastRow="0" w:firstColumn="1" w:lastColumn="0" w:noHBand="0" w:noVBand="1"/>
      </w:tblPr>
      <w:tblGrid>
        <w:gridCol w:w="1120"/>
        <w:gridCol w:w="957"/>
        <w:gridCol w:w="1737"/>
        <w:gridCol w:w="1734"/>
      </w:tblGrid>
      <w:tr w:rsidR="00F46888" w:rsidRPr="005F0927" w14:paraId="6C33B343" w14:textId="6A98E4BE" w:rsidTr="00F46888">
        <w:trPr>
          <w:trHeight w:val="336"/>
        </w:trPr>
        <w:tc>
          <w:tcPr>
            <w:tcW w:w="1120" w:type="dxa"/>
            <w:noWrap/>
            <w:hideMark/>
          </w:tcPr>
          <w:p w14:paraId="4B17D42E" w14:textId="77777777" w:rsidR="00F46888" w:rsidRPr="005F0927" w:rsidRDefault="00F46888" w:rsidP="00C13425">
            <w:pPr>
              <w:jc w:val="center"/>
            </w:pPr>
            <w:r w:rsidRPr="005F0927">
              <w:t xml:space="preserve">Mass </w:t>
            </w:r>
            <w:r w:rsidRPr="005F0927">
              <w:rPr>
                <w:i/>
                <w:iCs/>
              </w:rPr>
              <w:t>m</w:t>
            </w:r>
            <w:r w:rsidRPr="005F0927">
              <w:t xml:space="preserve"> (kg)</w:t>
            </w:r>
          </w:p>
        </w:tc>
        <w:tc>
          <w:tcPr>
            <w:tcW w:w="957" w:type="dxa"/>
            <w:vAlign w:val="bottom"/>
          </w:tcPr>
          <w:p w14:paraId="3DA9A998" w14:textId="30DC0862" w:rsidR="00F46888" w:rsidRPr="005F0927" w:rsidRDefault="00F46888" w:rsidP="00C13425">
            <w:pPr>
              <w:spacing w:line="278" w:lineRule="auto"/>
            </w:pPr>
            <w:r>
              <w:rPr>
                <w:rFonts w:ascii="Aptos Narrow" w:hAnsi="Aptos Narrow"/>
                <w:color w:val="000000"/>
                <w:sz w:val="22"/>
                <w:szCs w:val="22"/>
              </w:rPr>
              <w:t>h</w:t>
            </w:r>
            <w:r>
              <w:rPr>
                <w:rFonts w:ascii="Aptos Narrow" w:hAnsi="Aptos Narrow"/>
                <w:color w:val="000000"/>
                <w:sz w:val="22"/>
                <w:szCs w:val="22"/>
                <w:vertAlign w:val="subscript"/>
              </w:rPr>
              <w:t>2</w:t>
            </w:r>
            <w:r>
              <w:rPr>
                <w:rFonts w:ascii="Aptos Narrow" w:hAnsi="Aptos Narrow"/>
                <w:color w:val="000000"/>
                <w:sz w:val="22"/>
                <w:szCs w:val="22"/>
              </w:rPr>
              <w:t xml:space="preserve"> (m)</w:t>
            </w:r>
          </w:p>
        </w:tc>
        <w:tc>
          <w:tcPr>
            <w:tcW w:w="1737" w:type="dxa"/>
            <w:vAlign w:val="bottom"/>
          </w:tcPr>
          <w:p w14:paraId="2A714FA6" w14:textId="58095E75" w:rsidR="00F46888" w:rsidRPr="005F0927" w:rsidRDefault="00F46888" w:rsidP="00C13425">
            <w:pPr>
              <w:spacing w:line="278" w:lineRule="auto"/>
            </w:pPr>
            <w:r>
              <w:rPr>
                <w:rFonts w:ascii="Aptos Narrow" w:hAnsi="Aptos Narrow"/>
                <w:color w:val="000000"/>
                <w:sz w:val="22"/>
                <w:szCs w:val="22"/>
              </w:rPr>
              <w:t xml:space="preserve">Falling Time </w:t>
            </w:r>
            <w:r>
              <w:rPr>
                <w:rFonts w:ascii="Aptos Narrow" w:hAnsi="Aptos Narrow"/>
                <w:i/>
                <w:iCs/>
                <w:color w:val="000000"/>
                <w:sz w:val="22"/>
                <w:szCs w:val="22"/>
              </w:rPr>
              <w:t>t</w:t>
            </w:r>
            <w:r>
              <w:rPr>
                <w:rFonts w:ascii="Aptos Narrow" w:hAnsi="Aptos Narrow"/>
                <w:i/>
                <w:iCs/>
                <w:color w:val="000000"/>
                <w:sz w:val="22"/>
                <w:szCs w:val="22"/>
                <w:vertAlign w:val="subscript"/>
              </w:rPr>
              <w:t>f</w:t>
            </w:r>
            <w:r>
              <w:rPr>
                <w:rFonts w:ascii="Aptos Narrow" w:hAnsi="Aptos Narrow"/>
                <w:color w:val="000000"/>
                <w:sz w:val="22"/>
                <w:szCs w:val="22"/>
              </w:rPr>
              <w:t xml:space="preserve"> (s)</w:t>
            </w:r>
          </w:p>
        </w:tc>
        <w:tc>
          <w:tcPr>
            <w:tcW w:w="1734" w:type="dxa"/>
          </w:tcPr>
          <w:p w14:paraId="1A89264C" w14:textId="77777777" w:rsidR="00E50D0D" w:rsidRDefault="00E50D0D" w:rsidP="00E50D0D">
            <w:pPr>
              <w:spacing w:line="240" w:lineRule="auto"/>
              <w:rPr>
                <w:rFonts w:ascii="Aptos Narrow" w:hAnsi="Aptos Narrow"/>
                <w:color w:val="000000"/>
                <w:sz w:val="22"/>
                <w:szCs w:val="22"/>
              </w:rPr>
            </w:pPr>
            <w:r>
              <w:rPr>
                <w:rFonts w:ascii="Aptos Narrow" w:hAnsi="Aptos Narrow"/>
                <w:color w:val="000000"/>
                <w:sz w:val="22"/>
                <w:szCs w:val="22"/>
              </w:rPr>
              <w:t>h</w:t>
            </w:r>
            <w:r>
              <w:rPr>
                <w:rFonts w:ascii="Aptos Narrow" w:hAnsi="Aptos Narrow"/>
                <w:color w:val="000000"/>
                <w:sz w:val="22"/>
                <w:szCs w:val="22"/>
                <w:vertAlign w:val="subscript"/>
              </w:rPr>
              <w:t>1</w:t>
            </w:r>
          </w:p>
          <w:p w14:paraId="068C3793" w14:textId="0777C757" w:rsidR="00E50D0D" w:rsidRDefault="00E50D0D" w:rsidP="00C13425">
            <w:pPr>
              <w:spacing w:line="278" w:lineRule="auto"/>
              <w:rPr>
                <w:rFonts w:ascii="Aptos Narrow" w:hAnsi="Aptos Narrow"/>
                <w:color w:val="000000"/>
                <w:sz w:val="22"/>
                <w:szCs w:val="22"/>
              </w:rPr>
            </w:pPr>
          </w:p>
        </w:tc>
      </w:tr>
      <w:tr w:rsidR="00F46888" w:rsidRPr="005F0927" w14:paraId="0931050A" w14:textId="71F083BC" w:rsidTr="00F46888">
        <w:trPr>
          <w:trHeight w:val="288"/>
        </w:trPr>
        <w:tc>
          <w:tcPr>
            <w:tcW w:w="1120" w:type="dxa"/>
            <w:noWrap/>
            <w:hideMark/>
          </w:tcPr>
          <w:p w14:paraId="16710748" w14:textId="77777777" w:rsidR="00F46888" w:rsidRPr="005F0927" w:rsidRDefault="00F46888" w:rsidP="00C13425">
            <w:pPr>
              <w:jc w:val="center"/>
            </w:pPr>
            <w:r w:rsidRPr="005F0927">
              <w:t>0</w:t>
            </w:r>
          </w:p>
        </w:tc>
        <w:tc>
          <w:tcPr>
            <w:tcW w:w="957" w:type="dxa"/>
            <w:vAlign w:val="bottom"/>
          </w:tcPr>
          <w:p w14:paraId="4DC63443" w14:textId="47CFC82E" w:rsidR="00F46888" w:rsidRPr="005F0927" w:rsidRDefault="00F46888" w:rsidP="00C13425">
            <w:pPr>
              <w:spacing w:line="278" w:lineRule="auto"/>
            </w:pPr>
            <w:r>
              <w:rPr>
                <w:rFonts w:ascii="Aptos Narrow" w:hAnsi="Aptos Narrow"/>
                <w:color w:val="000000"/>
                <w:sz w:val="22"/>
                <w:szCs w:val="22"/>
              </w:rPr>
              <w:t>0</w:t>
            </w:r>
          </w:p>
        </w:tc>
        <w:tc>
          <w:tcPr>
            <w:tcW w:w="1737" w:type="dxa"/>
            <w:vAlign w:val="bottom"/>
          </w:tcPr>
          <w:p w14:paraId="24817D5B" w14:textId="16B2DDA9" w:rsidR="00F46888" w:rsidRPr="005F0927" w:rsidRDefault="00F46888" w:rsidP="00C13425">
            <w:pPr>
              <w:spacing w:line="278" w:lineRule="auto"/>
            </w:pPr>
            <w:r>
              <w:rPr>
                <w:rFonts w:ascii="Aptos Narrow" w:hAnsi="Aptos Narrow"/>
                <w:color w:val="000000"/>
                <w:sz w:val="22"/>
                <w:szCs w:val="22"/>
              </w:rPr>
              <w:t>0</w:t>
            </w:r>
          </w:p>
        </w:tc>
        <w:tc>
          <w:tcPr>
            <w:tcW w:w="1734" w:type="dxa"/>
          </w:tcPr>
          <w:p w14:paraId="32FAC646" w14:textId="47D158EB" w:rsidR="00F46888" w:rsidRDefault="00E50D0D" w:rsidP="00C13425">
            <w:pPr>
              <w:spacing w:line="278" w:lineRule="auto"/>
              <w:rPr>
                <w:rFonts w:ascii="Aptos Narrow" w:hAnsi="Aptos Narrow"/>
                <w:color w:val="000000"/>
                <w:sz w:val="22"/>
                <w:szCs w:val="22"/>
              </w:rPr>
            </w:pPr>
            <w:r>
              <w:rPr>
                <w:rFonts w:ascii="Aptos Narrow" w:hAnsi="Aptos Narrow"/>
                <w:color w:val="000000"/>
                <w:sz w:val="22"/>
                <w:szCs w:val="22"/>
              </w:rPr>
              <w:t>0.28</w:t>
            </w:r>
          </w:p>
        </w:tc>
      </w:tr>
      <w:tr w:rsidR="00F46888" w:rsidRPr="005F0927" w14:paraId="2E5E1352" w14:textId="0EDC9E0C" w:rsidTr="00F46888">
        <w:trPr>
          <w:trHeight w:val="288"/>
        </w:trPr>
        <w:tc>
          <w:tcPr>
            <w:tcW w:w="1120" w:type="dxa"/>
            <w:noWrap/>
            <w:hideMark/>
          </w:tcPr>
          <w:p w14:paraId="389B06BB" w14:textId="77777777" w:rsidR="00F46888" w:rsidRPr="005F0927" w:rsidRDefault="00F46888" w:rsidP="00C13425">
            <w:pPr>
              <w:jc w:val="center"/>
            </w:pPr>
            <w:r w:rsidRPr="005F0927">
              <w:t>0.1</w:t>
            </w:r>
          </w:p>
        </w:tc>
        <w:tc>
          <w:tcPr>
            <w:tcW w:w="957" w:type="dxa"/>
            <w:vAlign w:val="bottom"/>
          </w:tcPr>
          <w:p w14:paraId="5F14AEFD" w14:textId="378A1480" w:rsidR="00F46888" w:rsidRPr="005F0927" w:rsidRDefault="00F46888" w:rsidP="00C13425">
            <w:pPr>
              <w:spacing w:line="278" w:lineRule="auto"/>
            </w:pPr>
            <w:r>
              <w:rPr>
                <w:rFonts w:ascii="Aptos Narrow" w:hAnsi="Aptos Narrow"/>
                <w:color w:val="000000"/>
                <w:sz w:val="22"/>
                <w:szCs w:val="22"/>
              </w:rPr>
              <w:t>0.25</w:t>
            </w:r>
          </w:p>
        </w:tc>
        <w:tc>
          <w:tcPr>
            <w:tcW w:w="1737" w:type="dxa"/>
            <w:vAlign w:val="bottom"/>
          </w:tcPr>
          <w:p w14:paraId="5E5E5C7C" w14:textId="650EF2C9" w:rsidR="00F46888" w:rsidRPr="005F0927" w:rsidRDefault="00F46888" w:rsidP="00C13425">
            <w:pPr>
              <w:spacing w:line="278" w:lineRule="auto"/>
            </w:pPr>
            <w:r>
              <w:rPr>
                <w:rFonts w:ascii="Aptos Narrow" w:hAnsi="Aptos Narrow"/>
                <w:color w:val="000000"/>
                <w:sz w:val="22"/>
                <w:szCs w:val="22"/>
              </w:rPr>
              <w:t>5.31</w:t>
            </w:r>
          </w:p>
        </w:tc>
        <w:tc>
          <w:tcPr>
            <w:tcW w:w="1734" w:type="dxa"/>
          </w:tcPr>
          <w:p w14:paraId="40A7E576" w14:textId="77777777" w:rsidR="00F46888" w:rsidRDefault="00F46888" w:rsidP="00C13425">
            <w:pPr>
              <w:spacing w:line="278" w:lineRule="auto"/>
              <w:rPr>
                <w:rFonts w:ascii="Aptos Narrow" w:hAnsi="Aptos Narrow"/>
                <w:color w:val="000000"/>
                <w:sz w:val="22"/>
                <w:szCs w:val="22"/>
              </w:rPr>
            </w:pPr>
          </w:p>
        </w:tc>
      </w:tr>
      <w:tr w:rsidR="00F46888" w:rsidRPr="005F0927" w14:paraId="32ED273F" w14:textId="29099597" w:rsidTr="00F46888">
        <w:trPr>
          <w:trHeight w:val="288"/>
        </w:trPr>
        <w:tc>
          <w:tcPr>
            <w:tcW w:w="1120" w:type="dxa"/>
            <w:noWrap/>
            <w:hideMark/>
          </w:tcPr>
          <w:p w14:paraId="6A17ED07" w14:textId="77777777" w:rsidR="00F46888" w:rsidRPr="005F0927" w:rsidRDefault="00F46888" w:rsidP="00C13425">
            <w:pPr>
              <w:jc w:val="center"/>
            </w:pPr>
            <w:r w:rsidRPr="005F0927">
              <w:t>0.2</w:t>
            </w:r>
          </w:p>
        </w:tc>
        <w:tc>
          <w:tcPr>
            <w:tcW w:w="957" w:type="dxa"/>
            <w:vAlign w:val="bottom"/>
          </w:tcPr>
          <w:p w14:paraId="2CFE0F98" w14:textId="29A8F4BD" w:rsidR="00F46888" w:rsidRPr="005F0927" w:rsidRDefault="00F46888" w:rsidP="00C13425">
            <w:pPr>
              <w:spacing w:line="278" w:lineRule="auto"/>
            </w:pPr>
            <w:r>
              <w:rPr>
                <w:rFonts w:ascii="Aptos Narrow" w:hAnsi="Aptos Narrow"/>
                <w:color w:val="000000"/>
                <w:sz w:val="22"/>
                <w:szCs w:val="22"/>
              </w:rPr>
              <w:t>0.25</w:t>
            </w:r>
          </w:p>
        </w:tc>
        <w:tc>
          <w:tcPr>
            <w:tcW w:w="1737" w:type="dxa"/>
            <w:vAlign w:val="bottom"/>
          </w:tcPr>
          <w:p w14:paraId="4E32F33A" w14:textId="13A9CAB8" w:rsidR="00F46888" w:rsidRPr="005F0927" w:rsidRDefault="00F46888" w:rsidP="00C13425">
            <w:pPr>
              <w:spacing w:line="278" w:lineRule="auto"/>
            </w:pPr>
            <w:r>
              <w:rPr>
                <w:rFonts w:ascii="Aptos Narrow" w:hAnsi="Aptos Narrow"/>
                <w:color w:val="000000"/>
                <w:sz w:val="22"/>
                <w:szCs w:val="22"/>
              </w:rPr>
              <w:t>4.08</w:t>
            </w:r>
          </w:p>
        </w:tc>
        <w:tc>
          <w:tcPr>
            <w:tcW w:w="1734" w:type="dxa"/>
          </w:tcPr>
          <w:p w14:paraId="6FBC995E" w14:textId="77777777" w:rsidR="00F46888" w:rsidRDefault="00F46888" w:rsidP="00C13425">
            <w:pPr>
              <w:spacing w:line="278" w:lineRule="auto"/>
              <w:rPr>
                <w:rFonts w:ascii="Aptos Narrow" w:hAnsi="Aptos Narrow"/>
                <w:color w:val="000000"/>
                <w:sz w:val="22"/>
                <w:szCs w:val="22"/>
              </w:rPr>
            </w:pPr>
          </w:p>
        </w:tc>
      </w:tr>
      <w:tr w:rsidR="00F46888" w:rsidRPr="005F0927" w14:paraId="68E678A6" w14:textId="153506E6" w:rsidTr="00F46888">
        <w:trPr>
          <w:trHeight w:val="288"/>
        </w:trPr>
        <w:tc>
          <w:tcPr>
            <w:tcW w:w="1120" w:type="dxa"/>
            <w:noWrap/>
            <w:hideMark/>
          </w:tcPr>
          <w:p w14:paraId="4F075F79" w14:textId="77777777" w:rsidR="00F46888" w:rsidRPr="005F0927" w:rsidRDefault="00F46888" w:rsidP="00C13425">
            <w:pPr>
              <w:jc w:val="center"/>
            </w:pPr>
            <w:r w:rsidRPr="005F0927">
              <w:t>0.3</w:t>
            </w:r>
          </w:p>
        </w:tc>
        <w:tc>
          <w:tcPr>
            <w:tcW w:w="957" w:type="dxa"/>
            <w:vAlign w:val="bottom"/>
          </w:tcPr>
          <w:p w14:paraId="129C795B" w14:textId="17E86324" w:rsidR="00F46888" w:rsidRPr="005F0927" w:rsidRDefault="00F46888" w:rsidP="00C13425">
            <w:pPr>
              <w:spacing w:line="278" w:lineRule="auto"/>
            </w:pPr>
            <w:r>
              <w:rPr>
                <w:rFonts w:ascii="Aptos Narrow" w:hAnsi="Aptos Narrow"/>
                <w:color w:val="000000"/>
                <w:sz w:val="22"/>
                <w:szCs w:val="22"/>
              </w:rPr>
              <w:t>0.25</w:t>
            </w:r>
          </w:p>
        </w:tc>
        <w:tc>
          <w:tcPr>
            <w:tcW w:w="1737" w:type="dxa"/>
            <w:vAlign w:val="bottom"/>
          </w:tcPr>
          <w:p w14:paraId="7592AC4F" w14:textId="16E949C3" w:rsidR="00F46888" w:rsidRPr="005F0927" w:rsidRDefault="00F46888" w:rsidP="00C13425">
            <w:pPr>
              <w:spacing w:line="278" w:lineRule="auto"/>
            </w:pPr>
            <w:r>
              <w:rPr>
                <w:rFonts w:ascii="Aptos Narrow" w:hAnsi="Aptos Narrow"/>
                <w:color w:val="000000"/>
                <w:sz w:val="22"/>
                <w:szCs w:val="22"/>
              </w:rPr>
              <w:t>3.31</w:t>
            </w:r>
          </w:p>
        </w:tc>
        <w:tc>
          <w:tcPr>
            <w:tcW w:w="1734" w:type="dxa"/>
          </w:tcPr>
          <w:p w14:paraId="2E566F36" w14:textId="77777777" w:rsidR="00F46888" w:rsidRDefault="00F46888" w:rsidP="00C13425">
            <w:pPr>
              <w:spacing w:line="278" w:lineRule="auto"/>
              <w:rPr>
                <w:rFonts w:ascii="Aptos Narrow" w:hAnsi="Aptos Narrow"/>
                <w:color w:val="000000"/>
                <w:sz w:val="22"/>
                <w:szCs w:val="22"/>
              </w:rPr>
            </w:pPr>
          </w:p>
        </w:tc>
      </w:tr>
      <w:tr w:rsidR="00F46888" w:rsidRPr="005F0927" w14:paraId="2210CC03" w14:textId="6E5B9DB7" w:rsidTr="00F46888">
        <w:trPr>
          <w:trHeight w:val="288"/>
        </w:trPr>
        <w:tc>
          <w:tcPr>
            <w:tcW w:w="1120" w:type="dxa"/>
            <w:noWrap/>
            <w:hideMark/>
          </w:tcPr>
          <w:p w14:paraId="6CAF7462" w14:textId="77777777" w:rsidR="00F46888" w:rsidRPr="005F0927" w:rsidRDefault="00F46888" w:rsidP="00C13425">
            <w:pPr>
              <w:jc w:val="center"/>
            </w:pPr>
            <w:r w:rsidRPr="005F0927">
              <w:t>0.4</w:t>
            </w:r>
          </w:p>
        </w:tc>
        <w:tc>
          <w:tcPr>
            <w:tcW w:w="957" w:type="dxa"/>
            <w:vAlign w:val="bottom"/>
          </w:tcPr>
          <w:p w14:paraId="53D74C00" w14:textId="058B6D27" w:rsidR="00F46888" w:rsidRPr="005F0927" w:rsidRDefault="00F46888" w:rsidP="00C13425">
            <w:pPr>
              <w:spacing w:line="278" w:lineRule="auto"/>
            </w:pPr>
            <w:r>
              <w:rPr>
                <w:rFonts w:ascii="Aptos Narrow" w:hAnsi="Aptos Narrow"/>
                <w:color w:val="000000"/>
                <w:sz w:val="22"/>
                <w:szCs w:val="22"/>
              </w:rPr>
              <w:t>0.24</w:t>
            </w:r>
          </w:p>
        </w:tc>
        <w:tc>
          <w:tcPr>
            <w:tcW w:w="1737" w:type="dxa"/>
            <w:vAlign w:val="bottom"/>
          </w:tcPr>
          <w:p w14:paraId="65089874" w14:textId="15CD8345" w:rsidR="00F46888" w:rsidRPr="005F0927" w:rsidRDefault="00F46888" w:rsidP="00C13425">
            <w:pPr>
              <w:spacing w:line="278" w:lineRule="auto"/>
            </w:pPr>
            <w:r>
              <w:rPr>
                <w:rFonts w:ascii="Aptos Narrow" w:hAnsi="Aptos Narrow"/>
                <w:color w:val="000000"/>
                <w:sz w:val="22"/>
                <w:szCs w:val="22"/>
              </w:rPr>
              <w:t>3.02</w:t>
            </w:r>
          </w:p>
        </w:tc>
        <w:tc>
          <w:tcPr>
            <w:tcW w:w="1734" w:type="dxa"/>
          </w:tcPr>
          <w:p w14:paraId="4BBE67BF" w14:textId="77777777" w:rsidR="00F46888" w:rsidRDefault="00F46888" w:rsidP="00C13425">
            <w:pPr>
              <w:spacing w:line="278" w:lineRule="auto"/>
              <w:rPr>
                <w:rFonts w:ascii="Aptos Narrow" w:hAnsi="Aptos Narrow"/>
                <w:color w:val="000000"/>
                <w:sz w:val="22"/>
                <w:szCs w:val="22"/>
              </w:rPr>
            </w:pPr>
          </w:p>
        </w:tc>
      </w:tr>
      <w:tr w:rsidR="00F46888" w:rsidRPr="005F0927" w14:paraId="4183CADC" w14:textId="3361A6CA" w:rsidTr="00F46888">
        <w:trPr>
          <w:trHeight w:val="288"/>
        </w:trPr>
        <w:tc>
          <w:tcPr>
            <w:tcW w:w="1120" w:type="dxa"/>
            <w:noWrap/>
            <w:hideMark/>
          </w:tcPr>
          <w:p w14:paraId="796F6508" w14:textId="77777777" w:rsidR="00F46888" w:rsidRPr="005F0927" w:rsidRDefault="00F46888" w:rsidP="00C13425">
            <w:pPr>
              <w:jc w:val="center"/>
            </w:pPr>
            <w:r w:rsidRPr="005F0927">
              <w:t>0.5</w:t>
            </w:r>
          </w:p>
        </w:tc>
        <w:tc>
          <w:tcPr>
            <w:tcW w:w="957" w:type="dxa"/>
            <w:vAlign w:val="bottom"/>
          </w:tcPr>
          <w:p w14:paraId="4CD4D25D" w14:textId="1B972948" w:rsidR="00F46888" w:rsidRPr="005F0927" w:rsidRDefault="00F46888" w:rsidP="00C13425">
            <w:pPr>
              <w:spacing w:line="278" w:lineRule="auto"/>
            </w:pPr>
            <w:r>
              <w:rPr>
                <w:rFonts w:ascii="Aptos Narrow" w:hAnsi="Aptos Narrow"/>
                <w:color w:val="000000"/>
                <w:sz w:val="22"/>
                <w:szCs w:val="22"/>
              </w:rPr>
              <w:t>0.21</w:t>
            </w:r>
          </w:p>
        </w:tc>
        <w:tc>
          <w:tcPr>
            <w:tcW w:w="1737" w:type="dxa"/>
            <w:vAlign w:val="bottom"/>
          </w:tcPr>
          <w:p w14:paraId="72264DA4" w14:textId="427D80DE" w:rsidR="00F46888" w:rsidRPr="005F0927" w:rsidRDefault="00F46888" w:rsidP="00C13425">
            <w:pPr>
              <w:spacing w:line="278" w:lineRule="auto"/>
            </w:pPr>
            <w:r>
              <w:rPr>
                <w:rFonts w:ascii="Aptos Narrow" w:hAnsi="Aptos Narrow"/>
                <w:color w:val="000000"/>
                <w:sz w:val="22"/>
                <w:szCs w:val="22"/>
              </w:rPr>
              <w:t>2.18</w:t>
            </w:r>
          </w:p>
        </w:tc>
        <w:tc>
          <w:tcPr>
            <w:tcW w:w="1734" w:type="dxa"/>
          </w:tcPr>
          <w:p w14:paraId="44485C83" w14:textId="77777777" w:rsidR="00F46888" w:rsidRDefault="00F46888" w:rsidP="00C13425">
            <w:pPr>
              <w:spacing w:line="278" w:lineRule="auto"/>
              <w:rPr>
                <w:rFonts w:ascii="Aptos Narrow" w:hAnsi="Aptos Narrow"/>
                <w:color w:val="000000"/>
                <w:sz w:val="22"/>
                <w:szCs w:val="22"/>
              </w:rPr>
            </w:pPr>
          </w:p>
        </w:tc>
      </w:tr>
    </w:tbl>
    <w:p w14:paraId="24C4C7A4" w14:textId="77777777" w:rsidR="00F33767" w:rsidRDefault="00F33767" w:rsidP="000E20BF">
      <w:pPr>
        <w:jc w:val="center"/>
      </w:pPr>
    </w:p>
    <w:p w14:paraId="100E2EDF" w14:textId="77777777" w:rsidR="00F33767" w:rsidRDefault="00F33767" w:rsidP="000E20BF">
      <w:pPr>
        <w:jc w:val="center"/>
      </w:pPr>
    </w:p>
    <w:p w14:paraId="775CACD1" w14:textId="77777777" w:rsidR="00F33767" w:rsidRDefault="00F33767" w:rsidP="000E20BF">
      <w:pPr>
        <w:jc w:val="center"/>
      </w:pPr>
    </w:p>
    <w:p w14:paraId="66AEA0CD" w14:textId="77777777" w:rsidR="00F33767" w:rsidRDefault="00F33767" w:rsidP="000E20BF">
      <w:pPr>
        <w:jc w:val="center"/>
      </w:pPr>
    </w:p>
    <w:p w14:paraId="7B71FA63" w14:textId="495EF268" w:rsidR="00F33767" w:rsidRDefault="00040B25" w:rsidP="006134B9">
      <w:pPr>
        <w:pStyle w:val="Heading1"/>
      </w:pPr>
      <w:bookmarkStart w:id="5" w:name="_Toc223120405"/>
      <w:r>
        <w:lastRenderedPageBreak/>
        <w:t>Analysis</w:t>
      </w:r>
      <w:bookmarkEnd w:id="5"/>
    </w:p>
    <w:p w14:paraId="03C6DCE8" w14:textId="43E7708D" w:rsidR="00D73811" w:rsidRPr="00B8480F" w:rsidRDefault="00D73811" w:rsidP="00D73811">
      <w:pPr>
        <w:pStyle w:val="NormalWeb"/>
        <w:rPr>
          <w:rFonts w:ascii="Calibri" w:hAnsi="Calibri" w:cs="Calibri"/>
          <w:sz w:val="22"/>
          <w:szCs w:val="22"/>
        </w:rPr>
      </w:pPr>
      <w:r w:rsidRPr="00B8480F">
        <w:rPr>
          <w:rFonts w:ascii="Calibri" w:hAnsi="Calibri" w:cs="Calibri"/>
          <w:sz w:val="22"/>
          <w:szCs w:val="22"/>
        </w:rPr>
        <w:t>The experimental data obtained were analysed to investigate the relationship between gravitational potential energy, kinetic energy, and the moment of inertia of the flywheel. For each mass used, the gravitational potential energy was calculated using</w:t>
      </w:r>
      <w:r w:rsidR="00C41AD3" w:rsidRPr="00B8480F">
        <w:rPr>
          <w:rFonts w:ascii="Calibri" w:hAnsi="Calibri" w:cs="Calibri"/>
          <w:sz w:val="22"/>
          <w:szCs w:val="22"/>
        </w:rPr>
        <w:t>.</w:t>
      </w:r>
      <w:r w:rsidRPr="00B8480F">
        <w:rPr>
          <w:rFonts w:ascii="Calibri" w:hAnsi="Calibri" w:cs="Calibri"/>
          <w:sz w:val="22"/>
          <w:szCs w:val="22"/>
        </w:rPr>
        <w:t xml:space="preserve"> </w:t>
      </w:r>
      <m:oMath>
        <m:r>
          <w:rPr>
            <w:rFonts w:ascii="Cambria Math" w:hAnsi="Cambria Math" w:cs="Calibri"/>
            <w:sz w:val="22"/>
            <w:szCs w:val="22"/>
          </w:rPr>
          <m:t>PE=mg</m:t>
        </m:r>
        <m:sSub>
          <m:sSubPr>
            <m:ctrlPr>
              <w:rPr>
                <w:rFonts w:ascii="Cambria Math" w:hAnsi="Cambria Math" w:cs="Calibri"/>
                <w:sz w:val="22"/>
                <w:szCs w:val="22"/>
              </w:rPr>
            </m:ctrlPr>
          </m:sSubPr>
          <m:e>
            <m:r>
              <w:rPr>
                <w:rFonts w:ascii="Cambria Math" w:hAnsi="Cambria Math" w:cs="Calibri"/>
                <w:sz w:val="22"/>
                <w:szCs w:val="22"/>
              </w:rPr>
              <m:t>h</m:t>
            </m:r>
          </m:e>
          <m:sub>
            <m:r>
              <w:rPr>
                <w:rFonts w:ascii="Cambria Math" w:hAnsi="Cambria Math" w:cs="Calibri"/>
                <w:sz w:val="22"/>
                <w:szCs w:val="22"/>
              </w:rPr>
              <m:t>1</m:t>
            </m:r>
          </m:sub>
        </m:sSub>
      </m:oMath>
      <w:r w:rsidRPr="00B8480F">
        <w:rPr>
          <w:rFonts w:ascii="Calibri" w:hAnsi="Calibri" w:cs="Calibri"/>
          <w:sz w:val="22"/>
          <w:szCs w:val="22"/>
        </w:rPr>
        <w:t xml:space="preserve">, where the initial height </w:t>
      </w:r>
      <m:oMath>
        <m:sSub>
          <m:sSubPr>
            <m:ctrlPr>
              <w:rPr>
                <w:rFonts w:ascii="Cambria Math" w:hAnsi="Cambria Math" w:cs="Calibri"/>
                <w:sz w:val="22"/>
                <w:szCs w:val="22"/>
              </w:rPr>
            </m:ctrlPr>
          </m:sSubPr>
          <m:e>
            <m:r>
              <w:rPr>
                <w:rFonts w:ascii="Cambria Math" w:hAnsi="Cambria Math" w:cs="Calibri"/>
                <w:sz w:val="22"/>
                <w:szCs w:val="22"/>
              </w:rPr>
              <m:t>h</m:t>
            </m:r>
          </m:e>
          <m:sub>
            <m:r>
              <w:rPr>
                <w:rFonts w:ascii="Cambria Math" w:hAnsi="Cambria Math" w:cs="Calibri"/>
                <w:sz w:val="22"/>
                <w:szCs w:val="22"/>
              </w:rPr>
              <m:t>1</m:t>
            </m:r>
          </m:sub>
        </m:sSub>
      </m:oMath>
      <w:r w:rsidRPr="00B8480F">
        <w:rPr>
          <w:rFonts w:ascii="Calibri" w:hAnsi="Calibri" w:cs="Calibri"/>
          <w:sz w:val="22"/>
          <w:szCs w:val="22"/>
        </w:rPr>
        <w:t>was maintained at 0.28 m. The potential energy loss was calculated from the difference between the initial and final heights (</w:t>
      </w:r>
      <m:oMath>
        <m:sSub>
          <m:sSubPr>
            <m:ctrlPr>
              <w:rPr>
                <w:rFonts w:ascii="Cambria Math" w:hAnsi="Cambria Math" w:cs="Calibri"/>
                <w:sz w:val="22"/>
                <w:szCs w:val="22"/>
              </w:rPr>
            </m:ctrlPr>
          </m:sSubPr>
          <m:e>
            <m:r>
              <w:rPr>
                <w:rFonts w:ascii="Cambria Math" w:hAnsi="Cambria Math" w:cs="Calibri"/>
                <w:sz w:val="22"/>
                <w:szCs w:val="22"/>
              </w:rPr>
              <m:t>h</m:t>
            </m:r>
          </m:e>
          <m:sub>
            <m:r>
              <w:rPr>
                <w:rFonts w:ascii="Cambria Math" w:hAnsi="Cambria Math" w:cs="Calibri"/>
                <w:sz w:val="22"/>
                <w:szCs w:val="22"/>
              </w:rPr>
              <m:t>1</m:t>
            </m:r>
          </m:sub>
        </m:sSub>
        <m:r>
          <w:rPr>
            <w:rFonts w:ascii="Cambria Math" w:hAnsi="Cambria Math" w:cs="Calibri"/>
            <w:sz w:val="22"/>
            <w:szCs w:val="22"/>
          </w:rPr>
          <m:t>-</m:t>
        </m:r>
        <m:sSub>
          <m:sSubPr>
            <m:ctrlPr>
              <w:rPr>
                <w:rFonts w:ascii="Cambria Math" w:hAnsi="Cambria Math" w:cs="Calibri"/>
                <w:sz w:val="22"/>
                <w:szCs w:val="22"/>
              </w:rPr>
            </m:ctrlPr>
          </m:sSubPr>
          <m:e>
            <m:r>
              <w:rPr>
                <w:rFonts w:ascii="Cambria Math" w:hAnsi="Cambria Math" w:cs="Calibri"/>
                <w:sz w:val="22"/>
                <w:szCs w:val="22"/>
              </w:rPr>
              <m:t>h</m:t>
            </m:r>
          </m:e>
          <m:sub>
            <m:r>
              <w:rPr>
                <w:rFonts w:ascii="Cambria Math" w:hAnsi="Cambria Math" w:cs="Calibri"/>
                <w:sz w:val="22"/>
                <w:szCs w:val="22"/>
              </w:rPr>
              <m:t>2</m:t>
            </m:r>
          </m:sub>
        </m:sSub>
      </m:oMath>
      <w:r w:rsidRPr="00B8480F">
        <w:rPr>
          <w:rFonts w:ascii="Calibri" w:hAnsi="Calibri" w:cs="Calibri"/>
          <w:sz w:val="22"/>
          <w:szCs w:val="22"/>
        </w:rPr>
        <w:t>) and adjusted to account for the total distance travelled by the mass during both the downward and upward motion, in line with established flywheel energy analysis methods (Amiryar and Pullen, 2017).</w:t>
      </w:r>
    </w:p>
    <w:p w14:paraId="69C34572" w14:textId="37CE60BB" w:rsidR="004329D6" w:rsidRPr="00B8480F" w:rsidRDefault="00D73811" w:rsidP="004329D6">
      <w:pPr>
        <w:pStyle w:val="NormalWeb"/>
        <w:rPr>
          <w:rFonts w:ascii="Calibri" w:hAnsi="Calibri" w:cs="Calibri"/>
          <w:sz w:val="22"/>
          <w:szCs w:val="22"/>
        </w:rPr>
      </w:pPr>
      <w:r w:rsidRPr="00B8480F">
        <w:rPr>
          <w:rFonts w:ascii="Calibri" w:hAnsi="Calibri" w:cs="Calibri"/>
          <w:sz w:val="22"/>
          <w:szCs w:val="22"/>
        </w:rPr>
        <w:t>The acceleration of the mass was calculated using the adjusted total time</w:t>
      </w:r>
      <w:r w:rsidR="00C41AD3" w:rsidRPr="00B8480F">
        <w:rPr>
          <w:rFonts w:ascii="Calibri" w:hAnsi="Calibri" w:cs="Calibri"/>
          <w:sz w:val="22"/>
          <w:szCs w:val="22"/>
        </w:rPr>
        <w:t>.</w:t>
      </w:r>
      <w:r w:rsidRPr="00B8480F">
        <w:rPr>
          <w:rFonts w:ascii="Calibri" w:hAnsi="Calibri" w:cs="Calibri"/>
          <w:sz w:val="22"/>
          <w:szCs w:val="22"/>
        </w:rPr>
        <w:t xml:space="preserve"> </w:t>
      </w:r>
      <m:oMath>
        <m:sSub>
          <m:sSubPr>
            <m:ctrlPr>
              <w:rPr>
                <w:rFonts w:ascii="Cambria Math" w:hAnsi="Cambria Math" w:cs="Calibri"/>
                <w:sz w:val="22"/>
                <w:szCs w:val="22"/>
              </w:rPr>
            </m:ctrlPr>
          </m:sSubPr>
          <m:e>
            <m:r>
              <w:rPr>
                <w:rFonts w:ascii="Cambria Math" w:hAnsi="Cambria Math" w:cs="Calibri"/>
                <w:sz w:val="22"/>
                <w:szCs w:val="22"/>
              </w:rPr>
              <m:t>t</m:t>
            </m:r>
          </m:e>
          <m:sub>
            <m:r>
              <w:rPr>
                <w:rFonts w:ascii="Cambria Math" w:hAnsi="Cambria Math" w:cs="Calibri"/>
                <w:sz w:val="22"/>
                <w:szCs w:val="22"/>
              </w:rPr>
              <m:t>t</m:t>
            </m:r>
          </m:sub>
        </m:sSub>
      </m:oMath>
      <w:r w:rsidRPr="00B8480F">
        <w:rPr>
          <w:rFonts w:ascii="Calibri" w:hAnsi="Calibri" w:cs="Calibri"/>
          <w:sz w:val="22"/>
          <w:szCs w:val="22"/>
        </w:rPr>
        <w:t>, and the maximum linear velocity was determined from the acceleration–time relationship. This linear velocity was converted into angular velocity using the circumference of the pulley.</w:t>
      </w:r>
      <w:r w:rsidR="004329D6" w:rsidRPr="00B8480F">
        <w:rPr>
          <w:rFonts w:ascii="Calibri" w:hAnsi="Calibri" w:cs="Calibri"/>
          <w:sz w:val="22"/>
          <w:szCs w:val="22"/>
        </w:rPr>
        <w:t xml:space="preserve"> </w:t>
      </w:r>
    </w:p>
    <w:p w14:paraId="25DB0170" w14:textId="4A7AF2D9" w:rsidR="004329D6" w:rsidRPr="00B8480F" w:rsidRDefault="004329D6" w:rsidP="004329D6">
      <w:pPr>
        <w:pStyle w:val="NormalWeb"/>
        <w:rPr>
          <w:rFonts w:ascii="Calibri" w:hAnsi="Calibri" w:cs="Calibri"/>
          <w:sz w:val="22"/>
          <w:szCs w:val="22"/>
        </w:rPr>
      </w:pPr>
      <w:r w:rsidRPr="00B8480F">
        <w:rPr>
          <w:rFonts w:ascii="Calibri" w:hAnsi="Calibri" w:cs="Calibri"/>
          <w:sz w:val="22"/>
          <w:szCs w:val="22"/>
        </w:rPr>
        <w:t xml:space="preserve">To determine the total moment of inertia of the flywheel, a graph of </w:t>
      </w:r>
      <m:oMath>
        <m:r>
          <w:rPr>
            <w:rFonts w:ascii="Cambria Math" w:hAnsi="Cambria Math" w:cs="Calibri"/>
            <w:sz w:val="22"/>
            <w:szCs w:val="22"/>
          </w:rPr>
          <m:t>(mg-ma)r</m:t>
        </m:r>
      </m:oMath>
      <w:r w:rsidRPr="00B8480F">
        <w:rPr>
          <w:rFonts w:ascii="Calibri" w:hAnsi="Calibri" w:cs="Calibri"/>
          <w:sz w:val="22"/>
          <w:szCs w:val="22"/>
        </w:rPr>
        <w:t xml:space="preserve">against </w:t>
      </w:r>
      <m:oMath>
        <m:r>
          <w:rPr>
            <w:rFonts w:ascii="Cambria Math" w:hAnsi="Cambria Math" w:cs="Calibri"/>
            <w:sz w:val="22"/>
            <w:szCs w:val="22"/>
          </w:rPr>
          <m:t>a</m:t>
        </m:r>
        <m:r>
          <m:rPr>
            <m:sty m:val="p"/>
          </m:rPr>
          <w:rPr>
            <w:rFonts w:ascii="Cambria Math" w:hAnsi="Cambria Math" w:cs="Calibri"/>
            <w:sz w:val="22"/>
            <w:szCs w:val="22"/>
          </w:rPr>
          <m:t>/</m:t>
        </m:r>
        <m:r>
          <w:rPr>
            <w:rFonts w:ascii="Cambria Math" w:hAnsi="Cambria Math" w:cs="Calibri"/>
            <w:sz w:val="22"/>
            <w:szCs w:val="22"/>
          </w:rPr>
          <m:t>r</m:t>
        </m:r>
      </m:oMath>
      <w:r w:rsidRPr="00B8480F">
        <w:rPr>
          <w:rFonts w:ascii="Calibri" w:hAnsi="Calibri" w:cs="Calibri"/>
          <w:sz w:val="22"/>
          <w:szCs w:val="22"/>
        </w:rPr>
        <w:t>was produced. The data showed a strong linear relationship, confirming that the governing equation for rotational motion was valid for this system. A linear trendline was applied, and the gradient of the graph was calculated. The gradient represents the total moment of inertia of the flywheel and associated rotating components, as described in rotational dynamics theory (Amiryar and Pullen, 2017).</w:t>
      </w:r>
    </w:p>
    <w:p w14:paraId="7F155451" w14:textId="3070342B" w:rsidR="00D73811" w:rsidRPr="004329D6" w:rsidRDefault="004329D6" w:rsidP="00D73811">
      <w:pPr>
        <w:pStyle w:val="NormalWeb"/>
        <w:rPr>
          <w:rFonts w:ascii="Calibri" w:hAnsi="Calibri" w:cs="Calibri"/>
          <w:sz w:val="22"/>
          <w:szCs w:val="22"/>
        </w:rPr>
      </w:pPr>
      <w:r w:rsidRPr="00B8480F">
        <w:rPr>
          <w:rFonts w:ascii="Calibri" w:hAnsi="Calibri" w:cs="Calibri"/>
          <w:sz w:val="22"/>
          <w:szCs w:val="22"/>
        </w:rPr>
        <w:t>Minor variations in calculated values were observed and are attributed to friction within the bearings and air resistance acting on the rotating components, which are common sources of energy loss in flywheel systems (Kondoh et al., 2018).</w:t>
      </w:r>
    </w:p>
    <w:p w14:paraId="5C765B46" w14:textId="77777777" w:rsidR="006B5B21" w:rsidRDefault="006B5B21" w:rsidP="004329D6">
      <w:pPr>
        <w:keepNext/>
      </w:pPr>
      <w:r>
        <w:rPr>
          <w:noProof/>
        </w:rPr>
        <w:drawing>
          <wp:inline distT="0" distB="0" distL="0" distR="0" wp14:anchorId="673D9B04" wp14:editId="384584FD">
            <wp:extent cx="5231958" cy="3286639"/>
            <wp:effectExtent l="0" t="0" r="6985" b="9525"/>
            <wp:docPr id="1756449955" name="Picture 6"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49955" name="Picture 6" descr="A graph with a lin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242547" cy="3293291"/>
                    </a:xfrm>
                    <a:prstGeom prst="rect">
                      <a:avLst/>
                    </a:prstGeom>
                  </pic:spPr>
                </pic:pic>
              </a:graphicData>
            </a:graphic>
          </wp:inline>
        </w:drawing>
      </w:r>
    </w:p>
    <w:p w14:paraId="652240DF" w14:textId="1FC7ED7F" w:rsidR="00F33767" w:rsidRDefault="006B5B21" w:rsidP="006B5B21">
      <w:pPr>
        <w:pStyle w:val="Caption"/>
        <w:jc w:val="both"/>
      </w:pPr>
      <w:bookmarkStart w:id="6" w:name="_Toc223120423"/>
      <w:r>
        <w:t xml:space="preserve">Figure </w:t>
      </w:r>
      <w:fldSimple w:instr=" SEQ Figure \* ARABIC ">
        <w:r>
          <w:rPr>
            <w:noProof/>
          </w:rPr>
          <w:t>2</w:t>
        </w:r>
      </w:fldSimple>
      <w:r>
        <w:t>- Graph showing acceleration v torque</w:t>
      </w:r>
      <w:bookmarkEnd w:id="6"/>
    </w:p>
    <w:p w14:paraId="48D3D323" w14:textId="77777777" w:rsidR="00F33767" w:rsidRDefault="00F33767" w:rsidP="000E20BF">
      <w:pPr>
        <w:jc w:val="center"/>
      </w:pPr>
    </w:p>
    <w:p w14:paraId="704C6C5E" w14:textId="05958E9C" w:rsidR="00F33767" w:rsidRDefault="005A4EA3" w:rsidP="005A4EA3">
      <w:pPr>
        <w:pStyle w:val="Heading1"/>
      </w:pPr>
      <w:r>
        <w:lastRenderedPageBreak/>
        <w:t>Conclusion</w:t>
      </w:r>
    </w:p>
    <w:p w14:paraId="5157A2FF" w14:textId="77777777" w:rsidR="005A4EA3" w:rsidRPr="00D3203F" w:rsidRDefault="005A4EA3" w:rsidP="005A4EA3">
      <w:pPr>
        <w:pStyle w:val="NormalWeb"/>
        <w:rPr>
          <w:rFonts w:ascii="Calibri" w:hAnsi="Calibri" w:cs="Calibri"/>
          <w:sz w:val="22"/>
          <w:szCs w:val="22"/>
        </w:rPr>
      </w:pPr>
      <w:r w:rsidRPr="00D3203F">
        <w:rPr>
          <w:rFonts w:ascii="Calibri" w:hAnsi="Calibri" w:cs="Calibri"/>
          <w:sz w:val="22"/>
          <w:szCs w:val="22"/>
        </w:rPr>
        <w:t>The aim of this experiment was to investigate the conversion of gravitational potential energy into kinetic energy in a flywheel system and to determine the total moment of inertia of the flywheel. This aim was achieved through experimental measurement, calculation, and graphical analysis.</w:t>
      </w:r>
    </w:p>
    <w:p w14:paraId="2A14E6CE" w14:textId="77777777" w:rsidR="005A4EA3" w:rsidRPr="00D3203F" w:rsidRDefault="005A4EA3" w:rsidP="005A4EA3">
      <w:pPr>
        <w:pStyle w:val="NormalWeb"/>
        <w:rPr>
          <w:rFonts w:ascii="Calibri" w:hAnsi="Calibri" w:cs="Calibri"/>
          <w:sz w:val="22"/>
          <w:szCs w:val="22"/>
        </w:rPr>
      </w:pPr>
      <w:r w:rsidRPr="00D3203F">
        <w:rPr>
          <w:rFonts w:ascii="Calibri" w:hAnsi="Calibri" w:cs="Calibri"/>
          <w:sz w:val="22"/>
          <w:szCs w:val="22"/>
        </w:rPr>
        <w:t>The results showed that increasing the suspended mass reduced the total time taken for the mass to fall and rise, indicating increased acceleration of the flywheel. In all trials, the final height reached by the mass was lower than the initial height, demonstrating that energy losses occurred within the system. These findings are consistent with established studies of flywheel energy storage, which identify friction and air resistance as unavoidable sources of loss (Olabi et al., 2021).</w:t>
      </w:r>
    </w:p>
    <w:p w14:paraId="7EE74253" w14:textId="77777777" w:rsidR="005A4EA3" w:rsidRPr="00D3203F" w:rsidRDefault="005A4EA3" w:rsidP="005A4EA3">
      <w:pPr>
        <w:pStyle w:val="NormalWeb"/>
        <w:rPr>
          <w:rFonts w:ascii="Calibri" w:hAnsi="Calibri" w:cs="Calibri"/>
          <w:sz w:val="22"/>
          <w:szCs w:val="22"/>
        </w:rPr>
      </w:pPr>
      <w:r w:rsidRPr="00D3203F">
        <w:rPr>
          <w:rFonts w:ascii="Calibri" w:hAnsi="Calibri" w:cs="Calibri"/>
          <w:sz w:val="22"/>
          <w:szCs w:val="22"/>
        </w:rPr>
        <w:t>The graphical method used produced a linear relationship, allowing the total moment of inertia of the flywheel to be determined with reasonable accuracy. Overall, the results aligned well with theoretical principles of energy conservation and rotational motion, confirming the validity of the experimental approach (Amiryar and Pullen, 2017).</w:t>
      </w:r>
    </w:p>
    <w:p w14:paraId="0D910633" w14:textId="77777777" w:rsidR="005A4EA3" w:rsidRPr="005A4EA3" w:rsidRDefault="005A4EA3" w:rsidP="005A4EA3"/>
    <w:p w14:paraId="746CE76B" w14:textId="77777777" w:rsidR="00F33767" w:rsidRDefault="00F33767" w:rsidP="000E20BF">
      <w:pPr>
        <w:jc w:val="center"/>
      </w:pPr>
    </w:p>
    <w:p w14:paraId="54F1BE65" w14:textId="345CCD85" w:rsidR="00F33767" w:rsidRDefault="00B8480F" w:rsidP="000E20BF">
      <w:pPr>
        <w:jc w:val="center"/>
      </w:pPr>
      <w:r>
        <w:t>4</w:t>
      </w:r>
    </w:p>
    <w:p w14:paraId="4143667E" w14:textId="77777777" w:rsidR="00F33767" w:rsidRDefault="00F33767" w:rsidP="000E20BF">
      <w:pPr>
        <w:jc w:val="center"/>
      </w:pPr>
    </w:p>
    <w:p w14:paraId="574402FA" w14:textId="77777777" w:rsidR="00F33767" w:rsidRDefault="00F33767" w:rsidP="000E20BF">
      <w:pPr>
        <w:jc w:val="center"/>
      </w:pPr>
    </w:p>
    <w:p w14:paraId="411EB80A" w14:textId="77777777" w:rsidR="00F33767" w:rsidRDefault="00F33767" w:rsidP="000E20BF">
      <w:pPr>
        <w:jc w:val="center"/>
      </w:pPr>
    </w:p>
    <w:p w14:paraId="545BB9F9" w14:textId="77777777" w:rsidR="00F33767" w:rsidRDefault="00F33767" w:rsidP="000E20BF">
      <w:pPr>
        <w:jc w:val="center"/>
      </w:pPr>
    </w:p>
    <w:p w14:paraId="2CFEC50A" w14:textId="77777777" w:rsidR="00F33767" w:rsidRDefault="00F33767" w:rsidP="000E20BF">
      <w:pPr>
        <w:jc w:val="center"/>
      </w:pPr>
    </w:p>
    <w:p w14:paraId="70A94AFD" w14:textId="77777777" w:rsidR="00F33767" w:rsidRDefault="00F33767" w:rsidP="000E20BF">
      <w:pPr>
        <w:jc w:val="center"/>
      </w:pPr>
    </w:p>
    <w:p w14:paraId="681C1EEE" w14:textId="77777777" w:rsidR="00F33767" w:rsidRDefault="00F33767" w:rsidP="000E20BF">
      <w:pPr>
        <w:jc w:val="center"/>
      </w:pPr>
    </w:p>
    <w:p w14:paraId="1963495B" w14:textId="77777777" w:rsidR="00F33767" w:rsidRDefault="00F33767" w:rsidP="000E20BF">
      <w:pPr>
        <w:jc w:val="center"/>
      </w:pPr>
    </w:p>
    <w:p w14:paraId="18B9B56A" w14:textId="77777777" w:rsidR="00F33767" w:rsidRDefault="00F33767" w:rsidP="000E20BF">
      <w:pPr>
        <w:jc w:val="center"/>
      </w:pPr>
    </w:p>
    <w:p w14:paraId="6B781CB3" w14:textId="77777777" w:rsidR="00F33767" w:rsidRDefault="00F33767" w:rsidP="000E20BF">
      <w:pPr>
        <w:jc w:val="center"/>
      </w:pPr>
    </w:p>
    <w:p w14:paraId="0D2CCCBD" w14:textId="77777777" w:rsidR="00F33767" w:rsidRDefault="00F33767" w:rsidP="000E20BF">
      <w:pPr>
        <w:jc w:val="center"/>
      </w:pPr>
    </w:p>
    <w:p w14:paraId="2D2417C2" w14:textId="6347892B" w:rsidR="00F33767" w:rsidRDefault="00D3203F" w:rsidP="00D3203F">
      <w:pPr>
        <w:pStyle w:val="Heading1"/>
      </w:pPr>
      <w:r>
        <w:lastRenderedPageBreak/>
        <w:t>Evaluation</w:t>
      </w:r>
    </w:p>
    <w:p w14:paraId="3D013C6D" w14:textId="77777777" w:rsidR="00207582" w:rsidRPr="00207582" w:rsidRDefault="00207582" w:rsidP="00207582">
      <w:pPr>
        <w:pStyle w:val="NormalWeb"/>
        <w:rPr>
          <w:rFonts w:ascii="Calibri" w:hAnsi="Calibri" w:cs="Calibri"/>
          <w:sz w:val="22"/>
          <w:szCs w:val="22"/>
        </w:rPr>
      </w:pPr>
      <w:r w:rsidRPr="00207582">
        <w:rPr>
          <w:rFonts w:ascii="Calibri" w:hAnsi="Calibri" w:cs="Calibri"/>
          <w:sz w:val="22"/>
          <w:szCs w:val="22"/>
        </w:rPr>
        <w:t>Several factors may have affected the accuracy of the results. The use of a manual stopwatch introduced human reaction time error when recording the total time taken for the mass to fall and rise. In addition, friction within the flywheel bearings and air resistance acting on the rotating components reduced the amount of recoverable energy, resulting in a lower final height of the mass (Kondoh et al., 2018).</w:t>
      </w:r>
    </w:p>
    <w:p w14:paraId="7377EA46" w14:textId="77777777" w:rsidR="00207582" w:rsidRPr="00207582" w:rsidRDefault="00207582" w:rsidP="00207582">
      <w:pPr>
        <w:pStyle w:val="NormalWeb"/>
        <w:rPr>
          <w:rFonts w:ascii="Calibri" w:hAnsi="Calibri" w:cs="Calibri"/>
          <w:sz w:val="22"/>
          <w:szCs w:val="22"/>
        </w:rPr>
      </w:pPr>
      <w:r w:rsidRPr="00207582">
        <w:rPr>
          <w:rFonts w:ascii="Calibri" w:hAnsi="Calibri" w:cs="Calibri"/>
          <w:sz w:val="22"/>
          <w:szCs w:val="22"/>
        </w:rPr>
        <w:t>Steps were taken to minimise these errors by repeating each test to improve reliability and ensuring that the cord was correctly aligned on the pulley to reduce additional friction. Height measurements were taken at eye level to minimise parallax error, and the flywheel brake was fully disengaged before each trial. Despite these measures, mechanical losses could not be completely eliminated, which is consistent with the behaviour of practical flywheel systems (DeTeresa, 2013).</w:t>
      </w:r>
    </w:p>
    <w:p w14:paraId="49054B5E" w14:textId="77777777" w:rsidR="00D3203F" w:rsidRPr="00D3203F" w:rsidRDefault="00D3203F" w:rsidP="00D3203F"/>
    <w:p w14:paraId="01B13F7B" w14:textId="77777777" w:rsidR="00F33767" w:rsidRDefault="00F33767" w:rsidP="000E20BF">
      <w:pPr>
        <w:jc w:val="center"/>
      </w:pPr>
    </w:p>
    <w:p w14:paraId="6CD4F527" w14:textId="77777777" w:rsidR="00F33767" w:rsidRDefault="00F33767" w:rsidP="000E20BF">
      <w:pPr>
        <w:jc w:val="center"/>
      </w:pPr>
    </w:p>
    <w:p w14:paraId="2E181F32" w14:textId="77777777" w:rsidR="00F33767" w:rsidRDefault="00F33767" w:rsidP="000E20BF">
      <w:pPr>
        <w:jc w:val="center"/>
      </w:pPr>
    </w:p>
    <w:p w14:paraId="7BFA1981" w14:textId="77777777" w:rsidR="00F33767" w:rsidRDefault="00F33767" w:rsidP="000E20BF">
      <w:pPr>
        <w:jc w:val="center"/>
      </w:pPr>
    </w:p>
    <w:p w14:paraId="69A3D32F" w14:textId="77777777" w:rsidR="00F33767" w:rsidRDefault="00F33767" w:rsidP="000E20BF">
      <w:pPr>
        <w:jc w:val="center"/>
      </w:pPr>
    </w:p>
    <w:p w14:paraId="32E2EAAE" w14:textId="77777777" w:rsidR="00F33767" w:rsidRDefault="00F33767" w:rsidP="000E20BF">
      <w:pPr>
        <w:jc w:val="center"/>
      </w:pPr>
    </w:p>
    <w:p w14:paraId="2A8D6AC0" w14:textId="77777777" w:rsidR="00F33767" w:rsidRDefault="00F33767" w:rsidP="000E20BF">
      <w:pPr>
        <w:jc w:val="center"/>
      </w:pPr>
    </w:p>
    <w:p w14:paraId="24F735BA" w14:textId="77777777" w:rsidR="00F33767" w:rsidRDefault="00F33767" w:rsidP="000E20BF">
      <w:pPr>
        <w:jc w:val="center"/>
      </w:pPr>
    </w:p>
    <w:p w14:paraId="155377B6" w14:textId="77777777" w:rsidR="00F33767" w:rsidRDefault="00F33767" w:rsidP="000E20BF">
      <w:pPr>
        <w:jc w:val="center"/>
      </w:pPr>
    </w:p>
    <w:p w14:paraId="458BBCA4" w14:textId="77777777" w:rsidR="00F33767" w:rsidRDefault="00F33767" w:rsidP="000E20BF">
      <w:pPr>
        <w:jc w:val="center"/>
      </w:pPr>
    </w:p>
    <w:p w14:paraId="01647544" w14:textId="77777777" w:rsidR="00F33767" w:rsidRDefault="00F33767" w:rsidP="000E20BF">
      <w:pPr>
        <w:jc w:val="center"/>
      </w:pPr>
    </w:p>
    <w:p w14:paraId="5B789B8E" w14:textId="77777777" w:rsidR="00F33767" w:rsidRDefault="00F33767" w:rsidP="000E20BF">
      <w:pPr>
        <w:jc w:val="center"/>
      </w:pPr>
    </w:p>
    <w:p w14:paraId="7659A8BD" w14:textId="77777777" w:rsidR="00F33767" w:rsidRDefault="00F33767" w:rsidP="000E20BF">
      <w:pPr>
        <w:jc w:val="center"/>
      </w:pPr>
    </w:p>
    <w:p w14:paraId="4318E6F8" w14:textId="77777777" w:rsidR="00F33767" w:rsidRDefault="00F33767" w:rsidP="000E20BF">
      <w:pPr>
        <w:jc w:val="center"/>
      </w:pPr>
    </w:p>
    <w:p w14:paraId="129428DD" w14:textId="7184FA9F" w:rsidR="00F33767" w:rsidRDefault="006A7456" w:rsidP="006A7456">
      <w:pPr>
        <w:pStyle w:val="Heading1"/>
      </w:pPr>
      <w:r>
        <w:lastRenderedPageBreak/>
        <w:t xml:space="preserve">Further </w:t>
      </w:r>
      <w:r w:rsidR="007366E3">
        <w:t>W</w:t>
      </w:r>
      <w:r>
        <w:t xml:space="preserve">ork </w:t>
      </w:r>
    </w:p>
    <w:p w14:paraId="48BE2114" w14:textId="26025D61" w:rsidR="007366E3" w:rsidRPr="00E904F1" w:rsidRDefault="007366E3" w:rsidP="007366E3">
      <w:pPr>
        <w:pStyle w:val="NormalWeb"/>
        <w:rPr>
          <w:rFonts w:ascii="Calibri" w:hAnsi="Calibri" w:cs="Calibri"/>
          <w:sz w:val="22"/>
          <w:szCs w:val="22"/>
        </w:rPr>
      </w:pPr>
      <w:r w:rsidRPr="00E904F1">
        <w:rPr>
          <w:rFonts w:ascii="Calibri" w:hAnsi="Calibri" w:cs="Calibri"/>
          <w:sz w:val="22"/>
          <w:szCs w:val="22"/>
        </w:rPr>
        <w:t>If unlimited time and resources were available, the accuracy of the experiment could be improved by replacing the manual stopwatch with electronic timing devices such as light gates or digital sensors. These methods are commonly used in modern experimental setups to reduce human error and improve data precision</w:t>
      </w:r>
      <w:r w:rsidR="0022295A">
        <w:rPr>
          <w:rFonts w:ascii="Calibri" w:hAnsi="Calibri" w:cs="Calibri"/>
          <w:sz w:val="22"/>
          <w:szCs w:val="22"/>
        </w:rPr>
        <w:t>.</w:t>
      </w:r>
    </w:p>
    <w:p w14:paraId="4107DB5A" w14:textId="77777777" w:rsidR="007366E3" w:rsidRPr="00E904F1" w:rsidRDefault="007366E3" w:rsidP="007366E3">
      <w:pPr>
        <w:pStyle w:val="NormalWeb"/>
        <w:rPr>
          <w:rFonts w:ascii="Calibri" w:hAnsi="Calibri" w:cs="Calibri"/>
          <w:sz w:val="22"/>
          <w:szCs w:val="22"/>
        </w:rPr>
      </w:pPr>
      <w:r w:rsidRPr="00E904F1">
        <w:rPr>
          <w:rFonts w:ascii="Calibri" w:hAnsi="Calibri" w:cs="Calibri"/>
          <w:sz w:val="22"/>
          <w:szCs w:val="22"/>
        </w:rPr>
        <w:t>Further improvements could include the use of low-friction or magnetic bearings to reduce mechanical losses and increase energy efficiency. Advanced bearing materials and precision flywheel designs have been shown to significantly reduce energy losses in high-performance systems (DeTeresa, 2013; Flückiger et al., 2024). These enhancements would allow more accurate determination of acceleration, angular velocity, and moment of inertia.</w:t>
      </w:r>
    </w:p>
    <w:p w14:paraId="43C4BC22" w14:textId="77777777" w:rsidR="007366E3" w:rsidRPr="007366E3" w:rsidRDefault="007366E3" w:rsidP="007366E3"/>
    <w:p w14:paraId="45918804" w14:textId="77777777" w:rsidR="00F33767" w:rsidRDefault="00F33767" w:rsidP="000E20BF">
      <w:pPr>
        <w:jc w:val="center"/>
      </w:pPr>
    </w:p>
    <w:p w14:paraId="20B905BC" w14:textId="77777777" w:rsidR="00F33767" w:rsidRDefault="00F33767" w:rsidP="000E20BF">
      <w:pPr>
        <w:jc w:val="center"/>
      </w:pPr>
    </w:p>
    <w:p w14:paraId="154C7CFD" w14:textId="77777777" w:rsidR="00F33767" w:rsidRDefault="00F33767" w:rsidP="000E20BF">
      <w:pPr>
        <w:jc w:val="center"/>
      </w:pPr>
    </w:p>
    <w:p w14:paraId="2894BD13" w14:textId="77777777" w:rsidR="00F33767" w:rsidRDefault="00F33767" w:rsidP="000E20BF">
      <w:pPr>
        <w:jc w:val="center"/>
      </w:pPr>
    </w:p>
    <w:p w14:paraId="5CBD2465" w14:textId="77777777" w:rsidR="00F33767" w:rsidRDefault="00F33767" w:rsidP="000E20BF">
      <w:pPr>
        <w:jc w:val="center"/>
      </w:pPr>
    </w:p>
    <w:p w14:paraId="1FED4B80" w14:textId="77777777" w:rsidR="00F33767" w:rsidRDefault="00F33767" w:rsidP="000E20BF">
      <w:pPr>
        <w:jc w:val="center"/>
      </w:pPr>
    </w:p>
    <w:p w14:paraId="31F4EF29" w14:textId="77777777" w:rsidR="00F33767" w:rsidRDefault="00F33767" w:rsidP="000E20BF">
      <w:pPr>
        <w:jc w:val="center"/>
      </w:pPr>
    </w:p>
    <w:p w14:paraId="0E6F8AC2" w14:textId="77777777" w:rsidR="00F33767" w:rsidRDefault="00F33767" w:rsidP="000E20BF">
      <w:pPr>
        <w:jc w:val="center"/>
      </w:pPr>
    </w:p>
    <w:p w14:paraId="37675B7F" w14:textId="77777777" w:rsidR="00F33767" w:rsidRDefault="00F33767" w:rsidP="000E20BF">
      <w:pPr>
        <w:jc w:val="center"/>
      </w:pPr>
    </w:p>
    <w:p w14:paraId="43D89587" w14:textId="77777777" w:rsidR="00F33767" w:rsidRDefault="00F33767" w:rsidP="000E20BF">
      <w:pPr>
        <w:jc w:val="center"/>
      </w:pPr>
    </w:p>
    <w:p w14:paraId="453433EE" w14:textId="77777777" w:rsidR="00F33767" w:rsidRDefault="00F33767" w:rsidP="00DB15FF"/>
    <w:p w14:paraId="797BD155" w14:textId="77777777" w:rsidR="00DB15FF" w:rsidRDefault="00DB15FF" w:rsidP="00DB15FF"/>
    <w:p w14:paraId="10AD7C26" w14:textId="77777777" w:rsidR="00F33767" w:rsidRDefault="00F33767" w:rsidP="000E20BF">
      <w:pPr>
        <w:jc w:val="center"/>
      </w:pPr>
    </w:p>
    <w:p w14:paraId="5C89B7C2" w14:textId="0CA4B05C" w:rsidR="000B4CC2" w:rsidRDefault="000B4CC2" w:rsidP="000B4CC2">
      <w:pPr>
        <w:pStyle w:val="Heading1"/>
      </w:pPr>
      <w:bookmarkStart w:id="7" w:name="_Toc223120406"/>
      <w:r>
        <w:lastRenderedPageBreak/>
        <w:t>Reference List</w:t>
      </w:r>
      <w:bookmarkEnd w:id="7"/>
    </w:p>
    <w:p w14:paraId="68CAA009" w14:textId="77777777" w:rsidR="00883359" w:rsidRPr="00883359" w:rsidRDefault="00883359" w:rsidP="00883359">
      <w:pPr>
        <w:pStyle w:val="NormalWeb"/>
        <w:spacing w:before="0" w:beforeAutospacing="0" w:after="240" w:afterAutospacing="0" w:line="360" w:lineRule="auto"/>
        <w:rPr>
          <w:rFonts w:ascii="Calibri" w:hAnsi="Calibri" w:cs="Calibri"/>
        </w:rPr>
      </w:pPr>
      <w:r w:rsidRPr="00883359">
        <w:rPr>
          <w:rFonts w:ascii="Calibri" w:hAnsi="Calibri" w:cs="Calibri"/>
        </w:rPr>
        <w:t xml:space="preserve">Amiryar, M. and Pullen, K. (2017). A Review of Flywheel Energy Storage System Technologies and Their Applications. </w:t>
      </w:r>
      <w:r w:rsidRPr="00883359">
        <w:rPr>
          <w:rFonts w:ascii="Calibri" w:hAnsi="Calibri" w:cs="Calibri"/>
          <w:i/>
          <w:iCs/>
        </w:rPr>
        <w:t>Applied Sciences</w:t>
      </w:r>
      <w:r w:rsidRPr="00883359">
        <w:rPr>
          <w:rFonts w:ascii="Calibri" w:hAnsi="Calibri" w:cs="Calibri"/>
        </w:rPr>
        <w:t>, [online] 7(3), p.286. doi:https://doi.org/10.3390/app7030286.</w:t>
      </w:r>
    </w:p>
    <w:p w14:paraId="406A78DF" w14:textId="77777777" w:rsidR="00883359" w:rsidRPr="00883359" w:rsidRDefault="00883359" w:rsidP="00883359">
      <w:pPr>
        <w:pStyle w:val="NormalWeb"/>
        <w:spacing w:before="0" w:beforeAutospacing="0" w:after="240" w:afterAutospacing="0" w:line="360" w:lineRule="auto"/>
        <w:rPr>
          <w:rFonts w:ascii="Calibri" w:hAnsi="Calibri" w:cs="Calibri"/>
        </w:rPr>
      </w:pPr>
      <w:r w:rsidRPr="00883359">
        <w:rPr>
          <w:rFonts w:ascii="Calibri" w:hAnsi="Calibri" w:cs="Calibri"/>
        </w:rPr>
        <w:t xml:space="preserve">DeTeresa, S.J. (1999). Materials for Advanced Flywheel Energy-Storage Devices. </w:t>
      </w:r>
      <w:r w:rsidRPr="00883359">
        <w:rPr>
          <w:rFonts w:ascii="Calibri" w:hAnsi="Calibri" w:cs="Calibri"/>
          <w:i/>
          <w:iCs/>
        </w:rPr>
        <w:t>MRS Bulletin</w:t>
      </w:r>
      <w:r w:rsidRPr="00883359">
        <w:rPr>
          <w:rFonts w:ascii="Calibri" w:hAnsi="Calibri" w:cs="Calibri"/>
        </w:rPr>
        <w:t>, 24(11), pp.51–56. doi:https://doi.org/10.1557/s088376940005346x.</w:t>
      </w:r>
    </w:p>
    <w:p w14:paraId="4FABE9AA" w14:textId="1DB8E955" w:rsidR="00883359" w:rsidRPr="00883359" w:rsidRDefault="00883359" w:rsidP="00883359">
      <w:pPr>
        <w:pStyle w:val="NormalWeb"/>
        <w:spacing w:before="0" w:beforeAutospacing="0" w:after="240" w:afterAutospacing="0" w:line="360" w:lineRule="auto"/>
        <w:rPr>
          <w:rFonts w:ascii="Calibri" w:hAnsi="Calibri" w:cs="Calibri"/>
        </w:rPr>
      </w:pPr>
      <w:r w:rsidRPr="00883359">
        <w:rPr>
          <w:rFonts w:ascii="Calibri" w:hAnsi="Calibri" w:cs="Calibri"/>
        </w:rPr>
        <w:t xml:space="preserve">Feng, J. (2022). Structure and Application of Flywheel Energy </w:t>
      </w:r>
      <w:r w:rsidR="00C41AD3">
        <w:rPr>
          <w:rFonts w:ascii="Calibri" w:hAnsi="Calibri" w:cs="Calibri"/>
        </w:rPr>
        <w:t>Storage: A</w:t>
      </w:r>
      <w:r w:rsidRPr="00883359">
        <w:rPr>
          <w:rFonts w:ascii="Calibri" w:hAnsi="Calibri" w:cs="Calibri"/>
        </w:rPr>
        <w:t xml:space="preserve"> Simple Perspective. </w:t>
      </w:r>
      <w:r w:rsidRPr="00883359">
        <w:rPr>
          <w:rFonts w:ascii="Calibri" w:hAnsi="Calibri" w:cs="Calibri"/>
          <w:i/>
          <w:iCs/>
        </w:rPr>
        <w:t>Academic Journal of Science and Technology</w:t>
      </w:r>
      <w:r w:rsidRPr="00883359">
        <w:rPr>
          <w:rFonts w:ascii="Calibri" w:hAnsi="Calibri" w:cs="Calibri"/>
        </w:rPr>
        <w:t>, 3(3), pp.42–45. doi:https://doi.org/10.54097/ajst.v3i3.2540.</w:t>
      </w:r>
    </w:p>
    <w:p w14:paraId="112FF2C1" w14:textId="77777777" w:rsidR="00883359" w:rsidRPr="00883359" w:rsidRDefault="00883359" w:rsidP="00883359">
      <w:pPr>
        <w:pStyle w:val="NormalWeb"/>
        <w:spacing w:before="0" w:beforeAutospacing="0" w:after="240" w:afterAutospacing="0" w:line="360" w:lineRule="auto"/>
        <w:rPr>
          <w:rFonts w:ascii="Calibri" w:hAnsi="Calibri" w:cs="Calibri"/>
        </w:rPr>
      </w:pPr>
      <w:r w:rsidRPr="00883359">
        <w:rPr>
          <w:rFonts w:ascii="Calibri" w:hAnsi="Calibri" w:cs="Calibri"/>
        </w:rPr>
        <w:t xml:space="preserve">Flückiger, P., Florent Cosandier, Schneegans, H. and Henein, S. (2024). Design of a Flexure-Based Flywheel for the Storage of Angular Momentum and Kinetic Energy. </w:t>
      </w:r>
      <w:r w:rsidRPr="00883359">
        <w:rPr>
          <w:rFonts w:ascii="Calibri" w:hAnsi="Calibri" w:cs="Calibri"/>
          <w:i/>
          <w:iCs/>
        </w:rPr>
        <w:t>Machines</w:t>
      </w:r>
      <w:r w:rsidRPr="00883359">
        <w:rPr>
          <w:rFonts w:ascii="Calibri" w:hAnsi="Calibri" w:cs="Calibri"/>
        </w:rPr>
        <w:t>, [online] 12(4), pp.232–232. doi:https://doi.org/10.3390/machines12040232.</w:t>
      </w:r>
    </w:p>
    <w:p w14:paraId="7780A157" w14:textId="77777777" w:rsidR="00883359" w:rsidRPr="00883359" w:rsidRDefault="00883359" w:rsidP="00883359">
      <w:pPr>
        <w:pStyle w:val="NormalWeb"/>
        <w:spacing w:before="0" w:beforeAutospacing="0" w:after="240" w:afterAutospacing="0" w:line="360" w:lineRule="auto"/>
        <w:rPr>
          <w:rFonts w:ascii="Calibri" w:hAnsi="Calibri" w:cs="Calibri"/>
        </w:rPr>
      </w:pPr>
      <w:r w:rsidRPr="00883359">
        <w:rPr>
          <w:rFonts w:ascii="Calibri" w:hAnsi="Calibri" w:cs="Calibri"/>
        </w:rPr>
        <w:t xml:space="preserve">Kondoh, J., Funamoto, T., Nakanishi, T. and Arai, R. (2018). Energy characteristics of a fixed-speed flywheel energy storage system with direct grid-connection. </w:t>
      </w:r>
      <w:r w:rsidRPr="00883359">
        <w:rPr>
          <w:rFonts w:ascii="Calibri" w:hAnsi="Calibri" w:cs="Calibri"/>
          <w:i/>
          <w:iCs/>
        </w:rPr>
        <w:t>Energy</w:t>
      </w:r>
      <w:r w:rsidRPr="00883359">
        <w:rPr>
          <w:rFonts w:ascii="Calibri" w:hAnsi="Calibri" w:cs="Calibri"/>
        </w:rPr>
        <w:t>, 165, pp.701–708. doi:https://doi.org/10.1016/j.energy.2018.09.197.</w:t>
      </w:r>
    </w:p>
    <w:p w14:paraId="1CBA6E89" w14:textId="77777777" w:rsidR="00883359" w:rsidRPr="00883359" w:rsidRDefault="00883359" w:rsidP="00883359">
      <w:pPr>
        <w:pStyle w:val="NormalWeb"/>
        <w:spacing w:before="0" w:beforeAutospacing="0" w:after="240" w:afterAutospacing="0" w:line="360" w:lineRule="auto"/>
        <w:rPr>
          <w:rFonts w:ascii="Calibri" w:hAnsi="Calibri" w:cs="Calibri"/>
        </w:rPr>
      </w:pPr>
      <w:r w:rsidRPr="00883359">
        <w:rPr>
          <w:rFonts w:ascii="Calibri" w:hAnsi="Calibri" w:cs="Calibri"/>
        </w:rPr>
        <w:t xml:space="preserve">Olabi, A.G., Wilberforce, T., Abdelkareem, M.A. and Ramadan, M. (2021). Critical Review of Flywheel Energy Storage System. </w:t>
      </w:r>
      <w:r w:rsidRPr="00883359">
        <w:rPr>
          <w:rFonts w:ascii="Calibri" w:hAnsi="Calibri" w:cs="Calibri"/>
          <w:i/>
          <w:iCs/>
        </w:rPr>
        <w:t>Energies</w:t>
      </w:r>
      <w:r w:rsidRPr="00883359">
        <w:rPr>
          <w:rFonts w:ascii="Calibri" w:hAnsi="Calibri" w:cs="Calibri"/>
        </w:rPr>
        <w:t>, 14(8), p.2159. doi:https://doi.org/10.3390/en14082159.</w:t>
      </w:r>
    </w:p>
    <w:p w14:paraId="372F2ED9" w14:textId="77777777" w:rsidR="00883359" w:rsidRPr="00883359" w:rsidRDefault="00883359" w:rsidP="00883359">
      <w:pPr>
        <w:pStyle w:val="NormalWeb"/>
        <w:spacing w:before="0" w:beforeAutospacing="0" w:after="240" w:afterAutospacing="0" w:line="360" w:lineRule="auto"/>
        <w:rPr>
          <w:rFonts w:ascii="Calibri" w:hAnsi="Calibri" w:cs="Calibri"/>
        </w:rPr>
      </w:pPr>
      <w:r w:rsidRPr="00883359">
        <w:rPr>
          <w:rFonts w:ascii="Calibri" w:hAnsi="Calibri" w:cs="Calibri"/>
        </w:rPr>
        <w:t xml:space="preserve">Yamamoto, T. and Kondoh, J. (2021). Self-Inertia-Varying Fixed-Speed Flywheel Energy Storage System. </w:t>
      </w:r>
      <w:r w:rsidRPr="00883359">
        <w:rPr>
          <w:rFonts w:ascii="Calibri" w:hAnsi="Calibri" w:cs="Calibri"/>
          <w:i/>
          <w:iCs/>
        </w:rPr>
        <w:t>IEEJ Journal of Industry Applications</w:t>
      </w:r>
      <w:r w:rsidRPr="00883359">
        <w:rPr>
          <w:rFonts w:ascii="Calibri" w:hAnsi="Calibri" w:cs="Calibri"/>
        </w:rPr>
        <w:t>, 10(6), pp.638–642. doi:https://doi.org/10.1541/ieejjia.20013374.</w:t>
      </w:r>
    </w:p>
    <w:p w14:paraId="11CDA6A0" w14:textId="77777777" w:rsidR="000B4CC2" w:rsidRPr="000B4CC2" w:rsidRDefault="000B4CC2" w:rsidP="000B4CC2">
      <w:pPr>
        <w:ind w:firstLine="720"/>
      </w:pPr>
    </w:p>
    <w:sectPr w:rsidR="000B4CC2" w:rsidRPr="000B4CC2" w:rsidSect="00F06D7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8C18C" w14:textId="77777777" w:rsidR="001A69F4" w:rsidRDefault="001A69F4" w:rsidP="000142C7">
      <w:pPr>
        <w:spacing w:after="0" w:line="240" w:lineRule="auto"/>
      </w:pPr>
      <w:r>
        <w:separator/>
      </w:r>
    </w:p>
  </w:endnote>
  <w:endnote w:type="continuationSeparator" w:id="0">
    <w:p w14:paraId="29838DE5" w14:textId="77777777" w:rsidR="001A69F4" w:rsidRDefault="001A69F4" w:rsidP="00014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209328"/>
      <w:docPartObj>
        <w:docPartGallery w:val="Page Numbers (Bottom of Page)"/>
        <w:docPartUnique/>
      </w:docPartObj>
    </w:sdtPr>
    <w:sdtContent>
      <w:p w14:paraId="02248071" w14:textId="68529AF7" w:rsidR="000142C7" w:rsidRDefault="000142C7" w:rsidP="00F06D7F">
        <w:pPr>
          <w:pStyle w:val="Footer"/>
          <w:jc w:val="center"/>
        </w:pPr>
        <w:r>
          <w:fldChar w:fldCharType="begin"/>
        </w:r>
        <w:r>
          <w:instrText>PAGE   \* MERGEFORMAT</w:instrText>
        </w:r>
        <w:r>
          <w:fldChar w:fldCharType="separate"/>
        </w:r>
        <w:r>
          <w:t>2</w:t>
        </w:r>
        <w:r>
          <w:fldChar w:fldCharType="end"/>
        </w:r>
      </w:p>
    </w:sdtContent>
  </w:sdt>
  <w:p w14:paraId="2881A552" w14:textId="77777777" w:rsidR="000142C7" w:rsidRDefault="00014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68A46" w14:textId="77777777" w:rsidR="001A69F4" w:rsidRDefault="001A69F4" w:rsidP="000142C7">
      <w:pPr>
        <w:spacing w:after="0" w:line="240" w:lineRule="auto"/>
      </w:pPr>
      <w:r>
        <w:separator/>
      </w:r>
    </w:p>
  </w:footnote>
  <w:footnote w:type="continuationSeparator" w:id="0">
    <w:p w14:paraId="1C8017BD" w14:textId="77777777" w:rsidR="001A69F4" w:rsidRDefault="001A69F4" w:rsidP="00014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783585" w14:textId="77777777" w:rsidR="00D3203F" w:rsidRDefault="00D3203F" w:rsidP="00D3203F">
    <w:pPr>
      <w:pStyle w:val="Heading1"/>
      <w:numPr>
        <w:ilvl w:val="0"/>
        <w:numId w:val="0"/>
      </w:numPr>
      <w:ind w:left="43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9737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57597123">
    <w:abstractNumId w:val="0"/>
  </w:num>
  <w:num w:numId="2" w16cid:durableId="82223765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A1D"/>
    <w:rsid w:val="000142C7"/>
    <w:rsid w:val="000300CE"/>
    <w:rsid w:val="00033EFF"/>
    <w:rsid w:val="00040B25"/>
    <w:rsid w:val="000B4CC2"/>
    <w:rsid w:val="000E20BF"/>
    <w:rsid w:val="000F36F4"/>
    <w:rsid w:val="001164E8"/>
    <w:rsid w:val="001248F4"/>
    <w:rsid w:val="0018069E"/>
    <w:rsid w:val="00185201"/>
    <w:rsid w:val="001A69F4"/>
    <w:rsid w:val="00207582"/>
    <w:rsid w:val="0022295A"/>
    <w:rsid w:val="002518B5"/>
    <w:rsid w:val="00257E45"/>
    <w:rsid w:val="00280349"/>
    <w:rsid w:val="00281BE6"/>
    <w:rsid w:val="002A486F"/>
    <w:rsid w:val="002C63F4"/>
    <w:rsid w:val="003E2590"/>
    <w:rsid w:val="00417DB6"/>
    <w:rsid w:val="004329D6"/>
    <w:rsid w:val="00457522"/>
    <w:rsid w:val="005A10B5"/>
    <w:rsid w:val="005A4EA3"/>
    <w:rsid w:val="005B2F8A"/>
    <w:rsid w:val="005F0927"/>
    <w:rsid w:val="006134B9"/>
    <w:rsid w:val="006524D7"/>
    <w:rsid w:val="006A7456"/>
    <w:rsid w:val="006B5B21"/>
    <w:rsid w:val="00700DE9"/>
    <w:rsid w:val="0071741E"/>
    <w:rsid w:val="007366E3"/>
    <w:rsid w:val="0074217D"/>
    <w:rsid w:val="00775066"/>
    <w:rsid w:val="007C4D38"/>
    <w:rsid w:val="00801A1D"/>
    <w:rsid w:val="00840AA2"/>
    <w:rsid w:val="00852F80"/>
    <w:rsid w:val="00865A16"/>
    <w:rsid w:val="00880463"/>
    <w:rsid w:val="00883359"/>
    <w:rsid w:val="008D36E2"/>
    <w:rsid w:val="009268B0"/>
    <w:rsid w:val="00936F55"/>
    <w:rsid w:val="00997C02"/>
    <w:rsid w:val="009B1053"/>
    <w:rsid w:val="009B1253"/>
    <w:rsid w:val="009C26B6"/>
    <w:rsid w:val="009D7860"/>
    <w:rsid w:val="00A8704D"/>
    <w:rsid w:val="00B256B2"/>
    <w:rsid w:val="00B72D2E"/>
    <w:rsid w:val="00B74627"/>
    <w:rsid w:val="00B8480F"/>
    <w:rsid w:val="00B84978"/>
    <w:rsid w:val="00BB3810"/>
    <w:rsid w:val="00BD4FAC"/>
    <w:rsid w:val="00C13425"/>
    <w:rsid w:val="00C41AD3"/>
    <w:rsid w:val="00C457C7"/>
    <w:rsid w:val="00C92A3E"/>
    <w:rsid w:val="00CA2658"/>
    <w:rsid w:val="00CB5DBB"/>
    <w:rsid w:val="00CF77EF"/>
    <w:rsid w:val="00D3203F"/>
    <w:rsid w:val="00D73811"/>
    <w:rsid w:val="00D84435"/>
    <w:rsid w:val="00D86815"/>
    <w:rsid w:val="00DA11A2"/>
    <w:rsid w:val="00DB15FF"/>
    <w:rsid w:val="00DC0FA6"/>
    <w:rsid w:val="00E02AB3"/>
    <w:rsid w:val="00E11124"/>
    <w:rsid w:val="00E50D0D"/>
    <w:rsid w:val="00E904F1"/>
    <w:rsid w:val="00E96C5F"/>
    <w:rsid w:val="00EF3F8C"/>
    <w:rsid w:val="00F06D7F"/>
    <w:rsid w:val="00F33767"/>
    <w:rsid w:val="00F46888"/>
    <w:rsid w:val="00F65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217095"/>
  <w15:chartTrackingRefBased/>
  <w15:docId w15:val="{5D838BFF-3154-47FC-9D7E-F16CF1A79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DB6"/>
    <w:pPr>
      <w:spacing w:line="360" w:lineRule="auto"/>
    </w:pPr>
  </w:style>
  <w:style w:type="paragraph" w:styleId="Heading1">
    <w:name w:val="heading 1"/>
    <w:basedOn w:val="Normal"/>
    <w:next w:val="Normal"/>
    <w:link w:val="Heading1Char"/>
    <w:uiPriority w:val="9"/>
    <w:qFormat/>
    <w:rsid w:val="00417DB6"/>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7DB6"/>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7DB6"/>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DB6"/>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A1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A1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A1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A1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A1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D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7D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7D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D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A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A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A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A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A1D"/>
    <w:rPr>
      <w:rFonts w:eastAsiaTheme="majorEastAsia" w:cstheme="majorBidi"/>
      <w:color w:val="272727" w:themeColor="text1" w:themeTint="D8"/>
    </w:rPr>
  </w:style>
  <w:style w:type="paragraph" w:styleId="Title">
    <w:name w:val="Title"/>
    <w:basedOn w:val="Normal"/>
    <w:next w:val="Normal"/>
    <w:link w:val="TitleChar"/>
    <w:uiPriority w:val="10"/>
    <w:qFormat/>
    <w:rsid w:val="00801A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A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A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A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A1D"/>
    <w:pPr>
      <w:spacing w:before="160"/>
      <w:jc w:val="center"/>
    </w:pPr>
    <w:rPr>
      <w:i/>
      <w:iCs/>
      <w:color w:val="404040" w:themeColor="text1" w:themeTint="BF"/>
    </w:rPr>
  </w:style>
  <w:style w:type="character" w:customStyle="1" w:styleId="QuoteChar">
    <w:name w:val="Quote Char"/>
    <w:basedOn w:val="DefaultParagraphFont"/>
    <w:link w:val="Quote"/>
    <w:uiPriority w:val="29"/>
    <w:rsid w:val="00801A1D"/>
    <w:rPr>
      <w:i/>
      <w:iCs/>
      <w:color w:val="404040" w:themeColor="text1" w:themeTint="BF"/>
    </w:rPr>
  </w:style>
  <w:style w:type="paragraph" w:styleId="ListParagraph">
    <w:name w:val="List Paragraph"/>
    <w:basedOn w:val="Normal"/>
    <w:uiPriority w:val="34"/>
    <w:qFormat/>
    <w:rsid w:val="00801A1D"/>
    <w:pPr>
      <w:ind w:left="720"/>
      <w:contextualSpacing/>
    </w:pPr>
  </w:style>
  <w:style w:type="character" w:styleId="IntenseEmphasis">
    <w:name w:val="Intense Emphasis"/>
    <w:basedOn w:val="DefaultParagraphFont"/>
    <w:uiPriority w:val="21"/>
    <w:qFormat/>
    <w:rsid w:val="00801A1D"/>
    <w:rPr>
      <w:i/>
      <w:iCs/>
      <w:color w:val="0F4761" w:themeColor="accent1" w:themeShade="BF"/>
    </w:rPr>
  </w:style>
  <w:style w:type="paragraph" w:styleId="IntenseQuote">
    <w:name w:val="Intense Quote"/>
    <w:basedOn w:val="Normal"/>
    <w:next w:val="Normal"/>
    <w:link w:val="IntenseQuoteChar"/>
    <w:uiPriority w:val="30"/>
    <w:qFormat/>
    <w:rsid w:val="00801A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A1D"/>
    <w:rPr>
      <w:i/>
      <w:iCs/>
      <w:color w:val="0F4761" w:themeColor="accent1" w:themeShade="BF"/>
    </w:rPr>
  </w:style>
  <w:style w:type="character" w:styleId="IntenseReference">
    <w:name w:val="Intense Reference"/>
    <w:basedOn w:val="DefaultParagraphFont"/>
    <w:uiPriority w:val="32"/>
    <w:qFormat/>
    <w:rsid w:val="00801A1D"/>
    <w:rPr>
      <w:b/>
      <w:bCs/>
      <w:smallCaps/>
      <w:color w:val="0F4761" w:themeColor="accent1" w:themeShade="BF"/>
      <w:spacing w:val="5"/>
    </w:rPr>
  </w:style>
  <w:style w:type="paragraph" w:styleId="NoSpacing">
    <w:name w:val="No Spacing"/>
    <w:uiPriority w:val="1"/>
    <w:qFormat/>
    <w:rsid w:val="002C63F4"/>
    <w:pPr>
      <w:spacing w:after="0" w:line="240" w:lineRule="auto"/>
    </w:pPr>
  </w:style>
  <w:style w:type="paragraph" w:styleId="TOCHeading">
    <w:name w:val="TOC Heading"/>
    <w:basedOn w:val="Heading1"/>
    <w:next w:val="Normal"/>
    <w:uiPriority w:val="39"/>
    <w:unhideWhenUsed/>
    <w:qFormat/>
    <w:rsid w:val="000300CE"/>
    <w:pPr>
      <w:numPr>
        <w:numId w:val="0"/>
      </w:num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300CE"/>
    <w:pPr>
      <w:spacing w:after="100"/>
    </w:pPr>
  </w:style>
  <w:style w:type="character" w:styleId="Hyperlink">
    <w:name w:val="Hyperlink"/>
    <w:basedOn w:val="DefaultParagraphFont"/>
    <w:uiPriority w:val="99"/>
    <w:unhideWhenUsed/>
    <w:rsid w:val="000300CE"/>
    <w:rPr>
      <w:color w:val="467886" w:themeColor="hyperlink"/>
      <w:u w:val="single"/>
    </w:rPr>
  </w:style>
  <w:style w:type="paragraph" w:styleId="Header">
    <w:name w:val="header"/>
    <w:basedOn w:val="Normal"/>
    <w:link w:val="HeaderChar"/>
    <w:uiPriority w:val="99"/>
    <w:unhideWhenUsed/>
    <w:rsid w:val="00014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2C7"/>
  </w:style>
  <w:style w:type="paragraph" w:styleId="Footer">
    <w:name w:val="footer"/>
    <w:basedOn w:val="Normal"/>
    <w:link w:val="FooterChar"/>
    <w:uiPriority w:val="99"/>
    <w:unhideWhenUsed/>
    <w:rsid w:val="00014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2C7"/>
  </w:style>
  <w:style w:type="table" w:styleId="TableGrid">
    <w:name w:val="Table Grid"/>
    <w:basedOn w:val="TableNormal"/>
    <w:uiPriority w:val="39"/>
    <w:rsid w:val="004575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00DE9"/>
    <w:pPr>
      <w:spacing w:after="0"/>
    </w:pPr>
  </w:style>
  <w:style w:type="paragraph" w:styleId="Caption">
    <w:name w:val="caption"/>
    <w:basedOn w:val="Normal"/>
    <w:next w:val="Normal"/>
    <w:uiPriority w:val="35"/>
    <w:unhideWhenUsed/>
    <w:qFormat/>
    <w:rsid w:val="00280349"/>
    <w:pPr>
      <w:spacing w:after="200" w:line="240" w:lineRule="auto"/>
    </w:pPr>
    <w:rPr>
      <w:i/>
      <w:iCs/>
      <w:color w:val="0E2841" w:themeColor="text2"/>
      <w:sz w:val="18"/>
      <w:szCs w:val="18"/>
    </w:rPr>
  </w:style>
  <w:style w:type="paragraph" w:styleId="NormalWeb">
    <w:name w:val="Normal (Web)"/>
    <w:basedOn w:val="Normal"/>
    <w:uiPriority w:val="99"/>
    <w:semiHidden/>
    <w:unhideWhenUsed/>
    <w:rsid w:val="00D7381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8d455058b3a6976834f33974cf39be30">
  <xsd:schema xmlns:xsd="http://www.w3.org/2001/XMLSchema" xmlns:xs="http://www.w3.org/2001/XMLSchema" xmlns:p="http://schemas.microsoft.com/office/2006/metadata/properties" xmlns:ns3="3ef5847a-e696-4fee-a2c0-6c3f87568321" targetNamespace="http://schemas.microsoft.com/office/2006/metadata/properties" ma:root="true" ma:fieldsID="e3792e182d607e45b496991a383765e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9C80F-31E8-43C1-9B03-8479B98917F5}">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9EAD7125-68E0-4B42-BC9D-A71D03A52AB1}">
  <ds:schemaRefs>
    <ds:schemaRef ds:uri="http://schemas.microsoft.com/sharepoint/v3/contenttype/forms"/>
  </ds:schemaRefs>
</ds:datastoreItem>
</file>

<file path=customXml/itemProps3.xml><?xml version="1.0" encoding="utf-8"?>
<ds:datastoreItem xmlns:ds="http://schemas.openxmlformats.org/officeDocument/2006/customXml" ds:itemID="{1A852EE3-9AF5-4FBF-A0BE-883214ACAB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5BCF6A-1E38-4E0F-AE0C-791F606B6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11</Pages>
  <Words>1827</Words>
  <Characters>11165</Characters>
  <Application>Microsoft Office Word</Application>
  <DocSecurity>0</DocSecurity>
  <Lines>242</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Helme (2501474)</dc:creator>
  <cp:keywords/>
  <dc:description/>
  <cp:lastModifiedBy>Fern Makey (2501474)</cp:lastModifiedBy>
  <cp:revision>43</cp:revision>
  <dcterms:created xsi:type="dcterms:W3CDTF">2026-02-27T20:45:00Z</dcterms:created>
  <dcterms:modified xsi:type="dcterms:W3CDTF">2026-02-27T21:55:00Z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GrammarlyDocumentId">
    <vt:lpwstr>37031a9d-2059-4795-9c50-d9526c60dbbd</vt:lpwstr>
  </property>
</Properties>
</file>