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00B9A6F" wp14:paraId="528923B0" wp14:textId="5E5EEB8D">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5753C02">
        <w:rPr>
          <w:rFonts w:ascii="Arial" w:hAnsi="Arial" w:eastAsia="Arial" w:cs="Arial"/>
          <w:b w:val="1"/>
          <w:bCs w:val="1"/>
          <w:i w:val="0"/>
          <w:iCs w:val="0"/>
          <w:caps w:val="0"/>
          <w:smallCaps w:val="0"/>
          <w:noProof w:val="0"/>
          <w:color w:val="000000" w:themeColor="text1" w:themeTint="FF" w:themeShade="FF"/>
          <w:sz w:val="28"/>
          <w:szCs w:val="28"/>
          <w:lang w:val="en-GB"/>
        </w:rPr>
        <w:t>Module Name:</w:t>
      </w:r>
    </w:p>
    <w:p xmlns:wp14="http://schemas.microsoft.com/office/word/2010/wordml" w:rsidP="000B9A6F" wp14:paraId="58DEAEF4" wp14:textId="19D98D20">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5753C02">
        <w:rPr>
          <w:rFonts w:ascii="Arial" w:hAnsi="Arial" w:eastAsia="Arial" w:cs="Arial"/>
          <w:b w:val="1"/>
          <w:bCs w:val="1"/>
          <w:i w:val="0"/>
          <w:iCs w:val="0"/>
          <w:caps w:val="0"/>
          <w:smallCaps w:val="0"/>
          <w:noProof w:val="0"/>
          <w:color w:val="000000" w:themeColor="text1" w:themeTint="FF" w:themeShade="FF"/>
          <w:sz w:val="28"/>
          <w:szCs w:val="28"/>
          <w:lang w:val="en-GB"/>
        </w:rPr>
        <w:t>Module Code: BMHP6030</w:t>
      </w:r>
    </w:p>
    <w:p xmlns:wp14="http://schemas.microsoft.com/office/word/2010/wordml" w:rsidP="000B9A6F" wp14:paraId="29C72FF9" wp14:textId="41664D77">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5753C02">
        <w:rPr>
          <w:rFonts w:ascii="Arial" w:hAnsi="Arial" w:eastAsia="Arial" w:cs="Arial"/>
          <w:b w:val="1"/>
          <w:bCs w:val="1"/>
          <w:i w:val="0"/>
          <w:iCs w:val="0"/>
          <w:caps w:val="0"/>
          <w:smallCaps w:val="0"/>
          <w:noProof w:val="0"/>
          <w:color w:val="000000" w:themeColor="text1" w:themeTint="FF" w:themeShade="FF"/>
          <w:sz w:val="28"/>
          <w:szCs w:val="28"/>
          <w:lang w:val="en-GB"/>
        </w:rPr>
        <w:t>Student Name: Sabina Aslam</w:t>
      </w:r>
    </w:p>
    <w:p xmlns:wp14="http://schemas.microsoft.com/office/word/2010/wordml" w:rsidP="000B9A6F" wp14:paraId="27D55ED1" wp14:textId="27575ECF">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5753C02">
        <w:rPr>
          <w:rFonts w:ascii="Arial" w:hAnsi="Arial" w:eastAsia="Arial" w:cs="Arial"/>
          <w:b w:val="1"/>
          <w:bCs w:val="1"/>
          <w:i w:val="0"/>
          <w:iCs w:val="0"/>
          <w:caps w:val="0"/>
          <w:smallCaps w:val="0"/>
          <w:noProof w:val="0"/>
          <w:color w:val="000000" w:themeColor="text1" w:themeTint="FF" w:themeShade="FF"/>
          <w:sz w:val="28"/>
          <w:szCs w:val="28"/>
          <w:lang w:val="en-GB"/>
        </w:rPr>
        <w:t>Student Number: 2220574</w:t>
      </w:r>
    </w:p>
    <w:p xmlns:wp14="http://schemas.microsoft.com/office/word/2010/wordml" w:rsidP="000B9A6F" wp14:paraId="76EF968D" wp14:textId="213B395D">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5753C02">
        <w:rPr>
          <w:rFonts w:ascii="Arial" w:hAnsi="Arial" w:eastAsia="Arial" w:cs="Arial"/>
          <w:b w:val="1"/>
          <w:bCs w:val="1"/>
          <w:i w:val="0"/>
          <w:iCs w:val="0"/>
          <w:caps w:val="0"/>
          <w:smallCaps w:val="0"/>
          <w:noProof w:val="0"/>
          <w:color w:val="000000" w:themeColor="text1" w:themeTint="FF" w:themeShade="FF"/>
          <w:sz w:val="28"/>
          <w:szCs w:val="28"/>
          <w:lang w:val="en-GB"/>
        </w:rPr>
        <w:t>Lecturer Name: Parese Ahmed</w:t>
      </w:r>
    </w:p>
    <w:p xmlns:wp14="http://schemas.microsoft.com/office/word/2010/wordml" w:rsidP="000B9A6F" wp14:paraId="25F3DF21" wp14:textId="659FBC27">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44D8ABF1" wp14:textId="7657D0C3">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0096CE38" wp14:textId="52F76E9C">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7E553592" wp14:textId="07A930A6">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19A26FA8" wp14:textId="3A1BFD0F">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1DDFEF4A" wp14:textId="13EBDC46">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3E4B66E0" wp14:textId="349D1CF5">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35B0FEDA" wp14:textId="7B5BF334">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4BBB2A22" wp14:textId="471266FA">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1453084A" wp14:textId="0740E672">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542ECD8F" wp14:textId="37A01D14">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2BCCA1EB" wp14:textId="11572242">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34157047" wp14:textId="7CE4DF51">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50171C6D" wp14:textId="1FD0D394">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730F8433" wp14:textId="7CD83386">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57594EC4" wp14:textId="1450FEBE">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43EC0D8F" wp14:textId="421ED995">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1223F341" wp14:textId="793CB163">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32CB8D37" wp14:textId="4E1ABA79">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19517AAA" wp14:textId="2DB83B86">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67EB5D57" wp14:textId="22FCBEDF">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7D74EC53" wp14:textId="0B63CE1A">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0D45ABA3" wp14:textId="662E9E71">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5C036AC5" wp14:textId="662F1F77">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45D16BA0" wp14:textId="51F1A783">
      <w:pPr>
        <w:pStyle w:val="Normal"/>
        <w:shd w:val="clear" w:color="auto" w:fill="FFFFFF" w:themeFill="background1"/>
        <w:spacing w:before="0" w:beforeAutospacing="off" w:after="0" w:afterAutospacing="off" w:line="360"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376EE282">
        <w:rPr>
          <w:rFonts w:ascii="Arial" w:hAnsi="Arial" w:eastAsia="Arial" w:cs="Arial"/>
          <w:b w:val="1"/>
          <w:bCs w:val="1"/>
          <w:i w:val="0"/>
          <w:iCs w:val="0"/>
          <w:caps w:val="0"/>
          <w:smallCaps w:val="0"/>
          <w:noProof w:val="0"/>
          <w:color w:val="000000" w:themeColor="text1" w:themeTint="FF" w:themeShade="FF"/>
          <w:sz w:val="28"/>
          <w:szCs w:val="28"/>
          <w:lang w:val="en-GB"/>
        </w:rPr>
        <w:t>Contents Page</w:t>
      </w:r>
    </w:p>
    <w:p xmlns:wp14="http://schemas.microsoft.com/office/word/2010/wordml" w:rsidP="000B9A6F" wp14:paraId="6D387483" wp14:textId="0BE9DB64">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7B241FC8" wp14:textId="516F5CFC">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Introduction..............................................................................................Page</w:t>
      </w:r>
      <w:r w:rsidRPr="000B9A6F" w:rsidR="1071AC46">
        <w:rPr>
          <w:rFonts w:ascii="Arial" w:hAnsi="Arial" w:eastAsia="Arial" w:cs="Arial"/>
          <w:b w:val="0"/>
          <w:bCs w:val="0"/>
          <w:i w:val="0"/>
          <w:iCs w:val="0"/>
          <w:caps w:val="0"/>
          <w:smallCaps w:val="0"/>
          <w:noProof w:val="0"/>
          <w:color w:val="000000" w:themeColor="text1" w:themeTint="FF" w:themeShade="FF"/>
          <w:sz w:val="24"/>
          <w:szCs w:val="24"/>
          <w:lang w:val="en-GB"/>
        </w:rPr>
        <w:t xml:space="preserve"> 3</w:t>
      </w:r>
    </w:p>
    <w:p xmlns:wp14="http://schemas.microsoft.com/office/word/2010/wordml" w:rsidP="000B9A6F" wp14:paraId="792525E8" wp14:textId="461F81D6">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00B9A6F" wp14:paraId="654D2812" wp14:textId="71B80ED6">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 xml:space="preserve">Section 1 SDG3 – Health, </w:t>
      </w: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wellbeing</w:t>
      </w: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 xml:space="preserve"> and Sustainability</w:t>
      </w:r>
    </w:p>
    <w:p xmlns:wp14="http://schemas.microsoft.com/office/word/2010/wordml" w:rsidP="000B9A6F" wp14:paraId="653F6C0E" wp14:textId="0070A94B">
      <w:pPr>
        <w:pStyle w:val="ListParagraph"/>
        <w:numPr>
          <w:ilvl w:val="0"/>
          <w:numId w:val="1"/>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Overview of SDG3..................................................</w:t>
      </w:r>
      <w:r w:rsidRPr="000B9A6F" w:rsidR="05AE4EA8">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45B46203">
        <w:rPr>
          <w:rFonts w:ascii="Arial" w:hAnsi="Arial" w:eastAsia="Arial" w:cs="Arial"/>
          <w:b w:val="0"/>
          <w:bCs w:val="0"/>
          <w:i w:val="0"/>
          <w:iCs w:val="0"/>
          <w:caps w:val="0"/>
          <w:smallCaps w:val="0"/>
          <w:noProof w:val="0"/>
          <w:color w:val="000000" w:themeColor="text1" w:themeTint="FF" w:themeShade="FF"/>
          <w:sz w:val="24"/>
          <w:szCs w:val="24"/>
          <w:lang w:val="en-GB"/>
        </w:rPr>
        <w:t xml:space="preserve"> 3-4</w:t>
      </w:r>
    </w:p>
    <w:p xmlns:wp14="http://schemas.microsoft.com/office/word/2010/wordml" w:rsidP="000B9A6F" wp14:paraId="2406FEE7" wp14:textId="2A3379B2">
      <w:pPr>
        <w:pStyle w:val="ListParagraph"/>
        <w:numPr>
          <w:ilvl w:val="0"/>
          <w:numId w:val="1"/>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Global Policies and Initiatives</w:t>
      </w:r>
      <w:r w:rsidRPr="000B9A6F" w:rsidR="394EC29F">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1B02FA98">
        <w:rPr>
          <w:rFonts w:ascii="Arial" w:hAnsi="Arial" w:eastAsia="Arial" w:cs="Arial"/>
          <w:b w:val="0"/>
          <w:bCs w:val="0"/>
          <w:i w:val="0"/>
          <w:iCs w:val="0"/>
          <w:caps w:val="0"/>
          <w:smallCaps w:val="0"/>
          <w:noProof w:val="0"/>
          <w:color w:val="000000" w:themeColor="text1" w:themeTint="FF" w:themeShade="FF"/>
          <w:sz w:val="24"/>
          <w:szCs w:val="24"/>
          <w:lang w:val="en-GB"/>
        </w:rPr>
        <w:t xml:space="preserve"> 4</w:t>
      </w:r>
    </w:p>
    <w:p xmlns:wp14="http://schemas.microsoft.com/office/word/2010/wordml" w:rsidP="000B9A6F" wp14:paraId="69A0DBF9" wp14:textId="32795B50">
      <w:pPr>
        <w:pStyle w:val="ListParagraph"/>
        <w:numPr>
          <w:ilvl w:val="0"/>
          <w:numId w:val="1"/>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National and Local Context: UK</w:t>
      </w:r>
      <w:r w:rsidRPr="000B9A6F" w:rsidR="3516F376">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31EB1718">
        <w:rPr>
          <w:rFonts w:ascii="Arial" w:hAnsi="Arial" w:eastAsia="Arial" w:cs="Arial"/>
          <w:b w:val="0"/>
          <w:bCs w:val="0"/>
          <w:i w:val="0"/>
          <w:iCs w:val="0"/>
          <w:caps w:val="0"/>
          <w:smallCaps w:val="0"/>
          <w:noProof w:val="0"/>
          <w:color w:val="000000" w:themeColor="text1" w:themeTint="FF" w:themeShade="FF"/>
          <w:sz w:val="24"/>
          <w:szCs w:val="24"/>
          <w:lang w:val="en-GB"/>
        </w:rPr>
        <w:t xml:space="preserve"> 4-5</w:t>
      </w:r>
    </w:p>
    <w:p xmlns:wp14="http://schemas.microsoft.com/office/word/2010/wordml" w:rsidP="000B9A6F" wp14:paraId="2C1F1F12" wp14:textId="6358F6AA">
      <w:pPr>
        <w:pStyle w:val="ListParagraph"/>
        <w:numPr>
          <w:ilvl w:val="0"/>
          <w:numId w:val="1"/>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National and Local Context: USA</w:t>
      </w:r>
      <w:r w:rsidRPr="000B9A6F" w:rsidR="3DA037C2">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4608D260">
        <w:rPr>
          <w:rFonts w:ascii="Arial" w:hAnsi="Arial" w:eastAsia="Arial" w:cs="Arial"/>
          <w:b w:val="0"/>
          <w:bCs w:val="0"/>
          <w:i w:val="0"/>
          <w:iCs w:val="0"/>
          <w:caps w:val="0"/>
          <w:smallCaps w:val="0"/>
          <w:noProof w:val="0"/>
          <w:color w:val="000000" w:themeColor="text1" w:themeTint="FF" w:themeShade="FF"/>
          <w:sz w:val="24"/>
          <w:szCs w:val="24"/>
          <w:lang w:val="en-GB"/>
        </w:rPr>
        <w:t xml:space="preserve"> 5-6</w:t>
      </w:r>
    </w:p>
    <w:p xmlns:wp14="http://schemas.microsoft.com/office/word/2010/wordml" w:rsidP="000B9A6F" wp14:paraId="31B13569" wp14:textId="4B23A0DF">
      <w:pPr>
        <w:pStyle w:val="ListParagraph"/>
        <w:numPr>
          <w:ilvl w:val="0"/>
          <w:numId w:val="1"/>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Theoretical Frameworks</w:t>
      </w:r>
      <w:r w:rsidRPr="000B9A6F" w:rsidR="249AECAA">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4F3062DC">
        <w:rPr>
          <w:rFonts w:ascii="Arial" w:hAnsi="Arial" w:eastAsia="Arial" w:cs="Arial"/>
          <w:b w:val="0"/>
          <w:bCs w:val="0"/>
          <w:i w:val="0"/>
          <w:iCs w:val="0"/>
          <w:caps w:val="0"/>
          <w:smallCaps w:val="0"/>
          <w:noProof w:val="0"/>
          <w:color w:val="000000" w:themeColor="text1" w:themeTint="FF" w:themeShade="FF"/>
          <w:sz w:val="24"/>
          <w:szCs w:val="24"/>
          <w:lang w:val="en-GB"/>
        </w:rPr>
        <w:t xml:space="preserve"> 6</w:t>
      </w:r>
    </w:p>
    <w:p xmlns:wp14="http://schemas.microsoft.com/office/word/2010/wordml" w:rsidP="000B9A6F" wp14:paraId="3331BD2B" wp14:textId="4EA1E226">
      <w:pPr>
        <w:pStyle w:val="ListParagraph"/>
        <w:numPr>
          <w:ilvl w:val="0"/>
          <w:numId w:val="1"/>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Evaluation and Recommendations</w:t>
      </w:r>
      <w:r w:rsidRPr="000B9A6F" w:rsidR="339E4CFD">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0813B46F">
        <w:rPr>
          <w:rFonts w:ascii="Arial" w:hAnsi="Arial" w:eastAsia="Arial" w:cs="Arial"/>
          <w:b w:val="0"/>
          <w:bCs w:val="0"/>
          <w:i w:val="0"/>
          <w:iCs w:val="0"/>
          <w:caps w:val="0"/>
          <w:smallCaps w:val="0"/>
          <w:noProof w:val="0"/>
          <w:color w:val="000000" w:themeColor="text1" w:themeTint="FF" w:themeShade="FF"/>
          <w:sz w:val="24"/>
          <w:szCs w:val="24"/>
          <w:lang w:val="en-GB"/>
        </w:rPr>
        <w:t xml:space="preserve"> 7</w:t>
      </w:r>
    </w:p>
    <w:p xmlns:wp14="http://schemas.microsoft.com/office/word/2010/wordml" w:rsidP="000B9A6F" wp14:paraId="3BEDCAFE" wp14:textId="4D0B2DD8">
      <w:pPr>
        <w:pStyle w:val="Normal"/>
        <w:shd w:val="clear" w:color="auto" w:fill="FFFFFF" w:themeFill="background1"/>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00B9A6F" wp14:paraId="2CB611AD" wp14:textId="2A7EEFB9">
      <w:pPr>
        <w:pStyle w:val="Normal"/>
        <w:shd w:val="clear" w:color="auto" w:fill="FFFFFF" w:themeFill="background1"/>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Section 2 SDG2 – Zero Hunger</w:t>
      </w:r>
    </w:p>
    <w:p xmlns:wp14="http://schemas.microsoft.com/office/word/2010/wordml" w:rsidP="000B9A6F" wp14:paraId="4E40B3E3" wp14:textId="6A62B544">
      <w:pPr>
        <w:pStyle w:val="ListParagraph"/>
        <w:numPr>
          <w:ilvl w:val="0"/>
          <w:numId w:val="2"/>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Overview of SDG2</w:t>
      </w:r>
      <w:r w:rsidRPr="000B9A6F" w:rsidR="492ABBCC">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63C11D59">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492ABBCC">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756293A3">
        <w:rPr>
          <w:rFonts w:ascii="Arial" w:hAnsi="Arial" w:eastAsia="Arial" w:cs="Arial"/>
          <w:b w:val="0"/>
          <w:bCs w:val="0"/>
          <w:i w:val="0"/>
          <w:iCs w:val="0"/>
          <w:caps w:val="0"/>
          <w:smallCaps w:val="0"/>
          <w:noProof w:val="0"/>
          <w:color w:val="000000" w:themeColor="text1" w:themeTint="FF" w:themeShade="FF"/>
          <w:sz w:val="24"/>
          <w:szCs w:val="24"/>
          <w:lang w:val="en-GB"/>
        </w:rPr>
        <w:t xml:space="preserve"> 7-8</w:t>
      </w:r>
    </w:p>
    <w:p xmlns:wp14="http://schemas.microsoft.com/office/word/2010/wordml" w:rsidP="000B9A6F" wp14:paraId="6B8D8593" wp14:textId="5FBA84CA">
      <w:pPr>
        <w:pStyle w:val="ListParagraph"/>
        <w:numPr>
          <w:ilvl w:val="0"/>
          <w:numId w:val="2"/>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Global Policies and Initiatives</w:t>
      </w:r>
      <w:r w:rsidRPr="000B9A6F" w:rsidR="3C17E902">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7FE1404B">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3C17E902">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2EF27FA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00B9A6F" w:rsidR="7776C32E">
        <w:rPr>
          <w:rFonts w:ascii="Arial" w:hAnsi="Arial" w:eastAsia="Arial" w:cs="Arial"/>
          <w:b w:val="0"/>
          <w:bCs w:val="0"/>
          <w:i w:val="0"/>
          <w:iCs w:val="0"/>
          <w:caps w:val="0"/>
          <w:smallCaps w:val="0"/>
          <w:noProof w:val="0"/>
          <w:color w:val="000000" w:themeColor="text1" w:themeTint="FF" w:themeShade="FF"/>
          <w:sz w:val="24"/>
          <w:szCs w:val="24"/>
          <w:lang w:val="en-GB"/>
        </w:rPr>
        <w:t>8</w:t>
      </w:r>
    </w:p>
    <w:p xmlns:wp14="http://schemas.microsoft.com/office/word/2010/wordml" w:rsidP="000B9A6F" wp14:paraId="6A97FFF3" wp14:textId="6011CD32">
      <w:pPr>
        <w:pStyle w:val="ListParagraph"/>
        <w:numPr>
          <w:ilvl w:val="0"/>
          <w:numId w:val="2"/>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National and Local Context: UK</w:t>
      </w:r>
      <w:r w:rsidRPr="000B9A6F" w:rsidR="6CEAB71B">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4EEE74DA">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6F69F9AB">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6CEAB71B">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17D0E54D">
        <w:rPr>
          <w:rFonts w:ascii="Arial" w:hAnsi="Arial" w:eastAsia="Arial" w:cs="Arial"/>
          <w:b w:val="0"/>
          <w:bCs w:val="0"/>
          <w:i w:val="0"/>
          <w:iCs w:val="0"/>
          <w:caps w:val="0"/>
          <w:smallCaps w:val="0"/>
          <w:noProof w:val="0"/>
          <w:color w:val="000000" w:themeColor="text1" w:themeTint="FF" w:themeShade="FF"/>
          <w:sz w:val="24"/>
          <w:szCs w:val="24"/>
          <w:lang w:val="en-GB"/>
        </w:rPr>
        <w:t xml:space="preserve"> 8-9</w:t>
      </w:r>
    </w:p>
    <w:p xmlns:wp14="http://schemas.microsoft.com/office/word/2010/wordml" w:rsidP="000B9A6F" wp14:paraId="4AEDE310" wp14:textId="761828CF">
      <w:pPr>
        <w:pStyle w:val="ListParagraph"/>
        <w:numPr>
          <w:ilvl w:val="0"/>
          <w:numId w:val="2"/>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National and Local Context: USA</w:t>
      </w:r>
      <w:r w:rsidRPr="000B9A6F" w:rsidR="06CA480A">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559E9D28">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06CA480A">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1986DE0D">
        <w:rPr>
          <w:rFonts w:ascii="Arial" w:hAnsi="Arial" w:eastAsia="Arial" w:cs="Arial"/>
          <w:b w:val="0"/>
          <w:bCs w:val="0"/>
          <w:i w:val="0"/>
          <w:iCs w:val="0"/>
          <w:caps w:val="0"/>
          <w:smallCaps w:val="0"/>
          <w:noProof w:val="0"/>
          <w:color w:val="000000" w:themeColor="text1" w:themeTint="FF" w:themeShade="FF"/>
          <w:sz w:val="24"/>
          <w:szCs w:val="24"/>
          <w:lang w:val="en-GB"/>
        </w:rPr>
        <w:t xml:space="preserve"> 9-10</w:t>
      </w:r>
    </w:p>
    <w:p xmlns:wp14="http://schemas.microsoft.com/office/word/2010/wordml" w:rsidP="000B9A6F" wp14:paraId="4FF40568" wp14:textId="2872DA58">
      <w:pPr>
        <w:pStyle w:val="ListParagraph"/>
        <w:numPr>
          <w:ilvl w:val="0"/>
          <w:numId w:val="2"/>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Theoretical Frameworks</w:t>
      </w:r>
      <w:r w:rsidRPr="000B9A6F" w:rsidR="64488C56">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73491D57">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64488C56">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3476D3C6">
        <w:rPr>
          <w:rFonts w:ascii="Arial" w:hAnsi="Arial" w:eastAsia="Arial" w:cs="Arial"/>
          <w:b w:val="0"/>
          <w:bCs w:val="0"/>
          <w:i w:val="0"/>
          <w:iCs w:val="0"/>
          <w:caps w:val="0"/>
          <w:smallCaps w:val="0"/>
          <w:noProof w:val="0"/>
          <w:color w:val="000000" w:themeColor="text1" w:themeTint="FF" w:themeShade="FF"/>
          <w:sz w:val="24"/>
          <w:szCs w:val="24"/>
          <w:lang w:val="en-GB"/>
        </w:rPr>
        <w:t xml:space="preserve"> 10-11</w:t>
      </w:r>
    </w:p>
    <w:p xmlns:wp14="http://schemas.microsoft.com/office/word/2010/wordml" w:rsidP="000B9A6F" wp14:paraId="6E7B2512" wp14:textId="5A3F1272">
      <w:pPr>
        <w:pStyle w:val="ListParagraph"/>
        <w:numPr>
          <w:ilvl w:val="0"/>
          <w:numId w:val="2"/>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Evaluation and Recommendations</w:t>
      </w:r>
      <w:r w:rsidRPr="000B9A6F" w:rsidR="02504984">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581F4908">
        <w:rPr>
          <w:rFonts w:ascii="Arial" w:hAnsi="Arial" w:eastAsia="Arial" w:cs="Arial"/>
          <w:b w:val="0"/>
          <w:bCs w:val="0"/>
          <w:i w:val="0"/>
          <w:iCs w:val="0"/>
          <w:caps w:val="0"/>
          <w:smallCaps w:val="0"/>
          <w:noProof w:val="0"/>
          <w:color w:val="000000" w:themeColor="text1" w:themeTint="FF" w:themeShade="FF"/>
          <w:sz w:val="24"/>
          <w:szCs w:val="24"/>
          <w:lang w:val="en-GB"/>
        </w:rPr>
        <w:t xml:space="preserve"> 11</w:t>
      </w:r>
    </w:p>
    <w:p xmlns:wp14="http://schemas.microsoft.com/office/word/2010/wordml" w:rsidP="000B9A6F" wp14:paraId="09A4769E" wp14:textId="14F189E7">
      <w:pPr>
        <w:pStyle w:val="Normal"/>
        <w:shd w:val="clear" w:color="auto" w:fill="FFFFFF" w:themeFill="background1"/>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00B9A6F" wp14:paraId="30716D4F" wp14:textId="5A11EAB2">
      <w:pPr>
        <w:pStyle w:val="Normal"/>
        <w:shd w:val="clear" w:color="auto" w:fill="FFFFFF" w:themeFill="background1"/>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376EE282">
        <w:rPr>
          <w:rFonts w:ascii="Arial" w:hAnsi="Arial" w:eastAsia="Arial" w:cs="Arial"/>
          <w:b w:val="0"/>
          <w:bCs w:val="0"/>
          <w:i w:val="0"/>
          <w:iCs w:val="0"/>
          <w:caps w:val="0"/>
          <w:smallCaps w:val="0"/>
          <w:noProof w:val="0"/>
          <w:color w:val="000000" w:themeColor="text1" w:themeTint="FF" w:themeShade="FF"/>
          <w:sz w:val="24"/>
          <w:szCs w:val="24"/>
          <w:lang w:val="en-GB"/>
        </w:rPr>
        <w:t>Conclusion</w:t>
      </w:r>
      <w:r w:rsidRPr="000B9A6F" w:rsidR="6AEF0240">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52A0AF50">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6AEF0240">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1B1D80BF">
        <w:rPr>
          <w:rFonts w:ascii="Arial" w:hAnsi="Arial" w:eastAsia="Arial" w:cs="Arial"/>
          <w:b w:val="0"/>
          <w:bCs w:val="0"/>
          <w:i w:val="0"/>
          <w:iCs w:val="0"/>
          <w:caps w:val="0"/>
          <w:smallCaps w:val="0"/>
          <w:noProof w:val="0"/>
          <w:color w:val="000000" w:themeColor="text1" w:themeTint="FF" w:themeShade="FF"/>
          <w:sz w:val="24"/>
          <w:szCs w:val="24"/>
          <w:lang w:val="en-GB"/>
        </w:rPr>
        <w:t xml:space="preserve"> 11-12</w:t>
      </w:r>
    </w:p>
    <w:p xmlns:wp14="http://schemas.microsoft.com/office/word/2010/wordml" w:rsidP="000B9A6F" wp14:paraId="672A42DF" wp14:textId="36D5720B">
      <w:pPr>
        <w:pStyle w:val="Normal"/>
        <w:shd w:val="clear" w:color="auto" w:fill="FFFFFF" w:themeFill="background1"/>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00B9A6F" wp14:paraId="1A8B6B5C" wp14:textId="2CE4D56E">
      <w:pPr>
        <w:pStyle w:val="Normal"/>
        <w:shd w:val="clear" w:color="auto" w:fill="FFFFFF" w:themeFill="background1"/>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A5F43BD">
        <w:rPr>
          <w:rFonts w:ascii="Arial" w:hAnsi="Arial" w:eastAsia="Arial" w:cs="Arial"/>
          <w:b w:val="0"/>
          <w:bCs w:val="0"/>
          <w:i w:val="0"/>
          <w:iCs w:val="0"/>
          <w:caps w:val="0"/>
          <w:smallCaps w:val="0"/>
          <w:noProof w:val="0"/>
          <w:color w:val="000000" w:themeColor="text1" w:themeTint="FF" w:themeShade="FF"/>
          <w:sz w:val="24"/>
          <w:szCs w:val="24"/>
          <w:lang w:val="en-GB"/>
        </w:rPr>
        <w:t>References</w:t>
      </w:r>
      <w:r w:rsidRPr="000B9A6F" w:rsidR="0A0C80AE">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20708D45">
        <w:rPr>
          <w:rFonts w:ascii="Arial" w:hAnsi="Arial" w:eastAsia="Arial" w:cs="Arial"/>
          <w:b w:val="0"/>
          <w:bCs w:val="0"/>
          <w:i w:val="0"/>
          <w:iCs w:val="0"/>
          <w:caps w:val="0"/>
          <w:smallCaps w:val="0"/>
          <w:noProof w:val="0"/>
          <w:color w:val="000000" w:themeColor="text1" w:themeTint="FF" w:themeShade="FF"/>
          <w:sz w:val="24"/>
          <w:szCs w:val="24"/>
          <w:lang w:val="en-GB"/>
        </w:rPr>
        <w:t>.</w:t>
      </w:r>
      <w:r w:rsidRPr="000B9A6F" w:rsidR="0A0C80AE">
        <w:rPr>
          <w:rFonts w:ascii="Arial" w:hAnsi="Arial" w:eastAsia="Arial" w:cs="Arial"/>
          <w:b w:val="0"/>
          <w:bCs w:val="0"/>
          <w:i w:val="0"/>
          <w:iCs w:val="0"/>
          <w:caps w:val="0"/>
          <w:smallCaps w:val="0"/>
          <w:noProof w:val="0"/>
          <w:color w:val="000000" w:themeColor="text1" w:themeTint="FF" w:themeShade="FF"/>
          <w:sz w:val="24"/>
          <w:szCs w:val="24"/>
          <w:lang w:val="en-GB"/>
        </w:rPr>
        <w:t>Page</w:t>
      </w:r>
      <w:r w:rsidRPr="000B9A6F" w:rsidR="4CDAF4A9">
        <w:rPr>
          <w:rFonts w:ascii="Arial" w:hAnsi="Arial" w:eastAsia="Arial" w:cs="Arial"/>
          <w:b w:val="0"/>
          <w:bCs w:val="0"/>
          <w:i w:val="0"/>
          <w:iCs w:val="0"/>
          <w:caps w:val="0"/>
          <w:smallCaps w:val="0"/>
          <w:noProof w:val="0"/>
          <w:color w:val="000000" w:themeColor="text1" w:themeTint="FF" w:themeShade="FF"/>
          <w:sz w:val="24"/>
          <w:szCs w:val="24"/>
          <w:lang w:val="en-GB"/>
        </w:rPr>
        <w:t xml:space="preserve"> 13-14</w:t>
      </w:r>
    </w:p>
    <w:p xmlns:wp14="http://schemas.microsoft.com/office/word/2010/wordml" w:rsidP="000B9A6F" wp14:paraId="3CD5FE91" wp14:textId="158A0704">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1916113F" wp14:textId="2ADAC1AD">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65B4451E" wp14:textId="56AED2E9">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2A1FC1FF" wp14:textId="0EF167B9">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2451552C" wp14:textId="34DE8D94">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2C710B1F" wp14:textId="51E07A37">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25C9FF20" wp14:textId="34059750">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6FC5EC3A" wp14:textId="208185A1">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68BC564A" wp14:textId="7FA97B95">
      <w:pPr>
        <w:pStyle w:val="Normal"/>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Introduction</w:t>
      </w:r>
    </w:p>
    <w:p xmlns:wp14="http://schemas.microsoft.com/office/word/2010/wordml" w:rsidP="000B9A6F" wp14:paraId="40F609C4" wp14:textId="7A200D10">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510AF449" wp14:textId="29F3462B">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The Sustainable Development Goals (SDGs), introduced by the United Nations in 2015, outline a shared global framework to achieve social, economic, and environmental sustainability by 2030 (United Nations, 2015). Among the 17 SDGs, SDG 3 (Good Health and Well-Being) and SDG 2 (Zero Hunger) are central to human development, as both aim to enhance quality of life and reduce inequalities in access to essential services. SDG 3 focuses on ensuring healthy lives and promoting well-being for all ages, addressing issues such as mortality, disease prevention, and healthcare access (World Health Organization [WHO], 2023). SDG 2 seeks to end hunger, achieve food security, improve nutrition, and promote sustainable agriculture (Food and Agriculture Organization [FAO], 2022). These two goals are strongly interconnected; good nutrition directly influences physical and mental health outcomes, while poor health can contribute to malnutrition and food insecurity.</w:t>
      </w:r>
    </w:p>
    <w:p xmlns:wp14="http://schemas.microsoft.com/office/word/2010/wordml" w:rsidP="000B9A6F" wp14:paraId="53AAE91B" wp14:textId="50422F54">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3B66B2EE" wp14:textId="00DD9C60">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This report critically examines how health, well-being, and sustainability policies related to SDG 3 and SDG 2 are implemented at global, national, and local levels in the United Kingdom (UK) and the United States of America (USA). It explores the policies, initiatives, and partnerships driving progress, analyses theoretical perspectives, and highlights challenges and opportunities for achieving these goals by 2030. The analysis aims to show how the integration of both SDGs can support equitable and sustainable development outcomes.</w:t>
      </w:r>
    </w:p>
    <w:p xmlns:wp14="http://schemas.microsoft.com/office/word/2010/wordml" w:rsidP="000B9A6F" wp14:paraId="5D7D4F61" wp14:textId="021F05C0">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25EF0675" wp14:textId="6BAAA29F">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Section 1: SDG 3 – Good Health and Well-Being</w:t>
      </w:r>
    </w:p>
    <w:p xmlns:wp14="http://schemas.microsoft.com/office/word/2010/wordml" w:rsidP="000B9A6F" wp14:paraId="0A13D5EE" wp14:textId="7C29924E">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00BBC3C6" wp14:textId="2E523E9F">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Overview of SDG 3</w:t>
      </w:r>
    </w:p>
    <w:p xmlns:wp14="http://schemas.microsoft.com/office/word/2010/wordml" w:rsidP="000B9A6F" wp14:paraId="5A7D97FE" wp14:textId="1AA57848">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00B9A6F" wp14:paraId="28AE8C42" wp14:textId="763E89AC">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Sustainable Development Goal 3 aims to “ensure healthy lives and promote well-being for all at all ages” (United Nations, 2015). This goal includes targets on reducing maternal and child mortality, ending epidemics of communicable diseases, and addressing non-communicable diseases (NCDs) through prevention and treatment. SDG 3 also emphasises universal health coverage (UHC), access to safe and affordable medicines, and promoting mental health and well-being (WHO, 2023). The achievement of SDG 3 depends on effective health systems, </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equitable</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service delivery, and integration with other SDGs such as SDG 2 (Zero Hunger), SDG 6 (Clean Water and Sanitation), and SDG 10 (Reduced Inequalities) (UNDP, 2021)</w:t>
      </w:r>
      <w:r w:rsidRPr="000B9A6F" w:rsidR="1774A8C0">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000B9A6F" wp14:paraId="4EBC4A42" wp14:textId="6B638B92">
      <w:pPr>
        <w:shd w:val="clear" w:color="auto" w:fill="FFFFFF" w:themeFill="background1"/>
        <w:spacing w:before="0" w:beforeAutospacing="off" w:after="0" w:afterAutospacing="off" w:line="360" w:lineRule="auto"/>
        <w:rPr>
          <w:rFonts w:ascii="Arial" w:hAnsi="Arial" w:eastAsia="Arial" w:cs="Arial"/>
          <w:b w:val="1"/>
          <w:bCs w:val="1"/>
          <w:sz w:val="28"/>
          <w:szCs w:val="28"/>
        </w:rPr>
      </w:pPr>
    </w:p>
    <w:p xmlns:wp14="http://schemas.microsoft.com/office/word/2010/wordml" w:rsidP="000B9A6F" wp14:paraId="219E87F1" wp14:textId="4165E8CA">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Global Policies and Initiatives</w:t>
      </w:r>
    </w:p>
    <w:p xmlns:wp14="http://schemas.microsoft.com/office/word/2010/wordml" w:rsidP="000B9A6F" wp14:paraId="41576053" wp14:textId="591817B2">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586448F4" wp14:textId="7BA5DEB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Globally, several frameworks guide progress toward SDG 3. The World Health Organization (WHO) leads the coordination of global health initiatives, including the Global Health Sector Strategy and the Universal Health Coverage Partnership (WHO, 2023). The Global Fund to Fight AIDS, Tuberculosis and Malaria, and the Gavi Vaccine Alliance, have contributed significantly to reducing communicable diseases, particularly in low- and middle-income countries (Global Fund, 2022; Gavi, 2023). The COVID-19 pandemic disrupted progress but also accelerated digital health transformation and renewed attention on health system resilience (OECD, 2022).</w:t>
      </w:r>
    </w:p>
    <w:p xmlns:wp14="http://schemas.microsoft.com/office/word/2010/wordml" w:rsidP="000B9A6F" wp14:paraId="46859113" wp14:textId="7001689A">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3C27D049" wp14:textId="3EADF0D3">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The United Nations High-Level Political Forum (HLPF) monitors progress on SDG 3 annually, highlighting key challenges such as inequities in access to healthcare and rising mental health issues (UN, 2023). Despite global advances, disparities persist, especially in access to quality health services, vaccination rates, and mental health support, reinforcing the need for stronger international collaboration</w:t>
      </w:r>
      <w:r w:rsidRPr="000B9A6F" w:rsidR="06BC9FB9">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000B9A6F" wp14:paraId="44FF1CA0" wp14:textId="67E4B181">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1C4A55B9" wp14:textId="63658C2B">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National and Local Context: United Kingdo</w:t>
      </w:r>
      <w:r w:rsidRPr="000B9A6F" w:rsidR="1ED6A4C2">
        <w:rPr>
          <w:rFonts w:ascii="Arial" w:hAnsi="Arial" w:eastAsia="Arial" w:cs="Arial"/>
          <w:b w:val="1"/>
          <w:bCs w:val="1"/>
          <w:i w:val="0"/>
          <w:iCs w:val="0"/>
          <w:caps w:val="0"/>
          <w:smallCaps w:val="0"/>
          <w:noProof w:val="0"/>
          <w:color w:val="000000" w:themeColor="text1" w:themeTint="FF" w:themeShade="FF"/>
          <w:sz w:val="28"/>
          <w:szCs w:val="28"/>
          <w:lang w:val="en-GB"/>
        </w:rPr>
        <w:t>m</w:t>
      </w:r>
    </w:p>
    <w:p xmlns:wp14="http://schemas.microsoft.com/office/word/2010/wordml" w:rsidP="000B9A6F" wp14:paraId="76AD6E49" wp14:textId="0B2DF209">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5218A23D" wp14:textId="528F4867">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In the UK, SDG 3 aligns closely with the National Health Service (NHS) framework and public health policies such as the NHS Long Term Plan (2019) and the Health and Care Act (2022). The NHS provides universal health coverage, making it a global model for equitable healthcare access (NHS England, 2019). Policies focus on preventing illness, supporting mental health, and reducing health inequalities across regions. The Public Health England (now part of the UK Health Security Agency) has led strategies to address obesity, smoking, and preventable diseases, directly supporting SDG 3.</w:t>
      </w:r>
    </w:p>
    <w:p xmlns:wp14="http://schemas.microsoft.com/office/word/2010/wordml" w:rsidP="000B9A6F" wp14:paraId="09AB98B7" wp14:textId="1E9CDE8C">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390D3B72" wp14:textId="7519FF54">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Mental health has become a major national priority. The NHS Mental Health Implementation Plan 2019–2024 aims to expand community-based mental health services and integrate them into primary care (Department of Health and Social Care, 2022). However, challenges remain, including long waiting times, workforce shortages, and post-pandemic pressures (King’s Fund, 2023).</w:t>
      </w:r>
    </w:p>
    <w:p xmlns:wp14="http://schemas.microsoft.com/office/word/2010/wordml" w:rsidP="000B9A6F" wp14:paraId="34185458" wp14:textId="6DABEC59">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6E375A43" wp14:textId="4AE7FA63">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At the local level, initiatives such as the Healthy Cities Programme encourage local authorities to develop integrated health and wellbeing strategies. For instance, Manchester’s Health and Wellbeing Strategy prioritises reducing child poverty, improving mental health, and increasing access to healthy lifestyles (Manchester City Council, 2021). Local councils often collaborate with voluntary organisations to tackle social determinants of health, linking SDG 3 with SDG 2 and SDG 10</w:t>
      </w:r>
    </w:p>
    <w:p xmlns:wp14="http://schemas.microsoft.com/office/word/2010/wordml" w:rsidP="000B9A6F" wp14:paraId="6848CF33" wp14:textId="21E44E0A">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5AB1E9B0" wp14:textId="49CA656C">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National and Local Context: United States of America</w:t>
      </w:r>
    </w:p>
    <w:p xmlns:wp14="http://schemas.microsoft.com/office/word/2010/wordml" w:rsidP="000B9A6F" wp14:paraId="30621880" wp14:textId="7716251D">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65B47834" wp14:textId="6286B5B7">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In the USA, SDG 3 is addressed through federal and state-level health programmes, though healthcare access remains unequal due to its mixed public-private system. The Affordable Care Act (ACA) of 2010 expanded healthcare coverage to millions of Americans and remains a key policy supporting SDG 3 (U.S. Department of Health and Human Services [HHS], 2021). Additionally, Healthy People 2030, a national framework led by the Office of Disease Prevention and Health Promotion (ODPHP), sets measurable objectives across areas such as nutrition, chronic disease, and mental health (ODPHP, 2020).</w:t>
      </w:r>
    </w:p>
    <w:p xmlns:wp14="http://schemas.microsoft.com/office/word/2010/wordml" w:rsidP="000B9A6F" wp14:paraId="7D5B9092" wp14:textId="7EE9A8C2">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394CFA0B" wp14:textId="3A8EAB78">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The Centers for Disease Control and Prevention (CDC) plays a critical role in disease prevention, vaccination programmes, and health education. The National Strategy for Suicide Prevention (2021–2025) and the Substance Abuse and Mental Health Services Administration (SAMHSA) programmes address mental health and addiction issues, which are major concerns in the USA (SAMHSA, 2022).</w:t>
      </w:r>
    </w:p>
    <w:p xmlns:wp14="http://schemas.microsoft.com/office/word/2010/wordml" w:rsidP="000B9A6F" wp14:paraId="70D77659" wp14:textId="14EA76BE">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37A07290" wp14:textId="54459315">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At the local level, community health centres and non-profit organisations contribute to SDG 3 by providing affordable care and addressing social determinants of health. Initiatives such as New York City’s ThriveNYC and California’s CalAIM programme demonstrate local innovation in public health and wellbeing (New York City Government, 2021; California Department of Health Care Services, 2022).</w:t>
      </w:r>
    </w:p>
    <w:p xmlns:wp14="http://schemas.microsoft.com/office/word/2010/wordml" w:rsidP="000B9A6F" wp14:paraId="462BF9F3" wp14:textId="3976FD56">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027DACC1" wp14:textId="12165007">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Despite these efforts, the USA faces challenges such as healthcare inequities, high medical costs, and disparities across racial and socioeconomic groups. Life expectancy and maternal mortality rates </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lag behind</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other high-income nations, reflecting ongoing systemic issues (OECD, 2022).</w:t>
      </w:r>
    </w:p>
    <w:p xmlns:wp14="http://schemas.microsoft.com/office/word/2010/wordml" w:rsidP="000B9A6F" wp14:paraId="387A40F4" wp14:textId="5427F86C">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7AB8CB5B" wp14:textId="717B54D3">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Theoretical Frameworks</w:t>
      </w:r>
    </w:p>
    <w:p xmlns:wp14="http://schemas.microsoft.com/office/word/2010/wordml" w:rsidP="000B9A6F" wp14:paraId="35DA3A38" wp14:textId="055BB884">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3B68BBE3" wp14:textId="5B14B7F1">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The implementation of SDG 3 can be analysed using the Social Determinants of Health (SDH) framework, which highlights how socioeconomic conditions, environment, and policy shape health outcomes (Marmot, 2019). Both the UK and USA are increasingly integrating SDH into public health planning, recognising that health cannot be improved solely through medical interventions. Additionally, the Health in All Policies (HiAP) approach promotes cross-sector collaboration, linking housing, education, and environment with health objectives (WHO, 2014).</w:t>
      </w:r>
    </w:p>
    <w:p xmlns:wp14="http://schemas.microsoft.com/office/word/2010/wordml" w:rsidP="000B9A6F" wp14:paraId="6FC683F1" wp14:textId="3B45261F">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16731CFC" wp14:textId="02F8ECB9">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In both countries, the life-course approach is also </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evident</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addressing health from early childhood through to older age. The NHS Healthy Child Programme and the US Maternal and Child Health Block Grant exemplify this approach (HHS, 2021; NHS England, 2019).</w:t>
      </w:r>
    </w:p>
    <w:p xmlns:wp14="http://schemas.microsoft.com/office/word/2010/wordml" w:rsidP="000B9A6F" wp14:paraId="2A9D304F" wp14:textId="5BB3A5D7">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28327E7B" wp14:textId="1D3D4873">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4B9C1B1C" wp14:textId="5BA5304D">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06013AE6" wp14:textId="0FF5DB3D">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65BDAD60" wp14:textId="03DCB2C7">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Evaluation and Recommendations</w:t>
      </w:r>
    </w:p>
    <w:p xmlns:wp14="http://schemas.microsoft.com/office/word/2010/wordml" w:rsidP="000B9A6F" wp14:paraId="250855BD" wp14:textId="1EAADD71">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47F0CC6B" wp14:textId="25BB508C">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While both the UK and USA have made substantial progress toward SDG 3, further work is needed to strengthen health equity and resilience.</w:t>
      </w:r>
    </w:p>
    <w:p xmlns:wp14="http://schemas.microsoft.com/office/word/2010/wordml" w:rsidP="000B9A6F" wp14:paraId="4ED3B2DF" wp14:textId="4F4CBCB1">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      •     In the UK, addressing waiting list backlogs, improving mental health funding, and expanding workforce training are key priorities.</w:t>
      </w:r>
    </w:p>
    <w:p xmlns:wp14="http://schemas.microsoft.com/office/word/2010/wordml" w:rsidP="000B9A6F" wp14:paraId="6B05E213" wp14:textId="6B659E60">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      •     In the USA, policy focus should continue on affordability, Medicaid expansion, and tackling structural inequalities.</w:t>
      </w:r>
    </w:p>
    <w:p xmlns:wp14="http://schemas.microsoft.com/office/word/2010/wordml" w:rsidP="000B9A6F" wp14:paraId="0DB26FC7" wp14:textId="4DB9D057">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278CF366" wp14:textId="455B8D36">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Globally, partnerships between WHO, national governments, and civil society must continue to build stronger health systems. The integration of technology, such as telemedicine and data-driven public health strategies, presents a major opportunity to accelerate progress.</w:t>
      </w:r>
    </w:p>
    <w:p xmlns:wp14="http://schemas.microsoft.com/office/word/2010/wordml" w:rsidP="000B9A6F" wp14:paraId="0F78CC3D" wp14:textId="29EF18C8">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030E43B3" wp14:textId="7406D9FC">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Ultimately, achieving SDG 3 by 2030 requires sustained investment, inclusive governance, and alignment with other SDGs such as SDG 2, recognising that good health and adequate nutrition are mutually reinforcing.</w:t>
      </w:r>
    </w:p>
    <w:p xmlns:wp14="http://schemas.microsoft.com/office/word/2010/wordml" w:rsidP="000B9A6F" wp14:paraId="538868AB" wp14:textId="272CCA01">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17E65A98" wp14:textId="32F2C1D7">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Section 2: SDG 2 – Zero Hunger</w:t>
      </w:r>
    </w:p>
    <w:p xmlns:wp14="http://schemas.microsoft.com/office/word/2010/wordml" w:rsidP="000B9A6F" wp14:paraId="319EAF48" wp14:textId="3EA16109">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016756F0" wp14:textId="16398712">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Overview of SDG 2</w:t>
      </w:r>
    </w:p>
    <w:p xmlns:wp14="http://schemas.microsoft.com/office/word/2010/wordml" w:rsidP="000B9A6F" wp14:paraId="72CD2173" wp14:textId="29D03F9A">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73FF289F" wp14:textId="449FECD3">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Sustainable Development Goal 2 (SDG 2) aims to “end hunger, achieve food security and improved nutrition, and promote sustainable agriculture” (United Nations, 2015). Hunger and malnutrition remain among the world’s most urgent challenges, affecting more than 735 million people globally in 2023 (FAO, 2023). The goal focuses on ensuring that all people have access to safe, nutritious, and sufficient food throughout the year, while also supporting sustainable and resilient food systems. SDG 2 is </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closely linked</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to SDG 3 (Good Health and Well-Being), as nutrition is a major determinant of physical and mental health outcomes. Poor diets contribute to non-communicable diseases such as obesity, diabetes, and cardiovascular disease, as well as undernutrition, stunting, and micronutrient deficiencies (WHO, 2023).</w:t>
      </w:r>
    </w:p>
    <w:p xmlns:wp14="http://schemas.microsoft.com/office/word/2010/wordml" w:rsidP="000B9A6F" wp14:paraId="7B75080D" wp14:textId="274D4EC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00B9A6F" wp14:paraId="7E87B3AF" wp14:textId="7DD37CDA">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Global Context</w:t>
      </w:r>
    </w:p>
    <w:p xmlns:wp14="http://schemas.microsoft.com/office/word/2010/wordml" w:rsidP="000B9A6F" wp14:paraId="7773CA8F" wp14:textId="0A61FA02">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20E6C45B" wp14:textId="7F298AF9">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Globally, progress toward SDG 2 has been uneven. While undernourishment has decreased in many regions, food insecurity has worsened due to conflict, climate change, and economic instability (FAO, 2023). International organisations such as the Food and Agriculture Organization (FAO), World Food Programme (WFP), and International Fund for Agricultural Development (IFAD) lead global actions to combat hunger through agricultural investment, emergency food aid, and nutrition programmes (FAO, 2022).</w:t>
      </w:r>
    </w:p>
    <w:p xmlns:wp14="http://schemas.microsoft.com/office/word/2010/wordml" w:rsidP="000B9A6F" wp14:paraId="7FAD3809" wp14:textId="6A770AD6">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72845DF5" wp14:textId="51963F34">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The UN Food Systems Summit (2021) reinforced the need for systemic change, focusing on sustainable production, fair trade, and the reduction of food waste. The COVID-19 pandemic and the ongoing global cost-of-living crisis have exposed vulnerabilities in food supply chains, affecting affordability and accessibility worldwide (UNDP, 2022). Achieving SDG 2 requires integrating agricultural sustainability with health, education, and environmental policies.</w:t>
      </w:r>
    </w:p>
    <w:p xmlns:wp14="http://schemas.microsoft.com/office/word/2010/wordml" w:rsidP="000B9A6F" wp14:paraId="45EC2B19" wp14:textId="144BBC89">
      <w:pPr>
        <w:pStyle w:val="Normal"/>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6EFC74A5" wp14:textId="500F1D94">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National Context: United Kingdom</w:t>
      </w:r>
    </w:p>
    <w:p xmlns:wp14="http://schemas.microsoft.com/office/word/2010/wordml" w:rsidP="000B9A6F" wp14:paraId="207E895F" wp14:textId="11DFC9C4">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3A26DE95" wp14:textId="588A0DA1">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In the UK, hunger and food insecurity are persistent issues despite being a high-income country. The Food Foundation (2023) reports that around 9 million adults experienced food insecurity in 2023, with low-income households and children most affected. Rising food prices, welfare reforms, and regional inequalities have exacerbated the problem.</w:t>
      </w:r>
    </w:p>
    <w:p xmlns:wp14="http://schemas.microsoft.com/office/word/2010/wordml" w:rsidP="000B9A6F" wp14:paraId="711D84C5" wp14:textId="54E8C6FB">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43AD23E6" wp14:textId="6FEADB4D">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Government initiatives addressing SDG 2 include the National Food Strategy (2021), which aims to create a healthier, more sustainable food system through agricultural reform, nutrition education, and reduction of food waste (UK Government, 2021). The Agriculture Act 2020 also promotes sustainable farming and environmental stewardship. Additionally, local councils and charities such as FareShare and Trussell Trust play a key role in redistributing surplus food and providing emergency food support to vulnerable communities (Trussell Trust, 2023).</w:t>
      </w:r>
    </w:p>
    <w:p xmlns:wp14="http://schemas.microsoft.com/office/word/2010/wordml" w:rsidP="000B9A6F" wp14:paraId="20F009C0" wp14:textId="2F25B6C1">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3E030F13" wp14:textId="151D8255">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Nutrition policies complement SDG 3 efforts. The Healthy Start Scheme provides vouchers for low-income families to buy fruit, vegetables, and milk, supporting maternal and child nutrition (NHS, 2022). The School Food Standards and Free School Meals Programme aim to improve diet quality among children (Department for Education, 2022). However, critics argue that food insecurity is a symptom of deeper social inequality and inadequate welfare provision (Joseph Rowntree Foundation, 2023).</w:t>
      </w:r>
    </w:p>
    <w:p xmlns:wp14="http://schemas.microsoft.com/office/word/2010/wordml" w:rsidP="000B9A6F" wp14:paraId="494B9B17" wp14:textId="21B62BFC">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54F3D3E5" wp14:textId="2273B3F0">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At the local level, initiatives like the London Food Strategy (2018) and Greater Manchester Food Poverty Action Plan (2021) promote community-led approaches, including urban agriculture, food co-operatives, and education on sustainable diets. These efforts align local policy with both SDG 2 and SDG 3, addressing hunger as a determinant of health.</w:t>
      </w:r>
    </w:p>
    <w:p xmlns:wp14="http://schemas.microsoft.com/office/word/2010/wordml" w:rsidP="000B9A6F" wp14:paraId="2AC33097" wp14:textId="648872D8">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3AC2AD7E" wp14:textId="7D179EF0">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National Context: United States of America</w:t>
      </w:r>
    </w:p>
    <w:p xmlns:wp14="http://schemas.microsoft.com/office/word/2010/wordml" w:rsidP="000B9A6F" wp14:paraId="1424F009" wp14:textId="3A5E564D">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14B08C43" wp14:textId="6B51C3B0">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The USA faces a dual challenge of food insecurity and overnutrition, with millions experiencing limited access to healthy food while obesity rates continue to rise. According to the USDA (2023), about 12.8% of households were food insecure in 2022. The country’s complex food system is influenced by socioeconomic disparities, agricultural subsidies, and regional inequalities in food access.</w:t>
      </w:r>
    </w:p>
    <w:p xmlns:wp14="http://schemas.microsoft.com/office/word/2010/wordml" w:rsidP="000B9A6F" wp14:paraId="792652E4" wp14:textId="12C92302">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12F35DD9" wp14:textId="18F1EB9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Federal nutrition programmes are central to the USA’s approach to SDG 2. The Supplemental Nutrition Assistance Program (SNAP) provides food benefits to over 40 million Americans, helping reduce hunger and stimulate local economies (USDA, 2023). Other key programmes include Women, Infants, and Children (WIC) and National School Lunch and Breakfast Programs, which support child nutrition and health (CDC, 2022).</w:t>
      </w:r>
    </w:p>
    <w:p xmlns:wp14="http://schemas.microsoft.com/office/word/2010/wordml" w:rsidP="000B9A6F" wp14:paraId="778D4B2E" wp14:textId="3448CAB7">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1B8317CC" wp14:textId="010D1B9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The Dietary Guidelines for Americans (2020–2025) and Healthy People 2030 initiatives set national nutrition standards and promote healthier eating behaviours (HHS &amp; USDA, 2020). However, accessibility to nutritious foods remains limited in “food deserts,” particularly in rural and low-income urban areas (Feeding America, 2023). The Biden-Harris National Strategy on Hunger, Nutrition, and Health (2022) aims to end hunger and reduce diet-related diseases by 2030 through investment in nutrition programmes, research, and cross-sector partnerships (White House, 2022).</w:t>
      </w:r>
    </w:p>
    <w:p xmlns:wp14="http://schemas.microsoft.com/office/word/2010/wordml" w:rsidP="000B9A6F" wp14:paraId="1424A88B" wp14:textId="2F156575">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76AAD088" wp14:textId="555F0759">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At the state and local levels, initiatives such as California’s Farm to School Program and New York City’s Good Food Purchasing Program promote sustainable sourcing, local farming, and equitable food systems (California Department of Food and Agriculture, 2022; NYC Mayor’s Office, 2021). Non-profit organisations and community food banks also play a crucial role in ensuring access to nutritious food, especially during crises such as the COVID-19 pandemic.</w:t>
      </w:r>
    </w:p>
    <w:p xmlns:wp14="http://schemas.microsoft.com/office/word/2010/wordml" w:rsidP="000B9A6F" wp14:paraId="1DDCEEAA" wp14:textId="41691271">
      <w:pPr>
        <w:pStyle w:val="Normal"/>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5B5E561B" wp14:textId="00669775">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Theoretical Frameworks</w:t>
      </w:r>
    </w:p>
    <w:p xmlns:wp14="http://schemas.microsoft.com/office/word/2010/wordml" w:rsidP="000B9A6F" wp14:paraId="4AB913C0" wp14:textId="0A451C82">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0EAE9E55" wp14:textId="2DE9852D">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The Food Systems Approach offers a useful framework for understanding SDG 2, emphasising the interconnections between production, distribution, consumption, and environmental sustainability (FAO, 2021). It recognises that achieving Zero Hunger requires not only food availability but also equitable access and nutritional adequacy.</w:t>
      </w:r>
    </w:p>
    <w:p xmlns:wp14="http://schemas.microsoft.com/office/word/2010/wordml" w:rsidP="000B9A6F" wp14:paraId="7DB74BE5" wp14:textId="4CCDD039">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0C3EA5F1" wp14:textId="0BEF775D">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Additionally, Maslow’s Hierarchy of Needs can be applied, as food is a fundamental physiological requirement that underpins health and social stability (Maslow, 1943). Addressing food insecurity allows individuals to focus on higher-level needs such as education, employment, and social participation. The Social Determinants of Health (SDH) framework also applies here, linking food access and nutrition to income, education, and housing (Marmot, 2019).</w:t>
      </w:r>
    </w:p>
    <w:p xmlns:wp14="http://schemas.microsoft.com/office/word/2010/wordml" w:rsidP="000B9A6F" wp14:paraId="6D6A5EFB" wp14:textId="1868FAFE">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76D9F60A" wp14:textId="23C6DC3D">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Both the UK and USA increasingly incorporate these frameworks into national food and health policies, recognising that hunger and malnutrition are not solely agricultural problems but also social and economic ones.</w:t>
      </w:r>
    </w:p>
    <w:p xmlns:wp14="http://schemas.microsoft.com/office/word/2010/wordml" w:rsidP="000B9A6F" wp14:paraId="7D4C6D3B" wp14:textId="1EB811DD">
      <w:pPr>
        <w:pStyle w:val="Normal"/>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1FFF9F8F" wp14:textId="01CCA536">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Evaluation and Recommendations</w:t>
      </w:r>
    </w:p>
    <w:p xmlns:wp14="http://schemas.microsoft.com/office/word/2010/wordml" w:rsidP="000B9A6F" wp14:paraId="4782B5D8" wp14:textId="152676A7">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77EFF8B1" wp14:textId="7C10797F">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Both the UK and USA have made progress toward SDG 2 but continue to face structural and policy challenges.</w:t>
      </w:r>
    </w:p>
    <w:p xmlns:wp14="http://schemas.microsoft.com/office/word/2010/wordml" w:rsidP="000B9A6F" wp14:paraId="539B89CF" wp14:textId="42FA5895">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      •     In the UK, stronger welfare systems, affordable healthy food policies, and national coordination are needed to reduce dependence on food banks and ensure sustainable agricultural practices.</w:t>
      </w:r>
    </w:p>
    <w:p xmlns:wp14="http://schemas.microsoft.com/office/word/2010/wordml" w:rsidP="000B9A6F" wp14:paraId="2C1E3905" wp14:textId="4BFDD462">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      •     In the USA, expanding nutrition assistance, reforming agricultural subsidies to promote healthy foods, and addressing racial and geographic inequities remain essential priorities.</w:t>
      </w:r>
    </w:p>
    <w:p xmlns:wp14="http://schemas.microsoft.com/office/word/2010/wordml" w:rsidP="000B9A6F" wp14:paraId="58609767" wp14:textId="10C28904">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3F6AF1E9" wp14:textId="2F2D9009">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Globally, addressing hunger requires climate-resilient agriculture, fair trade systems, and a reduction in food waste. Strengthening partnerships between governments, private sectors, and civil society will be crucial for achieving SDG 2 by 2030. Integrating SDG 2 with SDG 3 policies can produce co-benefits, as improved nutrition directly supports better health outcomes.</w:t>
      </w:r>
    </w:p>
    <w:p xmlns:wp14="http://schemas.microsoft.com/office/word/2010/wordml" w:rsidP="000B9A6F" wp14:paraId="38145229" wp14:textId="23F91C6A">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7ED1329B" wp14:textId="576597BC">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Ultimately, achieving Zero Hunger in high-income nations like the UK and USA requires shifting from short-term food aid to long-term structural change—ensuring that everyone, regardless of income, has access to nutritious, affordable, and sustainable food.</w:t>
      </w:r>
    </w:p>
    <w:p xmlns:wp14="http://schemas.microsoft.com/office/word/2010/wordml" w:rsidP="000B9A6F" wp14:paraId="7A8E46B4" wp14:textId="6B054C8E">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64F3D038" wp14:textId="5671BC03">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Conclusion</w:t>
      </w:r>
    </w:p>
    <w:p xmlns:wp14="http://schemas.microsoft.com/office/word/2010/wordml" w:rsidP="000B9A6F" wp14:paraId="46210DA4" wp14:textId="73A2F230">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4D7B716B" wp14:textId="25C51B09">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The analysis of SDG 3 (Good Health and Well-Being) and SDG 2 (Zero Hunger) demonstrates their strong interdependence and central role in achieving the broader 2030 Sustainable Development Agenda. Both goals are essential to ensuring equitable and sustainable human development, as good nutrition underpins health outcomes, and robust healthcare systems support nutritional well-being.</w:t>
      </w:r>
    </w:p>
    <w:p xmlns:wp14="http://schemas.microsoft.com/office/word/2010/wordml" w:rsidP="000B9A6F" wp14:paraId="6172A7BB" wp14:textId="3C6A1BF2">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5F0706AC" wp14:textId="55747BE5">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Globally, initiatives led by the United Nations, WHO, and FAO have created frameworks for progress; however, persistent inequalities, conflict, and climate change continue to threaten these goals. In the UK, universal healthcare through the NHS supports SDG 3, while food policies such as the National Food Strategy contribute to SDG 2. Yet, socioeconomic disparities and food insecurity remain barriers. In the USA, significant progress has been made through programmes like the Affordable Care Act and SNAP, but healthcare costs, inequality, and inconsistent access to healthy foods hinder progress.</w:t>
      </w:r>
    </w:p>
    <w:p xmlns:wp14="http://schemas.microsoft.com/office/word/2010/wordml" w:rsidP="000B9A6F" wp14:paraId="7FBCDFEA" wp14:textId="4F438BCB">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3CF23EE2" wp14:textId="359D37B8">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Both nations demonstrate strong local engagement, with community-based initiatives playing key roles in addressing social determinants of health and hunger. To achieve the 2030 targets, sustained investment, policy integration, and cross-sector collaboration are crucial. Aligning SDG 2 and SDG 3 within holistic national strategies can generate co-benefits, promoting health, sustainability, and resilience across societies.</w:t>
      </w:r>
    </w:p>
    <w:p xmlns:wp14="http://schemas.microsoft.com/office/word/2010/wordml" w:rsidP="000B9A6F" wp14:paraId="063AF3AE" wp14:textId="20A76826">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726CA6BE" wp14:textId="2CEAB4B5">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19FCC703" wp14:textId="51B1E3F7">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49C28D00" wp14:textId="746C0EFC">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78CDC2E3" wp14:textId="6F1BDF53">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31552978" wp14:textId="2745F2DF">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17EF4C04" wp14:textId="4E587619">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19D85CFA" wp14:textId="173DA04F">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3246F8F3" wp14:textId="10644397">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3DE6BC87" wp14:textId="4126B86D">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1B191AB1" wp14:textId="0D4CD1E4">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5D14ABDF" wp14:textId="0BF96E6E">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106DFE33" wp14:textId="70DC3886">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00B9A6F" wp14:paraId="552EB615" wp14:textId="60BA0777">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00B9A6F" w:rsidR="54A4FC1A">
        <w:rPr>
          <w:rFonts w:ascii="Arial" w:hAnsi="Arial" w:eastAsia="Arial" w:cs="Arial"/>
          <w:b w:val="1"/>
          <w:bCs w:val="1"/>
          <w:i w:val="0"/>
          <w:iCs w:val="0"/>
          <w:caps w:val="0"/>
          <w:smallCaps w:val="0"/>
          <w:noProof w:val="0"/>
          <w:color w:val="000000" w:themeColor="text1" w:themeTint="FF" w:themeShade="FF"/>
          <w:sz w:val="28"/>
          <w:szCs w:val="28"/>
          <w:lang w:val="en-GB"/>
        </w:rPr>
        <w:t>References</w:t>
      </w:r>
    </w:p>
    <w:p xmlns:wp14="http://schemas.microsoft.com/office/word/2010/wordml" w:rsidP="000B9A6F" wp14:paraId="5DDFA8F3" wp14:textId="05A3868A">
      <w:pPr>
        <w:shd w:val="clear" w:color="auto" w:fill="FFFFFF" w:themeFill="background1"/>
        <w:spacing w:before="0" w:beforeAutospacing="off" w:after="0" w:afterAutospacing="off" w:line="360" w:lineRule="auto"/>
        <w:rPr>
          <w:rFonts w:ascii="Arial" w:hAnsi="Arial" w:eastAsia="Arial" w:cs="Arial"/>
          <w:sz w:val="24"/>
          <w:szCs w:val="24"/>
        </w:rPr>
      </w:pPr>
    </w:p>
    <w:p xmlns:wp14="http://schemas.microsoft.com/office/word/2010/wordml" w:rsidP="000B9A6F" wp14:paraId="02DA4381" wp14:textId="36FA84A5">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California Department of Food and Agriculture (2022)</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xml:space="preserve"> Farm to School Program.</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f44a71e034264e67">
        <w:r w:rsidRPr="000B9A6F" w:rsidR="54A4FC1A">
          <w:rPr>
            <w:rStyle w:val="Hyperlink"/>
            <w:rFonts w:ascii="Arial" w:hAnsi="Arial" w:eastAsia="Arial" w:cs="Arial"/>
            <w:b w:val="0"/>
            <w:bCs w:val="0"/>
            <w:i w:val="0"/>
            <w:iCs w:val="0"/>
            <w:caps w:val="0"/>
            <w:smallCaps w:val="0"/>
            <w:noProof w:val="0"/>
            <w:sz w:val="24"/>
            <w:szCs w:val="24"/>
            <w:lang w:val="en-GB"/>
          </w:rPr>
          <w:t>https://www.cdfa.ca.gov</w:t>
        </w:r>
      </w:hyperlink>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w:t>
      </w:r>
      <w:r w:rsidRPr="000B9A6F" w:rsidR="5D24F4B4">
        <w:rPr>
          <w:rFonts w:ascii="Arial" w:hAnsi="Arial" w:eastAsia="Arial" w:cs="Arial"/>
          <w:b w:val="0"/>
          <w:bCs w:val="0"/>
          <w:i w:val="0"/>
          <w:iCs w:val="0"/>
          <w:caps w:val="0"/>
          <w:smallCaps w:val="0"/>
          <w:noProof w:val="0"/>
          <w:color w:val="000000" w:themeColor="text1" w:themeTint="FF" w:themeShade="FF"/>
          <w:sz w:val="24"/>
          <w:szCs w:val="24"/>
          <w:lang w:val="en-GB"/>
        </w:rPr>
        <w:t>25</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00B9A6F" w:rsidR="18937651">
        <w:rPr>
          <w:rFonts w:ascii="Arial" w:hAnsi="Arial" w:eastAsia="Arial" w:cs="Arial"/>
          <w:b w:val="0"/>
          <w:bCs w:val="0"/>
          <w:i w:val="0"/>
          <w:iCs w:val="0"/>
          <w:caps w:val="0"/>
          <w:smallCaps w:val="0"/>
          <w:noProof w:val="0"/>
          <w:color w:val="000000" w:themeColor="text1" w:themeTint="FF" w:themeShade="FF"/>
          <w:sz w:val="24"/>
          <w:szCs w:val="24"/>
          <w:lang w:val="en-GB"/>
        </w:rPr>
        <w:t>October</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000B9A6F" wp14:paraId="13DBE2C6" wp14:textId="770902C7">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Centers</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for Disease Control and Prevention (CDC) (2022)</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xml:space="preserve"> Nutrition, Physical Activity, and Obesity: Data, Trends, and Maps</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Atlanta: CDC.</w:t>
      </w:r>
    </w:p>
    <w:p xmlns:wp14="http://schemas.microsoft.com/office/word/2010/wordml" w:rsidP="000B9A6F" wp14:paraId="25A33069" wp14:textId="33A59927">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for Education (2022)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School Food Standards. London</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UK Government</w:t>
      </w:r>
      <w:r w:rsidRPr="000B9A6F" w:rsidR="16F4920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000B9A6F" wp14:paraId="74A7A6D4" wp14:textId="1B23EF0F">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Department of Health and Social Care (2022)</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xml:space="preserve"> NHS Mental Health Implementation Plan 2019–2024</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London: DHSC</w:t>
      </w:r>
      <w:r w:rsidRPr="000B9A6F" w:rsidR="1337271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000B9A6F" wp14:paraId="779640C7" wp14:textId="73707554">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FAO (2021)</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xml:space="preserve"> The State of Food Security and Nutrition in the World</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Rome: FAO.</w:t>
      </w:r>
    </w:p>
    <w:p xmlns:wp14="http://schemas.microsoft.com/office/word/2010/wordml" w:rsidP="000B9A6F" wp14:paraId="642D67E7" wp14:textId="7AF78B5B">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FAO (2022)</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xml:space="preserve"> Sustainable Food Systems: Policy Support and Governance</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Rome: FAO.</w:t>
      </w:r>
    </w:p>
    <w:p xmlns:wp14="http://schemas.microsoft.com/office/word/2010/wordml" w:rsidP="000B9A6F" wp14:paraId="06B1F2AD" wp14:textId="478C32C2">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FAO (2023)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The State of Food Security and Nutrition in the World 2023</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Rome: FAO.</w:t>
      </w:r>
    </w:p>
    <w:p xmlns:wp14="http://schemas.microsoft.com/office/word/2010/wordml" w:rsidP="000B9A6F" wp14:paraId="02D0D9F1" wp14:textId="3BCF1EED">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Feeding America (2023)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Map the Meal Gap Report.</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b51a66594c9c47f4">
        <w:r w:rsidRPr="000B9A6F" w:rsidR="54A4FC1A">
          <w:rPr>
            <w:rStyle w:val="Hyperlink"/>
            <w:rFonts w:ascii="Arial" w:hAnsi="Arial" w:eastAsia="Arial" w:cs="Arial"/>
            <w:b w:val="0"/>
            <w:bCs w:val="0"/>
            <w:i w:val="0"/>
            <w:iCs w:val="0"/>
            <w:caps w:val="0"/>
            <w:smallCaps w:val="0"/>
            <w:noProof w:val="0"/>
            <w:sz w:val="24"/>
            <w:szCs w:val="24"/>
            <w:lang w:val="en-GB"/>
          </w:rPr>
          <w:t>https://www.feedingamerica.org</w:t>
        </w:r>
      </w:hyperlink>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w:t>
      </w:r>
      <w:r w:rsidRPr="000B9A6F" w:rsidR="054A41A4">
        <w:rPr>
          <w:rFonts w:ascii="Arial" w:hAnsi="Arial" w:eastAsia="Arial" w:cs="Arial"/>
          <w:b w:val="0"/>
          <w:bCs w:val="0"/>
          <w:i w:val="0"/>
          <w:iCs w:val="0"/>
          <w:caps w:val="0"/>
          <w:smallCaps w:val="0"/>
          <w:noProof w:val="0"/>
          <w:color w:val="000000" w:themeColor="text1" w:themeTint="FF" w:themeShade="FF"/>
          <w:sz w:val="24"/>
          <w:szCs w:val="24"/>
          <w:lang w:val="en-GB"/>
        </w:rPr>
        <w:t>5</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00B9A6F" w:rsidR="4832F505">
        <w:rPr>
          <w:rFonts w:ascii="Arial" w:hAnsi="Arial" w:eastAsia="Arial" w:cs="Arial"/>
          <w:b w:val="0"/>
          <w:bCs w:val="0"/>
          <w:i w:val="0"/>
          <w:iCs w:val="0"/>
          <w:caps w:val="0"/>
          <w:smallCaps w:val="0"/>
          <w:noProof w:val="0"/>
          <w:color w:val="000000" w:themeColor="text1" w:themeTint="FF" w:themeShade="FF"/>
          <w:sz w:val="24"/>
          <w:szCs w:val="24"/>
          <w:lang w:val="en-GB"/>
        </w:rPr>
        <w:t>October</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000B9A6F" wp14:paraId="71FF5073" wp14:textId="2DE243AD">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Food Foundation (2023)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Food Insecurity Tracker</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London: The Food Foundation.</w:t>
      </w:r>
    </w:p>
    <w:p xmlns:wp14="http://schemas.microsoft.com/office/word/2010/wordml" w:rsidP="000B9A6F" wp14:paraId="267052FF" wp14:textId="6A490C00">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Gavi (2023)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Global Vaccine Impact Report</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Geneva: Gavi.</w:t>
      </w:r>
    </w:p>
    <w:p xmlns:wp14="http://schemas.microsoft.com/office/word/2010/wordml" w:rsidP="000B9A6F" wp14:paraId="17864F58" wp14:textId="4A110ABE">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Global Fund (2022)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Results Report 2022</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Geneva: The Global Fund.</w:t>
      </w:r>
    </w:p>
    <w:p xmlns:wp14="http://schemas.microsoft.com/office/word/2010/wordml" w:rsidP="000B9A6F" wp14:paraId="214976DC" wp14:textId="70BAA60E">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HHS and USDA (2020)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Dietary Guidelines for Americans, 2020–2025</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Washington DC: U.S. Government Printing Office.</w:t>
      </w:r>
    </w:p>
    <w:p xmlns:wp14="http://schemas.microsoft.com/office/word/2010/wordml" w:rsidP="000B9A6F" wp14:paraId="4B89A4C9" wp14:textId="2AC6ADF0">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King’s Fund (2023)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The NHS Workforce: Challenges and Opportunities</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London: The King’s Fund.</w:t>
      </w:r>
    </w:p>
    <w:p xmlns:wp14="http://schemas.microsoft.com/office/word/2010/wordml" w:rsidP="000B9A6F" wp14:paraId="3C6439CE" wp14:textId="584A85B7">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Joseph Rowntree Foundation (2023)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UK Poverty Report 2023</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York: JRF.</w:t>
      </w:r>
    </w:p>
    <w:p xmlns:wp14="http://schemas.microsoft.com/office/word/2010/wordml" w:rsidP="000B9A6F" wp14:paraId="2077A846" wp14:textId="274F4FE3">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Manchester City Council (2021)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Health and Wellbeing Strategy 2021–2026</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Manchester: MCC.</w:t>
      </w:r>
    </w:p>
    <w:p xmlns:wp14="http://schemas.microsoft.com/office/word/2010/wordml" w:rsidP="000B9A6F" wp14:paraId="459E6949" wp14:textId="540BDE37">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Marmot, M. (2019)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The Health Gap: The Challenge of an Unequal World</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London: Bloomsbury.</w:t>
      </w:r>
    </w:p>
    <w:p xmlns:wp14="http://schemas.microsoft.com/office/word/2010/wordml" w:rsidP="000B9A6F" wp14:paraId="14AC4984" wp14:textId="0A6D56DA">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Maslow, A.H. (1943) ‘A theory of human motivation’,</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xml:space="preserve"> Psychological Review</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50(4), pp. 370–396.</w:t>
      </w:r>
    </w:p>
    <w:p xmlns:wp14="http://schemas.microsoft.com/office/word/2010/wordml" w:rsidP="000B9A6F" wp14:paraId="4C10AAF5" wp14:textId="6AF885EE">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NHS England (2019)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The NHS Long Term Plan</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London: NHS England.</w:t>
      </w:r>
    </w:p>
    <w:p xmlns:wp14="http://schemas.microsoft.com/office/word/2010/wordml" w:rsidP="000B9A6F" wp14:paraId="65A82EA3" wp14:textId="40FCF1CA">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NHS (2022)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Healthy Start Scheme</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London: NHS.</w:t>
      </w:r>
    </w:p>
    <w:p xmlns:wp14="http://schemas.microsoft.com/office/word/2010/wordml" w:rsidP="000B9A6F" wp14:paraId="06FE6865" wp14:textId="4065ADCE">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New York City Government (2021)</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ThriveNYC</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Mental Health for All</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NYC: Office of the Mayor.</w:t>
      </w:r>
    </w:p>
    <w:p xmlns:wp14="http://schemas.microsoft.com/office/word/2010/wordml" w:rsidP="000B9A6F" wp14:paraId="593DCC8B" wp14:textId="1E3DD1F8">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NYC Mayor’s Office (2021)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Good Food Purchasing Program</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NYC: Government of New York.</w:t>
      </w:r>
    </w:p>
    <w:p xmlns:wp14="http://schemas.microsoft.com/office/word/2010/wordml" w:rsidP="000B9A6F" wp14:paraId="172DC456" wp14:textId="2C2688E1">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OECD (2022)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xml:space="preserve">Health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at a Glance</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xml:space="preserve"> 2022.</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Paris: OECD Publishing.</w:t>
      </w:r>
    </w:p>
    <w:p xmlns:wp14="http://schemas.microsoft.com/office/word/2010/wordml" w:rsidP="000B9A6F" wp14:paraId="44C32E04" wp14:textId="37B63057">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Office of Disease Prevention and Health Promotion (ODPHP) (2020)</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xml:space="preserve"> Healthy People 2030</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Washington DC: HHS.</w:t>
      </w:r>
    </w:p>
    <w:p xmlns:wp14="http://schemas.microsoft.com/office/word/2010/wordml" w:rsidP="000B9A6F" wp14:paraId="2F85791E" wp14:textId="20BCBAE4">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Public Health England (2021)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Health Profile for England 2021</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London: PHE.</w:t>
      </w:r>
    </w:p>
    <w:p xmlns:wp14="http://schemas.microsoft.com/office/word/2010/wordml" w:rsidP="000B9A6F" wp14:paraId="7D9A374B" wp14:textId="233463D8">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SAMHSA (2022)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National Strategy for Suicide Prevention 2021–2025.</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Washington DC: SAMHSA.</w:t>
      </w:r>
    </w:p>
    <w:p xmlns:wp14="http://schemas.microsoft.com/office/word/2010/wordml" w:rsidP="000B9A6F" wp14:paraId="3E088C73" wp14:textId="66C770A6">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Trussell Trust (2023)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End Hunger in the UK: Annual Report 2023</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London: Trussell Trust.</w:t>
      </w:r>
    </w:p>
    <w:p xmlns:wp14="http://schemas.microsoft.com/office/word/2010/wordml" w:rsidP="000B9A6F" wp14:paraId="6225AC12" wp14:textId="49AE23A0">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UK Government (2021)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National Food Strategy: Independent Review</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London: DEFRA.</w:t>
      </w:r>
    </w:p>
    <w:p xmlns:wp14="http://schemas.microsoft.com/office/word/2010/wordml" w:rsidP="000B9A6F" wp14:paraId="6C6ABABE" wp14:textId="5E2AA38E">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United Nations (2015)</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xml:space="preserve"> Transforming our World: The 2030 Agenda for Sustainable Development</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New York: United Nations.</w:t>
      </w:r>
    </w:p>
    <w:p xmlns:wp14="http://schemas.microsoft.com/office/word/2010/wordml" w:rsidP="000B9A6F" wp14:paraId="37199E2B" wp14:textId="633C412C">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United Nations (2023)</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 xml:space="preserve"> Sustainable Development Goals Progress Report 2023</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 New York: UN </w:t>
      </w:r>
    </w:p>
    <w:p xmlns:wp14="http://schemas.microsoft.com/office/word/2010/wordml" w:rsidP="000B9A6F" wp14:paraId="5E5787A5" wp14:textId="3A7DF8AB">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xml:space="preserve">World Health Organization (WHO) (2023) </w:t>
      </w:r>
      <w:r w:rsidRPr="000B9A6F" w:rsidR="54A4FC1A">
        <w:rPr>
          <w:rFonts w:ascii="Arial" w:hAnsi="Arial" w:eastAsia="Arial" w:cs="Arial"/>
          <w:b w:val="0"/>
          <w:bCs w:val="0"/>
          <w:i w:val="1"/>
          <w:iCs w:val="1"/>
          <w:caps w:val="0"/>
          <w:smallCaps w:val="0"/>
          <w:noProof w:val="0"/>
          <w:color w:val="000000" w:themeColor="text1" w:themeTint="FF" w:themeShade="FF"/>
          <w:sz w:val="24"/>
          <w:szCs w:val="24"/>
          <w:lang w:val="en-GB"/>
        </w:rPr>
        <w:t>World Health Statistics 2023</w:t>
      </w:r>
      <w:r w:rsidRPr="000B9A6F" w:rsidR="54A4FC1A">
        <w:rPr>
          <w:rFonts w:ascii="Arial" w:hAnsi="Arial" w:eastAsia="Arial" w:cs="Arial"/>
          <w:b w:val="0"/>
          <w:bCs w:val="0"/>
          <w:i w:val="0"/>
          <w:iCs w:val="0"/>
          <w:caps w:val="0"/>
          <w:smallCaps w:val="0"/>
          <w:noProof w:val="0"/>
          <w:color w:val="000000" w:themeColor="text1" w:themeTint="FF" w:themeShade="FF"/>
          <w:sz w:val="24"/>
          <w:szCs w:val="24"/>
          <w:lang w:val="en-GB"/>
        </w:rPr>
        <w:t>. Geneva: WHO</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287843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ff846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E06DF3"/>
    <w:rsid w:val="000B9A6F"/>
    <w:rsid w:val="02504984"/>
    <w:rsid w:val="0282636B"/>
    <w:rsid w:val="03E8AAD8"/>
    <w:rsid w:val="054A41A4"/>
    <w:rsid w:val="05AE4EA8"/>
    <w:rsid w:val="05D4EA57"/>
    <w:rsid w:val="05DAB265"/>
    <w:rsid w:val="06BC9FB9"/>
    <w:rsid w:val="06CA480A"/>
    <w:rsid w:val="0813B46F"/>
    <w:rsid w:val="0964A64F"/>
    <w:rsid w:val="0A0C80AE"/>
    <w:rsid w:val="0E51327D"/>
    <w:rsid w:val="0EE41458"/>
    <w:rsid w:val="103BE80F"/>
    <w:rsid w:val="1071AC46"/>
    <w:rsid w:val="11DE15B5"/>
    <w:rsid w:val="13372711"/>
    <w:rsid w:val="153BE125"/>
    <w:rsid w:val="1592E752"/>
    <w:rsid w:val="16F49205"/>
    <w:rsid w:val="1774A8C0"/>
    <w:rsid w:val="17B877E9"/>
    <w:rsid w:val="17D0E54D"/>
    <w:rsid w:val="17D51C05"/>
    <w:rsid w:val="17E3636C"/>
    <w:rsid w:val="18937651"/>
    <w:rsid w:val="18CAC4E1"/>
    <w:rsid w:val="1986DE0D"/>
    <w:rsid w:val="1B02FA98"/>
    <w:rsid w:val="1B1D80BF"/>
    <w:rsid w:val="1B469C2C"/>
    <w:rsid w:val="1CACE834"/>
    <w:rsid w:val="1ED6A4C2"/>
    <w:rsid w:val="20708D45"/>
    <w:rsid w:val="249AECAA"/>
    <w:rsid w:val="24E06DF3"/>
    <w:rsid w:val="2717D092"/>
    <w:rsid w:val="27ED185B"/>
    <w:rsid w:val="28FDEEC8"/>
    <w:rsid w:val="293F94BF"/>
    <w:rsid w:val="2B699B81"/>
    <w:rsid w:val="2CA0AEB4"/>
    <w:rsid w:val="2EF27FA9"/>
    <w:rsid w:val="30CAF001"/>
    <w:rsid w:val="31EB1718"/>
    <w:rsid w:val="330EF8E2"/>
    <w:rsid w:val="331C7AEC"/>
    <w:rsid w:val="339E4CFD"/>
    <w:rsid w:val="3476D3C6"/>
    <w:rsid w:val="3516F376"/>
    <w:rsid w:val="372C61E6"/>
    <w:rsid w:val="376EE282"/>
    <w:rsid w:val="378633A7"/>
    <w:rsid w:val="37C47040"/>
    <w:rsid w:val="3837E722"/>
    <w:rsid w:val="38481757"/>
    <w:rsid w:val="38F3D17E"/>
    <w:rsid w:val="394EC29F"/>
    <w:rsid w:val="3C17E902"/>
    <w:rsid w:val="3DA037C2"/>
    <w:rsid w:val="3F083A67"/>
    <w:rsid w:val="3FB876AE"/>
    <w:rsid w:val="4007AA3E"/>
    <w:rsid w:val="441B2688"/>
    <w:rsid w:val="44C2F6D0"/>
    <w:rsid w:val="45B46203"/>
    <w:rsid w:val="4608D260"/>
    <w:rsid w:val="4832F505"/>
    <w:rsid w:val="492ABBCC"/>
    <w:rsid w:val="4A7B4671"/>
    <w:rsid w:val="4CD5C372"/>
    <w:rsid w:val="4CDAF4A9"/>
    <w:rsid w:val="4EEE74DA"/>
    <w:rsid w:val="4F3062DC"/>
    <w:rsid w:val="4F99A0E6"/>
    <w:rsid w:val="50A3B6A7"/>
    <w:rsid w:val="512F8799"/>
    <w:rsid w:val="515C860E"/>
    <w:rsid w:val="52A0AF50"/>
    <w:rsid w:val="52FC5E75"/>
    <w:rsid w:val="53C45D1C"/>
    <w:rsid w:val="54A4FC1A"/>
    <w:rsid w:val="551E9134"/>
    <w:rsid w:val="55753C02"/>
    <w:rsid w:val="559E9D28"/>
    <w:rsid w:val="581F4908"/>
    <w:rsid w:val="589AFBD8"/>
    <w:rsid w:val="5935B364"/>
    <w:rsid w:val="5A5F43BD"/>
    <w:rsid w:val="5AC2FABC"/>
    <w:rsid w:val="5CDFA8B5"/>
    <w:rsid w:val="5D24F4B4"/>
    <w:rsid w:val="5E193D67"/>
    <w:rsid w:val="63C11D59"/>
    <w:rsid w:val="64488C56"/>
    <w:rsid w:val="66F7EF5E"/>
    <w:rsid w:val="692C88CF"/>
    <w:rsid w:val="6AEF0240"/>
    <w:rsid w:val="6CEAB71B"/>
    <w:rsid w:val="6D236E63"/>
    <w:rsid w:val="6E937C65"/>
    <w:rsid w:val="6F69F9AB"/>
    <w:rsid w:val="7051F9C9"/>
    <w:rsid w:val="725A6FFB"/>
    <w:rsid w:val="73491D57"/>
    <w:rsid w:val="756293A3"/>
    <w:rsid w:val="7776C32E"/>
    <w:rsid w:val="7A2B9A8E"/>
    <w:rsid w:val="7CFBCF5B"/>
    <w:rsid w:val="7E59B024"/>
    <w:rsid w:val="7FE140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06DF3"/>
  <w15:chartTrackingRefBased/>
  <w15:docId w15:val="{837FB18D-719A-4475-A793-AE35795029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00B9A6F"/>
    <w:rPr>
      <w:color w:val="467886"/>
      <w:u w:val="single"/>
    </w:rPr>
  </w:style>
  <w:style w:type="paragraph" w:styleId="ListParagraph">
    <w:uiPriority w:val="34"/>
    <w:name w:val="List Paragraph"/>
    <w:basedOn w:val="Normal"/>
    <w:qFormat/>
    <w:rsid w:val="000B9A6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dfa.ca.gov" TargetMode="External" Id="Rf44a71e034264e67" /><Relationship Type="http://schemas.openxmlformats.org/officeDocument/2006/relationships/hyperlink" Target="https://www.feedingamerica.org" TargetMode="External" Id="Rb51a66594c9c47f4" /><Relationship Type="http://schemas.openxmlformats.org/officeDocument/2006/relationships/numbering" Target="/word/numbering.xml" Id="R14fa23fab2c344d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Sabina Aslam (2220574)</dc:creator>
  <keywords/>
  <dc:description/>
  <lastModifiedBy>Sabina Aslam (2220574)</lastModifiedBy>
  <revision>2</revision>
  <dcterms:created xsi:type="dcterms:W3CDTF">2025-11-11T17:50:21.7440831Z</dcterms:created>
  <dcterms:modified xsi:type="dcterms:W3CDTF">2025-11-11T18:38:13.9368435Z</dcterms:modified>
</coreProperties>
</file>