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7012E4D">
      <w:pPr>
        <w:pStyle w:val="5"/>
        <w:ind w:left="154"/>
        <w:rPr>
          <w:rFonts w:ascii="Times New Roman"/>
          <w:sz w:val="20"/>
        </w:rPr>
      </w:pPr>
      <w:r>
        <w:rPr>
          <w:rFonts w:ascii="Times New Roman"/>
          <w:sz w:val="20"/>
        </w:rPr>
        <w:drawing>
          <wp:inline distT="0" distB="0" distL="0" distR="0">
            <wp:extent cx="1816100" cy="600075"/>
            <wp:effectExtent l="0" t="0" r="12700" b="9525"/>
            <wp:docPr id="10"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 name="Image 2" descr="Discover University of Wales Trinity Saint David"/>
                    <pic:cNvPicPr/>
                  </pic:nvPicPr>
                  <pic:blipFill>
                    <a:blip r:embed="rId5" cstate="print"/>
                    <a:stretch>
                      <a:fillRect/>
                    </a:stretch>
                  </pic:blipFill>
                  <pic:spPr>
                    <a:xfrm>
                      <a:off x="0" y="0"/>
                      <a:ext cx="1816670" cy="600075"/>
                    </a:xfrm>
                    <a:prstGeom prst="rect">
                      <a:avLst/>
                    </a:prstGeom>
                  </pic:spPr>
                </pic:pic>
              </a:graphicData>
            </a:graphic>
          </wp:inline>
        </w:drawing>
      </w:r>
    </w:p>
    <w:p w14:paraId="035A34F1">
      <w:pPr>
        <w:pStyle w:val="2"/>
        <w:spacing w:before="100"/>
        <w:ind w:right="148"/>
        <w:jc w:val="right"/>
      </w:pPr>
      <w:bookmarkStart w:id="0" w:name="_Toc243508987"/>
      <w:r>
        <w:t>APPENDIX</w:t>
      </w:r>
      <w:r>
        <w:rPr>
          <w:spacing w:val="-9"/>
        </w:rPr>
        <w:t xml:space="preserve"> </w:t>
      </w:r>
      <w:r>
        <w:rPr>
          <w:spacing w:val="-4"/>
        </w:rPr>
        <w:t>GA36d</w:t>
      </w:r>
      <w:bookmarkEnd w:id="0"/>
    </w:p>
    <w:p w14:paraId="36ADA37F">
      <w:pPr>
        <w:pStyle w:val="5"/>
        <w:rPr>
          <w:rFonts w:ascii="Arial"/>
          <w:b/>
          <w:sz w:val="18"/>
        </w:rPr>
      </w:pPr>
    </w:p>
    <w:p w14:paraId="3E65FD7A">
      <w:pPr>
        <w:pStyle w:val="5"/>
        <w:spacing w:before="142"/>
        <w:rPr>
          <w:rFonts w:ascii="Arial"/>
          <w:b/>
          <w:sz w:val="20"/>
        </w:rPr>
      </w:pPr>
      <w:r>
        <w:rPr>
          <w:rFonts w:ascii="Arial"/>
          <w:b/>
          <w:sz w:val="18"/>
        </w:rPr>
        <mc:AlternateContent>
          <mc:Choice Requires="wps">
            <w:drawing>
              <wp:anchor distT="0" distB="0" distL="0" distR="0" simplePos="0" relativeHeight="251660288" behindDoc="1" locked="0" layoutInCell="1" allowOverlap="1">
                <wp:simplePos x="0" y="0"/>
                <wp:positionH relativeFrom="page">
                  <wp:posOffset>1116965</wp:posOffset>
                </wp:positionH>
                <wp:positionV relativeFrom="paragraph">
                  <wp:posOffset>109220</wp:posOffset>
                </wp:positionV>
                <wp:extent cx="5306060" cy="360680"/>
                <wp:effectExtent l="6350" t="6350" r="21590" b="13970"/>
                <wp:wrapTopAndBottom/>
                <wp:docPr id="11" name="Textbox 3"/>
                <wp:cNvGraphicFramePr/>
                <a:graphic xmlns:a="http://schemas.openxmlformats.org/drawingml/2006/main">
                  <a:graphicData uri="http://schemas.microsoft.com/office/word/2010/wordprocessingShape">
                    <wps:wsp>
                      <wps:cNvSpPr txBox="1"/>
                      <wps:spPr>
                        <a:xfrm>
                          <a:off x="0" y="0"/>
                          <a:ext cx="5306060" cy="360680"/>
                        </a:xfrm>
                        <a:prstGeom prst="rect">
                          <a:avLst/>
                        </a:prstGeom>
                        <a:solidFill>
                          <a:srgbClr val="C0C0C0"/>
                        </a:solidFill>
                        <a:ln w="6095">
                          <a:solidFill>
                            <a:srgbClr val="000000"/>
                          </a:solidFill>
                          <a:prstDash val="solid"/>
                        </a:ln>
                      </wps:spPr>
                      <wps:txbx>
                        <w:txbxContent>
                          <w:p w14:paraId="28C1E093">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7</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SSp</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 id="Textbox 3" o:spid="_x0000_s1026" o:spt="202" type="#_x0000_t202" style="position:absolute;left:0pt;margin-left:87.95pt;margin-top:8.6pt;height:28.4pt;width:417.8pt;mso-position-horizontal-relative:page;mso-wrap-distance-bottom:0pt;mso-wrap-distance-top:0pt;z-index:-251656192;mso-width-relative:page;mso-height-relative:page;" fillcolor="#C0C0C0" filled="t" stroked="t" coordsize="21600,21600" o:gfxdata="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">
                <v:fill on="t" focussize="0,0"/>
                <v:stroke weight="0.47992125984252pt" color="#000000" joinstyle="round"/>
                <v:imagedata o:title=""/>
                <o:lock v:ext="edit" aspectratio="f"/>
                <v:textbox inset="0mm,0mm,0mm,0mm">
                  <w:txbxContent>
                    <w:p w14:paraId="28C1E093">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7</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SSp</w:t>
                      </w:r>
                      <w:r>
                        <w:rPr>
                          <w:rFonts w:ascii="Arial"/>
                          <w:b/>
                          <w:color w:val="000000"/>
                          <w:spacing w:val="-2"/>
                          <w:sz w:val="40"/>
                        </w:rPr>
                        <w:t>SPECIFICATION</w:t>
                      </w:r>
                    </w:p>
                  </w:txbxContent>
                </v:textbox>
                <w10:wrap type="topAndBottom"/>
              </v:shape>
            </w:pict>
          </mc:Fallback>
        </mc:AlternateContent>
      </w:r>
    </w:p>
    <w:tbl>
      <w:tblPr>
        <w:tblStyle w:val="4"/>
        <w:tblW w:w="4998" w:type="pct"/>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0" w:type="dxa"/>
          <w:bottom w:w="0" w:type="dxa"/>
          <w:right w:w="0" w:type="dxa"/>
        </w:tblCellMar>
      </w:tblPr>
      <w:tblGrid>
        <w:gridCol w:w="1989"/>
        <w:gridCol w:w="2869"/>
        <w:gridCol w:w="1655"/>
        <w:gridCol w:w="1800"/>
      </w:tblGrid>
      <w:tr w14:paraId="458AC1C9">
        <w:tblPrEx>
          <w:tblCellMar>
            <w:top w:w="0" w:type="dxa"/>
            <w:left w:w="0" w:type="dxa"/>
            <w:bottom w:w="0" w:type="dxa"/>
            <w:right w:w="0" w:type="dxa"/>
          </w:tblCellMar>
        </w:tblPrEx>
        <w:trPr>
          <w:trHeight w:val="745" w:hRule="atLeast"/>
        </w:trPr>
        <w:tc>
          <w:tcPr>
            <w:tcW w:w="1014" w:type="pct"/>
          </w:tcPr>
          <w:p w14:paraId="69BA0FF4">
            <w:pPr>
              <w:pStyle w:val="15"/>
              <w:spacing w:before="120"/>
              <w:ind w:left="107"/>
              <w:rPr>
                <w:rFonts w:ascii="Arial"/>
                <w:b/>
                <w:sz w:val="22"/>
              </w:rPr>
            </w:pPr>
            <w:r>
              <w:rPr>
                <w:rFonts w:ascii="Arial"/>
                <w:b/>
                <w:sz w:val="22"/>
              </w:rPr>
              <w:t>Student</w:t>
            </w:r>
            <w:r>
              <w:rPr>
                <w:rFonts w:ascii="Arial"/>
                <w:b/>
                <w:spacing w:val="-3"/>
                <w:sz w:val="22"/>
              </w:rPr>
              <w:t xml:space="preserve"> </w:t>
            </w:r>
            <w:r>
              <w:rPr>
                <w:rFonts w:ascii="Arial"/>
                <w:b/>
                <w:spacing w:val="-2"/>
                <w:sz w:val="22"/>
              </w:rPr>
              <w:t>name:</w:t>
            </w:r>
          </w:p>
        </w:tc>
        <w:tc>
          <w:tcPr>
            <w:tcW w:w="1786" w:type="pct"/>
          </w:tcPr>
          <w:p w14:paraId="2202ED4B">
            <w:pPr>
              <w:pStyle w:val="15"/>
              <w:spacing w:line="600" w:lineRule="auto"/>
              <w:jc w:val="left"/>
              <w:rPr>
                <w:rFonts w:hint="default" w:ascii="Times New Roman"/>
                <w:b/>
                <w:bCs/>
                <w:sz w:val="22"/>
                <w:lang w:val="en-US"/>
              </w:rPr>
            </w:pPr>
            <w:r>
              <w:rPr>
                <w:rFonts w:hint="default" w:ascii="Times New Roman"/>
                <w:b/>
                <w:bCs/>
                <w:sz w:val="22"/>
                <w:lang w:val="en-US"/>
              </w:rPr>
              <w:t>Afrinbanu Imtiyaz Parmar</w:t>
            </w:r>
            <w:bookmarkStart w:id="13" w:name="_GoBack"/>
            <w:bookmarkEnd w:id="13"/>
          </w:p>
        </w:tc>
        <w:tc>
          <w:tcPr>
            <w:tcW w:w="1056" w:type="pct"/>
            <w:shd w:val="clear" w:color="auto" w:fill="D9D9D9"/>
          </w:tcPr>
          <w:p w14:paraId="65560E11">
            <w:pPr>
              <w:pStyle w:val="15"/>
              <w:spacing w:before="120"/>
              <w:ind w:left="107" w:right="201"/>
              <w:rPr>
                <w:rFonts w:ascii="Arial"/>
                <w:b/>
                <w:sz w:val="22"/>
              </w:rPr>
            </w:pPr>
            <w:r>
              <w:rPr>
                <w:rFonts w:ascii="Arial"/>
                <w:b/>
                <w:sz w:val="22"/>
              </w:rPr>
              <w:t>Student</w:t>
            </w:r>
            <w:r>
              <w:rPr>
                <w:rFonts w:ascii="Arial"/>
                <w:b/>
                <w:spacing w:val="-16"/>
                <w:sz w:val="22"/>
              </w:rPr>
              <w:t xml:space="preserve"> </w:t>
            </w:r>
            <w:r>
              <w:rPr>
                <w:rFonts w:ascii="Arial"/>
                <w:b/>
                <w:sz w:val="22"/>
              </w:rPr>
              <w:t xml:space="preserve">ID </w:t>
            </w:r>
            <w:r>
              <w:rPr>
                <w:rFonts w:ascii="Arial"/>
                <w:b/>
                <w:spacing w:val="-2"/>
                <w:sz w:val="22"/>
              </w:rPr>
              <w:t>number:</w:t>
            </w:r>
          </w:p>
        </w:tc>
        <w:tc>
          <w:tcPr>
            <w:tcW w:w="1142" w:type="pct"/>
          </w:tcPr>
          <w:p w14:paraId="31668861">
            <w:pPr>
              <w:pStyle w:val="15"/>
              <w:rPr>
                <w:rFonts w:ascii="Times New Roman"/>
                <w:sz w:val="22"/>
              </w:rPr>
            </w:pPr>
            <w:r>
              <w:rPr>
                <w:rFonts w:hint="default" w:ascii="Times New Roman"/>
                <w:b/>
                <w:bCs/>
                <w:sz w:val="22"/>
              </w:rPr>
              <w:t>2518571</w:t>
            </w:r>
          </w:p>
        </w:tc>
      </w:tr>
      <w:tr w14:paraId="590FF9E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4" w:hRule="atLeast"/>
        </w:trPr>
        <w:tc>
          <w:tcPr>
            <w:tcW w:w="1014" w:type="pct"/>
          </w:tcPr>
          <w:p w14:paraId="77391FF9">
            <w:pPr>
              <w:pStyle w:val="15"/>
              <w:spacing w:before="120"/>
              <w:ind w:left="107"/>
              <w:rPr>
                <w:rFonts w:ascii="Arial"/>
                <w:b/>
                <w:sz w:val="22"/>
              </w:rPr>
            </w:pPr>
            <w:r>
              <w:rPr>
                <w:rFonts w:ascii="Arial"/>
                <w:b/>
                <w:spacing w:val="-2"/>
                <w:sz w:val="22"/>
              </w:rPr>
              <w:t>Programme:</w:t>
            </w:r>
          </w:p>
        </w:tc>
        <w:tc>
          <w:tcPr>
            <w:tcW w:w="3985" w:type="pct"/>
            <w:gridSpan w:val="3"/>
          </w:tcPr>
          <w:p w14:paraId="658C7922">
            <w:pPr>
              <w:pStyle w:val="15"/>
              <w:spacing w:before="120"/>
              <w:ind w:left="107"/>
              <w:rPr>
                <w:rFonts w:ascii="Arial"/>
                <w:b/>
                <w:sz w:val="22"/>
              </w:rPr>
            </w:pPr>
            <w:r>
              <w:rPr>
                <w:rFonts w:ascii="Arial"/>
                <w:b/>
                <w:sz w:val="22"/>
              </w:rPr>
              <w:t>Master</w:t>
            </w:r>
            <w:r>
              <w:rPr>
                <w:rFonts w:ascii="Arial"/>
                <w:b/>
                <w:spacing w:val="-6"/>
                <w:sz w:val="22"/>
              </w:rPr>
              <w:t xml:space="preserve"> </w:t>
            </w:r>
            <w:r>
              <w:rPr>
                <w:rFonts w:ascii="Arial"/>
                <w:b/>
                <w:sz w:val="22"/>
              </w:rPr>
              <w:t>of</w:t>
            </w:r>
            <w:r>
              <w:rPr>
                <w:rFonts w:ascii="Arial"/>
                <w:b/>
                <w:spacing w:val="-4"/>
                <w:sz w:val="22"/>
              </w:rPr>
              <w:t xml:space="preserve"> </w:t>
            </w:r>
            <w:r>
              <w:rPr>
                <w:rFonts w:ascii="Arial"/>
                <w:b/>
                <w:sz w:val="22"/>
              </w:rPr>
              <w:t>Business</w:t>
            </w:r>
            <w:r>
              <w:rPr>
                <w:rFonts w:ascii="Arial"/>
                <w:b/>
                <w:spacing w:val="-8"/>
                <w:sz w:val="22"/>
              </w:rPr>
              <w:t xml:space="preserve"> </w:t>
            </w:r>
            <w:r>
              <w:rPr>
                <w:rFonts w:ascii="Arial"/>
                <w:b/>
                <w:spacing w:val="-2"/>
                <w:sz w:val="22"/>
              </w:rPr>
              <w:t>Administration</w:t>
            </w:r>
          </w:p>
        </w:tc>
      </w:tr>
      <w:tr w14:paraId="12045A4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492" w:hRule="atLeast"/>
        </w:trPr>
        <w:tc>
          <w:tcPr>
            <w:tcW w:w="1014" w:type="pct"/>
          </w:tcPr>
          <w:p w14:paraId="54F3B424">
            <w:pPr>
              <w:pStyle w:val="15"/>
              <w:spacing w:before="120"/>
              <w:ind w:left="107"/>
              <w:rPr>
                <w:rFonts w:ascii="Arial"/>
                <w:b/>
                <w:sz w:val="22"/>
              </w:rPr>
            </w:pPr>
            <w:r>
              <w:rPr>
                <w:rFonts w:ascii="Arial"/>
                <w:b/>
                <w:spacing w:val="-2"/>
                <w:sz w:val="22"/>
              </w:rPr>
              <w:t>Module:</w:t>
            </w:r>
          </w:p>
        </w:tc>
        <w:tc>
          <w:tcPr>
            <w:tcW w:w="3985" w:type="pct"/>
            <w:gridSpan w:val="3"/>
          </w:tcPr>
          <w:p w14:paraId="2452A804">
            <w:pPr>
              <w:pStyle w:val="15"/>
              <w:spacing w:before="120"/>
              <w:ind w:left="107"/>
              <w:rPr>
                <w:rFonts w:ascii="Arial"/>
                <w:b/>
                <w:sz w:val="22"/>
              </w:rPr>
            </w:pPr>
            <w:r>
              <w:rPr>
                <w:rFonts w:ascii="Arial"/>
                <w:b/>
                <w:sz w:val="22"/>
              </w:rPr>
              <w:t>Financial</w:t>
            </w:r>
            <w:r>
              <w:rPr>
                <w:rFonts w:ascii="Arial"/>
                <w:b/>
                <w:spacing w:val="-7"/>
                <w:sz w:val="22"/>
              </w:rPr>
              <w:t xml:space="preserve"> </w:t>
            </w:r>
            <w:r>
              <w:rPr>
                <w:rFonts w:ascii="Arial"/>
                <w:b/>
                <w:spacing w:val="-2"/>
                <w:sz w:val="22"/>
              </w:rPr>
              <w:t>Management</w:t>
            </w:r>
          </w:p>
        </w:tc>
      </w:tr>
      <w:tr w14:paraId="75DDEBB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760" w:hRule="atLeast"/>
        </w:trPr>
        <w:tc>
          <w:tcPr>
            <w:tcW w:w="1014" w:type="pct"/>
          </w:tcPr>
          <w:p w14:paraId="4C0716F3">
            <w:pPr>
              <w:pStyle w:val="15"/>
              <w:spacing w:before="122"/>
              <w:ind w:left="107"/>
              <w:rPr>
                <w:rFonts w:ascii="Arial"/>
                <w:b/>
                <w:sz w:val="22"/>
              </w:rPr>
            </w:pPr>
            <w:r>
              <w:rPr>
                <w:rFonts w:ascii="Arial"/>
                <w:b/>
                <w:sz w:val="22"/>
              </w:rPr>
              <w:t>Module</w:t>
            </w:r>
            <w:r>
              <w:rPr>
                <w:rFonts w:ascii="Arial"/>
                <w:b/>
                <w:spacing w:val="-8"/>
                <w:sz w:val="22"/>
              </w:rPr>
              <w:t xml:space="preserve"> </w:t>
            </w:r>
            <w:r>
              <w:rPr>
                <w:rFonts w:ascii="Arial"/>
                <w:b/>
                <w:spacing w:val="-2"/>
                <w:sz w:val="22"/>
              </w:rPr>
              <w:t>code:</w:t>
            </w:r>
          </w:p>
        </w:tc>
        <w:tc>
          <w:tcPr>
            <w:tcW w:w="1786" w:type="pct"/>
          </w:tcPr>
          <w:p w14:paraId="47084FFA">
            <w:pPr>
              <w:pStyle w:val="15"/>
              <w:spacing w:before="122"/>
              <w:ind w:left="107"/>
              <w:rPr>
                <w:rFonts w:ascii="Arial"/>
                <w:b/>
                <w:sz w:val="22"/>
              </w:rPr>
            </w:pPr>
            <w:r>
              <w:rPr>
                <w:rFonts w:ascii="Arial"/>
                <w:b/>
                <w:spacing w:val="-2"/>
                <w:sz w:val="22"/>
              </w:rPr>
              <w:t>LCMB7002</w:t>
            </w:r>
          </w:p>
        </w:tc>
        <w:tc>
          <w:tcPr>
            <w:tcW w:w="1056" w:type="pct"/>
            <w:shd w:val="clear" w:color="auto" w:fill="D9D9D9"/>
          </w:tcPr>
          <w:p w14:paraId="24F112A6">
            <w:pPr>
              <w:pStyle w:val="15"/>
              <w:spacing w:line="252" w:lineRule="exact"/>
              <w:ind w:left="107" w:right="201"/>
              <w:rPr>
                <w:rFonts w:ascii="Arial"/>
                <w:b/>
                <w:sz w:val="22"/>
              </w:rPr>
            </w:pPr>
            <w:r>
              <w:rPr>
                <w:rFonts w:ascii="Arial"/>
                <w:b/>
                <w:sz w:val="22"/>
              </w:rPr>
              <w:t>Contribution to Overall Module Assessment</w:t>
            </w:r>
            <w:r>
              <w:rPr>
                <w:rFonts w:ascii="Arial"/>
                <w:b/>
                <w:spacing w:val="-16"/>
                <w:sz w:val="22"/>
              </w:rPr>
              <w:t xml:space="preserve"> </w:t>
            </w:r>
            <w:r>
              <w:rPr>
                <w:rFonts w:ascii="Arial"/>
                <w:b/>
                <w:sz w:val="22"/>
              </w:rPr>
              <w:t>(%):</w:t>
            </w:r>
          </w:p>
        </w:tc>
        <w:tc>
          <w:tcPr>
            <w:tcW w:w="1142" w:type="pct"/>
          </w:tcPr>
          <w:p w14:paraId="4F652233">
            <w:pPr>
              <w:pStyle w:val="15"/>
              <w:spacing w:before="122"/>
              <w:ind w:left="107"/>
              <w:rPr>
                <w:rFonts w:ascii="Arial"/>
                <w:b/>
                <w:sz w:val="22"/>
              </w:rPr>
            </w:pPr>
            <w:r>
              <w:rPr>
                <w:rFonts w:ascii="Arial"/>
                <w:b/>
                <w:spacing w:val="-4"/>
                <w:sz w:val="22"/>
              </w:rPr>
              <w:t>100%</w:t>
            </w:r>
          </w:p>
        </w:tc>
      </w:tr>
      <w:tr w14:paraId="4A09314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866" w:hRule="atLeast"/>
        </w:trPr>
        <w:tc>
          <w:tcPr>
            <w:tcW w:w="1014" w:type="pct"/>
          </w:tcPr>
          <w:p w14:paraId="5DA7FE74">
            <w:pPr>
              <w:pStyle w:val="15"/>
              <w:spacing w:before="120"/>
              <w:ind w:left="107"/>
              <w:rPr>
                <w:rFonts w:ascii="Arial"/>
                <w:b/>
                <w:sz w:val="22"/>
              </w:rPr>
            </w:pPr>
            <w:r>
              <w:rPr>
                <w:rFonts w:ascii="Arial"/>
                <w:b/>
                <w:spacing w:val="-2"/>
                <w:sz w:val="22"/>
              </w:rPr>
              <w:t>Lecturer:</w:t>
            </w:r>
          </w:p>
        </w:tc>
        <w:tc>
          <w:tcPr>
            <w:tcW w:w="1786" w:type="pct"/>
          </w:tcPr>
          <w:p w14:paraId="04EEB9C1">
            <w:pPr>
              <w:pStyle w:val="15"/>
              <w:spacing w:before="120"/>
              <w:ind w:left="107"/>
              <w:rPr>
                <w:rFonts w:hint="default" w:ascii="Arial"/>
                <w:b/>
                <w:spacing w:val="-3"/>
                <w:sz w:val="22"/>
                <w:lang w:val="en-US"/>
              </w:rPr>
            </w:pPr>
            <w:r>
              <w:rPr>
                <w:rFonts w:hint="default" w:ascii="Arial"/>
                <w:b/>
                <w:spacing w:val="-3"/>
                <w:sz w:val="22"/>
                <w:lang w:val="en-US"/>
              </w:rPr>
              <w:t>Isaiah Oino</w:t>
            </w:r>
          </w:p>
        </w:tc>
        <w:tc>
          <w:tcPr>
            <w:tcW w:w="1056" w:type="pct"/>
            <w:shd w:val="clear" w:color="auto" w:fill="D9D9D9"/>
          </w:tcPr>
          <w:p w14:paraId="5558D2A4">
            <w:pPr>
              <w:pStyle w:val="15"/>
              <w:spacing w:before="120"/>
              <w:ind w:left="107"/>
              <w:rPr>
                <w:rFonts w:ascii="Arial"/>
                <w:b/>
                <w:sz w:val="22"/>
              </w:rPr>
            </w:pPr>
            <w:r>
              <w:rPr>
                <w:rFonts w:ascii="Arial"/>
                <w:b/>
                <w:sz w:val="22"/>
              </w:rPr>
              <w:t>Internal</w:t>
            </w:r>
            <w:r>
              <w:rPr>
                <w:rFonts w:ascii="Arial"/>
                <w:b/>
                <w:spacing w:val="-6"/>
                <w:sz w:val="22"/>
              </w:rPr>
              <w:t xml:space="preserve"> </w:t>
            </w:r>
            <w:r>
              <w:rPr>
                <w:rFonts w:ascii="Arial"/>
                <w:b/>
                <w:spacing w:val="-2"/>
                <w:sz w:val="22"/>
              </w:rPr>
              <w:t>Verifier:</w:t>
            </w:r>
          </w:p>
        </w:tc>
        <w:tc>
          <w:tcPr>
            <w:tcW w:w="1142" w:type="pct"/>
          </w:tcPr>
          <w:p w14:paraId="4B95B9E4">
            <w:pPr>
              <w:pStyle w:val="15"/>
              <w:spacing w:before="120"/>
              <w:ind w:left="107"/>
              <w:rPr>
                <w:rFonts w:ascii="Arial"/>
                <w:b/>
                <w:sz w:val="22"/>
              </w:rPr>
            </w:pPr>
            <w:r>
              <w:rPr>
                <w:rFonts w:ascii="Arial"/>
                <w:b/>
                <w:sz w:val="22"/>
              </w:rPr>
              <w:t>Vasilios Tavlaridis and</w:t>
            </w:r>
            <w:r>
              <w:rPr>
                <w:rFonts w:ascii="Arial"/>
                <w:b/>
                <w:spacing w:val="-2"/>
                <w:sz w:val="22"/>
              </w:rPr>
              <w:t xml:space="preserve"> </w:t>
            </w:r>
            <w:r>
              <w:rPr>
                <w:rFonts w:ascii="Arial"/>
                <w:b/>
                <w:sz w:val="22"/>
              </w:rPr>
              <w:t>Hoang</w:t>
            </w:r>
            <w:r>
              <w:rPr>
                <w:rFonts w:ascii="Arial"/>
                <w:b/>
                <w:spacing w:val="-2"/>
                <w:sz w:val="22"/>
              </w:rPr>
              <w:t xml:space="preserve"> Nguyen</w:t>
            </w:r>
          </w:p>
        </w:tc>
      </w:tr>
      <w:tr w14:paraId="1EBCA6C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998" w:hRule="atLeast"/>
        </w:trPr>
        <w:tc>
          <w:tcPr>
            <w:tcW w:w="1014" w:type="pct"/>
          </w:tcPr>
          <w:p w14:paraId="5DB43547">
            <w:pPr>
              <w:pStyle w:val="15"/>
              <w:spacing w:before="120"/>
              <w:ind w:left="107" w:right="632"/>
              <w:rPr>
                <w:rFonts w:ascii="Arial"/>
                <w:b/>
                <w:sz w:val="22"/>
              </w:rPr>
            </w:pPr>
            <w:r>
              <w:rPr>
                <w:rFonts w:ascii="Arial"/>
                <w:b/>
                <w:spacing w:val="-2"/>
                <w:sz w:val="22"/>
              </w:rPr>
              <w:t>Assignment Title:</w:t>
            </w:r>
          </w:p>
        </w:tc>
        <w:tc>
          <w:tcPr>
            <w:tcW w:w="1786" w:type="pct"/>
          </w:tcPr>
          <w:p w14:paraId="656CBF61">
            <w:pPr>
              <w:pStyle w:val="15"/>
              <w:spacing w:before="120"/>
              <w:ind w:left="107"/>
              <w:rPr>
                <w:rFonts w:ascii="Arial"/>
                <w:b/>
                <w:sz w:val="22"/>
              </w:rPr>
            </w:pPr>
            <w:r>
              <w:rPr>
                <w:rFonts w:ascii="Arial"/>
                <w:b/>
                <w:sz w:val="22"/>
              </w:rPr>
              <w:t>Assessment component: Financial</w:t>
            </w:r>
            <w:r>
              <w:rPr>
                <w:rFonts w:ascii="Arial"/>
                <w:b/>
                <w:spacing w:val="-16"/>
                <w:sz w:val="22"/>
              </w:rPr>
              <w:t xml:space="preserve"> </w:t>
            </w:r>
            <w:r>
              <w:rPr>
                <w:rFonts w:ascii="Arial"/>
                <w:b/>
                <w:sz w:val="22"/>
              </w:rPr>
              <w:t>performance</w:t>
            </w:r>
            <w:r>
              <w:rPr>
                <w:rFonts w:ascii="Arial"/>
                <w:b/>
                <w:spacing w:val="-15"/>
                <w:sz w:val="22"/>
              </w:rPr>
              <w:t xml:space="preserve"> </w:t>
            </w:r>
            <w:r>
              <w:rPr>
                <w:rFonts w:ascii="Arial"/>
                <w:b/>
                <w:sz w:val="22"/>
              </w:rPr>
              <w:t xml:space="preserve">and </w:t>
            </w:r>
            <w:r>
              <w:rPr>
                <w:rFonts w:ascii="Arial"/>
                <w:b/>
                <w:spacing w:val="-2"/>
                <w:sz w:val="22"/>
              </w:rPr>
              <w:t>management</w:t>
            </w:r>
          </w:p>
        </w:tc>
        <w:tc>
          <w:tcPr>
            <w:tcW w:w="1056" w:type="pct"/>
          </w:tcPr>
          <w:p w14:paraId="17F6DD3C">
            <w:pPr>
              <w:pStyle w:val="15"/>
              <w:spacing w:before="120"/>
              <w:ind w:left="107" w:right="201"/>
              <w:rPr>
                <w:rFonts w:ascii="Arial"/>
                <w:b/>
                <w:sz w:val="22"/>
              </w:rPr>
            </w:pPr>
            <w:r>
              <w:rPr>
                <w:rFonts w:ascii="Arial"/>
                <w:b/>
                <w:sz w:val="22"/>
              </w:rPr>
              <w:t>Word</w:t>
            </w:r>
            <w:r>
              <w:rPr>
                <w:rFonts w:ascii="Arial"/>
                <w:b/>
                <w:spacing w:val="-16"/>
                <w:sz w:val="22"/>
              </w:rPr>
              <w:t xml:space="preserve"> </w:t>
            </w:r>
            <w:r>
              <w:rPr>
                <w:rFonts w:ascii="Arial"/>
                <w:b/>
                <w:sz w:val="22"/>
              </w:rPr>
              <w:t>count</w:t>
            </w:r>
            <w:r>
              <w:rPr>
                <w:rFonts w:ascii="Arial"/>
                <w:b/>
                <w:spacing w:val="-15"/>
                <w:sz w:val="22"/>
              </w:rPr>
              <w:t xml:space="preserve"> </w:t>
            </w:r>
            <w:r>
              <w:rPr>
                <w:rFonts w:ascii="Arial"/>
                <w:b/>
                <w:sz w:val="22"/>
              </w:rPr>
              <w:t xml:space="preserve">(or </w:t>
            </w:r>
            <w:r>
              <w:rPr>
                <w:rFonts w:ascii="Arial"/>
                <w:b/>
                <w:spacing w:val="-2"/>
                <w:sz w:val="22"/>
              </w:rPr>
              <w:t>equivalent):</w:t>
            </w:r>
          </w:p>
        </w:tc>
        <w:tc>
          <w:tcPr>
            <w:tcW w:w="1142" w:type="pct"/>
          </w:tcPr>
          <w:p w14:paraId="7491F6F9">
            <w:pPr>
              <w:pStyle w:val="15"/>
              <w:spacing w:before="120" w:line="252" w:lineRule="exact"/>
              <w:ind w:left="107"/>
              <w:rPr>
                <w:rFonts w:ascii="Arial"/>
                <w:b/>
                <w:sz w:val="22"/>
              </w:rPr>
            </w:pPr>
            <w:r>
              <w:rPr>
                <w:rFonts w:ascii="Arial" w:hAnsi="Arial"/>
                <w:b/>
                <w:sz w:val="22"/>
              </w:rPr>
              <w:t>5,177</w:t>
            </w:r>
            <w:r>
              <w:rPr>
                <w:rFonts w:ascii="Arial" w:hAnsi="Arial"/>
                <w:b/>
                <w:spacing w:val="-6"/>
                <w:sz w:val="22"/>
              </w:rPr>
              <w:t xml:space="preserve"> </w:t>
            </w:r>
            <w:r>
              <w:rPr>
                <w:rFonts w:ascii="Arial" w:hAnsi="Arial"/>
                <w:b/>
                <w:sz w:val="22"/>
              </w:rPr>
              <w:t>words</w:t>
            </w:r>
            <w:r>
              <w:rPr>
                <w:rFonts w:ascii="Arial" w:hAnsi="Arial"/>
                <w:b/>
                <w:spacing w:val="-6"/>
                <w:sz w:val="22"/>
              </w:rPr>
              <w:t xml:space="preserve"> </w:t>
            </w:r>
          </w:p>
        </w:tc>
      </w:tr>
      <w:tr w14:paraId="5D7C01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0" w:type="dxa"/>
            <w:bottom w:w="0" w:type="dxa"/>
            <w:right w:w="0" w:type="dxa"/>
          </w:tblCellMar>
        </w:tblPrEx>
        <w:trPr>
          <w:trHeight w:val="1252" w:hRule="atLeast"/>
        </w:trPr>
        <w:tc>
          <w:tcPr>
            <w:tcW w:w="1014" w:type="pct"/>
          </w:tcPr>
          <w:p w14:paraId="465788CC">
            <w:pPr>
              <w:pStyle w:val="15"/>
              <w:spacing w:before="120"/>
              <w:ind w:left="107"/>
              <w:rPr>
                <w:rFonts w:ascii="Arial"/>
                <w:b/>
                <w:sz w:val="22"/>
              </w:rPr>
            </w:pPr>
            <w:r>
              <w:rPr>
                <w:rFonts w:ascii="Arial"/>
                <w:b/>
                <w:spacing w:val="-2"/>
                <w:sz w:val="22"/>
              </w:rPr>
              <w:t>Submission deadline:</w:t>
            </w:r>
          </w:p>
        </w:tc>
        <w:tc>
          <w:tcPr>
            <w:tcW w:w="1786" w:type="pct"/>
          </w:tcPr>
          <w:p w14:paraId="2727C5CA">
            <w:pPr>
              <w:pStyle w:val="15"/>
              <w:spacing w:before="120"/>
              <w:ind w:left="107"/>
              <w:rPr>
                <w:rFonts w:ascii="Arial"/>
                <w:b/>
                <w:sz w:val="22"/>
              </w:rPr>
            </w:pPr>
            <w:r>
              <w:rPr>
                <w:rFonts w:ascii="Arial"/>
                <w:b/>
                <w:sz w:val="22"/>
              </w:rPr>
              <w:t>24th April 2026 by 2PM</w:t>
            </w:r>
          </w:p>
        </w:tc>
        <w:tc>
          <w:tcPr>
            <w:tcW w:w="1056" w:type="pct"/>
          </w:tcPr>
          <w:p w14:paraId="3BDB9B64">
            <w:pPr>
              <w:pStyle w:val="15"/>
              <w:spacing w:before="120"/>
              <w:ind w:left="107" w:right="201"/>
              <w:rPr>
                <w:rFonts w:ascii="Arial"/>
                <w:b/>
                <w:sz w:val="22"/>
              </w:rPr>
            </w:pPr>
            <w:r>
              <w:rPr>
                <w:rFonts w:ascii="Arial"/>
                <w:b/>
                <w:sz w:val="22"/>
              </w:rPr>
              <w:t xml:space="preserve">Return date of </w:t>
            </w:r>
            <w:r>
              <w:rPr>
                <w:rFonts w:ascii="Arial"/>
                <w:b/>
                <w:spacing w:val="-2"/>
                <w:sz w:val="22"/>
              </w:rPr>
              <w:t xml:space="preserve">provisional </w:t>
            </w:r>
            <w:r>
              <w:rPr>
                <w:rFonts w:ascii="Arial"/>
                <w:b/>
                <w:sz w:val="22"/>
              </w:rPr>
              <w:t>marks</w:t>
            </w:r>
            <w:r>
              <w:rPr>
                <w:rFonts w:ascii="Arial"/>
                <w:b/>
                <w:spacing w:val="-16"/>
                <w:sz w:val="22"/>
              </w:rPr>
              <w:t xml:space="preserve"> </w:t>
            </w:r>
            <w:r>
              <w:rPr>
                <w:rFonts w:ascii="Arial"/>
                <w:b/>
                <w:sz w:val="22"/>
              </w:rPr>
              <w:t>&amp;</w:t>
            </w:r>
            <w:r>
              <w:rPr>
                <w:rFonts w:ascii="Arial"/>
                <w:b/>
                <w:spacing w:val="-15"/>
                <w:sz w:val="22"/>
              </w:rPr>
              <w:t xml:space="preserve"> </w:t>
            </w:r>
            <w:r>
              <w:rPr>
                <w:rFonts w:ascii="Arial"/>
                <w:b/>
                <w:sz w:val="22"/>
              </w:rPr>
              <w:t xml:space="preserve">written </w:t>
            </w:r>
            <w:r>
              <w:rPr>
                <w:rFonts w:ascii="Arial"/>
                <w:b/>
                <w:spacing w:val="-2"/>
                <w:sz w:val="22"/>
              </w:rPr>
              <w:t>feedback:</w:t>
            </w:r>
          </w:p>
        </w:tc>
        <w:tc>
          <w:tcPr>
            <w:tcW w:w="1142" w:type="pct"/>
          </w:tcPr>
          <w:p w14:paraId="72E53054">
            <w:pPr>
              <w:pStyle w:val="15"/>
              <w:spacing w:before="120"/>
              <w:ind w:left="107"/>
              <w:rPr>
                <w:rFonts w:ascii="Arial"/>
                <w:b/>
                <w:sz w:val="22"/>
              </w:rPr>
            </w:pPr>
            <w:r>
              <w:rPr>
                <w:rFonts w:ascii="Arial"/>
                <w:b/>
                <w:sz w:val="22"/>
              </w:rPr>
              <w:t>19</w:t>
            </w:r>
            <w:r>
              <w:rPr>
                <w:rFonts w:ascii="Arial"/>
                <w:b/>
                <w:sz w:val="22"/>
                <w:vertAlign w:val="superscript"/>
              </w:rPr>
              <w:t>th</w:t>
            </w:r>
            <w:r>
              <w:rPr>
                <w:rFonts w:ascii="Arial"/>
                <w:b/>
                <w:spacing w:val="-6"/>
                <w:sz w:val="22"/>
              </w:rPr>
              <w:t xml:space="preserve"> </w:t>
            </w:r>
            <w:r>
              <w:rPr>
                <w:rFonts w:ascii="Arial"/>
                <w:b/>
                <w:sz w:val="22"/>
              </w:rPr>
              <w:t>May</w:t>
            </w:r>
            <w:r>
              <w:rPr>
                <w:rFonts w:ascii="Arial"/>
                <w:b/>
                <w:spacing w:val="-6"/>
                <w:sz w:val="22"/>
              </w:rPr>
              <w:t xml:space="preserve"> </w:t>
            </w:r>
            <w:r>
              <w:rPr>
                <w:rFonts w:ascii="Arial"/>
                <w:b/>
                <w:spacing w:val="-4"/>
                <w:sz w:val="22"/>
              </w:rPr>
              <w:t>2026</w:t>
            </w:r>
          </w:p>
        </w:tc>
      </w:tr>
    </w:tbl>
    <w:p w14:paraId="79401C6B"/>
    <w:p w14:paraId="2B8F1B86">
      <w:pPr>
        <w:rPr>
          <w:rFonts w:ascii="Times New Roman Regular" w:hAnsi="Times New Roman Regular" w:cs="Times New Roman Regular"/>
          <w:sz w:val="24"/>
          <w:szCs w:val="24"/>
        </w:rPr>
      </w:pPr>
    </w:p>
    <w:p w14:paraId="2C1FB7D3">
      <w:pPr>
        <w:spacing w:line="360" w:lineRule="auto"/>
        <w:jc w:val="both"/>
        <w:rPr>
          <w:rFonts w:ascii="Arial Regular" w:hAnsi="Arial Regular" w:cs="Arial Regular"/>
          <w:sz w:val="24"/>
          <w:szCs w:val="24"/>
        </w:rPr>
      </w:pPr>
    </w:p>
    <w:p w14:paraId="57DBF2D1">
      <w:pPr>
        <w:spacing w:line="360" w:lineRule="auto"/>
        <w:jc w:val="both"/>
        <w:rPr>
          <w:rFonts w:ascii="Arial Regular" w:hAnsi="Arial Regular" w:cs="Arial Regular"/>
          <w:b/>
          <w:bCs/>
          <w:sz w:val="24"/>
          <w:szCs w:val="24"/>
        </w:rPr>
      </w:pPr>
      <w:r>
        <w:rPr>
          <w:rFonts w:ascii="Arial Regular" w:hAnsi="Arial Regular" w:cs="Arial Regular"/>
          <w:b/>
          <w:bCs/>
          <w:sz w:val="24"/>
          <w:szCs w:val="24"/>
        </w:rPr>
        <w:br w:type="page"/>
      </w:r>
    </w:p>
    <w:sdt>
      <w:sdtPr>
        <w:rPr>
          <w:rFonts w:ascii="Arial Regular" w:hAnsi="Arial Regular" w:eastAsia="SimSun" w:cs="Arial Regular"/>
          <w:b/>
          <w:bCs/>
          <w:sz w:val="24"/>
          <w:szCs w:val="24"/>
        </w:rPr>
        <w:id w:val="126041051"/>
        <w15:color w:val="DBDBDB"/>
        <w:docPartObj>
          <w:docPartGallery w:val="Table of Contents"/>
          <w:docPartUnique/>
        </w:docPartObj>
      </w:sdtPr>
      <w:sdtEndPr>
        <w:rPr>
          <w:rFonts w:ascii="Arial Regular" w:hAnsi="Arial Regular" w:eastAsia="SimSun" w:cs="Arial Regular"/>
          <w:b/>
          <w:bCs/>
          <w:sz w:val="24"/>
          <w:szCs w:val="24"/>
        </w:rPr>
      </w:sdtEndPr>
      <w:sdtContent>
        <w:p w14:paraId="2BFF1B9C">
          <w:pPr>
            <w:spacing w:line="360" w:lineRule="auto"/>
            <w:jc w:val="both"/>
            <w:rPr>
              <w:rFonts w:ascii="Arial Regular" w:hAnsi="Arial Regular" w:cs="Arial Regular"/>
              <w:b/>
              <w:bCs/>
              <w:sz w:val="24"/>
              <w:szCs w:val="24"/>
            </w:rPr>
          </w:pPr>
          <w:r>
            <w:rPr>
              <w:rFonts w:ascii="Arial Regular" w:hAnsi="Arial Regular" w:eastAsia="SimSun" w:cs="Arial Regular"/>
              <w:b/>
              <w:bCs/>
              <w:sz w:val="24"/>
              <w:szCs w:val="24"/>
            </w:rPr>
            <w:t>Table of Content</w:t>
          </w:r>
        </w:p>
        <w:p w14:paraId="74D307C9">
          <w:pPr>
            <w:pStyle w:val="14"/>
            <w:tabs>
              <w:tab w:val="right" w:leader="dot" w:pos="8306"/>
            </w:tabs>
            <w:spacing w:line="360" w:lineRule="auto"/>
            <w:jc w:val="both"/>
            <w:rPr>
              <w:rFonts w:ascii="Arial Regular" w:hAnsi="Arial Regular" w:cs="Arial Regular"/>
              <w:sz w:val="24"/>
              <w:szCs w:val="24"/>
            </w:rPr>
          </w:pPr>
          <w:r>
            <w:rPr>
              <w:rFonts w:ascii="Arial Regular" w:hAnsi="Arial Regular" w:cs="Arial Regular"/>
              <w:sz w:val="24"/>
              <w:szCs w:val="24"/>
            </w:rPr>
            <w:fldChar w:fldCharType="begin"/>
          </w:r>
          <w:r>
            <w:rPr>
              <w:rFonts w:ascii="Arial Regular" w:hAnsi="Arial Regular" w:cs="Arial Regular"/>
              <w:sz w:val="24"/>
              <w:szCs w:val="24"/>
            </w:rPr>
            <w:instrText xml:space="preserve">TOC \o "1-1" \h \u </w:instrText>
          </w:r>
          <w:r>
            <w:rPr>
              <w:rFonts w:ascii="Arial Regular" w:hAnsi="Arial Regular" w:cs="Arial Regular"/>
              <w:sz w:val="24"/>
              <w:szCs w:val="24"/>
            </w:rPr>
            <w:fldChar w:fldCharType="separate"/>
          </w:r>
          <w:r>
            <w:fldChar w:fldCharType="begin"/>
          </w:r>
          <w:r>
            <w:instrText xml:space="preserve"> HYPERLINK \l "_Toc1483053855" </w:instrText>
          </w:r>
          <w:r>
            <w:fldChar w:fldCharType="separate"/>
          </w:r>
          <w:r>
            <w:rPr>
              <w:rFonts w:ascii="Arial Regular" w:hAnsi="Arial Regular" w:cs="Arial Regular"/>
              <w:sz w:val="24"/>
              <w:szCs w:val="24"/>
              <w:lang w:val="en-US"/>
            </w:rPr>
            <w:t>Introduction</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_Toc1483053855 \h </w:instrText>
          </w:r>
          <w:r>
            <w:rPr>
              <w:rFonts w:ascii="Arial Regular" w:hAnsi="Arial Regular" w:cs="Arial Regular"/>
              <w:sz w:val="24"/>
              <w:szCs w:val="24"/>
            </w:rPr>
            <w:fldChar w:fldCharType="separate"/>
          </w:r>
          <w:r>
            <w:rPr>
              <w:rFonts w:ascii="Arial Regular" w:hAnsi="Arial Regular" w:cs="Arial Regular"/>
              <w:sz w:val="24"/>
              <w:szCs w:val="24"/>
            </w:rPr>
            <w:t>3</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5EDE9B3C">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"_Toc1990933903" </w:instrText>
          </w:r>
          <w:r>
            <w:fldChar w:fldCharType="separate"/>
          </w:r>
          <w:r>
            <w:rPr>
              <w:rFonts w:ascii="Arial Regular" w:hAnsi="Arial Regular" w:cs="Arial Regular"/>
              <w:sz w:val="24"/>
              <w:szCs w:val="24"/>
              <w:lang w:val="en-US"/>
            </w:rPr>
            <w:t>About Tesla Inc</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_Toc1990933903 \h </w:instrText>
          </w:r>
          <w:r>
            <w:rPr>
              <w:rFonts w:ascii="Arial Regular" w:hAnsi="Arial Regular" w:cs="Arial Regular"/>
              <w:sz w:val="24"/>
              <w:szCs w:val="24"/>
            </w:rPr>
            <w:fldChar w:fldCharType="separate"/>
          </w:r>
          <w:r>
            <w:rPr>
              <w:rFonts w:ascii="Arial Regular" w:hAnsi="Arial Regular" w:cs="Arial Regular"/>
              <w:sz w:val="24"/>
              <w:szCs w:val="24"/>
            </w:rPr>
            <w:t>3</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1CF63852">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"_Toc1683403814" </w:instrText>
          </w:r>
          <w:r>
            <w:fldChar w:fldCharType="separate"/>
          </w:r>
          <w:r>
            <w:rPr>
              <w:rFonts w:ascii="Arial Regular" w:hAnsi="Arial Regular" w:cs="Arial Regular"/>
              <w:bCs/>
              <w:sz w:val="24"/>
              <w:szCs w:val="24"/>
              <w:lang w:val="en-US"/>
            </w:rPr>
            <w:t xml:space="preserve">1. </w:t>
          </w:r>
          <w:r>
            <w:rPr>
              <w:rFonts w:ascii="Arial Regular" w:hAnsi="Arial Regular" w:cs="Arial Regular"/>
              <w:sz w:val="24"/>
              <w:szCs w:val="24"/>
              <w:lang w:val="en-US"/>
            </w:rPr>
            <w:t>Financial health Check</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_Toc1683403814 \h </w:instrText>
          </w:r>
          <w:r>
            <w:rPr>
              <w:rFonts w:ascii="Arial Regular" w:hAnsi="Arial Regular" w:cs="Arial Regular"/>
              <w:sz w:val="24"/>
              <w:szCs w:val="24"/>
            </w:rPr>
            <w:fldChar w:fldCharType="separate"/>
          </w:r>
          <w:r>
            <w:rPr>
              <w:rFonts w:ascii="Arial Regular" w:hAnsi="Arial Regular" w:cs="Arial Regular"/>
              <w:sz w:val="24"/>
              <w:szCs w:val="24"/>
            </w:rPr>
            <w:t>3</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2CDB6E5E">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"_Toc2018336320" </w:instrText>
          </w:r>
          <w:r>
            <w:fldChar w:fldCharType="separate"/>
          </w:r>
          <w:r>
            <w:rPr>
              <w:rFonts w:ascii="Arial Regular" w:hAnsi="Arial Regular" w:cs="Arial Regular"/>
              <w:bCs/>
              <w:sz w:val="24"/>
              <w:szCs w:val="24"/>
              <w:lang w:val="en-US"/>
            </w:rPr>
            <w:t xml:space="preserve">2. </w:t>
          </w:r>
          <w:r>
            <w:rPr>
              <w:rFonts w:ascii="Arial Regular" w:hAnsi="Arial Regular" w:cs="Arial Regular"/>
              <w:sz w:val="24"/>
              <w:szCs w:val="24"/>
              <w:lang w:val="en-US"/>
            </w:rPr>
            <w:t>Analysis of working capital management</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_Toc2018336320 \h </w:instrText>
          </w:r>
          <w:r>
            <w:rPr>
              <w:rFonts w:ascii="Arial Regular" w:hAnsi="Arial Regular" w:cs="Arial Regular"/>
              <w:sz w:val="24"/>
              <w:szCs w:val="24"/>
            </w:rPr>
            <w:fldChar w:fldCharType="separate"/>
          </w:r>
          <w:r>
            <w:rPr>
              <w:rFonts w:ascii="Arial Regular" w:hAnsi="Arial Regular" w:cs="Arial Regular"/>
              <w:sz w:val="24"/>
              <w:szCs w:val="24"/>
            </w:rPr>
            <w:t>10</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7925D80C">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"_Toc526842228" </w:instrText>
          </w:r>
          <w:r>
            <w:fldChar w:fldCharType="separate"/>
          </w:r>
          <w:r>
            <w:rPr>
              <w:rFonts w:ascii="Arial Regular" w:hAnsi="Arial Regular" w:cs="Arial Regular"/>
              <w:sz w:val="24"/>
              <w:szCs w:val="24"/>
              <w:lang w:val="en-US"/>
            </w:rPr>
            <w:t>3. Strategic financial restructuring plan</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_Toc526842228 \h </w:instrText>
          </w:r>
          <w:r>
            <w:rPr>
              <w:rFonts w:ascii="Arial Regular" w:hAnsi="Arial Regular" w:cs="Arial Regular"/>
              <w:sz w:val="24"/>
              <w:szCs w:val="24"/>
            </w:rPr>
            <w:fldChar w:fldCharType="separate"/>
          </w:r>
          <w:r>
            <w:rPr>
              <w:rFonts w:ascii="Arial Regular" w:hAnsi="Arial Regular" w:cs="Arial Regular"/>
              <w:sz w:val="24"/>
              <w:szCs w:val="24"/>
            </w:rPr>
            <w:t>13</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3BDE44A3">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"_Toc562249415" </w:instrText>
          </w:r>
          <w:r>
            <w:fldChar w:fldCharType="separate"/>
          </w:r>
          <w:r>
            <w:rPr>
              <w:rFonts w:ascii="Arial Regular" w:hAnsi="Arial Regular" w:cs="Arial Regular"/>
              <w:bCs/>
              <w:sz w:val="24"/>
              <w:szCs w:val="24"/>
              <w:lang w:val="en-US"/>
            </w:rPr>
            <w:t xml:space="preserve">4. </w:t>
          </w:r>
          <w:r>
            <w:rPr>
              <w:rFonts w:ascii="Arial Regular" w:hAnsi="Arial Regular" w:cs="Arial Regular"/>
              <w:sz w:val="24"/>
              <w:szCs w:val="24"/>
              <w:lang w:val="en-US"/>
            </w:rPr>
            <w:t>Investment appraisal and capital budgeting</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_Toc562249415 \h </w:instrText>
          </w:r>
          <w:r>
            <w:rPr>
              <w:rFonts w:ascii="Arial Regular" w:hAnsi="Arial Regular" w:cs="Arial Regular"/>
              <w:sz w:val="24"/>
              <w:szCs w:val="24"/>
            </w:rPr>
            <w:fldChar w:fldCharType="separate"/>
          </w:r>
          <w:r>
            <w:rPr>
              <w:rFonts w:ascii="Arial Regular" w:hAnsi="Arial Regular" w:cs="Arial Regular"/>
              <w:sz w:val="24"/>
              <w:szCs w:val="24"/>
            </w:rPr>
            <w:t>16</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58FBF9DB">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"_Toc797871105" </w:instrText>
          </w:r>
          <w:r>
            <w:fldChar w:fldCharType="separate"/>
          </w:r>
          <w:r>
            <w:rPr>
              <w:rFonts w:ascii="Arial Regular" w:hAnsi="Arial Regular" w:cs="Arial Regular"/>
              <w:sz w:val="24"/>
              <w:szCs w:val="24"/>
              <w:lang w:val="en-US"/>
            </w:rPr>
            <w:t>Conclusion</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_Toc797871105 \h </w:instrText>
          </w:r>
          <w:r>
            <w:rPr>
              <w:rFonts w:ascii="Arial Regular" w:hAnsi="Arial Regular" w:cs="Arial Regular"/>
              <w:sz w:val="24"/>
              <w:szCs w:val="24"/>
            </w:rPr>
            <w:fldChar w:fldCharType="separate"/>
          </w:r>
          <w:r>
            <w:rPr>
              <w:rFonts w:ascii="Arial Regular" w:hAnsi="Arial Regular" w:cs="Arial Regular"/>
              <w:sz w:val="24"/>
              <w:szCs w:val="24"/>
            </w:rPr>
            <w:t>19</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55AD1BD3">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"_Toc931769867" </w:instrText>
          </w:r>
          <w:r>
            <w:fldChar w:fldCharType="separate"/>
          </w:r>
          <w:r>
            <w:rPr>
              <w:rFonts w:ascii="Arial Regular" w:hAnsi="Arial Regular" w:cs="Arial Regular"/>
              <w:sz w:val="24"/>
              <w:szCs w:val="24"/>
              <w:lang w:val="en-US"/>
            </w:rPr>
            <w:t>References</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_Toc931769867 \h </w:instrText>
          </w:r>
          <w:r>
            <w:rPr>
              <w:rFonts w:ascii="Arial Regular" w:hAnsi="Arial Regular" w:cs="Arial Regular"/>
              <w:sz w:val="24"/>
              <w:szCs w:val="24"/>
            </w:rPr>
            <w:fldChar w:fldCharType="separate"/>
          </w:r>
          <w:r>
            <w:rPr>
              <w:rFonts w:ascii="Arial Regular" w:hAnsi="Arial Regular" w:cs="Arial Regular"/>
              <w:sz w:val="24"/>
              <w:szCs w:val="24"/>
            </w:rPr>
            <w:t>21</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6D11629D">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"_Toc805400745" </w:instrText>
          </w:r>
          <w:r>
            <w:fldChar w:fldCharType="separate"/>
          </w:r>
          <w:r>
            <w:rPr>
              <w:rFonts w:ascii="Arial Regular" w:hAnsi="Arial Regular" w:cs="Arial Regular"/>
              <w:sz w:val="24"/>
              <w:szCs w:val="24"/>
              <w:lang w:val="en-US"/>
            </w:rPr>
            <w:t>Appendices</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_Toc805400745 \h </w:instrText>
          </w:r>
          <w:r>
            <w:rPr>
              <w:rFonts w:ascii="Arial Regular" w:hAnsi="Arial Regular" w:cs="Arial Regular"/>
              <w:sz w:val="24"/>
              <w:szCs w:val="24"/>
            </w:rPr>
            <w:fldChar w:fldCharType="separate"/>
          </w:r>
          <w:r>
            <w:rPr>
              <w:rFonts w:ascii="Arial Regular" w:hAnsi="Arial Regular" w:cs="Arial Regular"/>
              <w:sz w:val="24"/>
              <w:szCs w:val="24"/>
            </w:rPr>
            <w:t>25</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4F010FA1">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"_Toc780894174" </w:instrText>
          </w:r>
          <w:r>
            <w:fldChar w:fldCharType="separate"/>
          </w:r>
          <w:r>
            <w:rPr>
              <w:rFonts w:ascii="Arial Regular" w:hAnsi="Arial Regular" w:cs="Arial Regular"/>
              <w:bCs/>
              <w:sz w:val="24"/>
              <w:szCs w:val="24"/>
              <w:lang w:val="en-US"/>
            </w:rPr>
            <w:t>1. Ratios</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_Toc780894174 \h </w:instrText>
          </w:r>
          <w:r>
            <w:rPr>
              <w:rFonts w:ascii="Arial Regular" w:hAnsi="Arial Regular" w:cs="Arial Regular"/>
              <w:sz w:val="24"/>
              <w:szCs w:val="24"/>
            </w:rPr>
            <w:fldChar w:fldCharType="separate"/>
          </w:r>
          <w:r>
            <w:rPr>
              <w:rFonts w:ascii="Arial Regular" w:hAnsi="Arial Regular" w:cs="Arial Regular"/>
              <w:sz w:val="24"/>
              <w:szCs w:val="24"/>
            </w:rPr>
            <w:t>25</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76C17138">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"_Toc1215815601" </w:instrText>
          </w:r>
          <w:r>
            <w:fldChar w:fldCharType="separate"/>
          </w:r>
          <w:r>
            <w:rPr>
              <w:rFonts w:ascii="Arial Regular" w:hAnsi="Arial Regular" w:cs="Arial Regular"/>
              <w:bCs/>
              <w:sz w:val="24"/>
              <w:szCs w:val="24"/>
              <w:lang w:val="en-US"/>
            </w:rPr>
            <w:t>2. Cash Operating Cycle</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_Toc1215815601 \h </w:instrText>
          </w:r>
          <w:r>
            <w:rPr>
              <w:rFonts w:ascii="Arial Regular" w:hAnsi="Arial Regular" w:cs="Arial Regular"/>
              <w:sz w:val="24"/>
              <w:szCs w:val="24"/>
            </w:rPr>
            <w:fldChar w:fldCharType="separate"/>
          </w:r>
          <w:r>
            <w:rPr>
              <w:rFonts w:ascii="Arial Regular" w:hAnsi="Arial Regular" w:cs="Arial Regular"/>
              <w:sz w:val="24"/>
              <w:szCs w:val="24"/>
            </w:rPr>
            <w:t>28</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76217A76">
          <w:pPr>
            <w:pStyle w:val="14"/>
            <w:tabs>
              <w:tab w:val="right" w:leader="dot" w:pos="8306"/>
            </w:tabs>
            <w:spacing w:line="360" w:lineRule="auto"/>
            <w:jc w:val="both"/>
            <w:rPr>
              <w:rFonts w:ascii="Arial Regular" w:hAnsi="Arial Regular" w:cs="Arial Regular"/>
              <w:sz w:val="24"/>
              <w:szCs w:val="24"/>
            </w:rPr>
          </w:pPr>
          <w:r>
            <w:fldChar w:fldCharType="begin"/>
          </w:r>
          <w:r>
            <w:instrText xml:space="preserve"> HYPERLINK \l "_Toc905904802" </w:instrText>
          </w:r>
          <w:r>
            <w:fldChar w:fldCharType="separate"/>
          </w:r>
          <w:r>
            <w:rPr>
              <w:rFonts w:ascii="Arial Regular" w:hAnsi="Arial Regular" w:cs="Arial Regular"/>
              <w:bCs/>
              <w:sz w:val="24"/>
              <w:szCs w:val="24"/>
              <w:lang w:val="en-US"/>
            </w:rPr>
            <w:t>3. Payback, ARR, NPV, PI, and IRR</w:t>
          </w:r>
          <w:r>
            <w:rPr>
              <w:rFonts w:ascii="Arial Regular" w:hAnsi="Arial Regular" w:cs="Arial Regular"/>
              <w:sz w:val="24"/>
              <w:szCs w:val="24"/>
            </w:rPr>
            <w:tab/>
          </w:r>
          <w:r>
            <w:rPr>
              <w:rFonts w:ascii="Arial Regular" w:hAnsi="Arial Regular" w:cs="Arial Regular"/>
              <w:sz w:val="24"/>
              <w:szCs w:val="24"/>
            </w:rPr>
            <w:fldChar w:fldCharType="begin"/>
          </w:r>
          <w:r>
            <w:rPr>
              <w:rFonts w:ascii="Arial Regular" w:hAnsi="Arial Regular" w:cs="Arial Regular"/>
              <w:sz w:val="24"/>
              <w:szCs w:val="24"/>
            </w:rPr>
            <w:instrText xml:space="preserve"> PAGEREF _Toc905904802 \h </w:instrText>
          </w:r>
          <w:r>
            <w:rPr>
              <w:rFonts w:ascii="Arial Regular" w:hAnsi="Arial Regular" w:cs="Arial Regular"/>
              <w:sz w:val="24"/>
              <w:szCs w:val="24"/>
            </w:rPr>
            <w:fldChar w:fldCharType="separate"/>
          </w:r>
          <w:r>
            <w:rPr>
              <w:rFonts w:ascii="Arial Regular" w:hAnsi="Arial Regular" w:cs="Arial Regular"/>
              <w:sz w:val="24"/>
              <w:szCs w:val="24"/>
            </w:rPr>
            <w:t>29</w:t>
          </w:r>
          <w:r>
            <w:rPr>
              <w:rFonts w:ascii="Arial Regular" w:hAnsi="Arial Regular" w:cs="Arial Regular"/>
              <w:sz w:val="24"/>
              <w:szCs w:val="24"/>
            </w:rPr>
            <w:fldChar w:fldCharType="end"/>
          </w:r>
          <w:r>
            <w:rPr>
              <w:rFonts w:ascii="Arial Regular" w:hAnsi="Arial Regular" w:cs="Arial Regular"/>
              <w:sz w:val="24"/>
              <w:szCs w:val="24"/>
            </w:rPr>
            <w:fldChar w:fldCharType="end"/>
          </w:r>
        </w:p>
        <w:p w14:paraId="7D63EA4A">
          <w:pPr>
            <w:spacing w:line="360" w:lineRule="auto"/>
            <w:jc w:val="both"/>
            <w:rPr>
              <w:rFonts w:ascii="Arial Regular" w:hAnsi="Arial Regular" w:cs="Arial Regular"/>
              <w:sz w:val="24"/>
              <w:szCs w:val="24"/>
            </w:rPr>
          </w:pPr>
          <w:r>
            <w:rPr>
              <w:rFonts w:ascii="Arial Regular" w:hAnsi="Arial Regular" w:cs="Arial Regular"/>
              <w:sz w:val="24"/>
              <w:szCs w:val="24"/>
            </w:rPr>
            <w:fldChar w:fldCharType="end"/>
          </w:r>
        </w:p>
      </w:sdtContent>
    </w:sdt>
    <w:p w14:paraId="7D200899">
      <w:pPr>
        <w:spacing w:line="360" w:lineRule="auto"/>
        <w:jc w:val="both"/>
        <w:rPr>
          <w:rFonts w:ascii="Arial Regular" w:hAnsi="Arial Regular" w:cs="Arial Regular"/>
          <w:sz w:val="24"/>
          <w:szCs w:val="24"/>
        </w:rPr>
      </w:pPr>
    </w:p>
    <w:p w14:paraId="50F6CF31">
      <w:pPr>
        <w:spacing w:line="360" w:lineRule="auto"/>
        <w:jc w:val="both"/>
        <w:rPr>
          <w:rFonts w:ascii="Arial Regular" w:hAnsi="Arial Regular" w:cs="Arial Regular"/>
          <w:b/>
          <w:bCs/>
          <w:sz w:val="24"/>
          <w:szCs w:val="24"/>
        </w:rPr>
      </w:pPr>
      <w:r>
        <w:rPr>
          <w:rFonts w:ascii="Arial Regular" w:hAnsi="Arial Regular" w:cs="Arial Regular"/>
          <w:b/>
          <w:bCs/>
          <w:sz w:val="24"/>
          <w:szCs w:val="24"/>
        </w:rPr>
        <w:br w:type="page"/>
      </w:r>
    </w:p>
    <w:p w14:paraId="27775D26">
      <w:pPr>
        <w:pStyle w:val="2"/>
        <w:spacing w:before="0" w:after="0" w:line="360" w:lineRule="auto"/>
        <w:jc w:val="both"/>
        <w:rPr>
          <w:rFonts w:ascii="Arial Regular" w:hAnsi="Arial Regular" w:cs="Arial Regular"/>
          <w:sz w:val="24"/>
          <w:szCs w:val="24"/>
        </w:rPr>
      </w:pPr>
      <w:bookmarkStart w:id="1" w:name="_Toc1483053855"/>
      <w:r>
        <w:rPr>
          <w:rFonts w:ascii="Arial Regular" w:hAnsi="Arial Regular" w:cs="Arial Regular"/>
          <w:sz w:val="24"/>
          <w:szCs w:val="24"/>
        </w:rPr>
        <w:t>Introduction</w:t>
      </w:r>
      <w:bookmarkEnd w:id="1"/>
    </w:p>
    <w:p w14:paraId="293D462F">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The aim of the report is to act as a CFO of the EV manufacturing company, namely Tesla Inc, for the purpose of evaluating the last 5 years' financial performance, identifying main problems and developing a turnaround or financial strategy. For the same purpose, the report will evaluate financial statements and conduct ratio analysis to assess the company's financial performance over the last five years and identify its core problems. Besides this, another section will discuss the cash operating cycle and recommend different strategies to improve liquidity through working capital. Similarly, different sources of finance like short-term or long-term, will also be discussed in the present report. In addition to this, the report will discuss a financial restructuring plan, covering restructuring options, their impact on financial and operational aspects, and ethical and international considerations. The last part will use different investment appraisal techniques to determine the feasibility of different projects.</w:t>
      </w:r>
    </w:p>
    <w:p w14:paraId="2EBA4893">
      <w:pPr>
        <w:pStyle w:val="2"/>
        <w:spacing w:before="0" w:after="0" w:line="360" w:lineRule="auto"/>
        <w:jc w:val="both"/>
        <w:rPr>
          <w:rFonts w:ascii="Arial Regular" w:hAnsi="Arial Regular" w:cs="Arial Regular"/>
          <w:sz w:val="24"/>
          <w:szCs w:val="24"/>
        </w:rPr>
      </w:pPr>
      <w:bookmarkStart w:id="2" w:name="_Toc1990933903"/>
      <w:r>
        <w:rPr>
          <w:rFonts w:ascii="Arial Regular" w:hAnsi="Arial Regular" w:cs="Arial Regular"/>
          <w:sz w:val="24"/>
          <w:szCs w:val="24"/>
        </w:rPr>
        <w:t>About Tesla Inc</w:t>
      </w:r>
      <w:bookmarkEnd w:id="2"/>
    </w:p>
    <w:p w14:paraId="3B7EFE87">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Tesla Inc is a US-based company operating in the automotive industry. The company is a manufacturer of electronic vehicles, batteries, and solar. It has more than 100,000 employees (Tesla Inc, 2026). The product portfolio of Tesla Inc comprises of solar energy products, Model S, Megapack, Model X, and Powerwall. It carries business operations through the website, stores, and channel partners. It operates businesses in different regions across the globe, namely the US, China, Germany, Europe, and the Asia Pacific region. It is listed in US stock exchange NASDAQ with code TSLA and has a market capitalisation of more than $1,459.3 billion (Global Data, 2024).</w:t>
      </w:r>
    </w:p>
    <w:p w14:paraId="11F753B1">
      <w:pPr>
        <w:pStyle w:val="2"/>
        <w:numPr>
          <w:ilvl w:val="0"/>
          <w:numId w:val="1"/>
        </w:numPr>
        <w:spacing w:before="0" w:after="0" w:line="360" w:lineRule="auto"/>
        <w:jc w:val="both"/>
        <w:rPr>
          <w:rFonts w:ascii="Arial Regular" w:hAnsi="Arial Regular" w:cs="Arial Regular"/>
          <w:sz w:val="24"/>
          <w:szCs w:val="24"/>
        </w:rPr>
      </w:pPr>
      <w:bookmarkStart w:id="3" w:name="_Toc1683403814"/>
      <w:r>
        <w:rPr>
          <w:rFonts w:ascii="Arial Regular" w:hAnsi="Arial Regular" w:cs="Arial Regular"/>
          <w:sz w:val="24"/>
          <w:szCs w:val="24"/>
        </w:rPr>
        <w:t>Financial health Check</w:t>
      </w:r>
      <w:bookmarkEnd w:id="3"/>
    </w:p>
    <w:p w14:paraId="58526E30">
      <w:pPr>
        <w:spacing w:line="360" w:lineRule="auto"/>
        <w:jc w:val="both"/>
        <w:rPr>
          <w:rFonts w:ascii="Arial Regular" w:hAnsi="Arial Regular" w:cs="Arial Regular"/>
          <w:sz w:val="24"/>
          <w:szCs w:val="24"/>
        </w:rPr>
      </w:pPr>
      <w:r>
        <w:rPr>
          <w:rFonts w:ascii="Arial Regular" w:hAnsi="Arial Regular" w:cs="Arial Regular"/>
          <w:b/>
          <w:bCs/>
          <w:sz w:val="24"/>
          <w:szCs w:val="24"/>
        </w:rPr>
        <w:t>Analysis of financial statements</w:t>
      </w:r>
    </w:p>
    <w:p w14:paraId="6D5A0CD0">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The company’s financial statement revealed a significant increase in revenues from $31,536 million to $97,690 million over the last 5 years, reflecting an increase of 209% in sales. Similarly, gross profit and net profit of the company also shown significant growth from 2020 to 2023; however, both declined in 2024 due to a rise in operational expenses and stiff competition in the market. A rise in debt also increased finance charges and affected the profits of the company. This indicates a decline in financial performance during 2024 compared to previous years. Additionally, the proportion of growth in current assets is quite high compared to current liabilities. Similarly, the company’s equity growth also helped in reducing financial leverage and capability to meet debt obligations. However, cash flows of the company significantly reduced from $19,384 million to $16,139 million in the last five years, which can be considered a problem for the company (Tesla Inc, 2024). The section below will help in gaining valuable insights about financial health and identifying core problems in the company.</w:t>
      </w:r>
    </w:p>
    <w:p w14:paraId="32AA7E8D">
      <w:pPr>
        <w:spacing w:line="360" w:lineRule="auto"/>
        <w:jc w:val="both"/>
        <w:rPr>
          <w:rFonts w:ascii="Arial Regular" w:hAnsi="Arial Regular" w:cs="Arial Regular"/>
          <w:b/>
          <w:bCs/>
          <w:sz w:val="24"/>
          <w:szCs w:val="24"/>
        </w:rPr>
      </w:pPr>
      <w:r>
        <w:rPr>
          <w:rFonts w:ascii="Arial Regular" w:hAnsi="Arial Regular" w:cs="Arial Regular"/>
          <w:b/>
          <w:bCs/>
          <w:sz w:val="24"/>
          <w:szCs w:val="24"/>
        </w:rPr>
        <w:t>Ratio Analysis</w:t>
      </w:r>
    </w:p>
    <w:p w14:paraId="51C5ABC8">
      <w:pPr>
        <w:spacing w:line="360" w:lineRule="auto"/>
        <w:jc w:val="both"/>
        <w:rPr>
          <w:rFonts w:ascii="Arial Regular" w:hAnsi="Arial Regular" w:cs="Arial Regular"/>
          <w:i/>
          <w:iCs/>
          <w:sz w:val="24"/>
          <w:szCs w:val="24"/>
        </w:rPr>
      </w:pPr>
      <w:r>
        <w:rPr>
          <w:rFonts w:ascii="Arial Regular" w:hAnsi="Arial Regular" w:cs="Arial Regular"/>
          <w:sz w:val="24"/>
          <w:szCs w:val="24"/>
        </w:rPr>
        <w:t>(Refer to appendix 1 for detailed calculations of ratios)</w:t>
      </w:r>
    </w:p>
    <w:p w14:paraId="275BF937">
      <w:pPr>
        <w:spacing w:line="360" w:lineRule="auto"/>
        <w:jc w:val="both"/>
        <w:rPr>
          <w:rFonts w:ascii="Arial Regular" w:hAnsi="Arial Regular" w:cs="Arial Regular"/>
          <w:sz w:val="24"/>
          <w:szCs w:val="24"/>
        </w:rPr>
      </w:pPr>
      <w:r>
        <w:rPr>
          <w:rFonts w:ascii="Arial Regular" w:hAnsi="Arial Regular" w:cs="Arial Regular"/>
          <w:i/>
          <w:iCs/>
          <w:sz w:val="24"/>
          <w:szCs w:val="24"/>
        </w:rPr>
        <w:t>Profitability</w:t>
      </w:r>
    </w:p>
    <w:p w14:paraId="0E74797E">
      <w:pPr>
        <w:spacing w:line="360" w:lineRule="auto"/>
        <w:jc w:val="center"/>
        <w:rPr>
          <w:rFonts w:ascii="Arial Regular" w:hAnsi="Arial Regular" w:cs="Arial Regular"/>
          <w:sz w:val="24"/>
          <w:szCs w:val="24"/>
        </w:rPr>
      </w:pPr>
      <w:r>
        <w:rPr>
          <w:rFonts w:ascii="Arial Regular" w:hAnsi="Arial Regular" w:cs="Arial Regular"/>
          <w:sz w:val="24"/>
          <w:szCs w:val="24"/>
        </w:rPr>
        <w:drawing>
          <wp:inline distT="0" distB="0" distL="114300" distR="114300">
            <wp:extent cx="4846320" cy="2792730"/>
            <wp:effectExtent l="6350" t="6350" r="24130" b="2032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5658754">
      <w:pPr>
        <w:spacing w:line="360" w:lineRule="auto"/>
        <w:jc w:val="center"/>
        <w:rPr>
          <w:rFonts w:ascii="Arial Regular" w:hAnsi="Arial Regular" w:cs="Arial Regular"/>
          <w:sz w:val="24"/>
          <w:szCs w:val="24"/>
        </w:rPr>
      </w:pPr>
      <w:r>
        <w:rPr>
          <w:rFonts w:ascii="Arial Regular" w:hAnsi="Arial Regular" w:cs="Arial Regular"/>
          <w:sz w:val="24"/>
          <w:szCs w:val="24"/>
        </w:rPr>
        <w:t>Figure 1: Tesla Inc profitability ratios from 2020 to 2024</w:t>
      </w:r>
    </w:p>
    <w:p w14:paraId="43056FF7">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Profitability ratios measures ability of business entities in generating profits over different variables like revenues, operational expenses, equity, and assets. Gross profit margin and net profit margin are main examples of profitability ratios. Gross profit margin analyses the relationship between gross profit and sales. It shows actual profits over production that are available for meeting other operational expenses. Additionally, net profit margin evaluates the relationship between sales and net profits, which is used for analysing financial performance and overall efficiency of business entities (Jani, 2020). The above bar chart reflects an uptrend in both gross profit margin as well as net profit margin of the company; however, gross profit margin declined from 18.25% to 17.86% in 2024, and net profit margin declined from 15.47% to 7.32% in 2024. A rise in energy prices and other operational expenses like selling, general and administrative are some of the main reasons that reduced gross profit and net profits of the company. Aggressive pricing strategy of the company, cost pressure and fierce competition from Chinese EV companies have eroded the profit margin of the company during 2024 (Tesla Inc, 2024). Overall, a sharp growth in gross and net profit margin from 2020 to 2023 is a key strength of sustainable growth; however, a fall in both during 2024 indicates a weakness in the key problem of the company.</w:t>
      </w:r>
    </w:p>
    <w:p w14:paraId="42A53763">
      <w:pPr>
        <w:spacing w:line="360" w:lineRule="auto"/>
        <w:jc w:val="both"/>
        <w:rPr>
          <w:rFonts w:ascii="Arial Regular" w:hAnsi="Arial Regular" w:cs="Arial Regular"/>
          <w:sz w:val="24"/>
          <w:szCs w:val="24"/>
        </w:rPr>
      </w:pPr>
      <w:r>
        <w:rPr>
          <w:rFonts w:ascii="Arial Regular" w:hAnsi="Arial Regular" w:cs="Arial Regular"/>
          <w:i/>
          <w:iCs/>
          <w:sz w:val="24"/>
          <w:szCs w:val="24"/>
        </w:rPr>
        <w:t>Liquidity</w:t>
      </w:r>
    </w:p>
    <w:p w14:paraId="574AB6F1">
      <w:pPr>
        <w:spacing w:line="360" w:lineRule="auto"/>
        <w:jc w:val="center"/>
        <w:rPr>
          <w:rFonts w:ascii="Arial Regular" w:hAnsi="Arial Regular" w:cs="Arial Regular"/>
          <w:sz w:val="24"/>
          <w:szCs w:val="24"/>
        </w:rPr>
      </w:pPr>
      <w:r>
        <w:rPr>
          <w:rFonts w:ascii="Arial Regular" w:hAnsi="Arial Regular" w:cs="Arial Regular"/>
          <w:sz w:val="24"/>
          <w:szCs w:val="24"/>
        </w:rPr>
        <w:drawing>
          <wp:inline distT="0" distB="0" distL="114300" distR="114300">
            <wp:extent cx="4892040" cy="2792730"/>
            <wp:effectExtent l="6350" t="6350" r="29210" b="2032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8591D8E">
      <w:pPr>
        <w:spacing w:line="360" w:lineRule="auto"/>
        <w:jc w:val="center"/>
        <w:rPr>
          <w:rFonts w:ascii="Arial Regular" w:hAnsi="Arial Regular" w:cs="Arial Regular"/>
          <w:sz w:val="24"/>
          <w:szCs w:val="24"/>
        </w:rPr>
      </w:pPr>
      <w:r>
        <w:rPr>
          <w:rFonts w:ascii="Arial Regular" w:hAnsi="Arial Regular" w:cs="Arial Regular"/>
          <w:sz w:val="24"/>
          <w:szCs w:val="24"/>
        </w:rPr>
        <w:t>Figure 2: Tesla Inc liquidity ratios from 2020 to 2024</w:t>
      </w:r>
    </w:p>
    <w:p w14:paraId="3DCFC0E7">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Liquidity ratios are mainly used to evaluate the capability to meet current obligations. Both the current and quick ratio helps in analysing liquidity position. The only difference in two ratios is that the current ratio considers all current assets, whereas the quick ratio only considers liquid assets. Ideal current and quick ratios are 2:1 and 1:1 (</w:t>
      </w:r>
      <w:r>
        <w:rPr>
          <w:rFonts w:ascii="Arial Regular" w:hAnsi="Arial Regular" w:eastAsia="SimSun"/>
          <w:sz w:val="24"/>
          <w:szCs w:val="24"/>
        </w:rPr>
        <w:t>Allad and Maisuria, 2015</w:t>
      </w:r>
      <w:r>
        <w:rPr>
          <w:rFonts w:ascii="Arial Regular" w:hAnsi="Arial Regular" w:eastAsia="SimSun" w:cs="Arial Regular"/>
          <w:sz w:val="24"/>
          <w:szCs w:val="24"/>
          <w:lang w:bidi="ar"/>
        </w:rPr>
        <w:t>). Line chart indicates strong growth or an uptrend in both the current ratio and quick ratio. Tesla Inc reported a current and quick ratio of 1.88 and 1.59 in 2020, which rose to 2.02 and 1.61 in the year 2024. Increased investment in current assets helped the company improve liquidity ratios in the last 5 years. A rise in current and quick ratio are strengths of the company as it owns sufficient assets to meet current obligations. However, it might also indicates weakness of the company as the current ratio of 2.02 is significantly higher than the industry average of 1.05 (Macro Trend, 2025). This indicates that either company is using assets ineffectively or has idle resources, which can be considered a key weakness or problem.</w:t>
      </w:r>
    </w:p>
    <w:p w14:paraId="66284278">
      <w:pPr>
        <w:spacing w:line="360" w:lineRule="auto"/>
        <w:jc w:val="both"/>
        <w:rPr>
          <w:rFonts w:ascii="Arial Regular" w:hAnsi="Arial Regular" w:cs="Arial Regular"/>
          <w:sz w:val="24"/>
          <w:szCs w:val="24"/>
        </w:rPr>
      </w:pPr>
      <w:r>
        <w:rPr>
          <w:rFonts w:ascii="Arial Regular" w:hAnsi="Arial Regular" w:cs="Arial Regular"/>
          <w:i/>
          <w:iCs/>
          <w:sz w:val="24"/>
          <w:szCs w:val="24"/>
        </w:rPr>
        <w:t>Efficiency</w:t>
      </w:r>
    </w:p>
    <w:p w14:paraId="318AECA8">
      <w:pPr>
        <w:spacing w:line="360" w:lineRule="auto"/>
        <w:jc w:val="center"/>
        <w:rPr>
          <w:rFonts w:ascii="Arial Regular" w:hAnsi="Arial Regular" w:cs="Arial Regular"/>
          <w:sz w:val="24"/>
          <w:szCs w:val="24"/>
        </w:rPr>
      </w:pPr>
      <w:r>
        <w:rPr>
          <w:rFonts w:ascii="Arial Regular" w:hAnsi="Arial Regular" w:cs="Arial Regular"/>
          <w:sz w:val="24"/>
          <w:szCs w:val="24"/>
        </w:rPr>
        <w:drawing>
          <wp:inline distT="0" distB="0" distL="114300" distR="114300">
            <wp:extent cx="4846320" cy="2792730"/>
            <wp:effectExtent l="6350" t="6350" r="24130" b="20320"/>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9A5B48F">
      <w:pPr>
        <w:spacing w:line="360" w:lineRule="auto"/>
        <w:jc w:val="center"/>
        <w:rPr>
          <w:rFonts w:ascii="Arial Regular" w:hAnsi="Arial Regular" w:cs="Arial Regular"/>
          <w:sz w:val="24"/>
          <w:szCs w:val="24"/>
        </w:rPr>
      </w:pPr>
      <w:r>
        <w:rPr>
          <w:rFonts w:ascii="Arial Regular" w:hAnsi="Arial Regular" w:cs="Arial Regular"/>
          <w:sz w:val="24"/>
          <w:szCs w:val="24"/>
        </w:rPr>
        <w:t>Figure 3: Tesla Inc efficiency ratios from 2020 to 2024</w:t>
      </w:r>
    </w:p>
    <w:p w14:paraId="250CAF63">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The inventory turnover ratio helps in evaluating the liquidity, indicating how much time it takes for a business to convert or replenish inventory. Additionally, asset turnover is another efficiency metric which evaluates business efficiency in terms of using assets to generate revenues. A high asset turnover ratio and inventory turnover ratio is feasible as it indicates both assets and inventory are effectively used to generate higher sales (</w:t>
      </w:r>
      <w:r>
        <w:rPr>
          <w:rFonts w:ascii="Arial Regular" w:hAnsi="Arial Regular" w:eastAsia="SimSun"/>
          <w:sz w:val="24"/>
          <w:szCs w:val="24"/>
        </w:rPr>
        <w:t>Nasution, 2020</w:t>
      </w:r>
      <w:r>
        <w:rPr>
          <w:rFonts w:ascii="Arial Regular" w:hAnsi="Arial Regular" w:eastAsia="SimSun" w:cs="Arial Regular"/>
          <w:sz w:val="24"/>
          <w:szCs w:val="24"/>
          <w:lang w:bidi="ar"/>
        </w:rPr>
        <w:t xml:space="preserve">; Monea, 2019). Asset turnover of the company shows an upward trend from 2020 to 2022, but it started falling from 2023 onwards. </w:t>
      </w:r>
      <w:r>
        <w:rPr>
          <w:rFonts w:ascii="Arial" w:hAnsi="Arial" w:eastAsia="SimSun" w:cs="Arial"/>
          <w:sz w:val="24"/>
          <w:szCs w:val="24"/>
          <w:lang w:bidi="ar"/>
        </w:rPr>
        <w:t>A sharp rise in assets or over investment in assets caused a fall in the asset turnover ratio, indicating ineffective use of assets to generate revenues</w:t>
      </w:r>
      <w:r>
        <w:rPr>
          <w:rFonts w:ascii="Arial Regular" w:hAnsi="Arial Regular" w:eastAsia="SimSun" w:cs="Arial Regular"/>
          <w:sz w:val="24"/>
          <w:szCs w:val="24"/>
          <w:lang w:bidi="ar"/>
        </w:rPr>
        <w:t>. Excessive investment or ineffective use of production can be the main reasons or problems behind the fall in asset turnover of the company. On the other hand, the inventory turnover ratio shows an upward trend as same rose from 6.07 to 6.68 over the last 5 years, reflecting the fast conversion of inventories into sales.</w:t>
      </w:r>
    </w:p>
    <w:p w14:paraId="72B12FD8">
      <w:pPr>
        <w:spacing w:line="360" w:lineRule="auto"/>
        <w:jc w:val="both"/>
        <w:rPr>
          <w:rFonts w:ascii="Arial Regular" w:hAnsi="Arial Regular" w:cs="Arial Regular"/>
          <w:sz w:val="24"/>
          <w:szCs w:val="24"/>
        </w:rPr>
      </w:pPr>
      <w:r>
        <w:rPr>
          <w:rFonts w:ascii="Arial Regular" w:hAnsi="Arial Regular" w:cs="Arial Regular"/>
          <w:i/>
          <w:iCs/>
          <w:sz w:val="24"/>
          <w:szCs w:val="24"/>
        </w:rPr>
        <w:t>Gearing</w:t>
      </w:r>
    </w:p>
    <w:p w14:paraId="12856B3B">
      <w:pPr>
        <w:spacing w:line="360" w:lineRule="auto"/>
        <w:jc w:val="center"/>
        <w:rPr>
          <w:rFonts w:ascii="Arial Regular" w:hAnsi="Arial Regular" w:cs="Arial Regular"/>
          <w:sz w:val="24"/>
          <w:szCs w:val="24"/>
        </w:rPr>
      </w:pPr>
      <w:r>
        <w:rPr>
          <w:rFonts w:ascii="Arial Regular" w:hAnsi="Arial Regular" w:cs="Arial Regular"/>
          <w:sz w:val="24"/>
          <w:szCs w:val="24"/>
        </w:rPr>
        <w:drawing>
          <wp:inline distT="0" distB="0" distL="114300" distR="114300">
            <wp:extent cx="4892040" cy="2792730"/>
            <wp:effectExtent l="6350" t="6350" r="29210" b="20320"/>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36F705B">
      <w:pPr>
        <w:spacing w:line="360" w:lineRule="auto"/>
        <w:jc w:val="center"/>
        <w:rPr>
          <w:rFonts w:ascii="Arial Regular" w:hAnsi="Arial Regular" w:cs="Arial Regular"/>
          <w:sz w:val="24"/>
          <w:szCs w:val="24"/>
        </w:rPr>
      </w:pPr>
      <w:r>
        <w:rPr>
          <w:rFonts w:ascii="Arial Regular" w:hAnsi="Arial Regular" w:cs="Arial Regular"/>
          <w:sz w:val="24"/>
          <w:szCs w:val="24"/>
        </w:rPr>
        <w:t>Figure 4: Tesla Inc gearing ratios from 2020 to 2024</w:t>
      </w:r>
    </w:p>
    <w:p w14:paraId="05361633">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Debt-equity ratio as well as interest cover are both measure of gearing. The debt-equity ratio analyses the relationship between debt and equity to identify financial risk or leverage. On the other hand, interest cover tells how many times operating profit covers finance charges or interest (Jani, 2020). The debt-equity ratio of the company reflects a downward trend as it dropped from 1.23 to 0.66 in the year 2024. A high proportion of increase in equity compared to debt has helped in reducing the debt-equity ratio. This is a strength of the company as it became more capable of meeting long-term obligations in an effective manner. However, the interest cover of Tesla Inc has dropped in the last two years due to a fall in profits and rise in interest charges, which can create a problem for the company to meet interest obligations in the long term during lower profits.</w:t>
      </w:r>
    </w:p>
    <w:p w14:paraId="06FE4C6B">
      <w:pPr>
        <w:spacing w:line="360" w:lineRule="auto"/>
        <w:jc w:val="both"/>
        <w:rPr>
          <w:rFonts w:ascii="Arial Regular" w:hAnsi="Arial Regular" w:cs="Arial Regular"/>
          <w:sz w:val="24"/>
          <w:szCs w:val="24"/>
        </w:rPr>
      </w:pPr>
      <w:r>
        <w:rPr>
          <w:rFonts w:ascii="Arial Regular" w:hAnsi="Arial Regular" w:cs="Arial Regular"/>
          <w:i/>
          <w:iCs/>
          <w:sz w:val="24"/>
          <w:szCs w:val="24"/>
        </w:rPr>
        <w:t>Investment</w:t>
      </w:r>
    </w:p>
    <w:p w14:paraId="64C64696">
      <w:pPr>
        <w:spacing w:line="360" w:lineRule="auto"/>
        <w:jc w:val="center"/>
        <w:rPr>
          <w:rFonts w:ascii="Arial Regular" w:hAnsi="Arial Regular" w:cs="Arial Regular"/>
          <w:sz w:val="24"/>
          <w:szCs w:val="24"/>
        </w:rPr>
      </w:pPr>
      <w:r>
        <w:rPr>
          <w:rFonts w:ascii="Arial Regular" w:hAnsi="Arial Regular" w:cs="Arial Regular"/>
          <w:sz w:val="24"/>
          <w:szCs w:val="24"/>
        </w:rPr>
        <w:drawing>
          <wp:inline distT="0" distB="0" distL="114300" distR="114300">
            <wp:extent cx="4846320" cy="2792730"/>
            <wp:effectExtent l="6350" t="6350" r="24130" b="20320"/>
            <wp:docPr id="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58EDEA8">
      <w:pPr>
        <w:spacing w:line="360" w:lineRule="auto"/>
        <w:jc w:val="center"/>
        <w:rPr>
          <w:rFonts w:ascii="Arial Regular" w:hAnsi="Arial Regular" w:cs="Arial Regular"/>
          <w:sz w:val="24"/>
          <w:szCs w:val="24"/>
        </w:rPr>
      </w:pPr>
      <w:r>
        <w:rPr>
          <w:rFonts w:ascii="Arial Regular" w:hAnsi="Arial Regular" w:cs="Arial Regular"/>
          <w:sz w:val="24"/>
          <w:szCs w:val="24"/>
        </w:rPr>
        <w:t>Figure 5: Tesla Inc investment ratios from 2020 to 2024</w:t>
      </w:r>
    </w:p>
    <w:p w14:paraId="750097AA">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Earnings per Share (EPS) as well as return on Equity (ROE) are some investment ratios that investors uses for making investment decision. EPS reflects the amount of profit generated per share basis; whereas, ROE reflects the rate of return generated on equity value (Hutagalung, 2021). EPS reflects earning power of business and ROE shows efficiency in using shareholders' capital. Column chart revealed an uptrend in both EPS and ROE from 2020 to 2022, but both started falling from 2023 onwards. EPS declined from 4.73 to 2.23; whereas, ROE declined from 23.63% to 9.72% during 2024 (Tesla Inc, 2024). A fall in profits and rise in equity are the main causes behind the fall in EPS and ROE, which is a problem for the company. A fall in EPS and ROE indicates ineffective usage of equity and reduced returns for the shareholders.</w:t>
      </w:r>
    </w:p>
    <w:p w14:paraId="32C73D49">
      <w:pPr>
        <w:spacing w:line="360" w:lineRule="auto"/>
        <w:jc w:val="both"/>
        <w:rPr>
          <w:rFonts w:ascii="Arial Regular" w:hAnsi="Arial Regular" w:cs="Arial Regular"/>
          <w:sz w:val="24"/>
          <w:szCs w:val="24"/>
        </w:rPr>
      </w:pPr>
      <w:r>
        <w:rPr>
          <w:rFonts w:ascii="Arial Regular" w:hAnsi="Arial Regular" w:cs="Arial Regular"/>
          <w:i/>
          <w:iCs/>
          <w:sz w:val="24"/>
          <w:szCs w:val="24"/>
        </w:rPr>
        <w:t>Cash flow</w:t>
      </w:r>
    </w:p>
    <w:p w14:paraId="2086DBFC">
      <w:pPr>
        <w:spacing w:line="360" w:lineRule="auto"/>
        <w:jc w:val="center"/>
        <w:rPr>
          <w:rFonts w:ascii="Arial Regular" w:hAnsi="Arial Regular" w:cs="Arial Regular"/>
          <w:sz w:val="24"/>
          <w:szCs w:val="24"/>
        </w:rPr>
      </w:pPr>
      <w:r>
        <w:rPr>
          <w:rFonts w:ascii="Arial Regular" w:hAnsi="Arial Regular" w:cs="Arial Regular"/>
          <w:sz w:val="24"/>
          <w:szCs w:val="24"/>
        </w:rPr>
        <w:drawing>
          <wp:inline distT="0" distB="0" distL="114300" distR="114300">
            <wp:extent cx="4892040" cy="2792730"/>
            <wp:effectExtent l="6350" t="6350" r="29210" b="20320"/>
            <wp:docPr id="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0B20A71">
      <w:pPr>
        <w:spacing w:line="360" w:lineRule="auto"/>
        <w:jc w:val="center"/>
        <w:rPr>
          <w:rFonts w:ascii="Arial Regular" w:hAnsi="Arial Regular" w:cs="Arial Regular"/>
          <w:sz w:val="24"/>
          <w:szCs w:val="24"/>
        </w:rPr>
      </w:pPr>
      <w:r>
        <w:rPr>
          <w:rFonts w:ascii="Arial Regular" w:hAnsi="Arial Regular" w:cs="Arial Regular"/>
          <w:sz w:val="24"/>
          <w:szCs w:val="24"/>
        </w:rPr>
        <w:t>Figure 6: Tesla Inc cash flow ratios from 2020 to 2024</w:t>
      </w:r>
    </w:p>
    <w:p w14:paraId="79477E38">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Cash flow ratios like the operating cash flow ratio and cash flow ratios are used for evaluating cash availability or safety cushion as well as predicting financial failure (Jooste, 2007). These ratios are helpful for the purpose of evaluating the financial health of business entities. Both operating cash flow as well as cash flow ratio shows downtrend in the last 5 years. Although the company’s operating cash flow and cash flow have reduced in the last five years, but the company is still in strong financial health due to its possession of a huge amount of cash. This can be considered the biggest strength of the company.</w:t>
      </w:r>
    </w:p>
    <w:p w14:paraId="46C21D35">
      <w:pPr>
        <w:spacing w:line="360" w:lineRule="auto"/>
        <w:jc w:val="both"/>
        <w:rPr>
          <w:rFonts w:ascii="Arial Regular" w:hAnsi="Arial Regular" w:cs="Arial Regular"/>
          <w:sz w:val="24"/>
          <w:szCs w:val="24"/>
        </w:rPr>
      </w:pPr>
      <w:r>
        <w:rPr>
          <w:rFonts w:ascii="Arial Regular" w:hAnsi="Arial Regular" w:cs="Arial Regular"/>
          <w:b/>
          <w:bCs/>
          <w:sz w:val="24"/>
          <w:szCs w:val="24"/>
        </w:rPr>
        <w:t>Strengths, Weakness, Threats and Recommendations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0"/>
        <w:gridCol w:w="2840"/>
      </w:tblGrid>
      <w:tr w14:paraId="22EDEF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Borders>
              <w:top w:val="single" w:color="4F81BD" w:sz="8" w:space="0"/>
              <w:left w:val="single" w:color="4F81BD" w:sz="8" w:space="0"/>
              <w:bottom w:val="single" w:color="FFFFFF" w:sz="18" w:space="0"/>
              <w:right w:val="single" w:color="4F81BD" w:sz="8" w:space="0"/>
            </w:tcBorders>
            <w:shd w:val="clear" w:color="auto" w:fill="4F81BD"/>
          </w:tcPr>
          <w:p w14:paraId="1FE765A1">
            <w:pPr>
              <w:widowControl w:val="0"/>
              <w:spacing w:line="360" w:lineRule="auto"/>
              <w:jc w:val="both"/>
              <w:rPr>
                <w:rFonts w:ascii="Arial Regular" w:hAnsi="Arial Regular" w:cs="Arial Regular"/>
                <w:sz w:val="24"/>
                <w:szCs w:val="24"/>
              </w:rPr>
            </w:pPr>
            <w:r>
              <w:rPr>
                <w:rFonts w:ascii="Arial Regular" w:hAnsi="Arial Regular" w:cs="Arial Regular"/>
                <w:b/>
                <w:bCs/>
                <w:sz w:val="24"/>
                <w:szCs w:val="24"/>
              </w:rPr>
              <w:t>Strengths</w:t>
            </w:r>
          </w:p>
        </w:tc>
        <w:tc>
          <w:tcPr>
            <w:tcW w:w="2840" w:type="dxa"/>
            <w:tcBorders>
              <w:top w:val="single" w:color="4F81BD" w:sz="8" w:space="0"/>
              <w:left w:val="single" w:color="4F81BD" w:sz="8" w:space="0"/>
              <w:bottom w:val="single" w:color="FFFFFF" w:sz="18" w:space="0"/>
              <w:right w:val="single" w:color="4F81BD" w:sz="8" w:space="0"/>
            </w:tcBorders>
            <w:shd w:val="clear" w:color="auto" w:fill="4F81BD"/>
          </w:tcPr>
          <w:p w14:paraId="0B329022">
            <w:pPr>
              <w:widowControl w:val="0"/>
              <w:spacing w:line="360" w:lineRule="auto"/>
              <w:jc w:val="both"/>
              <w:rPr>
                <w:rFonts w:ascii="Arial Regular" w:hAnsi="Arial Regular" w:cs="Arial Regular"/>
                <w:b/>
                <w:bCs/>
                <w:sz w:val="24"/>
                <w:szCs w:val="24"/>
              </w:rPr>
            </w:pPr>
            <w:r>
              <w:rPr>
                <w:rFonts w:ascii="Arial Regular" w:hAnsi="Arial Regular" w:cs="Arial Regular"/>
                <w:b/>
                <w:bCs/>
                <w:sz w:val="24"/>
                <w:szCs w:val="24"/>
              </w:rPr>
              <w:t>Weakness</w:t>
            </w:r>
          </w:p>
        </w:tc>
        <w:tc>
          <w:tcPr>
            <w:tcW w:w="2840" w:type="dxa"/>
            <w:tcBorders>
              <w:top w:val="single" w:color="4F81BD" w:sz="8" w:space="0"/>
              <w:left w:val="single" w:color="4F81BD" w:sz="8" w:space="0"/>
              <w:bottom w:val="single" w:color="FFFFFF" w:sz="18" w:space="0"/>
              <w:right w:val="single" w:color="4F81BD" w:sz="8" w:space="0"/>
            </w:tcBorders>
            <w:shd w:val="clear" w:color="auto" w:fill="4F81BD"/>
          </w:tcPr>
          <w:p w14:paraId="2DD01622">
            <w:pPr>
              <w:widowControl w:val="0"/>
              <w:spacing w:line="360" w:lineRule="auto"/>
              <w:jc w:val="both"/>
              <w:rPr>
                <w:rFonts w:ascii="Arial Regular" w:hAnsi="Arial Regular" w:cs="Arial Regular"/>
                <w:sz w:val="24"/>
                <w:szCs w:val="24"/>
              </w:rPr>
            </w:pPr>
            <w:r>
              <w:rPr>
                <w:rFonts w:ascii="Arial Regular" w:hAnsi="Arial Regular" w:cs="Arial Regular"/>
                <w:b/>
                <w:bCs/>
                <w:sz w:val="24"/>
                <w:szCs w:val="24"/>
              </w:rPr>
              <w:t>Threat</w:t>
            </w:r>
          </w:p>
        </w:tc>
      </w:tr>
      <w:tr w14:paraId="339CBC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Borders>
              <w:top w:val="single" w:color="FFFFFF" w:sz="18" w:space="0"/>
              <w:left w:val="single" w:color="4F81BD" w:sz="8" w:space="0"/>
              <w:bottom w:val="single" w:color="4F81BD" w:sz="8" w:space="0"/>
              <w:right w:val="single" w:color="4F81BD" w:sz="8" w:space="0"/>
            </w:tcBorders>
            <w:shd w:val="clear" w:color="auto" w:fill="B8CCE4"/>
          </w:tcPr>
          <w:p w14:paraId="1D0A7AA4">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Strong growth in revenues</w:t>
            </w:r>
          </w:p>
          <w:p w14:paraId="360F9755">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Better liquidity position</w:t>
            </w:r>
          </w:p>
          <w:p w14:paraId="0F2D62BC">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Effective usage of inventory</w:t>
            </w:r>
          </w:p>
          <w:p w14:paraId="5B318B61">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Low financial leverage</w:t>
            </w:r>
          </w:p>
          <w:p w14:paraId="16BCF436">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Stable cash position</w:t>
            </w:r>
          </w:p>
        </w:tc>
        <w:tc>
          <w:tcPr>
            <w:tcW w:w="2840" w:type="dxa"/>
            <w:tcBorders>
              <w:top w:val="single" w:color="FFFFFF" w:sz="18" w:space="0"/>
              <w:left w:val="single" w:color="4F81BD" w:sz="8" w:space="0"/>
              <w:bottom w:val="single" w:color="4F81BD" w:sz="8" w:space="0"/>
              <w:right w:val="single" w:color="4F81BD" w:sz="8" w:space="0"/>
            </w:tcBorders>
            <w:shd w:val="clear" w:color="auto" w:fill="B8CCE4"/>
          </w:tcPr>
          <w:p w14:paraId="69F18BA3">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Fall in profits</w:t>
            </w:r>
          </w:p>
          <w:p w14:paraId="7286EC1D">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Investment in idle resources</w:t>
            </w:r>
          </w:p>
          <w:p w14:paraId="3D1D1710">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Ineffective use or excessive investment in assets</w:t>
            </w:r>
          </w:p>
          <w:p w14:paraId="200A847A">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Reduced shareholder returns</w:t>
            </w:r>
          </w:p>
          <w:p w14:paraId="4E88F09F">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Ineffective use of equity</w:t>
            </w:r>
          </w:p>
        </w:tc>
        <w:tc>
          <w:tcPr>
            <w:tcW w:w="2840" w:type="dxa"/>
            <w:tcBorders>
              <w:top w:val="single" w:color="FFFFFF" w:sz="18" w:space="0"/>
              <w:left w:val="single" w:color="4F81BD" w:sz="8" w:space="0"/>
              <w:bottom w:val="single" w:color="4F81BD" w:sz="8" w:space="0"/>
              <w:right w:val="single" w:color="4F81BD" w:sz="8" w:space="0"/>
            </w:tcBorders>
            <w:shd w:val="clear" w:color="auto" w:fill="B8CCE4"/>
          </w:tcPr>
          <w:p w14:paraId="7683D55B">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Stiff competition in EV industry especially from Chinese firms</w:t>
            </w:r>
          </w:p>
          <w:p w14:paraId="3A9CFCD8">
            <w:pPr>
              <w:widowControl w:val="0"/>
              <w:numPr>
                <w:ilvl w:val="0"/>
                <w:numId w:val="2"/>
              </w:numPr>
              <w:spacing w:line="360" w:lineRule="auto"/>
              <w:jc w:val="both"/>
              <w:rPr>
                <w:rFonts w:ascii="Arial Regular" w:hAnsi="Arial Regular" w:cs="Arial Regular"/>
                <w:sz w:val="24"/>
                <w:szCs w:val="24"/>
              </w:rPr>
            </w:pPr>
            <w:r>
              <w:rPr>
                <w:rFonts w:ascii="Arial Regular" w:hAnsi="Arial Regular" w:cs="Arial Regular"/>
                <w:sz w:val="24"/>
                <w:szCs w:val="24"/>
              </w:rPr>
              <w:t>Transition from growth phase to maturity or competitive phase</w:t>
            </w:r>
          </w:p>
        </w:tc>
      </w:tr>
    </w:tbl>
    <w:p w14:paraId="1F04694E">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Several recommendations can be made as part of the Tesla’s turnaround or financial strategy to address core problems and achieve sustainable growth:</w:t>
      </w:r>
    </w:p>
    <w:p w14:paraId="0748A4D7">
      <w:pPr>
        <w:numPr>
          <w:ilvl w:val="0"/>
          <w:numId w:val="2"/>
        </w:num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The company should focus on reducing unnecessary expenses or waste to reduce expenses and boost profits. Similarly, reducing fixed overheads is also another way to reduce expenses (Indeed, 2025). This will help the company in improving profit margins, creating value for shareholder, and maximising shareholder returns.</w:t>
      </w:r>
    </w:p>
    <w:p w14:paraId="08E874DF">
      <w:pPr>
        <w:numPr>
          <w:ilvl w:val="0"/>
          <w:numId w:val="2"/>
        </w:num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Selling unnecessary assets or investing idle resources in high-yield generating assets can prove to be favourable in addressing the current problem of ineffective use or excessive investment in assets (Wells Fargo, 2025).</w:t>
      </w:r>
    </w:p>
    <w:p w14:paraId="58D83B4B">
      <w:pPr>
        <w:numPr>
          <w:ilvl w:val="0"/>
          <w:numId w:val="2"/>
        </w:num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Improving asset utilisation is also crucial to address the problem of ineffective use of assets to generate higher sales. This can be achieved by tracking performance, automation, investing in technology, and conducting production facilities audits regularly.</w:t>
      </w:r>
    </w:p>
    <w:p w14:paraId="7A67937E">
      <w:pPr>
        <w:numPr>
          <w:ilvl w:val="0"/>
          <w:numId w:val="2"/>
        </w:num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Reducing selling price, conducting a study on customers for meeting required needs, and offering additional benefits compared to competitors can help in reducing stiff competition threat (Essenbee, 2026).</w:t>
      </w:r>
    </w:p>
    <w:p w14:paraId="72925483">
      <w:pPr>
        <w:pStyle w:val="2"/>
        <w:numPr>
          <w:ilvl w:val="0"/>
          <w:numId w:val="1"/>
        </w:numPr>
        <w:spacing w:before="0" w:after="0" w:line="360" w:lineRule="auto"/>
        <w:jc w:val="both"/>
        <w:rPr>
          <w:rFonts w:ascii="Arial Regular" w:hAnsi="Arial Regular" w:cs="Arial Regular"/>
          <w:sz w:val="24"/>
          <w:szCs w:val="24"/>
        </w:rPr>
      </w:pPr>
      <w:bookmarkStart w:id="4" w:name="_Toc2018336320"/>
      <w:r>
        <w:rPr>
          <w:rFonts w:ascii="Arial Regular" w:hAnsi="Arial Regular" w:cs="Arial Regular"/>
          <w:sz w:val="24"/>
          <w:szCs w:val="24"/>
        </w:rPr>
        <w:t>Analysis of working capital management</w:t>
      </w:r>
      <w:bookmarkEnd w:id="4"/>
    </w:p>
    <w:p w14:paraId="72C11CA6">
      <w:pPr>
        <w:spacing w:line="360" w:lineRule="auto"/>
        <w:jc w:val="both"/>
        <w:rPr>
          <w:rFonts w:ascii="Arial Regular" w:hAnsi="Arial Regular" w:cs="Arial Regular"/>
          <w:b/>
          <w:bCs/>
          <w:sz w:val="24"/>
          <w:szCs w:val="24"/>
        </w:rPr>
      </w:pPr>
      <w:r>
        <w:rPr>
          <w:rFonts w:ascii="Arial Regular" w:hAnsi="Arial Regular" w:cs="Arial Regular"/>
          <w:b/>
          <w:bCs/>
          <w:sz w:val="24"/>
          <w:szCs w:val="24"/>
        </w:rPr>
        <w:t>Cash operating cycle</w:t>
      </w:r>
    </w:p>
    <w:p w14:paraId="7574FE45">
      <w:pPr>
        <w:spacing w:line="360" w:lineRule="auto"/>
        <w:jc w:val="both"/>
        <w:rPr>
          <w:rFonts w:ascii="Arial Regular" w:hAnsi="Arial Regular" w:cs="Arial Regular"/>
          <w:b/>
          <w:bCs/>
          <w:sz w:val="24"/>
          <w:szCs w:val="24"/>
        </w:rPr>
      </w:pPr>
      <w:r>
        <w:rPr>
          <w:rFonts w:ascii="Arial Regular" w:hAnsi="Arial Regular" w:cs="Arial Regular"/>
          <w:sz w:val="24"/>
          <w:szCs w:val="24"/>
        </w:rPr>
        <w:t>(Refer to appendix 2 for detailed calculations of Cash Operating Cycle)</w:t>
      </w:r>
    </w:p>
    <w:p w14:paraId="244B818C">
      <w:pPr>
        <w:spacing w:line="360" w:lineRule="auto"/>
        <w:jc w:val="center"/>
        <w:rPr>
          <w:rFonts w:ascii="Arial Regular" w:hAnsi="Arial Regular" w:cs="Arial Regular"/>
          <w:sz w:val="24"/>
          <w:szCs w:val="24"/>
        </w:rPr>
      </w:pPr>
      <w:r>
        <w:rPr>
          <w:rFonts w:ascii="Arial Regular" w:hAnsi="Arial Regular" w:cs="Arial Regular"/>
          <w:sz w:val="24"/>
          <w:szCs w:val="24"/>
        </w:rPr>
        <w:drawing>
          <wp:inline distT="0" distB="0" distL="114300" distR="114300">
            <wp:extent cx="4848225" cy="2792730"/>
            <wp:effectExtent l="6350" t="6350" r="22225" b="20320"/>
            <wp:docPr id="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FB5A1A9">
      <w:pPr>
        <w:spacing w:line="360" w:lineRule="auto"/>
        <w:jc w:val="center"/>
        <w:rPr>
          <w:rFonts w:ascii="Arial Regular" w:hAnsi="Arial Regular" w:cs="Arial Regular"/>
          <w:sz w:val="24"/>
          <w:szCs w:val="24"/>
        </w:rPr>
      </w:pPr>
      <w:r>
        <w:rPr>
          <w:rFonts w:ascii="Arial Regular" w:hAnsi="Arial Regular" w:cs="Arial Regular"/>
          <w:sz w:val="24"/>
          <w:szCs w:val="24"/>
        </w:rPr>
        <w:t>Figure 7: Tesla Inc cash operating cycle from 2020 to 2024</w:t>
      </w:r>
    </w:p>
    <w:p w14:paraId="7607CD5F">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Cash operating cycle is a financial metric that is used for a period, which elapses between cash spent and cash collected. In other words, it reflects the time taken from the purchase of raw material for production to the collection of cash from customers. It has mainly 2 components namely operating cycle, which includes inventory conversion and average collection; and deferral payment period, which reflects the time taken by businesses for meeting vendors' obligations. The shorter cash operating cycle is best compared to a long cash operating cycle as the short cycle reflects faster conversion of receivables and inventories into cash (</w:t>
      </w:r>
      <w:r>
        <w:rPr>
          <w:rFonts w:ascii="Arial Regular" w:hAnsi="Arial Regular" w:eastAsia="SimSun"/>
          <w:sz w:val="24"/>
          <w:szCs w:val="24"/>
        </w:rPr>
        <w:t>Safira and Kavyashree, 2023</w:t>
      </w:r>
      <w:r>
        <w:rPr>
          <w:rFonts w:ascii="Arial Regular" w:hAnsi="Arial Regular" w:eastAsia="SimSun" w:cs="Arial Regular"/>
          <w:sz w:val="24"/>
          <w:szCs w:val="24"/>
          <w:lang w:bidi="ar"/>
        </w:rPr>
        <w:t>). It was found that the company’s inventory and receivable days are lower than payable days, which helped in generating a negative cash cycle from 2020 to 2022. Receivable, inventory and payable days during 2020 are 13 days, 52 days, and 91 days. However, a gradual rise in receivable and inventory days (from 13 to 17 days and 52 to 55 days), as well as a fall in payable days from 91 to 57, caused generating of a positive cash cycle. During the 2020s, the company gave priority on faster collection from debtors and faster conversion of raw material; however, this was reduced over time in the last few years, which reduced cash flows and affected liquidity. The company currently tied up cash flow in operations and is focusing on meeting obligations on priority rather than collecting outstanding funds and fast conversion of inventories into sales. This will affect working capital requirements and create pressure on liquidity.</w:t>
      </w:r>
    </w:p>
    <w:p w14:paraId="245EB4D1">
      <w:pPr>
        <w:spacing w:line="360" w:lineRule="auto"/>
        <w:jc w:val="both"/>
        <w:rPr>
          <w:rFonts w:ascii="Arial Regular" w:hAnsi="Arial Regular" w:cs="Arial Regular"/>
          <w:sz w:val="24"/>
          <w:szCs w:val="24"/>
        </w:rPr>
      </w:pPr>
      <w:r>
        <w:rPr>
          <w:rFonts w:ascii="Arial Regular" w:hAnsi="Arial Regular" w:cs="Arial Regular"/>
          <w:b/>
          <w:bCs/>
          <w:sz w:val="24"/>
          <w:szCs w:val="24"/>
        </w:rPr>
        <w:t>Strategies to improve liquidity</w:t>
      </w:r>
    </w:p>
    <w:p w14:paraId="604B80C7">
      <w:pPr>
        <w:spacing w:line="360" w:lineRule="auto"/>
        <w:jc w:val="both"/>
        <w:rPr>
          <w:rFonts w:ascii="Arial Regular" w:hAnsi="Arial Regular" w:cs="Arial Regular"/>
          <w:sz w:val="24"/>
          <w:szCs w:val="24"/>
        </w:rPr>
      </w:pPr>
      <w:r>
        <w:rPr>
          <w:rFonts w:ascii="Arial Regular" w:hAnsi="Arial Regular" w:cs="Arial Regular"/>
          <w:sz w:val="24"/>
          <w:szCs w:val="24"/>
        </w:rPr>
        <w:t>Different ways can be adopted as a strategic approach to improve liquidity. Some of the key strategies that company can adopt to improve liquidity are discussed hereunder:</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330"/>
        <w:gridCol w:w="5192"/>
      </w:tblGrid>
      <w:tr w14:paraId="5AE581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30" w:type="dxa"/>
            <w:tcBorders>
              <w:top w:val="single" w:color="4F81BD" w:sz="8" w:space="0"/>
              <w:left w:val="single" w:color="4F81BD" w:sz="8" w:space="0"/>
              <w:bottom w:val="single" w:color="4F81BD" w:sz="12" w:space="0"/>
              <w:right w:val="single" w:color="4F81BD" w:sz="8" w:space="0"/>
            </w:tcBorders>
            <w:shd w:val="clear" w:color="auto" w:fill="FFFFFF"/>
          </w:tcPr>
          <w:p w14:paraId="4B983DBD">
            <w:pPr>
              <w:widowControl w:val="0"/>
              <w:spacing w:line="360" w:lineRule="auto"/>
              <w:jc w:val="both"/>
              <w:rPr>
                <w:rFonts w:ascii="Arial Regular" w:hAnsi="Arial Regular" w:cs="Arial Regular"/>
                <w:sz w:val="24"/>
                <w:szCs w:val="24"/>
              </w:rPr>
            </w:pPr>
            <w:r>
              <w:rPr>
                <w:rFonts w:ascii="Arial Regular" w:hAnsi="Arial Regular" w:cs="Arial Regular"/>
                <w:sz w:val="24"/>
                <w:szCs w:val="24"/>
              </w:rPr>
              <w:t>Improve accounts receivable</w:t>
            </w:r>
          </w:p>
        </w:tc>
        <w:tc>
          <w:tcPr>
            <w:tcW w:w="5192" w:type="dxa"/>
            <w:tcBorders>
              <w:top w:val="single" w:color="4F81BD" w:sz="8" w:space="0"/>
              <w:left w:val="single" w:color="4F81BD" w:sz="8" w:space="0"/>
              <w:bottom w:val="single" w:color="4F81BD" w:sz="12" w:space="0"/>
              <w:right w:val="single" w:color="4F81BD" w:sz="8" w:space="0"/>
            </w:tcBorders>
            <w:shd w:val="clear" w:color="auto" w:fill="FFFFFF"/>
          </w:tcPr>
          <w:p w14:paraId="2A8567A2">
            <w:pPr>
              <w:widowControl w:val="0"/>
              <w:spacing w:line="360" w:lineRule="auto"/>
              <w:jc w:val="both"/>
              <w:rPr>
                <w:rFonts w:ascii="Arial Regular" w:hAnsi="Arial Regular" w:cs="Arial Regular"/>
                <w:sz w:val="24"/>
                <w:szCs w:val="24"/>
              </w:rPr>
            </w:pPr>
            <w:r>
              <w:rPr>
                <w:rFonts w:ascii="Arial Regular" w:hAnsi="Arial Regular" w:cs="Arial Regular"/>
                <w:sz w:val="24"/>
                <w:szCs w:val="24"/>
              </w:rPr>
              <w:t xml:space="preserve">Improving accounts receivable is the best strategy to improve liquidity. Offering discount on early payments as well as reducing payment terms can improve cash flows and liquidity (BDC, 2024). </w:t>
            </w:r>
          </w:p>
        </w:tc>
      </w:tr>
      <w:tr w14:paraId="30A133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30" w:type="dxa"/>
            <w:tcBorders>
              <w:top w:val="single" w:color="4F81BD" w:sz="12" w:space="0"/>
              <w:left w:val="single" w:color="4F81BD" w:sz="8" w:space="0"/>
              <w:bottom w:val="single" w:color="4F81BD" w:sz="8" w:space="0"/>
              <w:right w:val="single" w:color="4F81BD" w:sz="8" w:space="0"/>
            </w:tcBorders>
            <w:shd w:val="clear" w:color="auto" w:fill="DBE5F1"/>
          </w:tcPr>
          <w:p w14:paraId="31B447EA">
            <w:pPr>
              <w:widowControl w:val="0"/>
              <w:spacing w:line="360" w:lineRule="auto"/>
              <w:jc w:val="both"/>
              <w:rPr>
                <w:rFonts w:ascii="Arial Regular" w:hAnsi="Arial Regular" w:cs="Arial Regular"/>
                <w:sz w:val="24"/>
                <w:szCs w:val="24"/>
              </w:rPr>
            </w:pPr>
            <w:r>
              <w:rPr>
                <w:rFonts w:ascii="Arial Regular" w:hAnsi="Arial Regular" w:cs="Arial Regular"/>
                <w:sz w:val="24"/>
                <w:szCs w:val="24"/>
              </w:rPr>
              <w:t>Tighten trade payable</w:t>
            </w:r>
          </w:p>
        </w:tc>
        <w:tc>
          <w:tcPr>
            <w:tcW w:w="5192" w:type="dxa"/>
            <w:tcBorders>
              <w:top w:val="single" w:color="4F81BD" w:sz="12" w:space="0"/>
              <w:left w:val="single" w:color="4F81BD" w:sz="8" w:space="0"/>
              <w:bottom w:val="single" w:color="4F81BD" w:sz="8" w:space="0"/>
              <w:right w:val="single" w:color="4F81BD" w:sz="8" w:space="0"/>
            </w:tcBorders>
            <w:shd w:val="clear" w:color="auto" w:fill="DBE5F1"/>
          </w:tcPr>
          <w:p w14:paraId="6C37B82B">
            <w:pPr>
              <w:widowControl w:val="0"/>
              <w:spacing w:line="360" w:lineRule="auto"/>
              <w:jc w:val="both"/>
              <w:rPr>
                <w:rFonts w:ascii="Arial Regular" w:hAnsi="Arial Regular" w:cs="Arial Regular"/>
                <w:sz w:val="24"/>
                <w:szCs w:val="24"/>
              </w:rPr>
            </w:pPr>
            <w:r>
              <w:rPr>
                <w:rFonts w:ascii="Arial Regular" w:hAnsi="Arial Regular" w:cs="Arial Regular"/>
                <w:sz w:val="24"/>
                <w:szCs w:val="24"/>
              </w:rPr>
              <w:t>Negotiating regarding discount for early payments can help improving liquidity. Similarly, negotiating better payment terms can also enable in delaying payments and improving liquidity for short-term.</w:t>
            </w:r>
          </w:p>
        </w:tc>
      </w:tr>
      <w:tr w14:paraId="1F5A92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30" w:type="dxa"/>
            <w:tcBorders>
              <w:top w:val="single" w:color="4F81BD" w:sz="8" w:space="0"/>
              <w:left w:val="single" w:color="4F81BD" w:sz="8" w:space="0"/>
              <w:bottom w:val="single" w:color="4F81BD" w:sz="8" w:space="0"/>
              <w:right w:val="single" w:color="4F81BD" w:sz="8" w:space="0"/>
            </w:tcBorders>
            <w:shd w:val="clear" w:color="auto" w:fill="FFFFFF"/>
          </w:tcPr>
          <w:p w14:paraId="33415BF0">
            <w:pPr>
              <w:widowControl w:val="0"/>
              <w:spacing w:line="360" w:lineRule="auto"/>
              <w:jc w:val="both"/>
              <w:rPr>
                <w:rFonts w:ascii="Arial Regular" w:hAnsi="Arial Regular" w:cs="Arial Regular"/>
                <w:sz w:val="24"/>
                <w:szCs w:val="24"/>
              </w:rPr>
            </w:pPr>
            <w:r>
              <w:rPr>
                <w:rFonts w:ascii="Arial Regular" w:hAnsi="Arial Regular" w:cs="Arial Regular"/>
                <w:sz w:val="24"/>
                <w:szCs w:val="24"/>
              </w:rPr>
              <w:t>Financing options</w:t>
            </w:r>
          </w:p>
        </w:tc>
        <w:tc>
          <w:tcPr>
            <w:tcW w:w="5192" w:type="dxa"/>
            <w:tcBorders>
              <w:top w:val="single" w:color="4F81BD" w:sz="8" w:space="0"/>
              <w:left w:val="single" w:color="4F81BD" w:sz="8" w:space="0"/>
              <w:bottom w:val="single" w:color="4F81BD" w:sz="8" w:space="0"/>
              <w:right w:val="single" w:color="4F81BD" w:sz="8" w:space="0"/>
            </w:tcBorders>
            <w:shd w:val="clear" w:color="auto" w:fill="FFFFFF"/>
          </w:tcPr>
          <w:p w14:paraId="6D70E6FE">
            <w:pPr>
              <w:widowControl w:val="0"/>
              <w:spacing w:line="360" w:lineRule="auto"/>
              <w:jc w:val="both"/>
              <w:rPr>
                <w:rFonts w:ascii="Arial Regular" w:hAnsi="Arial Regular" w:cs="Arial Regular"/>
                <w:sz w:val="24"/>
                <w:szCs w:val="24"/>
              </w:rPr>
            </w:pPr>
            <w:r>
              <w:rPr>
                <w:rFonts w:ascii="Arial Regular" w:hAnsi="Arial Regular" w:cs="Arial Regular"/>
                <w:sz w:val="24"/>
                <w:szCs w:val="24"/>
              </w:rPr>
              <w:t>Effective management of working capital reduces dependencies on external funds. Thus, considering different financing option during need like invoicing or credit lines can help in improving cash flows and addressing problem of cash flow gaps (Golembieski, 2025).</w:t>
            </w:r>
          </w:p>
        </w:tc>
      </w:tr>
      <w:tr w14:paraId="66B2AC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30" w:type="dxa"/>
            <w:tcBorders>
              <w:top w:val="single" w:color="4F81BD" w:sz="8" w:space="0"/>
              <w:left w:val="single" w:color="4F81BD" w:sz="8" w:space="0"/>
              <w:bottom w:val="single" w:color="4F81BD" w:sz="8" w:space="0"/>
              <w:right w:val="single" w:color="4F81BD" w:sz="8" w:space="0"/>
            </w:tcBorders>
            <w:shd w:val="clear" w:color="auto" w:fill="DBE5F1"/>
          </w:tcPr>
          <w:p w14:paraId="70A71546">
            <w:pPr>
              <w:widowControl w:val="0"/>
              <w:spacing w:line="360" w:lineRule="auto"/>
              <w:jc w:val="both"/>
              <w:rPr>
                <w:rFonts w:ascii="Arial Regular" w:hAnsi="Arial Regular" w:cs="Arial Regular"/>
                <w:sz w:val="24"/>
                <w:szCs w:val="24"/>
              </w:rPr>
            </w:pPr>
            <w:r>
              <w:rPr>
                <w:rFonts w:ascii="Arial Regular" w:hAnsi="Arial Regular" w:cs="Arial Regular"/>
                <w:sz w:val="24"/>
                <w:szCs w:val="24"/>
              </w:rPr>
              <w:t>Reducing operational expenses</w:t>
            </w:r>
          </w:p>
        </w:tc>
        <w:tc>
          <w:tcPr>
            <w:tcW w:w="5192" w:type="dxa"/>
            <w:tcBorders>
              <w:top w:val="single" w:color="4F81BD" w:sz="8" w:space="0"/>
              <w:left w:val="single" w:color="4F81BD" w:sz="8" w:space="0"/>
              <w:bottom w:val="single" w:color="4F81BD" w:sz="8" w:space="0"/>
              <w:right w:val="single" w:color="4F81BD" w:sz="8" w:space="0"/>
            </w:tcBorders>
            <w:shd w:val="clear" w:color="auto" w:fill="DBE5F1"/>
          </w:tcPr>
          <w:p w14:paraId="54E81677">
            <w:pPr>
              <w:widowControl w:val="0"/>
              <w:spacing w:line="360" w:lineRule="auto"/>
              <w:jc w:val="both"/>
              <w:rPr>
                <w:rFonts w:ascii="Arial Regular" w:hAnsi="Arial Regular" w:cs="Arial Regular"/>
                <w:sz w:val="24"/>
                <w:szCs w:val="24"/>
              </w:rPr>
            </w:pPr>
            <w:r>
              <w:rPr>
                <w:rFonts w:ascii="Arial Regular" w:hAnsi="Arial Regular" w:cs="Arial Regular"/>
                <w:sz w:val="24"/>
                <w:szCs w:val="24"/>
              </w:rPr>
              <w:t>Reducing operation expenses is another strategic approach to improve liquidity, which can be done by outsourcing some business functions or optimising business process.</w:t>
            </w:r>
          </w:p>
        </w:tc>
      </w:tr>
    </w:tbl>
    <w:p w14:paraId="6F9ADDBA">
      <w:pPr>
        <w:spacing w:line="360" w:lineRule="auto"/>
        <w:jc w:val="both"/>
        <w:rPr>
          <w:rFonts w:ascii="Arial Regular" w:hAnsi="Arial Regular" w:cs="Arial Regular"/>
          <w:b/>
          <w:bCs/>
          <w:sz w:val="24"/>
          <w:szCs w:val="24"/>
        </w:rPr>
      </w:pPr>
      <w:r>
        <w:rPr>
          <w:rFonts w:ascii="Arial Regular" w:hAnsi="Arial Regular" w:cs="Arial Regular"/>
          <w:sz w:val="24"/>
          <w:szCs w:val="24"/>
        </w:rPr>
        <w:t>Tesla Inc can also use above strategies to improve liquidity through working capital reforms.</w:t>
      </w:r>
    </w:p>
    <w:p w14:paraId="23391272">
      <w:pPr>
        <w:spacing w:line="360" w:lineRule="auto"/>
        <w:jc w:val="both"/>
        <w:rPr>
          <w:rFonts w:ascii="Arial Regular" w:hAnsi="Arial Regular" w:cs="Arial Regular"/>
          <w:sz w:val="24"/>
          <w:szCs w:val="24"/>
        </w:rPr>
      </w:pPr>
      <w:r>
        <w:rPr>
          <w:rFonts w:ascii="Arial Regular" w:hAnsi="Arial Regular" w:cs="Arial Regular"/>
          <w:b/>
          <w:bCs/>
          <w:sz w:val="24"/>
          <w:szCs w:val="24"/>
        </w:rPr>
        <w:t>Short-term and long-term financing options</w:t>
      </w:r>
    </w:p>
    <w:p w14:paraId="5F856C37">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It is quite difficult for companies to select from short or long-term financing options due to the different risk-return trade-off. For instance, short-term financing is more risky as compared to long-term financing due to unknown future interest rates. Similarly, short-term is also risky as business entities faces problems in renewing short-term debts. In short, short-term financing options arise with renewal and interest rate risk. However, the cost of short-term financing is quite lower than that of long-term financing. On the contrary, business entities knows financial obligations for the entire period in long-term sources of finance but have a high cost of capital. Short-term financing options can be selected for managing working capital and long-term sources can be used for business expansion or investment in fixed assets (Kinara, 2024). Both short-term and long-term sources of finance are discussed in the next section.</w:t>
      </w:r>
    </w:p>
    <w:p w14:paraId="1C955ACA">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Overdraft, credit line, discounting and factoring are some of the most useful short-term sources of finance. Overdraft refers to the facility for companies to withdraw funds over the account balance up to a certain limit. Overdrafts are unsecured and have variable interest rates, which makes it better option for managing cash shortages. Additionally, a credit line is another source which allows business entities to borrow funds multiple times. It is secured and helps in managing working capital; however, regular payment of interest is the main drawback of credit lines. Further, short-term loans are another option, which are secured and allow borrowing fixed capital from financial institutions. Moreover, discounting as well as factoring are also other short-term source of finance, which allows business entities in converting trade receivables into cash. Discounting allows receiving funds from a lender; whereas, factoring allows selling invoices to banks at discounts, which helps in improving liquidity (</w:t>
      </w:r>
      <w:r>
        <w:rPr>
          <w:rFonts w:ascii="Arial Regular" w:hAnsi="Arial Regular" w:eastAsia="SimSun"/>
          <w:sz w:val="24"/>
          <w:szCs w:val="24"/>
        </w:rPr>
        <w:t>Baresa, Bogdan and Ivanovic, 2017</w:t>
      </w:r>
      <w:r>
        <w:rPr>
          <w:rFonts w:ascii="Arial Regular" w:hAnsi="Arial Regular" w:eastAsia="SimSun" w:cs="Arial Regular"/>
          <w:sz w:val="24"/>
          <w:szCs w:val="24"/>
          <w:lang w:bidi="ar"/>
        </w:rPr>
        <w:t>).</w:t>
      </w:r>
    </w:p>
    <w:p w14:paraId="28C8C4EF">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The company can also opt for different long-term source of finance like equity, preference shares, debentures, and others. Equity financing helps in raising capital with the help of issuing shares in the market. No requirement for mortgage as well as dividend payment is a key strength of equity financing; however, loss of control and high cost are some of the key drawbacks of equity financing (Capstone, 2023). Additionally, preference shares are another source or hybrid securities that companies issue for raising capital from the market. It is a flexible source of finance, which does not dilute ownership of the company. However, high cost as well as fixed dividend obligation are some of the key drawbacks of preference shares (Schmidt, 2020). Further, another long-term funding source is debentures, which is an instrument issues by companies to raise funds in exchange for interest payments. It is a cheaper source of finance and does not dilute ownership; however, rigid interest payments are the main drawback of debentures (Karle, 2021).</w:t>
      </w:r>
    </w:p>
    <w:p w14:paraId="3937DE97">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Overall, different sources have different strengths and drawbacks, and the company can select sources based on its specific business requirements. However, based on net income theory, it can be helpful to use a mix of debt and equity because it reduces the overall cost of capital and increases the company’s value (Pandey, n.d.). Thus, it can be stated that forming a capital structure by using both equity and debentures can be helpful for the company, which will also assist in reducing current issue related to fall in interest cover through optimal mix of equity and debentures.</w:t>
      </w:r>
    </w:p>
    <w:p w14:paraId="2F63118F">
      <w:pPr>
        <w:pStyle w:val="2"/>
        <w:numPr>
          <w:ilvl w:val="0"/>
          <w:numId w:val="1"/>
        </w:numPr>
        <w:spacing w:before="0" w:after="0" w:line="360" w:lineRule="auto"/>
        <w:jc w:val="both"/>
        <w:rPr>
          <w:rFonts w:ascii="Arial Regular" w:hAnsi="Arial Regular" w:cs="Arial Regular"/>
          <w:sz w:val="24"/>
          <w:szCs w:val="24"/>
        </w:rPr>
      </w:pPr>
      <w:bookmarkStart w:id="5" w:name="_Toc526842228"/>
      <w:r>
        <w:rPr>
          <w:rFonts w:ascii="Arial Regular" w:hAnsi="Arial Regular" w:cs="Arial Regular"/>
          <w:sz w:val="24"/>
          <w:szCs w:val="24"/>
        </w:rPr>
        <w:t>Strategic financial restructuring plan</w:t>
      </w:r>
      <w:bookmarkEnd w:id="5"/>
    </w:p>
    <w:p w14:paraId="06A57877">
      <w:pPr>
        <w:spacing w:line="360" w:lineRule="auto"/>
        <w:jc w:val="both"/>
        <w:rPr>
          <w:rFonts w:ascii="Arial Regular" w:hAnsi="Arial Regular" w:cs="Arial Regular"/>
          <w:b/>
          <w:i/>
          <w:sz w:val="24"/>
          <w:szCs w:val="24"/>
        </w:rPr>
      </w:pPr>
      <w:r>
        <w:rPr>
          <w:rFonts w:ascii="Arial Regular" w:hAnsi="Arial Regular" w:cs="Arial Regular"/>
          <w:b/>
          <w:iCs/>
          <w:sz w:val="24"/>
          <w:szCs w:val="24"/>
        </w:rPr>
        <w:t>Recommending Financial Restructuring Options</w:t>
      </w:r>
    </w:p>
    <w:p w14:paraId="150B14B8">
      <w:pPr>
        <w:spacing w:line="360" w:lineRule="auto"/>
        <w:jc w:val="both"/>
        <w:rPr>
          <w:rFonts w:ascii="Arial Regular" w:hAnsi="Arial Regular" w:cs="Arial Regular"/>
          <w:sz w:val="24"/>
          <w:szCs w:val="24"/>
        </w:rPr>
      </w:pPr>
      <w:r>
        <w:rPr>
          <w:rFonts w:ascii="Arial Regular" w:hAnsi="Arial Regular" w:cs="Arial Regular"/>
          <w:sz w:val="24"/>
          <w:szCs w:val="24"/>
        </w:rPr>
        <w:t>Based on the computed and analysed ratios for Tesla, multiple financial restructuring options could be recommended to improve the overall position of the company. The primary recommendation is divestiture of Underutilised or Idle Assets, as the higher current ratio, along with a lower asset turnover ratio, shows that Tesla is carrying excess current assets and possibly idle resources.  In such instances, companies like Tesla must detect underutilised or non-performing assets like redundant facilities, surplus inventor low yield investments and consider divestiture. Moreover, selling idle assets releases tied-up capital, advances asset turnover, and allows investing them back into high-performing areas like automation or advanced battery technology (Authority, 2017). Thus, this approach will also assist in decreasing holding costs and increasing complete operational efficiency. Further, the reduction in the interest coverage ratio shows decreased ability to pay off debt because of falling profits, which require debt optimisation and interest cost management. Thereby, the company must renegotiate terms of interest with lenders, could refinance ongoing debt at a lower rate of interest or replace short-term debt with long-term structured financing (McCoy et al., 2020). This will decrease interest burden, advance interest coverage ratio and stabilise overall cash flows.</w:t>
      </w:r>
    </w:p>
    <w:p w14:paraId="6526A61E">
      <w:pPr>
        <w:spacing w:line="360" w:lineRule="auto"/>
        <w:jc w:val="both"/>
        <w:rPr>
          <w:rFonts w:ascii="Arial Regular" w:hAnsi="Arial Regular" w:cs="Arial Regular"/>
          <w:sz w:val="24"/>
          <w:szCs w:val="24"/>
        </w:rPr>
      </w:pPr>
      <w:r>
        <w:rPr>
          <w:rFonts w:ascii="Arial Regular" w:hAnsi="Arial Regular" w:cs="Arial Regular"/>
          <w:sz w:val="24"/>
          <w:szCs w:val="24"/>
        </w:rPr>
        <w:t>Further, the reduction in EPS and ROE highlights inefficient use of capital, which makes equity injection or capital reallocation essential. The company may consider a proper internal capital restructuring or equity injection to fund high-return investments like energy storage expansion. However, it is necessary that equity be used selectively for investments with robust projected returns to make sure higher shareholder value and improved profitability. Share buybacks are another alternative if excess equity capital exists, which could balance EPS with market confidence (Ezekoye, 2016). Lastly, the company may go for selective acquisitions, mergers, or strategic alliances with supply chain and technology firms. Such collaborations can advance the use of resources, decrease operational expenses, and increase production efficiency, which eventually improves asset turnover and profitability ratios. Overall, applying such restructuring approaches will strengthen the financial efficiency of the company along with optimising resource use and improving long-run shareholder return.</w:t>
      </w:r>
    </w:p>
    <w:p w14:paraId="16BFAD7C">
      <w:pPr>
        <w:spacing w:line="360" w:lineRule="auto"/>
        <w:jc w:val="both"/>
        <w:rPr>
          <w:rFonts w:ascii="Arial Regular" w:hAnsi="Arial Regular" w:cs="Arial Regular"/>
          <w:b/>
          <w:i/>
          <w:sz w:val="24"/>
          <w:szCs w:val="24"/>
        </w:rPr>
      </w:pPr>
      <w:r>
        <w:rPr>
          <w:rFonts w:ascii="Arial Regular" w:hAnsi="Arial Regular" w:cs="Arial Regular"/>
          <w:b/>
          <w:iCs/>
          <w:sz w:val="24"/>
          <w:szCs w:val="24"/>
        </w:rPr>
        <w:t>Evaluating Impact on Shareholder Value, Debt Structure, and Operational Flexibility</w:t>
      </w:r>
    </w:p>
    <w:p w14:paraId="526F26B1">
      <w:pPr>
        <w:spacing w:line="360" w:lineRule="auto"/>
        <w:jc w:val="both"/>
        <w:rPr>
          <w:rFonts w:ascii="Arial Regular" w:hAnsi="Arial Regular" w:cs="Arial Regular"/>
          <w:sz w:val="24"/>
          <w:szCs w:val="24"/>
        </w:rPr>
      </w:pPr>
      <w:r>
        <w:rPr>
          <w:rFonts w:ascii="Arial Regular" w:hAnsi="Arial Regular" w:cs="Arial Regular"/>
          <w:sz w:val="24"/>
          <w:szCs w:val="24"/>
        </w:rPr>
        <w:t>The offered financial restructuring approaches are anticipated to considerably impact debt structure, shareholder value, and overall operational flexibility of Tesla. In terms of impact on shareholder value, the divestiture of underutilised or idle assets will probably increase shareholder value by improving profitability and asset use. By turning non-performing assets into liquidity funds and investing them back into high-return projects, the company can improve its EPS and ROE. Moreover, strategic equity restructuring along with selective share buybacks may further boost shareholder wealth by decreasing excess equity and increasing earnings per share. In addition, greater profitability and adequate use of resources enhance investor confidence that a possible increase in market value and strengthen long-run shareholder returns (Arshad et al., 2023). In terms of impact on debt structure, debt optimisation approaches like refinancing existing borrowing at reduced interest rates or turning short-term debt into long-term liabilities are likely to create a more balanced and controllable debt structure.</w:t>
      </w:r>
    </w:p>
    <w:p w14:paraId="0D2C3A6E">
      <w:pPr>
        <w:spacing w:line="360" w:lineRule="auto"/>
        <w:jc w:val="both"/>
        <w:rPr>
          <w:rFonts w:ascii="Arial Regular" w:hAnsi="Arial Regular" w:cs="Arial Regular"/>
          <w:sz w:val="24"/>
          <w:szCs w:val="24"/>
        </w:rPr>
      </w:pPr>
      <w:r>
        <w:rPr>
          <w:rFonts w:ascii="Arial Regular" w:hAnsi="Arial Regular" w:cs="Arial Regular"/>
          <w:sz w:val="24"/>
          <w:szCs w:val="24"/>
        </w:rPr>
        <w:t>Such changes are anticipated to upgrade the interest coverage ratio by decreasing finance cost and spreading repayment liabilities over a longer time. Moreover, keeping a balanced debt-to-equity ratio assists companies in retaining financial stability, along with ensuring access to additional funds when needed (Nukala and Prasada Rao, 2021). Overall, restructuring debt will lower financial threat and strengthen the overall creditworthiness of the company. In terms of impact on operational flexibility, operational flexibility is anticipated to improve through divestitures and overall strategic collaborations. Selling redundant assets will decrease operational complexity and allow management to focus on primary activities like product efficiency and innovation. Moreover, strategic alliances could increase access to advanced supply chain efficiencies and technology that enables companies to respond rapidly to market changes (Roy and Satpathy, 2019). Further, greater liquidity from released capital will allow Tesla to invest in upcoming opportunities, alter production levels, and manage uncertainties adequately. Hence, such restructuring alternatives are expected to form a robust financial base along with improving adaptability and long-run sustainability.</w:t>
      </w:r>
    </w:p>
    <w:p w14:paraId="74CA578A">
      <w:pPr>
        <w:spacing w:line="360" w:lineRule="auto"/>
        <w:jc w:val="both"/>
        <w:rPr>
          <w:rFonts w:ascii="Arial Regular" w:hAnsi="Arial Regular" w:cs="Arial Regular"/>
          <w:b/>
          <w:i/>
          <w:sz w:val="24"/>
          <w:szCs w:val="24"/>
        </w:rPr>
      </w:pPr>
      <w:r>
        <w:rPr>
          <w:rFonts w:ascii="Arial Regular" w:hAnsi="Arial Regular" w:cs="Arial Regular"/>
          <w:b/>
          <w:iCs/>
          <w:sz w:val="24"/>
          <w:szCs w:val="24"/>
        </w:rPr>
        <w:t xml:space="preserve">International and Ethical Considerations            </w:t>
      </w:r>
      <w:r>
        <w:rPr>
          <w:rFonts w:ascii="Arial Regular" w:hAnsi="Arial Regular" w:cs="Arial Regular"/>
          <w:b/>
          <w:i/>
          <w:sz w:val="24"/>
          <w:szCs w:val="24"/>
        </w:rPr>
        <w:t xml:space="preserve">           </w:t>
      </w:r>
    </w:p>
    <w:p w14:paraId="118D3136">
      <w:pPr>
        <w:spacing w:line="360" w:lineRule="auto"/>
        <w:jc w:val="both"/>
        <w:rPr>
          <w:rFonts w:ascii="Arial Regular" w:hAnsi="Arial Regular" w:cs="Arial Regular"/>
          <w:sz w:val="24"/>
          <w:szCs w:val="24"/>
        </w:rPr>
      </w:pPr>
      <w:r>
        <w:rPr>
          <w:rFonts w:ascii="Arial Regular" w:hAnsi="Arial Regular" w:cs="Arial Regular"/>
          <w:sz w:val="24"/>
          <w:szCs w:val="24"/>
        </w:rPr>
        <w:t>While applying financial restructuring strategies, Tesla should carefully consider ethical and international factors like taxation, CSR, current risk, and inflation, as the company works across various global markets. Global taxation polices could considerably impact restructuring decisions like mergers, divestitures, or equity restructuring. The company should evaluate the tax implications of shifting operations or selling assets, as capital gain taxes, corporate tax, and import duties vary across jurisdictions. Moreover, efficient tax planning, like the use of tax credits for investments in renewable energy, could decrease tax liabilities and advance complete profitability (STELLA, n.d). However, ethical compliance with global tax rules is important to limit legal penalties and maintain corporate reputation.</w:t>
      </w:r>
    </w:p>
    <w:p w14:paraId="70A5A3A1">
      <w:pPr>
        <w:spacing w:line="360" w:lineRule="auto"/>
        <w:jc w:val="both"/>
        <w:rPr>
          <w:rFonts w:ascii="Arial Regular" w:hAnsi="Arial Regular" w:cs="Arial Regular"/>
          <w:sz w:val="24"/>
          <w:szCs w:val="24"/>
        </w:rPr>
      </w:pPr>
      <w:r>
        <w:rPr>
          <w:rFonts w:ascii="Arial Regular" w:hAnsi="Arial Regular" w:cs="Arial Regular"/>
          <w:sz w:val="24"/>
          <w:szCs w:val="24"/>
        </w:rPr>
        <w:t>Further, as the company operates at the international level, it faces currency exchange risks because of changes in international exchange rates. Income earned in distinct currencies may lose its value when turned into the reporting currency, which impacts shareholder return and profitability. To manage current risk, companies adopt hedging approaches like currency diversification or forward contracts (Tiwary, 2019). In addition, inflation in several nations can increase operational and production costs, particularly for logistics and raw materials. Effective financial planning, pricing adjustments, and cost control approaches can assist Tesla Inc mitigate inflationary influences and maintaining financial stability.</w:t>
      </w:r>
    </w:p>
    <w:p w14:paraId="1D834E7A">
      <w:pPr>
        <w:spacing w:line="360" w:lineRule="auto"/>
        <w:jc w:val="both"/>
        <w:rPr>
          <w:rFonts w:ascii="Arial Regular" w:hAnsi="Arial Regular" w:cs="Arial Regular"/>
          <w:sz w:val="24"/>
          <w:szCs w:val="24"/>
        </w:rPr>
      </w:pPr>
      <w:r>
        <w:rPr>
          <w:rFonts w:ascii="Arial Regular" w:hAnsi="Arial Regular" w:cs="Arial Regular"/>
          <w:sz w:val="24"/>
          <w:szCs w:val="24"/>
        </w:rPr>
        <w:t>Lastly, financial restructuring must relate to robust social and ethical responsibility practices. For example, divestiture decisions must consider community impact and employee welfare, especially in areas where facilities may be sold or closed. Tesla Inc should ensure that restructuring does not compromise social and environmental liabilities, as sustainability remains primary to the brand value. Keeping open communication with different stakeholders, assisting fair labour practices, and continuing investments in renewable energy initiatives will strengthen their trust and increase long-term brand value. Hence, integrating ethical and global considerations into financial restructuring ensures sustainable growth and responsible value formation for stakeholders.</w:t>
      </w:r>
    </w:p>
    <w:p w14:paraId="516662E1">
      <w:pPr>
        <w:pStyle w:val="2"/>
        <w:numPr>
          <w:ilvl w:val="0"/>
          <w:numId w:val="1"/>
        </w:numPr>
        <w:spacing w:before="0" w:after="0" w:line="360" w:lineRule="auto"/>
        <w:jc w:val="both"/>
        <w:rPr>
          <w:rFonts w:ascii="Arial Regular" w:hAnsi="Arial Regular" w:cs="Arial Regular"/>
          <w:sz w:val="24"/>
          <w:szCs w:val="24"/>
        </w:rPr>
      </w:pPr>
      <w:bookmarkStart w:id="6" w:name="_Toc562249415"/>
      <w:r>
        <w:rPr>
          <w:rFonts w:ascii="Arial Regular" w:hAnsi="Arial Regular" w:cs="Arial Regular"/>
          <w:sz w:val="24"/>
          <w:szCs w:val="24"/>
        </w:rPr>
        <w:t>Investment appraisal and capital budgeting</w:t>
      </w:r>
      <w:bookmarkEnd w:id="6"/>
    </w:p>
    <w:p w14:paraId="5FEC334B">
      <w:pPr>
        <w:spacing w:line="360" w:lineRule="auto"/>
        <w:jc w:val="both"/>
        <w:rPr>
          <w:rFonts w:ascii="Arial Regular" w:hAnsi="Arial Regular" w:cs="Arial Regular"/>
          <w:sz w:val="24"/>
          <w:szCs w:val="24"/>
        </w:rPr>
      </w:pPr>
      <w:r>
        <w:rPr>
          <w:rFonts w:ascii="Arial Regular" w:hAnsi="Arial Regular" w:cs="Arial Regular"/>
          <w:b/>
          <w:bCs/>
          <w:sz w:val="24"/>
          <w:szCs w:val="24"/>
        </w:rPr>
        <w:t>Discussion of investment appraisal techniques</w:t>
      </w:r>
    </w:p>
    <w:p w14:paraId="0378B11F">
      <w:pPr>
        <w:spacing w:line="360" w:lineRule="auto"/>
        <w:jc w:val="both"/>
        <w:rPr>
          <w:rFonts w:ascii="Arial Regular" w:hAnsi="Arial Regular" w:cs="Arial Regular"/>
          <w:sz w:val="24"/>
          <w:szCs w:val="24"/>
        </w:rPr>
      </w:pPr>
      <w:r>
        <w:rPr>
          <w:rFonts w:ascii="Arial Regular" w:hAnsi="Arial Regular" w:cs="Arial Regular"/>
          <w:i/>
          <w:iCs/>
          <w:sz w:val="24"/>
          <w:szCs w:val="24"/>
        </w:rPr>
        <w:t>Payback Period (PBP)</w:t>
      </w:r>
    </w:p>
    <w:p w14:paraId="482FA2D1">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PBP is the technique that enables project managers to recoup investment in computing time. It tells how much time the project takes to cover the entire investment made initially. A project with a short payback is feasible compared to a long payback due to the fast recovery of the investment. Easy method and preference for liquidity are some major advantages of payback; however, it also has several limitations. For instance, it does not cover all cash flows as it ignores after payback cash flows. Similarly, it also lacks in considering an important concept, namely, the time value of money (Cotter, 2023).</w:t>
      </w:r>
    </w:p>
    <w:p w14:paraId="6685FA60">
      <w:pPr>
        <w:spacing w:line="360" w:lineRule="auto"/>
        <w:jc w:val="both"/>
        <w:rPr>
          <w:rFonts w:ascii="Arial Regular" w:hAnsi="Arial Regular" w:cs="Arial Regular"/>
          <w:sz w:val="24"/>
          <w:szCs w:val="24"/>
        </w:rPr>
      </w:pPr>
      <w:r>
        <w:rPr>
          <w:rFonts w:ascii="Arial Regular" w:hAnsi="Arial Regular" w:eastAsia="SimSun" w:cs="Arial Regular"/>
          <w:i/>
          <w:iCs/>
          <w:sz w:val="24"/>
          <w:szCs w:val="24"/>
          <w:lang w:bidi="ar"/>
        </w:rPr>
        <w:t>Accounting Rate of Return (ARR)</w:t>
      </w:r>
    </w:p>
    <w:p w14:paraId="3CE31588">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ARR is another technique similar to return on investment, which measures profits generated by an investment. It does not deal with cash flows and is the only technique that focuses on profits. Investment in a project with high ARR is more favourable than investing in a project with low ARR. It is not only simple and easy but it also helps in determining financial performance of project. However, ARR ignores both the timing of cash and the time value of money, which are the main limitations of the ARR technique (Gurung, 2025).</w:t>
      </w:r>
    </w:p>
    <w:p w14:paraId="6EBDE862">
      <w:pPr>
        <w:spacing w:line="360" w:lineRule="auto"/>
        <w:jc w:val="both"/>
        <w:rPr>
          <w:rFonts w:ascii="Arial Regular" w:hAnsi="Arial Regular" w:cs="Arial Regular"/>
          <w:sz w:val="24"/>
          <w:szCs w:val="24"/>
        </w:rPr>
      </w:pPr>
      <w:r>
        <w:rPr>
          <w:rFonts w:ascii="Arial Regular" w:hAnsi="Arial Regular" w:eastAsia="SimSun" w:cs="Arial Regular"/>
          <w:i/>
          <w:iCs/>
          <w:sz w:val="24"/>
          <w:szCs w:val="24"/>
          <w:lang w:bidi="ar"/>
        </w:rPr>
        <w:t>Net Present Value (NPV)</w:t>
      </w:r>
    </w:p>
    <w:p w14:paraId="0688D99D">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NPV is the difference between the present value of cash inflows and the initial investment. NPV technique helps in calculating project value by using a discount rate. The consideration of the time value of money is also one of the key advantages of NPV, which makes it most suitable compared to other techniques. Investing in a project with a positive NPV is favourable as it indicates the project will create value addition; however, project managers refrain from investing in a project with a negative NPV. However, estimation of an accurate hurdle rate is one of the main limitations of the NPV technique (Yan and Zhang, 2022).</w:t>
      </w:r>
    </w:p>
    <w:p w14:paraId="4B10FFA0">
      <w:pPr>
        <w:spacing w:line="360" w:lineRule="auto"/>
        <w:jc w:val="both"/>
        <w:rPr>
          <w:rFonts w:ascii="Arial Regular" w:hAnsi="Arial Regular" w:cs="Arial Regular"/>
          <w:sz w:val="24"/>
          <w:szCs w:val="24"/>
        </w:rPr>
      </w:pPr>
      <w:r>
        <w:rPr>
          <w:rFonts w:ascii="Arial Regular" w:hAnsi="Arial Regular" w:eastAsia="SimSun" w:cs="Arial Regular"/>
          <w:i/>
          <w:iCs/>
          <w:sz w:val="24"/>
          <w:szCs w:val="24"/>
          <w:lang w:bidi="ar"/>
        </w:rPr>
        <w:t>Profitability Index (PI)</w:t>
      </w:r>
    </w:p>
    <w:p w14:paraId="662B81AD">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PI is used for checking investment attractiveness by evaluating the relationship between initial investment and the future benefits. A PI higher than 1 indicates that the investment is profitable; however, investment in a project with a PI of less than 1 is not favourable. Although PI is beneficial for ranking different projects; however, its use is quite difficulty for comparing mutually exclusive projects (Gurau, 2012).</w:t>
      </w:r>
    </w:p>
    <w:p w14:paraId="2E1AC0E9">
      <w:pPr>
        <w:spacing w:line="360" w:lineRule="auto"/>
        <w:jc w:val="both"/>
        <w:rPr>
          <w:rFonts w:ascii="Arial Regular" w:hAnsi="Arial Regular" w:cs="Arial Regular"/>
          <w:sz w:val="24"/>
          <w:szCs w:val="24"/>
        </w:rPr>
      </w:pPr>
      <w:r>
        <w:rPr>
          <w:rFonts w:ascii="Arial Regular" w:hAnsi="Arial Regular" w:eastAsia="SimSun" w:cs="Arial Regular"/>
          <w:i/>
          <w:iCs/>
          <w:sz w:val="24"/>
          <w:szCs w:val="24"/>
          <w:lang w:bidi="ar"/>
        </w:rPr>
        <w:t>Internal Rate of Return (IRR)</w:t>
      </w:r>
    </w:p>
    <w:p w14:paraId="5367762C">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IRR refers to the rate at which a project breaks even and neither generates profits nor losses. It is helpful for estimating investment returns. Investing in a project is suitable for project managers when the IRR exceeds the discount rate, as it indicates value creation in the company. However, investing in a project where the IRR is lower than the discount rate is not beneficial. IRR uses the time value of money as well as all cash flows; however, failure to consider project size is the main limitation of IRR. Similarly, it is also not helpful when there are non-conventional cash flows (Li, 2025).</w:t>
      </w:r>
    </w:p>
    <w:p w14:paraId="432D536C">
      <w:pPr>
        <w:spacing w:line="360" w:lineRule="auto"/>
        <w:jc w:val="both"/>
        <w:rPr>
          <w:rFonts w:ascii="Arial Regular" w:hAnsi="Arial Regular" w:cs="Arial Regular"/>
          <w:sz w:val="24"/>
          <w:szCs w:val="24"/>
        </w:rPr>
      </w:pPr>
      <w:r>
        <w:rPr>
          <w:rFonts w:ascii="Arial Regular" w:hAnsi="Arial Regular" w:cs="Arial Regular"/>
          <w:b/>
          <w:bCs/>
          <w:sz w:val="24"/>
          <w:szCs w:val="24"/>
        </w:rPr>
        <w:t>Evaluation</w:t>
      </w:r>
    </w:p>
    <w:p w14:paraId="3CE61D1E">
      <w:pPr>
        <w:spacing w:line="360" w:lineRule="auto"/>
        <w:jc w:val="both"/>
        <w:rPr>
          <w:rFonts w:ascii="Arial Regular" w:hAnsi="Arial Regular" w:cs="Arial Regular"/>
          <w:sz w:val="24"/>
          <w:szCs w:val="24"/>
        </w:rPr>
      </w:pPr>
      <w:r>
        <w:rPr>
          <w:rFonts w:ascii="Arial Regular" w:hAnsi="Arial Regular" w:cs="Arial Regular"/>
          <w:sz w:val="24"/>
          <w:szCs w:val="24"/>
        </w:rPr>
        <w:t>(Refer to appendix 3 for detailed calculations of investment appraisal techniques)</w:t>
      </w:r>
    </w:p>
    <w:p w14:paraId="62F7DB4B">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On evaluation of investment appraisal techniques, it was identified that projects A, B and C’s payback period are 4.50 years, 4.55 years, and 3.66 years, indicating project C will take less time and project B will take the highest time to cover the investment. ARR of project A, B, and C are 1.60%, 2% and 6%, which implies that project C will generate the highest return on investment and project A will generate the lowest return on investment. Additionally, the NPVs of projects A, B, and C are -£8.68 million, -£8.30 million, and -£1.98 million, respectively, reflecting that investing in all projects is not feasible, but project C is better than A and B due to the least negative NPV. Further, the PI of projects A, B, and C are 0.83, 0.83, and 0.96; whereas, the IRR of projects A, B, and C are 2.72%, 3.26%, and 8.59%, respectively.</w:t>
      </w:r>
    </w:p>
    <w:p w14:paraId="59A4AC74">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Since the NPV of all projects is negative, it implies that investing in projects will destroy the value of the company. Investing in a project with a negative NPV is not feasible as it destroys value for the shareholders. The IRR of all projects is also lower than the discount rate of 10%, which also implies that investing in all projects is not suitable, as the company fails to generate sufficient funds to recover the initial investment. However, the company should invest in project C if it is strategically justifiable for the company’s growth. Although investing in project with negative NPV’s is not feasible; however, investing in project C can still be justifiable for EV company namely Tesla Inc. It can be considered as a strategic investment in relation to Tesla’s innovation growth business model, wherein technological advancements and competitive advantage in the long term will outweigh financial inefficiencies of the short term.</w:t>
      </w:r>
    </w:p>
    <w:p w14:paraId="1D78C0AC">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Selecting project C is better option compared to other projects as it is least damaging. Project C has least negative NPV, lowest payback and highest ARR. Since project C has the lowest payback period, it will help the company improve profits and ROE. Additionally, the company’s liquidity position is significantly strong and thus the company is in situation to invest funds for the long term by ignoring short-term inefficiencies. This can reduce threats and help in gaining a competitive edge in a highly dynamic and challenging environment in the EV industry. Further, asset inefficiency of the company is also the main problem, and thereby investing in project C is preferable as it will generate higher cash flows and improve asset efficiency.</w:t>
      </w:r>
    </w:p>
    <w:p w14:paraId="3C845ADB">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In addition to this, Tesla operates in a highly competitive market, which enhances the risk of losing technological leadership. Thus, investing in project C will help the company improving innovation and gaining competitive edge in the market in the long run. The value of the company also depends on innovation as well as brand perception, and thus investing in project C (even if negative) can help in improving trust and loyalty among customers. Further, pushing EV production, carbon targets, and subsidies are also some of the non-financial factors. Since project C supports sustainability positioning, it will help in gaining a compliance advantage for the company. Overall, not all projects are viable due to negative NPV; however, project C can be helpful for the company operating in the innovation-driven automotive industry, namely Tesla; wherein, wherein market positioning and brand equity is crucial for long-term survival.</w:t>
      </w:r>
    </w:p>
    <w:p w14:paraId="3C9E4B44">
      <w:pPr>
        <w:spacing w:line="360" w:lineRule="auto"/>
        <w:jc w:val="both"/>
        <w:rPr>
          <w:rFonts w:ascii="Arial Regular" w:hAnsi="Arial Regular" w:cs="Arial Regular"/>
          <w:sz w:val="24"/>
          <w:szCs w:val="24"/>
        </w:rPr>
      </w:pPr>
      <w:r>
        <w:rPr>
          <w:rFonts w:ascii="Arial Regular" w:hAnsi="Arial Regular" w:cs="Arial Regular"/>
          <w:b/>
          <w:bCs/>
          <w:sz w:val="24"/>
          <w:szCs w:val="24"/>
        </w:rPr>
        <w:t>Suggestion by using capital rationing</w:t>
      </w:r>
    </w:p>
    <w:p w14:paraId="1FBA4307">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It is beneficial for the company to select project B and C in case of capital rationing of £100 million. The combination of projects will generate the least negative NPV. On individually basis, investing in project C is favourable as it has the highest ARR (helpful for generating the highest profits on investment), the least negative NPV, and the closest IRR to the discount rate (helpful in creating value addition for the shareholders). On the other hand, the key rationale behind investing in project B is stable cash flows, which will address the problem of reduced cash flows of Tesla Inc and also help in improving the working capital of the company.</w:t>
      </w:r>
    </w:p>
    <w:p w14:paraId="47AA166B">
      <w:pPr>
        <w:pStyle w:val="2"/>
        <w:spacing w:before="0" w:after="0" w:line="360" w:lineRule="auto"/>
        <w:jc w:val="both"/>
        <w:rPr>
          <w:rFonts w:ascii="Arial Regular" w:hAnsi="Arial Regular" w:cs="Arial Regular"/>
          <w:sz w:val="24"/>
          <w:szCs w:val="24"/>
        </w:rPr>
      </w:pPr>
      <w:bookmarkStart w:id="7" w:name="_Toc797871105"/>
      <w:r>
        <w:rPr>
          <w:rFonts w:ascii="Arial Regular" w:hAnsi="Arial Regular" w:cs="Arial Regular"/>
          <w:sz w:val="24"/>
          <w:szCs w:val="24"/>
        </w:rPr>
        <w:t>Conclusion</w:t>
      </w:r>
      <w:bookmarkEnd w:id="7"/>
    </w:p>
    <w:p w14:paraId="632AED85">
      <w:pPr>
        <w:spacing w:line="360" w:lineRule="auto"/>
        <w:jc w:val="both"/>
        <w:rPr>
          <w:rFonts w:ascii="Arial Regular" w:hAnsi="Arial Regular" w:cs="Arial Regular"/>
          <w:sz w:val="24"/>
          <w:szCs w:val="24"/>
        </w:rPr>
      </w:pPr>
      <w:r>
        <w:rPr>
          <w:rFonts w:ascii="Arial Regular" w:hAnsi="Arial Regular" w:eastAsia="SimSun" w:cs="Arial Regular"/>
          <w:sz w:val="24"/>
          <w:szCs w:val="24"/>
          <w:lang w:bidi="ar"/>
        </w:rPr>
        <w:t>The findings of the report revealed that the financial performance and health of Tesla Inc is quite strong; however, the same was affected during the year 2025. A rise in expenses has affected the profit margins of the company; whereas, a high current ratio implies investment in idle resources. Similarly, the asset and equity efficiency of the company has also been adversely affected during the last few years, thereby affecting returns for the shareholders. However, the inventory is effectively and the solvency position of the company is strong. The company can focus on various aspects like reducing expenses, investing in high-tied assets, and others to address the core problem of reduced profits, asset inefficiency, equity inefficiency, and others. Additionally, the cash operating cycle of Tesla has turned from negative to positive, which reflects reduced capability in managing inventory and receivables effectively. This has also created cash flow pressure on the company as it gives priority to meet suppliers' obligations instead of fast receivables collection and fast inventory conversion.</w:t>
      </w:r>
    </w:p>
    <w:p w14:paraId="00E701AE">
      <w:pPr>
        <w:spacing w:line="360" w:lineRule="auto"/>
        <w:jc w:val="both"/>
        <w:rPr>
          <w:rFonts w:ascii="Arial Regular" w:hAnsi="Arial Regular" w:cs="Arial Regular"/>
          <w:sz w:val="24"/>
          <w:szCs w:val="24"/>
        </w:rPr>
      </w:pPr>
      <w:r>
        <w:rPr>
          <w:rFonts w:ascii="Arial Regular" w:hAnsi="Arial Regular" w:cs="Arial Regular"/>
          <w:sz w:val="24"/>
          <w:szCs w:val="24"/>
        </w:rPr>
        <w:t xml:space="preserve">The financial restructuring plan for Tesla focuses on advancing asset efficiency, strengthening debt control, and increasing shareholder return. By applying global and ethical considerations, the recommended approaches will support long-run financial stability, overall operational flexibility, and sustainable value formation in the changing international business environment. </w:t>
      </w:r>
      <w:r>
        <w:rPr>
          <w:rFonts w:ascii="Arial Regular" w:hAnsi="Arial Regular" w:eastAsia="SimSun" w:cs="Arial Regular"/>
          <w:sz w:val="24"/>
          <w:szCs w:val="24"/>
          <w:lang w:bidi="ar"/>
        </w:rPr>
        <w:t>Besides this, investment appraisal techniques were used for evaluating the project's viability; wherein, it was found that all projects destroy value of the company. However, investing in project C is most feasible due to positive factors like the least negative NPV and the lowest payback period with the highest ARR. In case of capital rationing, investing in project B and C are favourable due to consistent cash flows and more favourable results than project A.</w:t>
      </w:r>
    </w:p>
    <w:p w14:paraId="39381514">
      <w:pPr>
        <w:spacing w:line="360" w:lineRule="auto"/>
        <w:jc w:val="both"/>
        <w:rPr>
          <w:rFonts w:ascii="Arial Regular" w:hAnsi="Arial Regular" w:cs="Arial Regular"/>
          <w:sz w:val="24"/>
          <w:szCs w:val="24"/>
        </w:rPr>
      </w:pPr>
      <w:r>
        <w:rPr>
          <w:rFonts w:ascii="Arial Regular" w:hAnsi="Arial Regular" w:cs="Arial Regular"/>
          <w:sz w:val="24"/>
          <w:szCs w:val="24"/>
        </w:rPr>
        <w:br w:type="page"/>
      </w:r>
    </w:p>
    <w:p w14:paraId="378D61D4">
      <w:pPr>
        <w:pStyle w:val="2"/>
        <w:spacing w:before="0" w:after="0" w:line="360" w:lineRule="auto"/>
        <w:jc w:val="both"/>
        <w:rPr>
          <w:rFonts w:ascii="Arial Regular" w:hAnsi="Arial Regular" w:cs="Arial Regular"/>
          <w:sz w:val="24"/>
          <w:szCs w:val="24"/>
        </w:rPr>
      </w:pPr>
      <w:bookmarkStart w:id="8" w:name="_Toc931769867"/>
      <w:r>
        <w:rPr>
          <w:rFonts w:ascii="Arial Regular" w:hAnsi="Arial Regular" w:cs="Arial Regular"/>
          <w:sz w:val="24"/>
          <w:szCs w:val="24"/>
        </w:rPr>
        <w:t>References</w:t>
      </w:r>
      <w:bookmarkEnd w:id="8"/>
    </w:p>
    <w:p w14:paraId="45EEE4D9">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Allad, I. and Maisuria, M. (2015) ‘‘Ratio Analysis’ An Accounting Technique of Analysis and Interpretation of Financial Statements’, </w:t>
      </w:r>
      <w:r>
        <w:rPr>
          <w:rFonts w:ascii="Arial Regular" w:hAnsi="Arial Regular" w:cs="Arial Regular"/>
          <w:i/>
          <w:iCs/>
          <w:sz w:val="24"/>
          <w:szCs w:val="24"/>
        </w:rPr>
        <w:t>Humanities &amp; Social Sciences</w:t>
      </w:r>
      <w:r>
        <w:rPr>
          <w:rFonts w:ascii="Arial Regular" w:hAnsi="Arial Regular" w:cs="Arial Regular"/>
          <w:sz w:val="24"/>
          <w:szCs w:val="24"/>
        </w:rPr>
        <w:t xml:space="preserve">, 3(2), pp. 50-54. Available at: </w:t>
      </w:r>
      <w:r>
        <w:fldChar w:fldCharType="begin"/>
      </w:r>
      <w:r>
        <w:instrText xml:space="preserve"> HYPERLINK "https://www.raijmr.com/ijrhs/wp-content/uploads/2017/11/IJRHS_2015_vol03_issue_02_11.pdf" </w:instrText>
      </w:r>
      <w:r>
        <w:fldChar w:fldCharType="separate"/>
      </w:r>
      <w:r>
        <w:rPr>
          <w:rStyle w:val="12"/>
          <w:rFonts w:ascii="Arial Regular" w:hAnsi="Arial Regular" w:cs="Arial Regular"/>
          <w:sz w:val="24"/>
          <w:szCs w:val="24"/>
        </w:rPr>
        <w:t>https://www.raijmr.com/ijrhs/wp-content/uploads/2017/11/IJRHS_2015_vol03_issue_02_11.pdf</w:t>
      </w:r>
      <w:r>
        <w:rPr>
          <w:rStyle w:val="12"/>
          <w:rFonts w:ascii="Arial Regular" w:hAnsi="Arial Regular" w:cs="Arial Regular"/>
          <w:sz w:val="24"/>
          <w:szCs w:val="24"/>
        </w:rPr>
        <w:fldChar w:fldCharType="end"/>
      </w:r>
    </w:p>
    <w:p w14:paraId="78CE22B5">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color w:val="222222"/>
          <w:sz w:val="24"/>
          <w:szCs w:val="24"/>
          <w:shd w:val="clear" w:color="auto" w:fill="FFFFFF"/>
        </w:rPr>
        <w:t xml:space="preserve">Arshad, S., Latif, S., Salman, A. and Irfan, S. (2023) </w:t>
      </w:r>
      <w:r>
        <w:rPr>
          <w:rFonts w:ascii="Arial Regular" w:hAnsi="Arial Regular" w:cs="Arial Regular"/>
          <w:i/>
          <w:iCs/>
          <w:color w:val="222222"/>
          <w:sz w:val="24"/>
          <w:szCs w:val="24"/>
          <w:shd w:val="clear" w:color="auto" w:fill="FFFFFF"/>
        </w:rPr>
        <w:t>Increasing profitability and confidence by using interpretable model for investment decisions</w:t>
      </w:r>
      <w:r>
        <w:rPr>
          <w:rFonts w:ascii="Arial Regular" w:hAnsi="Arial Regular" w:cs="Arial Regular"/>
          <w:color w:val="222222"/>
          <w:sz w:val="24"/>
          <w:szCs w:val="24"/>
          <w:shd w:val="clear" w:color="auto" w:fill="FFFFFF"/>
        </w:rPr>
        <w:t xml:space="preserve">. Available at: </w:t>
      </w:r>
      <w:r>
        <w:fldChar w:fldCharType="begin"/>
      </w:r>
      <w:r>
        <w:instrText xml:space="preserve"> HYPERLINK "https://www.researchsquare.com/article/rs-3800581/latest.pdf" </w:instrText>
      </w:r>
      <w:r>
        <w:fldChar w:fldCharType="separate"/>
      </w:r>
      <w:r>
        <w:rPr>
          <w:rStyle w:val="12"/>
          <w:rFonts w:ascii="Arial Regular" w:hAnsi="Arial Regular" w:cs="Arial Regular"/>
          <w:sz w:val="24"/>
          <w:szCs w:val="24"/>
          <w:shd w:val="clear" w:color="auto" w:fill="FFFFFF"/>
        </w:rPr>
        <w:t>https://www.researchsquare.com/article/rs-3800581/latest.pdf</w:t>
      </w:r>
      <w:r>
        <w:rPr>
          <w:rStyle w:val="12"/>
          <w:rFonts w:ascii="Arial Regular" w:hAnsi="Arial Regular" w:cs="Arial Regular"/>
          <w:sz w:val="24"/>
          <w:szCs w:val="24"/>
          <w:shd w:val="clear" w:color="auto" w:fill="FFFFFF"/>
        </w:rPr>
        <w:fldChar w:fldCharType="end"/>
      </w:r>
      <w:r>
        <w:rPr>
          <w:rFonts w:ascii="Arial Regular" w:hAnsi="Arial Regular" w:cs="Arial Regular"/>
          <w:color w:val="222222"/>
          <w:sz w:val="24"/>
          <w:szCs w:val="24"/>
          <w:shd w:val="clear" w:color="auto" w:fill="FFFFFF"/>
        </w:rPr>
        <w:t xml:space="preserve"> (Accessed: 17 April 2026).</w:t>
      </w:r>
    </w:p>
    <w:p w14:paraId="17167DB5">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color w:val="222222"/>
          <w:sz w:val="24"/>
          <w:szCs w:val="24"/>
          <w:shd w:val="clear" w:color="auto" w:fill="FFFFFF"/>
        </w:rPr>
        <w:t>Authority, F.C. (2017) Illiquid assets and open-ended investment funds. </w:t>
      </w:r>
      <w:r>
        <w:rPr>
          <w:rFonts w:ascii="Arial Regular" w:hAnsi="Arial Regular" w:cs="Arial Regular"/>
          <w:i/>
          <w:iCs/>
          <w:color w:val="222222"/>
          <w:sz w:val="24"/>
          <w:szCs w:val="24"/>
          <w:shd w:val="clear" w:color="auto" w:fill="FFFFFF"/>
        </w:rPr>
        <w:t>Discussion P DP</w:t>
      </w:r>
      <w:r>
        <w:rPr>
          <w:rFonts w:ascii="Arial Regular" w:hAnsi="Arial Regular" w:cs="Arial Regular"/>
          <w:color w:val="222222"/>
          <w:sz w:val="24"/>
          <w:szCs w:val="24"/>
          <w:shd w:val="clear" w:color="auto" w:fill="FFFFFF"/>
        </w:rPr>
        <w:t>, 17(1).</w:t>
      </w:r>
      <w:r>
        <w:rPr>
          <w:rFonts w:ascii="Arial Regular" w:hAnsi="Arial Regular" w:cs="Arial Regular"/>
          <w:sz w:val="24"/>
          <w:szCs w:val="24"/>
        </w:rPr>
        <w:t xml:space="preserve"> </w:t>
      </w:r>
    </w:p>
    <w:p w14:paraId="54E13749">
      <w:pPr>
        <w:spacing w:before="240" w:beforeLines="100" w:after="240" w:afterLines="100" w:line="360" w:lineRule="auto"/>
        <w:jc w:val="both"/>
        <w:rPr>
          <w:rFonts w:ascii="Arial Regular" w:hAnsi="Arial Regular" w:cs="Arial Regular"/>
          <w:sz w:val="24"/>
          <w:szCs w:val="24"/>
        </w:rPr>
      </w:pPr>
      <w:r>
        <w:rPr>
          <w:rFonts w:ascii="Arial Regular" w:hAnsi="Arial Regular" w:eastAsia="SimSun" w:cs="Arial Regular"/>
          <w:color w:val="222222"/>
          <w:sz w:val="24"/>
          <w:szCs w:val="24"/>
          <w:shd w:val="clear" w:color="auto" w:fill="FFFFFF"/>
          <w:lang w:bidi="ar"/>
        </w:rPr>
        <w:t>Baresa, S., Bogdan, S. and Ivanovic, Z. (2017) ‘Specefic form of short-term financing’, </w:t>
      </w:r>
      <w:r>
        <w:rPr>
          <w:rFonts w:ascii="Arial Regular" w:hAnsi="Arial Regular" w:eastAsia="SimSun" w:cs="Arial Regular"/>
          <w:i/>
          <w:iCs/>
          <w:color w:val="222222"/>
          <w:sz w:val="24"/>
          <w:szCs w:val="24"/>
          <w:shd w:val="clear" w:color="auto" w:fill="FFFFFF"/>
          <w:lang w:bidi="ar"/>
        </w:rPr>
        <w:t>UTMS Journal of economics</w:t>
      </w:r>
      <w:r>
        <w:rPr>
          <w:rFonts w:ascii="Arial Regular" w:hAnsi="Arial Regular" w:eastAsia="SimSun" w:cs="Arial Regular"/>
          <w:color w:val="222222"/>
          <w:sz w:val="24"/>
          <w:szCs w:val="24"/>
          <w:shd w:val="clear" w:color="auto" w:fill="FFFFFF"/>
          <w:lang w:bidi="ar"/>
        </w:rPr>
        <w:t xml:space="preserve">, 8(2), pp. 119-129. Available at: </w:t>
      </w:r>
      <w:r>
        <w:fldChar w:fldCharType="begin"/>
      </w:r>
      <w:r>
        <w:instrText xml:space="preserve"> HYPERLINK "https://www.econstor.eu/bitstream/10419/195300/1/1011385686.pdf" </w:instrText>
      </w:r>
      <w:r>
        <w:fldChar w:fldCharType="separate"/>
      </w:r>
      <w:r>
        <w:rPr>
          <w:rStyle w:val="12"/>
          <w:rFonts w:ascii="Arial Regular" w:hAnsi="Arial Regular" w:eastAsia="SimSun" w:cs="Arial Regular"/>
          <w:sz w:val="24"/>
          <w:szCs w:val="24"/>
          <w:shd w:val="clear" w:color="auto" w:fill="FFFFFF"/>
        </w:rPr>
        <w:t>https://www.econstor.eu/bitstream/10419/195300/1/1011385686.pdf</w:t>
      </w:r>
      <w:r>
        <w:rPr>
          <w:rStyle w:val="12"/>
          <w:rFonts w:ascii="Arial Regular" w:hAnsi="Arial Regular" w:eastAsia="SimSun" w:cs="Arial Regular"/>
          <w:sz w:val="24"/>
          <w:szCs w:val="24"/>
          <w:shd w:val="clear" w:color="auto" w:fill="FFFFFF"/>
        </w:rPr>
        <w:fldChar w:fldCharType="end"/>
      </w:r>
    </w:p>
    <w:p w14:paraId="5F12BDA4">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BDC. (2024) </w:t>
      </w:r>
      <w:r>
        <w:rPr>
          <w:rFonts w:ascii="Arial Regular" w:hAnsi="Arial Regular" w:cs="Arial Regular"/>
          <w:i/>
          <w:iCs/>
          <w:sz w:val="24"/>
          <w:szCs w:val="24"/>
        </w:rPr>
        <w:t>How to increase working capital and keep your business agile: 6 tips</w:t>
      </w:r>
      <w:r>
        <w:rPr>
          <w:rFonts w:ascii="Arial Regular" w:hAnsi="Arial Regular" w:cs="Arial Regular"/>
          <w:sz w:val="24"/>
          <w:szCs w:val="24"/>
        </w:rPr>
        <w:t xml:space="preserve">. Available at: </w:t>
      </w:r>
      <w:r>
        <w:fldChar w:fldCharType="begin"/>
      </w:r>
      <w:r>
        <w:instrText xml:space="preserve"> HYPERLINK "https://www.bdc.ca/en/articles-tools/money-finance/manage-finances/stay-agile-increased-working-capital" </w:instrText>
      </w:r>
      <w:r>
        <w:fldChar w:fldCharType="separate"/>
      </w:r>
      <w:r>
        <w:rPr>
          <w:rStyle w:val="12"/>
          <w:rFonts w:ascii="Arial Regular" w:hAnsi="Arial Regular" w:cs="Arial Regular"/>
          <w:sz w:val="24"/>
          <w:szCs w:val="24"/>
        </w:rPr>
        <w:t>https://www.bdc.ca/en/articles-tools/money-finance/manage-finances/stay-agile-increased-working-capital</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6D021969">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Capstone. (2023) </w:t>
      </w:r>
      <w:r>
        <w:rPr>
          <w:rFonts w:ascii="Arial Regular" w:hAnsi="Arial Regular" w:cs="Arial Regular"/>
          <w:i/>
          <w:iCs/>
          <w:sz w:val="24"/>
          <w:szCs w:val="24"/>
        </w:rPr>
        <w:t>Advantages and Disadvantages of Equity Financing</w:t>
      </w:r>
      <w:r>
        <w:rPr>
          <w:rFonts w:ascii="Arial Regular" w:hAnsi="Arial Regular" w:cs="Arial Regular"/>
          <w:sz w:val="24"/>
          <w:szCs w:val="24"/>
        </w:rPr>
        <w:t xml:space="preserve">. Available at: </w:t>
      </w:r>
      <w:r>
        <w:fldChar w:fldCharType="begin"/>
      </w:r>
      <w:r>
        <w:instrText xml:space="preserve"> HYPERLINK "https://www.capstonepartners.com/insights/article-advantages-and-disadvantages-of-equity-financing/" </w:instrText>
      </w:r>
      <w:r>
        <w:fldChar w:fldCharType="separate"/>
      </w:r>
      <w:r>
        <w:rPr>
          <w:rStyle w:val="12"/>
          <w:rFonts w:ascii="Arial Regular" w:hAnsi="Arial Regular" w:cs="Arial Regular"/>
          <w:sz w:val="24"/>
          <w:szCs w:val="24"/>
        </w:rPr>
        <w:t>https://www.capstonepartners.com/insights/article-advantages-and-disadvantages-of-equity-financing/</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December 2025).</w:t>
      </w:r>
    </w:p>
    <w:p w14:paraId="0495D360">
      <w:pPr>
        <w:spacing w:before="240" w:beforeLines="100" w:after="240" w:afterLines="100" w:line="360" w:lineRule="auto"/>
        <w:jc w:val="both"/>
        <w:rPr>
          <w:rFonts w:ascii="Arial Regular" w:hAnsi="Arial Regular" w:cs="Arial Regular"/>
          <w:sz w:val="24"/>
          <w:szCs w:val="24"/>
        </w:rPr>
      </w:pPr>
      <w:r>
        <w:rPr>
          <w:rFonts w:ascii="Arial Regular" w:hAnsi="Arial Regular" w:eastAsia="SimSun" w:cs="Arial Regular"/>
          <w:color w:val="222222"/>
          <w:sz w:val="24"/>
          <w:szCs w:val="24"/>
          <w:shd w:val="clear" w:color="auto" w:fill="FFFFFF"/>
          <w:lang w:bidi="ar"/>
        </w:rPr>
        <w:t xml:space="preserve">Cotter, E. (2023) ‘Net Present Value and Payback Period: An Analysis’, </w:t>
      </w:r>
      <w:r>
        <w:rPr>
          <w:rFonts w:ascii="Arial Regular" w:hAnsi="Arial Regular" w:eastAsia="SimSun" w:cs="Arial Regular"/>
          <w:i/>
          <w:iCs/>
          <w:color w:val="222222"/>
          <w:sz w:val="24"/>
          <w:szCs w:val="24"/>
          <w:shd w:val="clear" w:color="auto" w:fill="FFFFFF"/>
        </w:rPr>
        <w:t>Western Michigan University</w:t>
      </w:r>
      <w:r>
        <w:rPr>
          <w:rFonts w:ascii="Arial Regular" w:hAnsi="Arial Regular" w:eastAsia="SimSun" w:cs="Arial Regular"/>
          <w:color w:val="222222"/>
          <w:sz w:val="24"/>
          <w:szCs w:val="24"/>
          <w:shd w:val="clear" w:color="auto" w:fill="FFFFFF"/>
        </w:rPr>
        <w:t xml:space="preserve">, p.3796. </w:t>
      </w:r>
      <w:r>
        <w:rPr>
          <w:rFonts w:ascii="Arial Regular" w:hAnsi="Arial Regular" w:cs="Arial Regular"/>
          <w:sz w:val="24"/>
          <w:szCs w:val="24"/>
        </w:rPr>
        <w:t xml:space="preserve">Available at: </w:t>
      </w:r>
      <w:r>
        <w:fldChar w:fldCharType="begin"/>
      </w:r>
      <w:r>
        <w:instrText xml:space="preserve"> HYPERLINK "https://scholarworks.wmich.edu/cgi/viewcontent.cgi?article=4808&amp;context=honors_theses" </w:instrText>
      </w:r>
      <w:r>
        <w:fldChar w:fldCharType="separate"/>
      </w:r>
      <w:r>
        <w:rPr>
          <w:rStyle w:val="12"/>
          <w:rFonts w:ascii="Arial Regular" w:hAnsi="Arial Regular" w:cs="Arial Regular"/>
          <w:sz w:val="24"/>
          <w:szCs w:val="24"/>
        </w:rPr>
        <w:t>https://scholarworks.wmich.edu/cgi/viewcontent.cgi?article=4808&amp;context=honors_theses</w:t>
      </w:r>
      <w:r>
        <w:rPr>
          <w:rStyle w:val="12"/>
          <w:rFonts w:ascii="Arial Regular" w:hAnsi="Arial Regular" w:cs="Arial Regular"/>
          <w:sz w:val="24"/>
          <w:szCs w:val="24"/>
        </w:rPr>
        <w:fldChar w:fldCharType="end"/>
      </w:r>
    </w:p>
    <w:p w14:paraId="02DAB1AA">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Distress’, </w:t>
      </w:r>
      <w:r>
        <w:rPr>
          <w:rFonts w:ascii="Arial Regular" w:hAnsi="Arial Regular" w:cs="Arial Regular"/>
          <w:i/>
          <w:iCs/>
          <w:sz w:val="24"/>
          <w:szCs w:val="24"/>
        </w:rPr>
        <w:t>Faculty of Business and Law</w:t>
      </w:r>
      <w:r>
        <w:rPr>
          <w:rFonts w:ascii="Arial Regular" w:hAnsi="Arial Regular" w:cs="Arial Regular"/>
          <w:sz w:val="24"/>
          <w:szCs w:val="24"/>
        </w:rPr>
        <w:t xml:space="preserve">, 7(1), pp. 1-13. Available at: </w:t>
      </w:r>
      <w:r>
        <w:fldChar w:fldCharType="begin"/>
      </w:r>
      <w:r>
        <w:instrText xml:space="preserve"> HYPERLINK "https://ro.uow.edu.au/articles/journal_contribution/An_evaluation_of_the_usefulness_of_cash_flow_ratios_to_predict_financial_distress/27718218/1/files/50469006.pdf" </w:instrText>
      </w:r>
      <w:r>
        <w:fldChar w:fldCharType="separate"/>
      </w:r>
      <w:r>
        <w:rPr>
          <w:rStyle w:val="12"/>
          <w:rFonts w:ascii="Arial Regular" w:hAnsi="Arial Regular" w:cs="Arial Regular"/>
          <w:sz w:val="24"/>
          <w:szCs w:val="24"/>
        </w:rPr>
        <w:t>https://ro.uow.edu.au/articles/journal_contribution/An_evaluation_of_the_usefulness_of_cash_flow_ratios_to_predict_financial_distress/27718218/1/files/50469006.pdf</w:t>
      </w:r>
      <w:r>
        <w:rPr>
          <w:rStyle w:val="12"/>
          <w:rFonts w:ascii="Arial Regular" w:hAnsi="Arial Regular" w:cs="Arial Regular"/>
          <w:sz w:val="24"/>
          <w:szCs w:val="24"/>
        </w:rPr>
        <w:fldChar w:fldCharType="end"/>
      </w:r>
    </w:p>
    <w:p w14:paraId="1ADE8B8B">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Essenbee. (2026) </w:t>
      </w:r>
      <w:r>
        <w:rPr>
          <w:rFonts w:ascii="Arial Regular" w:hAnsi="Arial Regular" w:cs="Arial Regular"/>
          <w:i/>
          <w:iCs/>
          <w:sz w:val="24"/>
          <w:szCs w:val="24"/>
        </w:rPr>
        <w:t>Pricing strategies to beat the competition</w:t>
      </w:r>
      <w:r>
        <w:rPr>
          <w:rFonts w:ascii="Arial Regular" w:hAnsi="Arial Regular" w:cs="Arial Regular"/>
          <w:sz w:val="24"/>
          <w:szCs w:val="24"/>
        </w:rPr>
        <w:t xml:space="preserve">. Available at: </w:t>
      </w:r>
      <w:r>
        <w:fldChar w:fldCharType="begin"/>
      </w:r>
      <w:r>
        <w:instrText xml:space="preserve"> HYPERLINK "https://essenbee.in/resources/pricing-strategies-to-beat-the-competition/" </w:instrText>
      </w:r>
      <w:r>
        <w:fldChar w:fldCharType="separate"/>
      </w:r>
      <w:r>
        <w:rPr>
          <w:rStyle w:val="12"/>
          <w:rFonts w:ascii="Arial Regular" w:hAnsi="Arial Regular" w:cs="Arial Regular"/>
          <w:sz w:val="24"/>
          <w:szCs w:val="24"/>
        </w:rPr>
        <w:t>https://essenbee.in/resources/pricing-strategies-to-beat-the-competition/</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669C2398">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Ezekoye, O. et al. (2016) McKinsey &amp; Company: How share repurchases boost earnings without improving returns. Available at: </w:t>
      </w:r>
      <w:r>
        <w:fldChar w:fldCharType="begin"/>
      </w:r>
      <w:r>
        <w:instrText xml:space="preserve"> HYPERLINK "https://www.mckinsey.com/~/media/McKinsey/Business%20Functions/Strategy%20and%20Corporate%20Finance/Our%20Insights/How%20share%20repurchases%20boost%20earnings%20without%20improving%20returns/How%20share%20repurchases%20boost%20earnings%20without%20improving%20returns.pdf" </w:instrText>
      </w:r>
      <w:r>
        <w:fldChar w:fldCharType="separate"/>
      </w:r>
      <w:r>
        <w:rPr>
          <w:rStyle w:val="12"/>
          <w:rFonts w:ascii="Arial Regular" w:hAnsi="Arial Regular" w:cs="Arial Regular"/>
          <w:sz w:val="24"/>
          <w:szCs w:val="24"/>
        </w:rPr>
        <w:t>https://www.mckinsey.com/~/media/McKinsey/Business%20Functions/Strategy%20and%20Corporate%20Finance/Our%20Insights/How%20share%20repurchases%20boost%20earnings%20without%20improving%20returns/How%20share%20repurchases%20boost%20earnings%20without%20improving%20returns.pdf</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0F0E75BC">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Global Data. (2024) </w:t>
      </w:r>
      <w:r>
        <w:rPr>
          <w:rFonts w:ascii="Arial Regular" w:hAnsi="Arial Regular" w:cs="Arial Regular"/>
          <w:i/>
          <w:iCs/>
          <w:sz w:val="24"/>
          <w:szCs w:val="24"/>
        </w:rPr>
        <w:t>Tesla Inc: Overview</w:t>
      </w:r>
      <w:r>
        <w:rPr>
          <w:rFonts w:ascii="Arial Regular" w:hAnsi="Arial Regular" w:cs="Arial Regular"/>
          <w:sz w:val="24"/>
          <w:szCs w:val="24"/>
        </w:rPr>
        <w:t xml:space="preserve">. Available at: </w:t>
      </w:r>
      <w:r>
        <w:fldChar w:fldCharType="begin"/>
      </w:r>
      <w:r>
        <w:instrText xml:space="preserve"> HYPERLINK "https://www.globaldata.com/company-profile/tesla-inc/" </w:instrText>
      </w:r>
      <w:r>
        <w:fldChar w:fldCharType="separate"/>
      </w:r>
      <w:r>
        <w:rPr>
          <w:rStyle w:val="12"/>
          <w:rFonts w:ascii="Arial Regular" w:hAnsi="Arial Regular" w:cs="Arial Regular"/>
          <w:sz w:val="24"/>
          <w:szCs w:val="24"/>
        </w:rPr>
        <w:t>https://www.globaldata.com/company-profile/tesla-inc/</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38C755E9">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Golembieski, M. (2025) </w:t>
      </w:r>
      <w:r>
        <w:rPr>
          <w:rFonts w:ascii="Arial Regular" w:hAnsi="Arial Regular" w:cs="Arial Regular"/>
          <w:i/>
          <w:iCs/>
          <w:sz w:val="24"/>
          <w:szCs w:val="24"/>
        </w:rPr>
        <w:t>6 ways to improve working capital</w:t>
      </w:r>
      <w:r>
        <w:rPr>
          <w:rFonts w:ascii="Arial Regular" w:hAnsi="Arial Regular" w:cs="Arial Regular"/>
          <w:sz w:val="24"/>
          <w:szCs w:val="24"/>
        </w:rPr>
        <w:t xml:space="preserve">. Available at: </w:t>
      </w:r>
      <w:r>
        <w:fldChar w:fldCharType="begin"/>
      </w:r>
      <w:r>
        <w:instrText xml:space="preserve"> HYPERLINK "https://www.jpmorgan.com/insights/treasury/treasury-management/6-ways-to-increase-working-capital" </w:instrText>
      </w:r>
      <w:r>
        <w:fldChar w:fldCharType="separate"/>
      </w:r>
      <w:r>
        <w:rPr>
          <w:rStyle w:val="12"/>
          <w:rFonts w:ascii="Arial Regular" w:hAnsi="Arial Regular" w:cs="Arial Regular"/>
          <w:sz w:val="24"/>
          <w:szCs w:val="24"/>
        </w:rPr>
        <w:t>https://www.jpmorgan.com/insights/treasury/treasury-management/6-ways-to-increase-working-capital</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5237905A">
      <w:pPr>
        <w:spacing w:before="240" w:beforeLines="100" w:after="240" w:afterLines="100" w:line="360" w:lineRule="auto"/>
        <w:jc w:val="both"/>
        <w:rPr>
          <w:rFonts w:ascii="Arial Regular" w:hAnsi="Arial Regular" w:cs="Arial Regular"/>
          <w:sz w:val="24"/>
          <w:szCs w:val="24"/>
        </w:rPr>
      </w:pPr>
      <w:r>
        <w:rPr>
          <w:rFonts w:ascii="Arial Regular" w:hAnsi="Arial Regular" w:eastAsia="SimSun" w:cs="Arial Regular"/>
          <w:color w:val="222222"/>
          <w:sz w:val="24"/>
          <w:szCs w:val="24"/>
          <w:shd w:val="clear" w:color="auto" w:fill="FFFFFF"/>
          <w:lang w:bidi="ar"/>
        </w:rPr>
        <w:t>Gurau, M.A. (2012) ‘The use of profitability index in economic evaluation of industrial investment projects’, </w:t>
      </w:r>
      <w:r>
        <w:rPr>
          <w:rFonts w:ascii="Arial Regular" w:hAnsi="Arial Regular" w:eastAsia="SimSun" w:cs="Arial Regular"/>
          <w:i/>
          <w:iCs/>
          <w:color w:val="222222"/>
          <w:sz w:val="24"/>
          <w:szCs w:val="24"/>
          <w:shd w:val="clear" w:color="auto" w:fill="FFFFFF"/>
          <w:lang w:bidi="ar"/>
        </w:rPr>
        <w:t>Proceedings in Manufacturing Systems</w:t>
      </w:r>
      <w:r>
        <w:rPr>
          <w:rFonts w:ascii="Arial Regular" w:hAnsi="Arial Regular" w:eastAsia="SimSun" w:cs="Arial Regular"/>
          <w:color w:val="222222"/>
          <w:sz w:val="24"/>
          <w:szCs w:val="24"/>
          <w:shd w:val="clear" w:color="auto" w:fill="FFFFFF"/>
          <w:lang w:bidi="ar"/>
        </w:rPr>
        <w:t xml:space="preserve">, 7(1), pp. 55-58. Available at: </w:t>
      </w:r>
      <w:r>
        <w:fldChar w:fldCharType="begin"/>
      </w:r>
      <w:r>
        <w:instrText xml:space="preserve"> HYPERLINK "http://www.icmas.eu/Journal_archive_files/Vol6-Issue1-2012-DOC/55-58_Gurau.pdf" </w:instrText>
      </w:r>
      <w:r>
        <w:fldChar w:fldCharType="separate"/>
      </w:r>
      <w:r>
        <w:rPr>
          <w:rStyle w:val="12"/>
          <w:rFonts w:ascii="Arial Regular" w:hAnsi="Arial Regular" w:eastAsia="SimSun" w:cs="Arial Regular"/>
          <w:sz w:val="24"/>
          <w:szCs w:val="24"/>
          <w:shd w:val="clear" w:color="auto" w:fill="FFFFFF"/>
        </w:rPr>
        <w:t>http://www.icmas.eu/Journal_archive_files/Vol6-Issue1-2012-DOC/55-58_Gurau.pdf</w:t>
      </w:r>
      <w:r>
        <w:rPr>
          <w:rStyle w:val="12"/>
          <w:rFonts w:ascii="Arial Regular" w:hAnsi="Arial Regular" w:eastAsia="SimSun" w:cs="Arial Regular"/>
          <w:sz w:val="24"/>
          <w:szCs w:val="24"/>
          <w:shd w:val="clear" w:color="auto" w:fill="FFFFFF"/>
        </w:rPr>
        <w:fldChar w:fldCharType="end"/>
      </w:r>
    </w:p>
    <w:p w14:paraId="38A9BC30">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Gurung, M. (2025) Accounting Rate of Return (ARR): A Guide to a Simple Capital Budgeting Tool. Available at: </w:t>
      </w:r>
      <w:r>
        <w:fldChar w:fldCharType="begin"/>
      </w:r>
      <w:r>
        <w:instrText xml:space="preserve"> HYPERLINK "https://www.investing.com/academy/analysis/accounting-rate-of-return-definition/" </w:instrText>
      </w:r>
      <w:r>
        <w:fldChar w:fldCharType="separate"/>
      </w:r>
      <w:r>
        <w:rPr>
          <w:rStyle w:val="12"/>
          <w:rFonts w:ascii="Arial Regular" w:hAnsi="Arial Regular" w:cs="Arial Regular"/>
          <w:sz w:val="24"/>
          <w:szCs w:val="24"/>
        </w:rPr>
        <w:t>https://www.investing.com/academy/analysis/accounting-rate-of-return-definition/</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December 2025).</w:t>
      </w:r>
    </w:p>
    <w:p w14:paraId="62A56210">
      <w:pPr>
        <w:spacing w:before="240" w:beforeLines="100" w:after="240" w:afterLines="100" w:line="360" w:lineRule="auto"/>
        <w:jc w:val="both"/>
        <w:rPr>
          <w:rFonts w:ascii="Arial Regular" w:hAnsi="Arial Regular" w:cs="Arial Regular"/>
          <w:sz w:val="24"/>
          <w:szCs w:val="24"/>
        </w:rPr>
      </w:pPr>
      <w:r>
        <w:rPr>
          <w:rFonts w:ascii="Arial Regular" w:hAnsi="Arial Regular" w:eastAsia="SimSun" w:cs="Arial Regular"/>
          <w:color w:val="222222"/>
          <w:sz w:val="24"/>
          <w:szCs w:val="24"/>
          <w:shd w:val="clear" w:color="auto" w:fill="FFFFFF"/>
          <w:lang w:bidi="ar"/>
        </w:rPr>
        <w:t>Hutagalung, G. (2021) ‘The Effect Of Return On Equity (ROE) AND Earning Per Share (EPS) On Stock Prices With Price Earning Ratio (PER) As Moderating Variable In Banking Companies Listed On The Indonesia Stock Exchange’, </w:t>
      </w:r>
      <w:r>
        <w:rPr>
          <w:rFonts w:ascii="Arial Regular" w:hAnsi="Arial Regular" w:eastAsia="SimSun" w:cs="Arial Regular"/>
          <w:i/>
          <w:iCs/>
          <w:color w:val="222222"/>
          <w:sz w:val="24"/>
          <w:szCs w:val="24"/>
          <w:shd w:val="clear" w:color="auto" w:fill="FFFFFF"/>
        </w:rPr>
        <w:t>International Journal of Business, Economics and Law</w:t>
      </w:r>
      <w:r>
        <w:rPr>
          <w:rFonts w:ascii="Arial Regular" w:hAnsi="Arial Regular" w:eastAsia="SimSun" w:cs="Arial Regular"/>
          <w:color w:val="222222"/>
          <w:sz w:val="24"/>
          <w:szCs w:val="24"/>
          <w:shd w:val="clear" w:color="auto" w:fill="FFFFFF"/>
          <w:lang w:bidi="ar"/>
        </w:rPr>
        <w:t>, 24(6),pp. 143-150.</w:t>
      </w:r>
    </w:p>
    <w:p w14:paraId="7DAFFDD7">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Indeed. (2025) </w:t>
      </w:r>
      <w:r>
        <w:rPr>
          <w:rFonts w:ascii="Arial Regular" w:hAnsi="Arial Regular" w:cs="Arial Regular"/>
          <w:i/>
          <w:iCs/>
          <w:sz w:val="24"/>
          <w:szCs w:val="24"/>
        </w:rPr>
        <w:t>17 Strategies for Increasing the Profitability of a Business</w:t>
      </w:r>
      <w:r>
        <w:rPr>
          <w:rFonts w:ascii="Arial Regular" w:hAnsi="Arial Regular" w:cs="Arial Regular"/>
          <w:sz w:val="24"/>
          <w:szCs w:val="24"/>
        </w:rPr>
        <w:t xml:space="preserve">. Available at: </w:t>
      </w:r>
      <w:r>
        <w:fldChar w:fldCharType="begin"/>
      </w:r>
      <w:r>
        <w:instrText xml:space="preserve"> HYPERLINK "https://www.indeed.com/career-advice/career-development/increase-profitability" </w:instrText>
      </w:r>
      <w:r>
        <w:fldChar w:fldCharType="separate"/>
      </w:r>
      <w:r>
        <w:rPr>
          <w:rStyle w:val="12"/>
          <w:rFonts w:ascii="Arial Regular" w:hAnsi="Arial Regular" w:cs="Arial Regular"/>
          <w:sz w:val="24"/>
          <w:szCs w:val="24"/>
        </w:rPr>
        <w:t>https://www.indeed.com/career-advice/career-development/increase-profitability</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63AA0EE0">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Jani, G. (2020) ‘A THEORETICAL SURVEY OF ALTERNATE MEASURES OF PROFITABILITY VERSUS DUPONT MODEL’, </w:t>
      </w:r>
      <w:r>
        <w:rPr>
          <w:rFonts w:ascii="Arial Regular" w:hAnsi="Arial Regular" w:cs="Arial Regular"/>
          <w:i/>
          <w:iCs/>
          <w:sz w:val="24"/>
          <w:szCs w:val="24"/>
        </w:rPr>
        <w:t>A Global Journal of Interdisciplinary Studies</w:t>
      </w:r>
      <w:r>
        <w:rPr>
          <w:rFonts w:ascii="Arial Regular" w:hAnsi="Arial Regular" w:cs="Arial Regular"/>
          <w:sz w:val="24"/>
          <w:szCs w:val="24"/>
        </w:rPr>
        <w:t xml:space="preserve">, 5(047), pp. 96-103. Available at: </w:t>
      </w:r>
      <w:r>
        <w:fldChar w:fldCharType="begin"/>
      </w:r>
      <w:r>
        <w:instrText xml:space="preserve"> HYPERLINK "https://www.gapinterdisciplinarities.org/res/articles/(96-103)%20A%20THEORETICAL%20SURVEY%20OF%20ALTERNATE%20MEASURES%20OF%20PROFITABILITY%20VERSUS%20DUPONT%20MODEL.pdf" </w:instrText>
      </w:r>
      <w:r>
        <w:fldChar w:fldCharType="separate"/>
      </w:r>
      <w:r>
        <w:rPr>
          <w:rStyle w:val="12"/>
          <w:rFonts w:ascii="Arial Regular" w:hAnsi="Arial Regular" w:cs="Arial Regular"/>
          <w:sz w:val="24"/>
          <w:szCs w:val="24"/>
        </w:rPr>
        <w:t>https://www.gapinterdisciplinarities.org/res/articles/(96-103)%20A%20THEORETICAL%20SURVEY%20OF%20ALTERNATE%20MEASURES%20OF%20PROFITABILITY%20VERSUS%20DUPONT%20MODEL.pdf</w:t>
      </w:r>
      <w:r>
        <w:rPr>
          <w:rStyle w:val="12"/>
          <w:rFonts w:ascii="Arial Regular" w:hAnsi="Arial Regular" w:cs="Arial Regular"/>
          <w:sz w:val="24"/>
          <w:szCs w:val="24"/>
        </w:rPr>
        <w:fldChar w:fldCharType="end"/>
      </w:r>
    </w:p>
    <w:p w14:paraId="0E098543">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Jooste, L. (2007) ‘An evaluation of the usefulness of cash flow r aluation of the usefulness of cash flow ratios ratios to predict financial edict financial</w:t>
      </w:r>
    </w:p>
    <w:p w14:paraId="1E4A25AC">
      <w:pPr>
        <w:spacing w:before="240" w:beforeLines="100" w:after="240" w:afterLines="100" w:line="360" w:lineRule="auto"/>
        <w:jc w:val="both"/>
        <w:rPr>
          <w:rFonts w:ascii="Arial Regular" w:hAnsi="Arial Regular" w:cs="Arial Regular"/>
          <w:sz w:val="24"/>
          <w:szCs w:val="24"/>
        </w:rPr>
      </w:pPr>
      <w:r>
        <w:rPr>
          <w:rFonts w:ascii="Arial Regular" w:hAnsi="Arial Regular" w:eastAsia="SimSun" w:cs="Arial Regular"/>
          <w:color w:val="222222"/>
          <w:sz w:val="24"/>
          <w:szCs w:val="24"/>
          <w:shd w:val="clear" w:color="auto" w:fill="FFFFFF"/>
          <w:lang w:bidi="ar"/>
        </w:rPr>
        <w:t>Karle, N. (2021) ‘Debentures and Their Appeal to Investors and Companies’, </w:t>
      </w:r>
      <w:r>
        <w:rPr>
          <w:rFonts w:ascii="Arial Regular" w:hAnsi="Arial Regular" w:eastAsia="SimSun" w:cs="Arial Regular"/>
          <w:i/>
          <w:iCs/>
          <w:color w:val="222222"/>
          <w:sz w:val="24"/>
          <w:szCs w:val="24"/>
          <w:shd w:val="clear" w:color="auto" w:fill="FFFFFF"/>
          <w:lang w:bidi="ar"/>
        </w:rPr>
        <w:t>Issue 1 Int'l JL Mgmt. &amp; Human.</w:t>
      </w:r>
      <w:r>
        <w:rPr>
          <w:rFonts w:ascii="Arial Regular" w:hAnsi="Arial Regular" w:eastAsia="SimSun" w:cs="Arial Regular"/>
          <w:color w:val="222222"/>
          <w:sz w:val="24"/>
          <w:szCs w:val="24"/>
          <w:shd w:val="clear" w:color="auto" w:fill="FFFFFF"/>
          <w:lang w:bidi="ar"/>
        </w:rPr>
        <w:t xml:space="preserve">, 4(1), pp. 1657-1679. Available at: </w:t>
      </w:r>
      <w:r>
        <w:fldChar w:fldCharType="begin"/>
      </w:r>
      <w:r>
        <w:instrText xml:space="preserve"> HYPERLINK "https://www.ijlmh.com/wp-content/uploads/Debentures-and-their-Appeal-to-Investors-and-Companies.pdf" </w:instrText>
      </w:r>
      <w:r>
        <w:fldChar w:fldCharType="separate"/>
      </w:r>
      <w:r>
        <w:rPr>
          <w:rStyle w:val="12"/>
          <w:rFonts w:ascii="Arial Regular" w:hAnsi="Arial Regular" w:eastAsia="SimSun" w:cs="Arial Regular"/>
          <w:sz w:val="24"/>
          <w:szCs w:val="24"/>
          <w:shd w:val="clear" w:color="auto" w:fill="FFFFFF"/>
        </w:rPr>
        <w:t>https://www.ijlmh.com/wp-content/uploads/Debentures-and-their-Appeal-to-Investors-and-Companies.pdf</w:t>
      </w:r>
      <w:r>
        <w:rPr>
          <w:rStyle w:val="12"/>
          <w:rFonts w:ascii="Arial Regular" w:hAnsi="Arial Regular" w:eastAsia="SimSun" w:cs="Arial Regular"/>
          <w:sz w:val="24"/>
          <w:szCs w:val="24"/>
          <w:shd w:val="clear" w:color="auto" w:fill="FFFFFF"/>
        </w:rPr>
        <w:fldChar w:fldCharType="end"/>
      </w:r>
    </w:p>
    <w:p w14:paraId="1D93F228">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Li, X. (2025) ‘NPV vs. IRR: Comparison of Pros and Cons in Investment Decisions’, </w:t>
      </w:r>
      <w:r>
        <w:rPr>
          <w:rFonts w:ascii="Arial Regular" w:hAnsi="Arial Regular" w:cs="Arial Regular"/>
          <w:i/>
          <w:iCs/>
          <w:sz w:val="24"/>
          <w:szCs w:val="24"/>
        </w:rPr>
        <w:t>Beijing University of Technology</w:t>
      </w:r>
      <w:r>
        <w:rPr>
          <w:rFonts w:ascii="Arial Regular" w:hAnsi="Arial Regular" w:cs="Arial Regular"/>
          <w:sz w:val="24"/>
          <w:szCs w:val="24"/>
        </w:rPr>
        <w:t xml:space="preserve">, pp. 984-991. Available at: </w:t>
      </w:r>
      <w:r>
        <w:fldChar w:fldCharType="begin"/>
      </w:r>
      <w:r>
        <w:instrText xml:space="preserve"> HYPERLINK "https://www.atlantis-press.com/article/126014904.pdf" </w:instrText>
      </w:r>
      <w:r>
        <w:fldChar w:fldCharType="separate"/>
      </w:r>
      <w:r>
        <w:rPr>
          <w:rStyle w:val="12"/>
          <w:rFonts w:ascii="Arial Regular" w:hAnsi="Arial Regular" w:cs="Arial Regular"/>
          <w:sz w:val="24"/>
          <w:szCs w:val="24"/>
        </w:rPr>
        <w:t>https://www.atlantis-press.com/article/126014904.pdf</w:t>
      </w:r>
      <w:r>
        <w:rPr>
          <w:rStyle w:val="12"/>
          <w:rFonts w:ascii="Arial Regular" w:hAnsi="Arial Regular" w:cs="Arial Regular"/>
          <w:sz w:val="24"/>
          <w:szCs w:val="24"/>
        </w:rPr>
        <w:fldChar w:fldCharType="end"/>
      </w:r>
    </w:p>
    <w:p w14:paraId="4FBDA4A0">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Macro Trend. (2025) </w:t>
      </w:r>
      <w:r>
        <w:rPr>
          <w:rFonts w:ascii="Arial Regular" w:hAnsi="Arial Regular" w:cs="Arial Regular"/>
          <w:i/>
          <w:iCs/>
          <w:sz w:val="24"/>
          <w:szCs w:val="24"/>
        </w:rPr>
        <w:t>Group 1 Automotive Current Ratio 2012-2025 | GPI</w:t>
      </w:r>
      <w:r>
        <w:rPr>
          <w:rFonts w:ascii="Arial Regular" w:hAnsi="Arial Regular" w:cs="Arial Regular"/>
          <w:sz w:val="24"/>
          <w:szCs w:val="24"/>
        </w:rPr>
        <w:t xml:space="preserve">. Available at: </w:t>
      </w:r>
      <w:r>
        <w:fldChar w:fldCharType="begin"/>
      </w:r>
      <w:r>
        <w:instrText xml:space="preserve"> HYPERLINK "https://www.macrotrends.net/stocks/charts/GPI/group-1-automotive/current-ratio" </w:instrText>
      </w:r>
      <w:r>
        <w:fldChar w:fldCharType="separate"/>
      </w:r>
      <w:r>
        <w:rPr>
          <w:rStyle w:val="12"/>
          <w:rFonts w:ascii="Arial Regular" w:hAnsi="Arial Regular" w:cs="Arial Regular"/>
          <w:sz w:val="24"/>
          <w:szCs w:val="24"/>
        </w:rPr>
        <w:t>https://www.macrotrends.net/stocks/charts/GPI/group-1-automotive/current-ratio</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39615B87">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McCoy, J., Palomino, F., Ander, P., Press, C. and Gerardo, </w:t>
      </w:r>
      <w:r>
        <w:rPr>
          <w:rFonts w:ascii="Arial Regular" w:hAnsi="Arial Regular" w:cs="Arial Regular"/>
          <w:sz w:val="24"/>
          <w:szCs w:val="24"/>
        </w:rPr>
        <w:tab/>
      </w:r>
      <w:r>
        <w:rPr>
          <w:rFonts w:ascii="Arial Regular" w:hAnsi="Arial Regular" w:cs="Arial Regular"/>
          <w:sz w:val="24"/>
          <w:szCs w:val="24"/>
        </w:rPr>
        <w:t xml:space="preserve">S. (2020) Federal reserve: Interest Coverage Ratios: Assessing Vulnerabilities in Nonfinancial Corporate Credit. Available at: </w:t>
      </w:r>
      <w:r>
        <w:fldChar w:fldCharType="begin"/>
      </w:r>
      <w:r>
        <w:instrText xml:space="preserve"> HYPERLINK "https://www.federalreserve.gov/econres/notes/feds-notes/interest-coverage-ratios-assessing-vulnerabilities-in-nonfinancial-corporate-credit-20201203.html" </w:instrText>
      </w:r>
      <w:r>
        <w:fldChar w:fldCharType="separate"/>
      </w:r>
      <w:r>
        <w:rPr>
          <w:rStyle w:val="9"/>
          <w:rFonts w:ascii="Arial Regular" w:hAnsi="Arial Regular" w:cs="Arial Regular"/>
          <w:sz w:val="24"/>
          <w:szCs w:val="24"/>
        </w:rPr>
        <w:t>https://www.federalreserve.gov/econres/notes/feds-notes/interest-coverage-ratios-assessing-vulnerabilities-in-nonfinancial-corporate-credit-20201203.html</w:t>
      </w:r>
      <w:r>
        <w:rPr>
          <w:rStyle w:val="9"/>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670115DE">
      <w:pPr>
        <w:spacing w:before="240" w:beforeLines="100" w:after="240" w:afterLines="100" w:line="360" w:lineRule="auto"/>
        <w:jc w:val="both"/>
        <w:rPr>
          <w:rFonts w:ascii="Arial Regular" w:hAnsi="Arial Regular" w:eastAsia="SimSun" w:cs="Arial Regular"/>
          <w:color w:val="222222"/>
          <w:sz w:val="24"/>
          <w:szCs w:val="24"/>
          <w:shd w:val="clear" w:color="auto" w:fill="FFFFFF"/>
        </w:rPr>
      </w:pPr>
      <w:r>
        <w:rPr>
          <w:rFonts w:ascii="Arial Regular" w:hAnsi="Arial Regular" w:eastAsia="SimSun" w:cs="Arial Regular"/>
          <w:color w:val="222222"/>
          <w:sz w:val="24"/>
          <w:szCs w:val="24"/>
          <w:shd w:val="clear" w:color="auto" w:fill="FFFFFF"/>
          <w:lang w:bidi="ar"/>
        </w:rPr>
        <w:t>Monea, M. (2019) ‘Asset management ratios’, </w:t>
      </w:r>
      <w:r>
        <w:rPr>
          <w:rFonts w:ascii="Arial Regular" w:hAnsi="Arial Regular" w:eastAsia="SimSun" w:cs="Arial Regular"/>
          <w:i/>
          <w:iCs/>
          <w:color w:val="222222"/>
          <w:sz w:val="24"/>
          <w:szCs w:val="24"/>
          <w:shd w:val="clear" w:color="auto" w:fill="FFFFFF"/>
          <w:lang w:bidi="ar"/>
        </w:rPr>
        <w:t>Annals of the University of Petroşani. Economics</w:t>
      </w:r>
      <w:r>
        <w:rPr>
          <w:rFonts w:ascii="Arial Regular" w:hAnsi="Arial Regular" w:eastAsia="SimSun" w:cs="Arial Regular"/>
          <w:color w:val="222222"/>
          <w:sz w:val="24"/>
          <w:szCs w:val="24"/>
          <w:shd w:val="clear" w:color="auto" w:fill="FFFFFF"/>
          <w:lang w:bidi="ar"/>
        </w:rPr>
        <w:t xml:space="preserve">, 19(2), pp. 63-70. Available at: </w:t>
      </w:r>
      <w:r>
        <w:fldChar w:fldCharType="begin"/>
      </w:r>
      <w:r>
        <w:instrText xml:space="preserve"> HYPERLINK "https://www.upet.ro/annals/economics/pdf/2019/p2/Monea.pdf" </w:instrText>
      </w:r>
      <w:r>
        <w:fldChar w:fldCharType="separate"/>
      </w:r>
      <w:r>
        <w:rPr>
          <w:rStyle w:val="12"/>
          <w:rFonts w:ascii="Arial Regular" w:hAnsi="Arial Regular" w:eastAsia="SimSun" w:cs="Arial Regular"/>
          <w:sz w:val="24"/>
          <w:szCs w:val="24"/>
          <w:shd w:val="clear" w:color="auto" w:fill="FFFFFF"/>
        </w:rPr>
        <w:t>https://www.upet.ro/annals/economics/pdf/2019/p2/Monea.pdf</w:t>
      </w:r>
      <w:r>
        <w:rPr>
          <w:rStyle w:val="12"/>
          <w:rFonts w:ascii="Arial Regular" w:hAnsi="Arial Regular" w:eastAsia="SimSun" w:cs="Arial Regular"/>
          <w:sz w:val="24"/>
          <w:szCs w:val="24"/>
          <w:shd w:val="clear" w:color="auto" w:fill="FFFFFF"/>
        </w:rPr>
        <w:fldChar w:fldCharType="end"/>
      </w:r>
    </w:p>
    <w:p w14:paraId="2FB0DEF5">
      <w:pPr>
        <w:spacing w:before="240" w:beforeLines="100" w:after="240" w:afterLines="100" w:line="360" w:lineRule="auto"/>
        <w:jc w:val="both"/>
        <w:rPr>
          <w:rFonts w:ascii="Arial Regular" w:hAnsi="Arial Regular" w:cs="Arial Regular"/>
          <w:sz w:val="24"/>
          <w:szCs w:val="24"/>
        </w:rPr>
      </w:pPr>
      <w:r>
        <w:rPr>
          <w:rFonts w:ascii="Arial Regular" w:hAnsi="Arial Regular" w:eastAsia="SimSun" w:cs="Arial Regular"/>
          <w:color w:val="222222"/>
          <w:sz w:val="24"/>
          <w:szCs w:val="24"/>
          <w:shd w:val="clear" w:color="auto" w:fill="FFFFFF"/>
          <w:lang w:bidi="ar"/>
        </w:rPr>
        <w:t>Nasution, A.A. (2020) ‘Effect of inventory turnover on the level of profitability’, In </w:t>
      </w:r>
      <w:r>
        <w:rPr>
          <w:rFonts w:ascii="Arial Regular" w:hAnsi="Arial Regular" w:eastAsia="SimSun" w:cs="Arial Regular"/>
          <w:i/>
          <w:iCs/>
          <w:color w:val="222222"/>
          <w:sz w:val="24"/>
          <w:szCs w:val="24"/>
          <w:shd w:val="clear" w:color="auto" w:fill="FFFFFF"/>
          <w:lang w:bidi="ar"/>
        </w:rPr>
        <w:t>IOP Conference Series: Materials Science and Engineering,</w:t>
      </w:r>
      <w:r>
        <w:rPr>
          <w:rFonts w:ascii="Arial Regular" w:hAnsi="Arial Regular" w:eastAsia="SimSun" w:cs="Arial Regular"/>
          <w:color w:val="222222"/>
          <w:sz w:val="24"/>
          <w:szCs w:val="24"/>
          <w:shd w:val="clear" w:color="auto" w:fill="FFFFFF"/>
          <w:lang w:bidi="ar"/>
        </w:rPr>
        <w:t xml:space="preserve"> 725 (1), pp. 012137. Available at: </w:t>
      </w:r>
      <w:r>
        <w:fldChar w:fldCharType="begin"/>
      </w:r>
      <w:r>
        <w:instrText xml:space="preserve"> HYPERLINK "https://iopscience.iop.org/article/10.1088/1757-899X/725/1/012137/pdf" </w:instrText>
      </w:r>
      <w:r>
        <w:fldChar w:fldCharType="separate"/>
      </w:r>
      <w:r>
        <w:rPr>
          <w:rStyle w:val="12"/>
          <w:rFonts w:ascii="Arial Regular" w:hAnsi="Arial Regular" w:eastAsia="SimSun" w:cs="Arial Regular"/>
          <w:sz w:val="24"/>
          <w:szCs w:val="24"/>
          <w:shd w:val="clear" w:color="auto" w:fill="FFFFFF"/>
        </w:rPr>
        <w:t>https://iopscience.iop.org/article/10.1088/1757-899X/725/1/012137/pdf</w:t>
      </w:r>
      <w:r>
        <w:rPr>
          <w:rStyle w:val="12"/>
          <w:rFonts w:ascii="Arial Regular" w:hAnsi="Arial Regular" w:eastAsia="SimSun" w:cs="Arial Regular"/>
          <w:sz w:val="24"/>
          <w:szCs w:val="24"/>
          <w:shd w:val="clear" w:color="auto" w:fill="FFFFFF"/>
        </w:rPr>
        <w:fldChar w:fldCharType="end"/>
      </w:r>
    </w:p>
    <w:p w14:paraId="2F6639C4">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Nukala, V.B. and Prasada Rao, S.S. (2021) Role of debt-to-equity ratio in project investment valuation, assessing risk and return in capital markets. </w:t>
      </w:r>
      <w:r>
        <w:rPr>
          <w:rFonts w:ascii="Arial Regular" w:hAnsi="Arial Regular" w:cs="Arial Regular"/>
          <w:i/>
          <w:iCs/>
          <w:sz w:val="24"/>
          <w:szCs w:val="24"/>
        </w:rPr>
        <w:t>Future Business Journal</w:t>
      </w:r>
      <w:r>
        <w:rPr>
          <w:rFonts w:ascii="Arial Regular" w:hAnsi="Arial Regular" w:cs="Arial Regular"/>
          <w:sz w:val="24"/>
          <w:szCs w:val="24"/>
        </w:rPr>
        <w:t xml:space="preserve">, 7(1), p.13. </w:t>
      </w:r>
    </w:p>
    <w:p w14:paraId="7FC2E918">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Pandey, V.S. (n.d.) </w:t>
      </w:r>
      <w:r>
        <w:rPr>
          <w:rFonts w:ascii="Arial Regular" w:hAnsi="Arial Regular" w:cs="Arial Regular"/>
          <w:i/>
          <w:iCs/>
          <w:sz w:val="24"/>
          <w:szCs w:val="24"/>
        </w:rPr>
        <w:t>Capital Structure Decision and Value of the Firm</w:t>
      </w:r>
      <w:r>
        <w:rPr>
          <w:rFonts w:ascii="Arial Regular" w:hAnsi="Arial Regular" w:cs="Arial Regular"/>
          <w:sz w:val="24"/>
          <w:szCs w:val="24"/>
        </w:rPr>
        <w:t xml:space="preserve">. Available at: </w:t>
      </w:r>
      <w:r>
        <w:fldChar w:fldCharType="begin"/>
      </w:r>
      <w:r>
        <w:instrText xml:space="preserve"> HYPERLINK "https://www.lkouniv.ac.in/site/writereaddata/siteContent/202003291621086976vijayshankarpandey_Capital_Structure_Theory.pdf" </w:instrText>
      </w:r>
      <w:r>
        <w:fldChar w:fldCharType="separate"/>
      </w:r>
      <w:r>
        <w:rPr>
          <w:rStyle w:val="12"/>
          <w:rFonts w:ascii="Arial Regular" w:hAnsi="Arial Regular" w:cs="Arial Regular"/>
          <w:sz w:val="24"/>
          <w:szCs w:val="24"/>
        </w:rPr>
        <w:t>https://www.lkouniv.ac.in/site/writereaddata/siteContent/202003291621086976vijayshankarpandey_Capital_Structure_Theory.pdf</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73753633">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Roy, S. and Satpathy, B. (2019) Strategic alliance between information intensive services and supply chain integration: impact on firm performance. </w:t>
      </w:r>
      <w:r>
        <w:rPr>
          <w:rFonts w:ascii="Arial Regular" w:hAnsi="Arial Regular" w:cs="Arial Regular"/>
          <w:i/>
          <w:iCs/>
          <w:sz w:val="24"/>
          <w:szCs w:val="24"/>
        </w:rPr>
        <w:t>Brazilian Journal of Operations &amp; Production Management</w:t>
      </w:r>
      <w:r>
        <w:rPr>
          <w:rFonts w:ascii="Arial Regular" w:hAnsi="Arial Regular" w:cs="Arial Regular"/>
          <w:sz w:val="24"/>
          <w:szCs w:val="24"/>
        </w:rPr>
        <w:t xml:space="preserve">, 16(2), pp. 241-260. </w:t>
      </w:r>
    </w:p>
    <w:p w14:paraId="72AD45B9">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Safira, F. and Kavyashree, K. (2023) ‘Impact Of Cash Conversion Cycle on Firm's Profitability An Empirical Study’, </w:t>
      </w:r>
      <w:r>
        <w:rPr>
          <w:rFonts w:ascii="Arial Regular" w:hAnsi="Arial Regular" w:cs="Arial Regular"/>
          <w:i/>
          <w:iCs/>
          <w:sz w:val="24"/>
          <w:szCs w:val="24"/>
        </w:rPr>
        <w:t>11th International Conference on Emerging Trends in Corporate Finance and Financial Markets</w:t>
      </w:r>
      <w:r>
        <w:rPr>
          <w:rFonts w:ascii="Arial Regular" w:hAnsi="Arial Regular" w:cs="Arial Regular"/>
          <w:sz w:val="24"/>
          <w:szCs w:val="24"/>
        </w:rPr>
        <w:t xml:space="preserve">, pp. 1-6. Available at: </w:t>
      </w:r>
      <w:r>
        <w:fldChar w:fldCharType="begin"/>
      </w:r>
      <w:r>
        <w:instrText xml:space="preserve"> HYPERLINK "https://www.sdmimd.ac.in/financeconference2023/papers/IFC2372.pdf" </w:instrText>
      </w:r>
      <w:r>
        <w:fldChar w:fldCharType="separate"/>
      </w:r>
      <w:r>
        <w:rPr>
          <w:rStyle w:val="12"/>
          <w:rFonts w:ascii="Arial Regular" w:hAnsi="Arial Regular" w:cs="Arial Regular"/>
          <w:sz w:val="24"/>
          <w:szCs w:val="24"/>
        </w:rPr>
        <w:t>https://www.sdmimd.ac.in/financeconference2023/papers/IFC2372.pdf</w:t>
      </w:r>
      <w:r>
        <w:rPr>
          <w:rStyle w:val="12"/>
          <w:rFonts w:ascii="Arial Regular" w:hAnsi="Arial Regular" w:cs="Arial Regular"/>
          <w:sz w:val="24"/>
          <w:szCs w:val="24"/>
        </w:rPr>
        <w:fldChar w:fldCharType="end"/>
      </w:r>
    </w:p>
    <w:p w14:paraId="7C58CC81">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Schmidt, J. (2020) </w:t>
      </w:r>
      <w:r>
        <w:rPr>
          <w:rFonts w:ascii="Arial Regular" w:hAnsi="Arial Regular" w:cs="Arial Regular"/>
          <w:i/>
          <w:iCs/>
          <w:sz w:val="24"/>
          <w:szCs w:val="24"/>
        </w:rPr>
        <w:t>Preferred Shares</w:t>
      </w:r>
      <w:r>
        <w:rPr>
          <w:rFonts w:ascii="Arial Regular" w:hAnsi="Arial Regular" w:cs="Arial Regular"/>
          <w:sz w:val="24"/>
          <w:szCs w:val="24"/>
        </w:rPr>
        <w:t xml:space="preserve">. Available at: </w:t>
      </w:r>
      <w:r>
        <w:fldChar w:fldCharType="begin"/>
      </w:r>
      <w:r>
        <w:instrText xml:space="preserve"> HYPERLINK "https://corporatefinanceinstitute.com/resources/career-map/sell-side/capital-markets/preferred-shares/" </w:instrText>
      </w:r>
      <w:r>
        <w:fldChar w:fldCharType="separate"/>
      </w:r>
      <w:r>
        <w:rPr>
          <w:rStyle w:val="12"/>
          <w:rFonts w:ascii="Arial Regular" w:hAnsi="Arial Regular" w:cs="Arial Regular"/>
          <w:sz w:val="24"/>
          <w:szCs w:val="24"/>
        </w:rPr>
        <w:t>https://corporatefinanceinstitute.com/resources/career-map/sell-side/capital-markets/preferred-shares/</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75AA6C44">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color w:val="222222"/>
          <w:sz w:val="24"/>
          <w:szCs w:val="24"/>
          <w:shd w:val="clear" w:color="auto" w:fill="FFFFFF"/>
        </w:rPr>
        <w:t>STELLA, F. (n.d.) The role of Taxation in Corporate Restructuring Strategies.</w:t>
      </w:r>
    </w:p>
    <w:p w14:paraId="26087334">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Tesla Inc. (2024) </w:t>
      </w:r>
      <w:r>
        <w:rPr>
          <w:rFonts w:ascii="Arial Regular" w:hAnsi="Arial Regular" w:cs="Arial Regular"/>
          <w:i/>
          <w:iCs/>
          <w:sz w:val="24"/>
          <w:szCs w:val="24"/>
        </w:rPr>
        <w:t>Annual Report</w:t>
      </w:r>
      <w:r>
        <w:rPr>
          <w:rFonts w:ascii="Arial Regular" w:hAnsi="Arial Regular" w:cs="Arial Regular"/>
          <w:sz w:val="24"/>
          <w:szCs w:val="24"/>
        </w:rPr>
        <w:t xml:space="preserve">. Available at: </w:t>
      </w:r>
      <w:r>
        <w:fldChar w:fldCharType="begin"/>
      </w:r>
      <w:r>
        <w:instrText xml:space="preserve"> HYPERLINK "https://www.annualreports.com/HostedData/AnnualReports/PDF/NASDAQ_TSLA_2024.pdf" </w:instrText>
      </w:r>
      <w:r>
        <w:fldChar w:fldCharType="separate"/>
      </w:r>
      <w:r>
        <w:rPr>
          <w:rStyle w:val="12"/>
          <w:rFonts w:ascii="Arial Regular" w:hAnsi="Arial Regular" w:cs="Arial Regular"/>
          <w:sz w:val="24"/>
          <w:szCs w:val="24"/>
        </w:rPr>
        <w:t>https://www.annualreports.com/HostedData/AnnualReports/PDF/NASDAQ_TSLA_2024.pdf</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2D38472B">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Tesla Inc. (2026) </w:t>
      </w:r>
      <w:r>
        <w:rPr>
          <w:rFonts w:ascii="Arial Regular" w:hAnsi="Arial Regular" w:cs="Arial Regular"/>
          <w:i/>
          <w:iCs/>
          <w:sz w:val="24"/>
          <w:szCs w:val="24"/>
        </w:rPr>
        <w:t>About Us</w:t>
      </w:r>
      <w:r>
        <w:rPr>
          <w:rFonts w:ascii="Arial Regular" w:hAnsi="Arial Regular" w:cs="Arial Regular"/>
          <w:sz w:val="24"/>
          <w:szCs w:val="24"/>
        </w:rPr>
        <w:t xml:space="preserve">. Available at: </w:t>
      </w:r>
      <w:r>
        <w:fldChar w:fldCharType="begin"/>
      </w:r>
      <w:r>
        <w:instrText xml:space="preserve"> HYPERLINK "https://www.tesla.com/about" </w:instrText>
      </w:r>
      <w:r>
        <w:fldChar w:fldCharType="separate"/>
      </w:r>
      <w:r>
        <w:rPr>
          <w:rStyle w:val="12"/>
          <w:rFonts w:ascii="Arial Regular" w:hAnsi="Arial Regular" w:cs="Arial Regular"/>
          <w:sz w:val="24"/>
          <w:szCs w:val="24"/>
        </w:rPr>
        <w:t>https://www.tesla.com/about</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630EF5B7">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Tiwary, A.R. (2019) Study of currency risk and the hedging strategies. </w:t>
      </w:r>
      <w:r>
        <w:rPr>
          <w:rFonts w:ascii="Arial Regular" w:hAnsi="Arial Regular" w:cs="Arial Regular"/>
          <w:i/>
          <w:iCs/>
          <w:sz w:val="24"/>
          <w:szCs w:val="24"/>
        </w:rPr>
        <w:t>Journal of Advanced Studies In Finance (JASF)</w:t>
      </w:r>
      <w:r>
        <w:rPr>
          <w:rFonts w:ascii="Arial Regular" w:hAnsi="Arial Regular" w:cs="Arial Regular"/>
          <w:sz w:val="24"/>
          <w:szCs w:val="24"/>
        </w:rPr>
        <w:t xml:space="preserve">, 10(19), pp. 45-55. </w:t>
      </w:r>
    </w:p>
    <w:p w14:paraId="4FF5570E">
      <w:pPr>
        <w:spacing w:before="240" w:beforeLines="100" w:after="240" w:afterLines="100" w:line="360" w:lineRule="auto"/>
        <w:jc w:val="both"/>
        <w:rPr>
          <w:rFonts w:ascii="Arial Regular" w:hAnsi="Arial Regular" w:cs="Arial Regular"/>
          <w:sz w:val="24"/>
          <w:szCs w:val="24"/>
        </w:rPr>
      </w:pPr>
      <w:r>
        <w:rPr>
          <w:rFonts w:ascii="Arial Regular" w:hAnsi="Arial Regular" w:cs="Arial Regular"/>
          <w:sz w:val="24"/>
          <w:szCs w:val="24"/>
        </w:rPr>
        <w:t xml:space="preserve">Wells Fargo. (2025) </w:t>
      </w:r>
      <w:r>
        <w:rPr>
          <w:rFonts w:ascii="Arial Regular" w:hAnsi="Arial Regular" w:cs="Arial Regular"/>
          <w:i/>
          <w:iCs/>
          <w:sz w:val="24"/>
          <w:szCs w:val="24"/>
        </w:rPr>
        <w:t>5 ways to improve your liquidity ratio</w:t>
      </w:r>
      <w:r>
        <w:rPr>
          <w:rFonts w:ascii="Arial Regular" w:hAnsi="Arial Regular" w:cs="Arial Regular"/>
          <w:sz w:val="24"/>
          <w:szCs w:val="24"/>
        </w:rPr>
        <w:t xml:space="preserve">. Available at: </w:t>
      </w:r>
      <w:r>
        <w:fldChar w:fldCharType="begin"/>
      </w:r>
      <w:r>
        <w:instrText xml:space="preserve"> HYPERLINK "https://smallbusinessresources.wf.com/5-ways-to-improve-your-liquidity-ratio/" </w:instrText>
      </w:r>
      <w:r>
        <w:fldChar w:fldCharType="separate"/>
      </w:r>
      <w:r>
        <w:rPr>
          <w:rStyle w:val="12"/>
          <w:rFonts w:ascii="Arial Regular" w:hAnsi="Arial Regular" w:cs="Arial Regular"/>
          <w:sz w:val="24"/>
          <w:szCs w:val="24"/>
        </w:rPr>
        <w:t>https://smallbusinessresources.wf.com/5-ways-to-improve-your-liquidity-ratio/</w:t>
      </w:r>
      <w:r>
        <w:rPr>
          <w:rStyle w:val="12"/>
          <w:rFonts w:ascii="Arial Regular" w:hAnsi="Arial Regular" w:cs="Arial Regular"/>
          <w:sz w:val="24"/>
          <w:szCs w:val="24"/>
        </w:rPr>
        <w:fldChar w:fldCharType="end"/>
      </w:r>
      <w:r>
        <w:rPr>
          <w:rFonts w:ascii="Arial Regular" w:hAnsi="Arial Regular" w:cs="Arial Regular"/>
          <w:sz w:val="24"/>
          <w:szCs w:val="24"/>
        </w:rPr>
        <w:t xml:space="preserve"> (Accessed: 17 April 2026).</w:t>
      </w:r>
    </w:p>
    <w:p w14:paraId="12198B4E">
      <w:pPr>
        <w:spacing w:before="240" w:beforeLines="100" w:after="240" w:afterLines="100" w:line="360" w:lineRule="auto"/>
        <w:jc w:val="both"/>
        <w:rPr>
          <w:rFonts w:ascii="Arial Regular" w:hAnsi="Arial Regular" w:eastAsia="SimSun" w:cs="Arial Regular"/>
          <w:color w:val="222222"/>
          <w:sz w:val="24"/>
          <w:szCs w:val="24"/>
          <w:shd w:val="clear" w:color="auto" w:fill="FFFFFF"/>
        </w:rPr>
      </w:pPr>
      <w:r>
        <w:rPr>
          <w:rFonts w:ascii="Arial Regular" w:hAnsi="Arial Regular" w:eastAsia="SimSun" w:cs="Arial Regular"/>
          <w:color w:val="222222"/>
          <w:sz w:val="24"/>
          <w:szCs w:val="24"/>
          <w:shd w:val="clear" w:color="auto" w:fill="FFFFFF"/>
          <w:lang w:bidi="ar"/>
        </w:rPr>
        <w:t>Yan, R. and Zhang, Y. (2022) ‘The Introduction of NPV and IRR’,. In </w:t>
      </w:r>
      <w:r>
        <w:rPr>
          <w:rFonts w:ascii="Arial Regular" w:hAnsi="Arial Regular" w:eastAsia="SimSun" w:cs="Arial Regular"/>
          <w:i/>
          <w:iCs/>
          <w:color w:val="222222"/>
          <w:sz w:val="24"/>
          <w:szCs w:val="24"/>
          <w:shd w:val="clear" w:color="auto" w:fill="FFFFFF"/>
          <w:lang w:bidi="ar"/>
        </w:rPr>
        <w:t xml:space="preserve">2022 7th International Conference on Financial Innovation and Economic Development (ICFIED 2022), </w:t>
      </w:r>
      <w:r>
        <w:rPr>
          <w:rFonts w:ascii="Arial Regular" w:hAnsi="Arial Regular" w:eastAsia="SimSun" w:cs="Arial Regular"/>
          <w:color w:val="222222"/>
          <w:sz w:val="24"/>
          <w:szCs w:val="24"/>
          <w:shd w:val="clear" w:color="auto" w:fill="FFFFFF"/>
          <w:lang w:bidi="ar"/>
        </w:rPr>
        <w:t xml:space="preserve">211, pp. 1472-1476. Available at: </w:t>
      </w:r>
      <w:r>
        <w:fldChar w:fldCharType="begin"/>
      </w:r>
      <w:r>
        <w:instrText xml:space="preserve"> HYPERLINK "https://www.atlantis-press.com/article/125971692.pdf" </w:instrText>
      </w:r>
      <w:r>
        <w:fldChar w:fldCharType="separate"/>
      </w:r>
      <w:r>
        <w:rPr>
          <w:rStyle w:val="12"/>
          <w:rFonts w:ascii="Arial Regular" w:hAnsi="Arial Regular" w:eastAsia="SimSun" w:cs="Arial Regular"/>
          <w:sz w:val="24"/>
          <w:szCs w:val="24"/>
          <w:shd w:val="clear" w:color="auto" w:fill="FFFFFF"/>
        </w:rPr>
        <w:t>https://www.atlantis-press.com/article/125971692.pdf</w:t>
      </w:r>
      <w:r>
        <w:rPr>
          <w:rStyle w:val="12"/>
          <w:rFonts w:ascii="Arial Regular" w:hAnsi="Arial Regular" w:eastAsia="SimSun" w:cs="Arial Regular"/>
          <w:sz w:val="24"/>
          <w:szCs w:val="24"/>
          <w:shd w:val="clear" w:color="auto" w:fill="FFFFFF"/>
        </w:rPr>
        <w:fldChar w:fldCharType="end"/>
      </w:r>
    </w:p>
    <w:p w14:paraId="7901F34B"/>
    <w:p w14:paraId="5ADF7AC8">
      <w:pPr>
        <w:spacing w:before="240" w:beforeLines="100" w:after="240" w:afterLines="100" w:line="360" w:lineRule="auto"/>
        <w:jc w:val="both"/>
        <w:rPr>
          <w:rFonts w:ascii="Arial Regular" w:hAnsi="Arial Regular" w:cs="Arial Regular"/>
          <w:sz w:val="24"/>
          <w:szCs w:val="24"/>
        </w:rPr>
      </w:pPr>
    </w:p>
    <w:p w14:paraId="4A763248">
      <w:pPr>
        <w:spacing w:line="360" w:lineRule="auto"/>
        <w:jc w:val="both"/>
        <w:rPr>
          <w:rFonts w:ascii="Arial Regular" w:hAnsi="Arial Regular" w:cs="Arial Regular"/>
          <w:b/>
          <w:bCs/>
          <w:sz w:val="24"/>
          <w:szCs w:val="24"/>
        </w:rPr>
      </w:pPr>
      <w:r>
        <w:rPr>
          <w:rFonts w:ascii="Arial Regular" w:hAnsi="Arial Regular" w:cs="Arial Regular"/>
          <w:b/>
          <w:bCs/>
          <w:sz w:val="24"/>
          <w:szCs w:val="24"/>
        </w:rPr>
        <w:br w:type="page"/>
      </w:r>
    </w:p>
    <w:p w14:paraId="3373D604">
      <w:pPr>
        <w:pStyle w:val="2"/>
        <w:spacing w:before="0" w:after="0" w:line="360" w:lineRule="auto"/>
        <w:jc w:val="both"/>
        <w:rPr>
          <w:rFonts w:ascii="Arial Regular" w:hAnsi="Arial Regular" w:cs="Arial Regular"/>
          <w:sz w:val="24"/>
          <w:szCs w:val="24"/>
        </w:rPr>
        <w:sectPr>
          <w:footerReference r:id="rId3" w:type="default"/>
          <w:pgSz w:w="11906" w:h="16838"/>
          <w:pgMar w:top="1440" w:right="1800" w:bottom="1440" w:left="1800" w:header="720" w:footer="720" w:gutter="0"/>
          <w:cols w:space="720" w:num="1"/>
          <w:docGrid w:linePitch="360" w:charSpace="0"/>
        </w:sectPr>
      </w:pPr>
      <w:bookmarkStart w:id="9" w:name="_Toc805400745"/>
    </w:p>
    <w:p w14:paraId="7DE61378">
      <w:pPr>
        <w:pStyle w:val="2"/>
        <w:spacing w:before="0" w:after="0" w:line="360" w:lineRule="auto"/>
        <w:jc w:val="both"/>
        <w:rPr>
          <w:rFonts w:ascii="Arial Regular" w:hAnsi="Arial Regular" w:cs="Arial Regular"/>
          <w:sz w:val="24"/>
          <w:szCs w:val="24"/>
        </w:rPr>
      </w:pPr>
      <w:r>
        <w:rPr>
          <w:rFonts w:ascii="Arial Regular" w:hAnsi="Arial Regular" w:cs="Arial Regular"/>
          <w:sz w:val="24"/>
          <w:szCs w:val="24"/>
        </w:rPr>
        <w:t>Appendices</w:t>
      </w:r>
      <w:bookmarkEnd w:id="9"/>
    </w:p>
    <w:p w14:paraId="7E85CF63">
      <w:pPr>
        <w:numPr>
          <w:ilvl w:val="0"/>
          <w:numId w:val="3"/>
        </w:numPr>
        <w:spacing w:line="360" w:lineRule="auto"/>
        <w:jc w:val="both"/>
        <w:outlineLvl w:val="0"/>
        <w:rPr>
          <w:rFonts w:ascii="Arial Regular" w:hAnsi="Arial Regular" w:cs="Arial Regular"/>
          <w:b/>
          <w:bCs/>
          <w:sz w:val="24"/>
          <w:szCs w:val="24"/>
        </w:rPr>
      </w:pPr>
      <w:bookmarkStart w:id="10" w:name="_Toc780894174"/>
      <w:r>
        <w:rPr>
          <w:rFonts w:ascii="Arial Regular" w:hAnsi="Arial Regular" w:cs="Arial Regular"/>
          <w:b/>
          <w:bCs/>
          <w:sz w:val="24"/>
          <w:szCs w:val="24"/>
        </w:rPr>
        <w:t>Ratios</w:t>
      </w:r>
      <w:bookmarkEnd w:id="10"/>
    </w:p>
    <w:tbl>
      <w:tblPr>
        <w:tblStyle w:val="4"/>
        <w:tblW w:w="5000" w:type="pct"/>
        <w:tblInd w:w="0" w:type="dxa"/>
        <w:tblLayout w:type="autofit"/>
        <w:tblCellMar>
          <w:top w:w="0" w:type="dxa"/>
          <w:left w:w="108" w:type="dxa"/>
          <w:bottom w:w="0" w:type="dxa"/>
          <w:right w:w="108" w:type="dxa"/>
        </w:tblCellMar>
      </w:tblPr>
      <w:tblGrid>
        <w:gridCol w:w="6412"/>
        <w:gridCol w:w="1525"/>
        <w:gridCol w:w="1525"/>
        <w:gridCol w:w="1525"/>
        <w:gridCol w:w="1587"/>
        <w:gridCol w:w="1600"/>
      </w:tblGrid>
      <w:tr w14:paraId="265B1971">
        <w:tblPrEx>
          <w:tblCellMar>
            <w:top w:w="0" w:type="dxa"/>
            <w:left w:w="108" w:type="dxa"/>
            <w:bottom w:w="0" w:type="dxa"/>
            <w:right w:w="108" w:type="dxa"/>
          </w:tblCellMar>
        </w:tblPrEx>
        <w:trPr>
          <w:trHeight w:val="336" w:hRule="atLeast"/>
        </w:trPr>
        <w:tc>
          <w:tcPr>
            <w:tcW w:w="5000" w:type="pct"/>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14:paraId="6E71FF46">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Ratios of Tesla Inc</w:t>
            </w:r>
          </w:p>
        </w:tc>
      </w:tr>
      <w:tr w14:paraId="36AFC062">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FEBC504">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Profitability Ratios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F1F06F">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6A1C530">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16ADBC">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C13E354">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2050C26">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2024</w:t>
            </w:r>
          </w:p>
        </w:tc>
      </w:tr>
      <w:tr w14:paraId="3A44253C">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F743A62">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Gross profit</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78F07FB7">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6,630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D607F93">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13,606</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A0AFA0D">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20,853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227A1C8">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17,660</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576666C">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17,450</w:t>
            </w:r>
          </w:p>
        </w:tc>
      </w:tr>
      <w:tr w14:paraId="23B7996F">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3554D21">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Sales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A7CDF2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31,536</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0388BD4C">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53,823</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FD2CAF3">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81,462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4C0AAE9">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96,773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E69964B">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97,690</w:t>
            </w:r>
          </w:p>
        </w:tc>
      </w:tr>
      <w:tr w14:paraId="018E5FC1">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85F72A">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Gross profit margin</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F67D6C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21.02%</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DA880C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25.28%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461AB0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25.60%</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1EC4AF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18.25%</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104005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17.86%</w:t>
            </w:r>
          </w:p>
        </w:tc>
      </w:tr>
      <w:tr w14:paraId="237A5AA5">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DFC2789">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(Gross profit)/sales*100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D8583FE">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62588AE">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8F95A25">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1041C9A">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5CA0DA6">
            <w:pPr>
              <w:rPr>
                <w:rFonts w:ascii="Arial Regular" w:hAnsi="Arial Regular" w:eastAsia="Times New Roman Regular" w:cs="Arial Regular"/>
                <w:color w:val="000000"/>
                <w:sz w:val="24"/>
                <w:szCs w:val="24"/>
              </w:rPr>
            </w:pPr>
          </w:p>
        </w:tc>
      </w:tr>
      <w:tr w14:paraId="2AFE2896">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7F42E68">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DA503AD">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E8AF105">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34D193E">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FCE43DA">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0DE45A">
            <w:pPr>
              <w:rPr>
                <w:rFonts w:ascii="Arial Regular" w:hAnsi="Arial Regular" w:eastAsia="Times New Roman Regular" w:cs="Arial Regular"/>
                <w:color w:val="000000"/>
                <w:sz w:val="24"/>
                <w:szCs w:val="24"/>
              </w:rPr>
            </w:pPr>
          </w:p>
        </w:tc>
      </w:tr>
      <w:tr w14:paraId="6FBF8936">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367DEC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Net profit</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72DB5648">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862</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6389F314">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5,644</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E3F27E6">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12587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7EA7009">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14,974</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7D8B5B4">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7,153</w:t>
            </w:r>
          </w:p>
        </w:tc>
      </w:tr>
      <w:tr w14:paraId="68E422DC">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1FFE01E">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Sales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045B05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31,536</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C8B0AD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53,823</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D2ACEA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81,462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E47285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96,773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AE2C67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97,690</w:t>
            </w:r>
          </w:p>
        </w:tc>
      </w:tr>
      <w:tr w14:paraId="36973894">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31A4025">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Net profit margin</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11B865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2.73%</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7FD623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10.49%</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EAEA5A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15.45%</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D15322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15.47%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1312CF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7.32%</w:t>
            </w:r>
          </w:p>
        </w:tc>
      </w:tr>
      <w:tr w14:paraId="561896E0">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6263B9">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(Net profit/sales)*100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398A7DD">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6CCC8F">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F06CC7">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C89FE89">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4F6AB5C">
            <w:pPr>
              <w:rPr>
                <w:rFonts w:ascii="Arial Regular" w:hAnsi="Arial Regular" w:eastAsia="Times New Roman Regular" w:cs="Arial Regular"/>
                <w:color w:val="000000"/>
                <w:sz w:val="24"/>
                <w:szCs w:val="24"/>
              </w:rPr>
            </w:pPr>
          </w:p>
        </w:tc>
      </w:tr>
      <w:tr w14:paraId="25F6AF6D">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86100E5">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C6C0BCA">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80CF982">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4CCC1C0">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E31AE35">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2F4D75C">
            <w:pPr>
              <w:rPr>
                <w:rFonts w:ascii="Arial Regular" w:hAnsi="Arial Regular" w:eastAsia="Times New Roman Regular" w:cs="Arial Regular"/>
                <w:color w:val="000000"/>
                <w:sz w:val="24"/>
                <w:szCs w:val="24"/>
              </w:rPr>
            </w:pPr>
          </w:p>
        </w:tc>
      </w:tr>
      <w:tr w14:paraId="6A44B720">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3B4BB9F">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Liquidity Ratios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78E8021">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0D642C3">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6CC0555">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BF58D8F">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6446E34">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2024</w:t>
            </w:r>
          </w:p>
        </w:tc>
      </w:tr>
      <w:tr w14:paraId="2E05959A">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932389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Current assets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6B1DD42">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26,717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082161A">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27,100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0996B738">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40,917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75FF95AA">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49,616</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691D8F0B">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58,360</w:t>
            </w:r>
          </w:p>
        </w:tc>
      </w:tr>
      <w:tr w14:paraId="0C3C0F49">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7491169">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Current liabilities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92DA22A">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14,248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6B307DE">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19,705</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D4184A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26,709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589B1B7">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28,748</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E7366D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28,821</w:t>
            </w:r>
          </w:p>
        </w:tc>
      </w:tr>
      <w:tr w14:paraId="043E15D4">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7230F33">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Current ratio</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70B13C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1.88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F01D99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506113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1.53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4D0034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1.73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B1AF53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2.02</w:t>
            </w:r>
          </w:p>
        </w:tc>
      </w:tr>
      <w:tr w14:paraId="2852BFDD">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CD80735">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(CA/CL)</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6996800">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637A97C">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06DB996">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C758A88">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450517B">
            <w:pPr>
              <w:rPr>
                <w:rFonts w:ascii="Arial Regular" w:hAnsi="Arial Regular" w:eastAsia="Times New Roman Regular" w:cs="Arial Regular"/>
                <w:color w:val="000000"/>
                <w:sz w:val="24"/>
                <w:szCs w:val="24"/>
              </w:rPr>
            </w:pPr>
          </w:p>
        </w:tc>
      </w:tr>
      <w:tr w14:paraId="5E30A2C9">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9975582">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DB81600">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30B332">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9578404">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D707B26">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3137A6">
            <w:pPr>
              <w:rPr>
                <w:rFonts w:ascii="Arial Regular" w:hAnsi="Arial Regular" w:eastAsia="Times New Roman Regular" w:cs="Arial Regular"/>
                <w:color w:val="000000"/>
                <w:sz w:val="24"/>
                <w:szCs w:val="24"/>
              </w:rPr>
            </w:pPr>
          </w:p>
        </w:tc>
      </w:tr>
      <w:tr w14:paraId="4557D627">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AE1DDC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Current assets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606C0B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26,717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C1BEBA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27,100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62BF77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40,917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FC2CC2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49,616</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1FE31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58,360</w:t>
            </w:r>
          </w:p>
        </w:tc>
      </w:tr>
      <w:tr w14:paraId="68DD8433">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BF661E">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Inventory</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ABD5F79">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4,101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E045EE1">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5,757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8B8A0E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12,839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6E00819F">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13,626</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4799F35">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12,017</w:t>
            </w:r>
          </w:p>
        </w:tc>
      </w:tr>
      <w:tr w14:paraId="02E1139B">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525917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Current liabilities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D4A3C2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14,248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3F2674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19,705</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571EB9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26,709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E67A19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28,748</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8AE543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28,821</w:t>
            </w:r>
          </w:p>
        </w:tc>
      </w:tr>
      <w:tr w14:paraId="27CFCFED">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FB9C414">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Quick ratio</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4A3F18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1.59</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075DD1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AF069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1.05</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99D46F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1.25</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1B780A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1.61</w:t>
            </w:r>
          </w:p>
        </w:tc>
      </w:tr>
      <w:tr w14:paraId="25F22709">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688CB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 inventory)/ CL</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7EC201A">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8985F6F">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89204EF">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4D415F9">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75BC06E">
            <w:pPr>
              <w:rPr>
                <w:rFonts w:ascii="Arial Regular" w:hAnsi="Arial Regular" w:eastAsia="Times New Roman Regular" w:cs="Arial Regular"/>
                <w:color w:val="000000"/>
                <w:sz w:val="24"/>
                <w:szCs w:val="24"/>
              </w:rPr>
            </w:pPr>
          </w:p>
        </w:tc>
      </w:tr>
      <w:tr w14:paraId="571B9689">
        <w:tblPrEx>
          <w:tblCellMar>
            <w:top w:w="0" w:type="dxa"/>
            <w:left w:w="108" w:type="dxa"/>
            <w:bottom w:w="0" w:type="dxa"/>
            <w:right w:w="108" w:type="dxa"/>
          </w:tblCellMar>
        </w:tblPrEx>
        <w:trPr>
          <w:trHeight w:val="336" w:hRule="atLeast"/>
        </w:trPr>
        <w:tc>
          <w:tcPr>
            <w:tcW w:w="2262" w:type="pct"/>
            <w:tcBorders>
              <w:top w:val="nil"/>
              <w:left w:val="nil"/>
              <w:bottom w:val="nil"/>
              <w:right w:val="nil"/>
            </w:tcBorders>
            <w:shd w:val="clear" w:color="auto" w:fill="auto"/>
            <w:noWrap/>
            <w:vAlign w:val="center"/>
          </w:tcPr>
          <w:p w14:paraId="55D04D66">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333626AF">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3F76DF3E">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4E5F14EE">
            <w:pPr>
              <w:rPr>
                <w:rFonts w:ascii="Arial Regular" w:hAnsi="Arial Regular" w:eastAsia="Times New Roman Regular" w:cs="Arial Regular"/>
                <w:color w:val="000000"/>
                <w:sz w:val="24"/>
                <w:szCs w:val="24"/>
              </w:rPr>
            </w:pPr>
          </w:p>
        </w:tc>
        <w:tc>
          <w:tcPr>
            <w:tcW w:w="560" w:type="pct"/>
            <w:tcBorders>
              <w:top w:val="nil"/>
              <w:left w:val="nil"/>
              <w:bottom w:val="nil"/>
              <w:right w:val="nil"/>
            </w:tcBorders>
            <w:shd w:val="clear" w:color="auto" w:fill="auto"/>
            <w:noWrap/>
            <w:vAlign w:val="center"/>
          </w:tcPr>
          <w:p w14:paraId="30B2CC46">
            <w:pPr>
              <w:rPr>
                <w:rFonts w:ascii="Arial Regular" w:hAnsi="Arial Regular" w:eastAsia="Times New Roman Regular" w:cs="Arial Regular"/>
                <w:color w:val="000000"/>
                <w:sz w:val="24"/>
                <w:szCs w:val="24"/>
              </w:rPr>
            </w:pPr>
          </w:p>
        </w:tc>
        <w:tc>
          <w:tcPr>
            <w:tcW w:w="560" w:type="pct"/>
            <w:tcBorders>
              <w:top w:val="nil"/>
              <w:left w:val="nil"/>
              <w:bottom w:val="nil"/>
              <w:right w:val="nil"/>
            </w:tcBorders>
            <w:shd w:val="clear" w:color="auto" w:fill="auto"/>
            <w:noWrap/>
            <w:vAlign w:val="center"/>
          </w:tcPr>
          <w:p w14:paraId="56535CCA">
            <w:pPr>
              <w:rPr>
                <w:rFonts w:ascii="Arial Regular" w:hAnsi="Arial Regular" w:eastAsia="Times New Roman Regular" w:cs="Arial Regular"/>
                <w:color w:val="000000"/>
                <w:sz w:val="24"/>
                <w:szCs w:val="24"/>
              </w:rPr>
            </w:pPr>
          </w:p>
        </w:tc>
      </w:tr>
      <w:tr w14:paraId="5F750340">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86AE7D9">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Efficiency Ratios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84D671F">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C79CA54">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753EFF4">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A292BCD">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88207E0">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2024</w:t>
            </w:r>
          </w:p>
        </w:tc>
      </w:tr>
      <w:tr w14:paraId="35AAE18A">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70A972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Sales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C55720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31,536</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0485F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53,823</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993D4C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81,462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757C3A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96,773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CF95E7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97,690</w:t>
            </w:r>
          </w:p>
        </w:tc>
      </w:tr>
      <w:tr w14:paraId="28728448">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79B35FC">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Total assets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872EFFF">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52,148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0C6DCF66">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62,131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6BBA33A6">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82,338</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615C5EF7">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106,618</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FB406B8">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122,070</w:t>
            </w:r>
          </w:p>
        </w:tc>
      </w:tr>
      <w:tr w14:paraId="3DFD22F1">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C4983EA">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Asset turnover ratio</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B5685F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0.60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15E4C6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0.87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9A5753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0.99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B8F87F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0.91</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C60F0A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0.80</w:t>
            </w:r>
          </w:p>
        </w:tc>
      </w:tr>
      <w:tr w14:paraId="3BDAD127">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323D16">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Sales/ Total assets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95E3E0D">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F7F3006">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D620B9A">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5640057">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86DEAF0">
            <w:pPr>
              <w:rPr>
                <w:rFonts w:ascii="Arial Regular" w:hAnsi="Arial Regular" w:eastAsia="Times New Roman Regular" w:cs="Arial Regular"/>
                <w:color w:val="000000"/>
                <w:sz w:val="24"/>
                <w:szCs w:val="24"/>
              </w:rPr>
            </w:pPr>
          </w:p>
        </w:tc>
      </w:tr>
      <w:tr w14:paraId="17FDA2C7">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496A872">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2C9111B">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6A1FDAA">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F8D602F">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DAFEDD4">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1439026">
            <w:pPr>
              <w:rPr>
                <w:rFonts w:ascii="Arial Regular" w:hAnsi="Arial Regular" w:eastAsia="Times New Roman Regular" w:cs="Arial Regular"/>
                <w:color w:val="000000"/>
                <w:sz w:val="24"/>
                <w:szCs w:val="24"/>
              </w:rPr>
            </w:pPr>
          </w:p>
        </w:tc>
      </w:tr>
      <w:tr w14:paraId="4932F647">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85A5CC5">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COGS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DA5EAEA">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24,906</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131E01C">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40,217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16F687E">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60,609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7A0866D6">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79,113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F5E215F">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80,240</w:t>
            </w:r>
          </w:p>
        </w:tc>
      </w:tr>
      <w:tr w14:paraId="715D335D">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1EE78C">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Average inventory</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3A5B2F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4,101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6CF5DA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5,757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C49E60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12,839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098FA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13,626</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BD7D04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12,017</w:t>
            </w:r>
          </w:p>
        </w:tc>
      </w:tr>
      <w:tr w14:paraId="1AE3DFAE">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F886A41">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Inventory turnover ratio</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F60EFA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6.07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4D650F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6.99</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CED5DF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4.72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93A89B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5.81</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C2528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6.68</w:t>
            </w:r>
          </w:p>
        </w:tc>
      </w:tr>
      <w:tr w14:paraId="2E8DE414">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08CE42">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(COGS/ average inventory)</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3DD8EB8">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5B91365">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829C88E">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5FFD8A2">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326B22A">
            <w:pPr>
              <w:rPr>
                <w:rFonts w:ascii="Arial Regular" w:hAnsi="Arial Regular" w:eastAsia="Times New Roman Regular" w:cs="Arial Regular"/>
                <w:color w:val="000000"/>
                <w:sz w:val="24"/>
                <w:szCs w:val="24"/>
              </w:rPr>
            </w:pPr>
          </w:p>
        </w:tc>
      </w:tr>
      <w:tr w14:paraId="1034C43C">
        <w:tblPrEx>
          <w:tblCellMar>
            <w:top w:w="0" w:type="dxa"/>
            <w:left w:w="108" w:type="dxa"/>
            <w:bottom w:w="0" w:type="dxa"/>
            <w:right w:w="108" w:type="dxa"/>
          </w:tblCellMar>
        </w:tblPrEx>
        <w:trPr>
          <w:trHeight w:val="336" w:hRule="atLeast"/>
        </w:trPr>
        <w:tc>
          <w:tcPr>
            <w:tcW w:w="2262" w:type="pct"/>
            <w:tcBorders>
              <w:top w:val="nil"/>
              <w:left w:val="nil"/>
              <w:bottom w:val="nil"/>
              <w:right w:val="nil"/>
            </w:tcBorders>
            <w:shd w:val="clear" w:color="auto" w:fill="auto"/>
            <w:noWrap/>
            <w:vAlign w:val="center"/>
          </w:tcPr>
          <w:p w14:paraId="14739F9F">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32BF4DC3">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7016F1C0">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3B4550A1">
            <w:pPr>
              <w:rPr>
                <w:rFonts w:ascii="Arial Regular" w:hAnsi="Arial Regular" w:eastAsia="Times New Roman Regular" w:cs="Arial Regular"/>
                <w:color w:val="000000"/>
                <w:sz w:val="24"/>
                <w:szCs w:val="24"/>
              </w:rPr>
            </w:pPr>
          </w:p>
        </w:tc>
        <w:tc>
          <w:tcPr>
            <w:tcW w:w="560" w:type="pct"/>
            <w:tcBorders>
              <w:top w:val="nil"/>
              <w:left w:val="nil"/>
              <w:bottom w:val="nil"/>
              <w:right w:val="nil"/>
            </w:tcBorders>
            <w:shd w:val="clear" w:color="auto" w:fill="auto"/>
            <w:noWrap/>
            <w:vAlign w:val="center"/>
          </w:tcPr>
          <w:p w14:paraId="6D331052">
            <w:pPr>
              <w:rPr>
                <w:rFonts w:ascii="Arial Regular" w:hAnsi="Arial Regular" w:eastAsia="Times New Roman Regular" w:cs="Arial Regular"/>
                <w:color w:val="000000"/>
                <w:sz w:val="24"/>
                <w:szCs w:val="24"/>
              </w:rPr>
            </w:pPr>
          </w:p>
        </w:tc>
        <w:tc>
          <w:tcPr>
            <w:tcW w:w="560" w:type="pct"/>
            <w:tcBorders>
              <w:top w:val="nil"/>
              <w:left w:val="nil"/>
              <w:bottom w:val="nil"/>
              <w:right w:val="nil"/>
            </w:tcBorders>
            <w:shd w:val="clear" w:color="auto" w:fill="auto"/>
            <w:noWrap/>
            <w:vAlign w:val="center"/>
          </w:tcPr>
          <w:p w14:paraId="5B05FFD7">
            <w:pPr>
              <w:rPr>
                <w:rFonts w:ascii="Arial Regular" w:hAnsi="Arial Regular" w:eastAsia="Times New Roman Regular" w:cs="Arial Regular"/>
                <w:color w:val="000000"/>
                <w:sz w:val="24"/>
                <w:szCs w:val="24"/>
              </w:rPr>
            </w:pPr>
          </w:p>
        </w:tc>
      </w:tr>
      <w:tr w14:paraId="6BDDE975">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358DF34">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Gearing Ratios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377AA94">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0D7BDB0">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F95058C">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028209">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2435343">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2024</w:t>
            </w:r>
          </w:p>
        </w:tc>
      </w:tr>
      <w:tr w14:paraId="58CC9E2E">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B522F95">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Debt</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AF83E45">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28,418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0079C06D">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30,548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9D7C387">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36,440</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574F925">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43,009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386E359">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48,390</w:t>
            </w:r>
          </w:p>
        </w:tc>
      </w:tr>
      <w:tr w14:paraId="3CFD28FC">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CDD242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Equity</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AC1A78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23,075</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45472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31,015</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6C6895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45,489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98FABF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63,367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7C5092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73,617</w:t>
            </w:r>
          </w:p>
        </w:tc>
      </w:tr>
      <w:tr w14:paraId="2C4E6E10">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71A2323">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Debt-equity ratio</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0C2DC8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1.23</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E9295E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0.98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88CE87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0.80</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0BE6C9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0.68</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592E3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0.66</w:t>
            </w:r>
          </w:p>
        </w:tc>
      </w:tr>
      <w:tr w14:paraId="27423A50">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7E1283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(Debt/equity)</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3D1907C">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9A0ED91">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DC6ABB8">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9B675BC">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CF5024">
            <w:pPr>
              <w:rPr>
                <w:rFonts w:ascii="Arial Regular" w:hAnsi="Arial Regular" w:eastAsia="Times New Roman Regular" w:cs="Arial Regular"/>
                <w:color w:val="000000"/>
                <w:sz w:val="24"/>
                <w:szCs w:val="24"/>
              </w:rPr>
            </w:pPr>
          </w:p>
        </w:tc>
      </w:tr>
      <w:tr w14:paraId="7F6469FA">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2C3E29C">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FD94275">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CD7366D">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74FEF15">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093B94A">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E3842B7">
            <w:pPr>
              <w:rPr>
                <w:rFonts w:ascii="Arial Regular" w:hAnsi="Arial Regular" w:eastAsia="Times New Roman Regular" w:cs="Arial Regular"/>
                <w:color w:val="000000"/>
                <w:sz w:val="24"/>
                <w:szCs w:val="24"/>
              </w:rPr>
            </w:pPr>
          </w:p>
        </w:tc>
      </w:tr>
      <w:tr w14:paraId="5821F6D8">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A4293A1">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EBIT</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77267268">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1,994</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90007B4">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6,523</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1344B0D">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13,656</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E2FF037">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8,891</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01F343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7,076</w:t>
            </w:r>
          </w:p>
        </w:tc>
      </w:tr>
      <w:tr w14:paraId="155439BD">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A079B68">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Interest</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00E19D95">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748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6A670477">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371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0D2330F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191</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A190EC1">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156</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E57B1FE">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350</w:t>
            </w:r>
          </w:p>
        </w:tc>
      </w:tr>
      <w:tr w14:paraId="0D8229F8">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B37C0AE">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Interest coverage ratio</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4E7B5D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2.67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836EE4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17.58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E5F6A4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71.50</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D7D6C9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56.99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BB3F8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20.22</w:t>
            </w:r>
          </w:p>
        </w:tc>
      </w:tr>
      <w:tr w14:paraId="262877B2">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90BA7A">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EBIT/ interest</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C4EBAAE">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35C6F50">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C27428D">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9310A0B">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95B145A">
            <w:pPr>
              <w:rPr>
                <w:rFonts w:ascii="Arial Regular" w:hAnsi="Arial Regular" w:eastAsia="Times New Roman Regular" w:cs="Arial Regular"/>
                <w:color w:val="000000"/>
                <w:sz w:val="24"/>
                <w:szCs w:val="24"/>
              </w:rPr>
            </w:pPr>
          </w:p>
        </w:tc>
      </w:tr>
      <w:tr w14:paraId="64486411">
        <w:tblPrEx>
          <w:tblCellMar>
            <w:top w:w="0" w:type="dxa"/>
            <w:left w:w="108" w:type="dxa"/>
            <w:bottom w:w="0" w:type="dxa"/>
            <w:right w:w="108" w:type="dxa"/>
          </w:tblCellMar>
        </w:tblPrEx>
        <w:trPr>
          <w:trHeight w:val="336" w:hRule="atLeast"/>
        </w:trPr>
        <w:tc>
          <w:tcPr>
            <w:tcW w:w="2262" w:type="pct"/>
            <w:tcBorders>
              <w:top w:val="nil"/>
              <w:left w:val="nil"/>
              <w:bottom w:val="nil"/>
              <w:right w:val="nil"/>
            </w:tcBorders>
            <w:shd w:val="clear" w:color="auto" w:fill="auto"/>
            <w:noWrap/>
            <w:vAlign w:val="center"/>
          </w:tcPr>
          <w:p w14:paraId="7984A793">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711DB047">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1B0099FE">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0120650B">
            <w:pPr>
              <w:rPr>
                <w:rFonts w:ascii="Arial Regular" w:hAnsi="Arial Regular" w:eastAsia="Times New Roman Regular" w:cs="Arial Regular"/>
                <w:color w:val="000000"/>
                <w:sz w:val="24"/>
                <w:szCs w:val="24"/>
              </w:rPr>
            </w:pPr>
          </w:p>
        </w:tc>
        <w:tc>
          <w:tcPr>
            <w:tcW w:w="560" w:type="pct"/>
            <w:tcBorders>
              <w:top w:val="nil"/>
              <w:left w:val="nil"/>
              <w:bottom w:val="nil"/>
              <w:right w:val="nil"/>
            </w:tcBorders>
            <w:shd w:val="clear" w:color="auto" w:fill="auto"/>
            <w:noWrap/>
            <w:vAlign w:val="center"/>
          </w:tcPr>
          <w:p w14:paraId="52D0FA36">
            <w:pPr>
              <w:rPr>
                <w:rFonts w:ascii="Arial Regular" w:hAnsi="Arial Regular" w:eastAsia="Times New Roman Regular" w:cs="Arial Regular"/>
                <w:color w:val="000000"/>
                <w:sz w:val="24"/>
                <w:szCs w:val="24"/>
              </w:rPr>
            </w:pPr>
          </w:p>
        </w:tc>
        <w:tc>
          <w:tcPr>
            <w:tcW w:w="560" w:type="pct"/>
            <w:tcBorders>
              <w:top w:val="nil"/>
              <w:left w:val="nil"/>
              <w:bottom w:val="nil"/>
              <w:right w:val="nil"/>
            </w:tcBorders>
            <w:shd w:val="clear" w:color="auto" w:fill="auto"/>
            <w:noWrap/>
            <w:vAlign w:val="center"/>
          </w:tcPr>
          <w:p w14:paraId="361BD1B2">
            <w:pPr>
              <w:rPr>
                <w:rFonts w:ascii="Arial Regular" w:hAnsi="Arial Regular" w:eastAsia="Times New Roman Regular" w:cs="Arial Regular"/>
                <w:color w:val="000000"/>
                <w:sz w:val="24"/>
                <w:szCs w:val="24"/>
              </w:rPr>
            </w:pPr>
          </w:p>
        </w:tc>
      </w:tr>
      <w:tr w14:paraId="60AFB9B8">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833C82D">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Investment Ratios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59344B0">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DBEBB59">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9263401">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9A5C8C7">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8145FE6">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2024</w:t>
            </w:r>
          </w:p>
        </w:tc>
      </w:tr>
      <w:tr w14:paraId="089B4C12">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074A66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Earnings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620A01A">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862</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CAAC163">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5,644</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DC9D8CB">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12,587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38EB7D1">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14,974</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52E9F2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7,153</w:t>
            </w:r>
          </w:p>
        </w:tc>
      </w:tr>
      <w:tr w14:paraId="2E377676">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8C1FFEB">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Outstanding shares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583A8BF">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3,448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6ED8114">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3,018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07DA00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3,131</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7E7001A1">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3,165</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9FB7154">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3,207</w:t>
            </w:r>
          </w:p>
        </w:tc>
      </w:tr>
      <w:tr w14:paraId="7950CFD5">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0C869A1">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EPS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891A6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0.25</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DC5F3B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1.87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E23DD0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4.02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0E3CAE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4.73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DED07C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2.23</w:t>
            </w:r>
          </w:p>
        </w:tc>
      </w:tr>
      <w:tr w14:paraId="26EB72E3">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C421D75">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(Earnings/ outstanding shares)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F70EDBD">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A5D5C81">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AB2899E">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E565A8D">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1DC9922">
            <w:pPr>
              <w:rPr>
                <w:rFonts w:ascii="Arial Regular" w:hAnsi="Arial Regular" w:eastAsia="Times New Roman Regular" w:cs="Arial Regular"/>
                <w:color w:val="000000"/>
                <w:sz w:val="24"/>
                <w:szCs w:val="24"/>
              </w:rPr>
            </w:pPr>
          </w:p>
        </w:tc>
      </w:tr>
      <w:tr w14:paraId="35E25544">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1A33785">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D95C6FA">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FF409B">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C5E67B4">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CBD45BA">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428A22C">
            <w:pPr>
              <w:rPr>
                <w:rFonts w:ascii="Arial Regular" w:hAnsi="Arial Regular" w:eastAsia="Times New Roman Regular" w:cs="Arial Regular"/>
                <w:color w:val="000000"/>
                <w:sz w:val="24"/>
                <w:szCs w:val="24"/>
              </w:rPr>
            </w:pPr>
          </w:p>
        </w:tc>
      </w:tr>
      <w:tr w14:paraId="411D9F07">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6EDDF0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Equity</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E91FAC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23,075</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14E084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31,015</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9A01B7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45,489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E4A098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63,367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95D734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73,617</w:t>
            </w:r>
          </w:p>
        </w:tc>
      </w:tr>
      <w:tr w14:paraId="2D866C13">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86A96A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Net profit</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C22469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862</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9FB7C2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5,644</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FD6C7D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12,587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DBCB37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14,974</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B3D663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7,153</w:t>
            </w:r>
          </w:p>
        </w:tc>
      </w:tr>
      <w:tr w14:paraId="78E69142">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8ECDB90">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Return on equity</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1AFE1C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3.74%</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376620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18.20%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F9C216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27.67%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BA4B5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23.63%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CE99AD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9.72%</w:t>
            </w:r>
          </w:p>
        </w:tc>
      </w:tr>
      <w:tr w14:paraId="7882233A">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05F78A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Net profit/ equity</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9A56DAD">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A6D3DBE">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BE68F31">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103D97">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517AE30">
            <w:pPr>
              <w:rPr>
                <w:rFonts w:ascii="Arial Regular" w:hAnsi="Arial Regular" w:eastAsia="Times New Roman Regular" w:cs="Arial Regular"/>
                <w:color w:val="000000"/>
                <w:sz w:val="24"/>
                <w:szCs w:val="24"/>
              </w:rPr>
            </w:pPr>
          </w:p>
        </w:tc>
      </w:tr>
      <w:tr w14:paraId="262295B7">
        <w:tblPrEx>
          <w:tblCellMar>
            <w:top w:w="0" w:type="dxa"/>
            <w:left w:w="108" w:type="dxa"/>
            <w:bottom w:w="0" w:type="dxa"/>
            <w:right w:w="108" w:type="dxa"/>
          </w:tblCellMar>
        </w:tblPrEx>
        <w:trPr>
          <w:trHeight w:val="336" w:hRule="atLeast"/>
        </w:trPr>
        <w:tc>
          <w:tcPr>
            <w:tcW w:w="2262" w:type="pct"/>
            <w:tcBorders>
              <w:top w:val="nil"/>
              <w:left w:val="nil"/>
              <w:bottom w:val="nil"/>
              <w:right w:val="nil"/>
            </w:tcBorders>
            <w:shd w:val="clear" w:color="auto" w:fill="auto"/>
            <w:noWrap/>
            <w:vAlign w:val="center"/>
          </w:tcPr>
          <w:p w14:paraId="338E6653">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78F85A89">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6AB6388C">
            <w:pPr>
              <w:rPr>
                <w:rFonts w:ascii="Arial Regular" w:hAnsi="Arial Regular" w:eastAsia="Times New Roman Regular" w:cs="Arial Regular"/>
                <w:color w:val="000000"/>
                <w:sz w:val="24"/>
                <w:szCs w:val="24"/>
              </w:rPr>
            </w:pPr>
          </w:p>
        </w:tc>
        <w:tc>
          <w:tcPr>
            <w:tcW w:w="538" w:type="pct"/>
            <w:tcBorders>
              <w:top w:val="nil"/>
              <w:left w:val="nil"/>
              <w:bottom w:val="nil"/>
              <w:right w:val="nil"/>
            </w:tcBorders>
            <w:shd w:val="clear" w:color="auto" w:fill="auto"/>
            <w:noWrap/>
            <w:vAlign w:val="center"/>
          </w:tcPr>
          <w:p w14:paraId="6BA43995">
            <w:pPr>
              <w:rPr>
                <w:rFonts w:ascii="Arial Regular" w:hAnsi="Arial Regular" w:eastAsia="Times New Roman Regular" w:cs="Arial Regular"/>
                <w:color w:val="000000"/>
                <w:sz w:val="24"/>
                <w:szCs w:val="24"/>
              </w:rPr>
            </w:pPr>
          </w:p>
        </w:tc>
        <w:tc>
          <w:tcPr>
            <w:tcW w:w="560" w:type="pct"/>
            <w:tcBorders>
              <w:top w:val="nil"/>
              <w:left w:val="nil"/>
              <w:bottom w:val="nil"/>
              <w:right w:val="nil"/>
            </w:tcBorders>
            <w:shd w:val="clear" w:color="auto" w:fill="auto"/>
            <w:noWrap/>
            <w:vAlign w:val="center"/>
          </w:tcPr>
          <w:p w14:paraId="16420A75">
            <w:pPr>
              <w:rPr>
                <w:rFonts w:ascii="Arial Regular" w:hAnsi="Arial Regular" w:eastAsia="Times New Roman Regular" w:cs="Arial Regular"/>
                <w:color w:val="000000"/>
                <w:sz w:val="24"/>
                <w:szCs w:val="24"/>
              </w:rPr>
            </w:pPr>
          </w:p>
        </w:tc>
        <w:tc>
          <w:tcPr>
            <w:tcW w:w="560" w:type="pct"/>
            <w:tcBorders>
              <w:top w:val="nil"/>
              <w:left w:val="nil"/>
              <w:bottom w:val="nil"/>
              <w:right w:val="nil"/>
            </w:tcBorders>
            <w:shd w:val="clear" w:color="auto" w:fill="auto"/>
            <w:noWrap/>
            <w:vAlign w:val="center"/>
          </w:tcPr>
          <w:p w14:paraId="7E97F1C2">
            <w:pPr>
              <w:rPr>
                <w:rFonts w:ascii="Arial Regular" w:hAnsi="Arial Regular" w:eastAsia="Times New Roman Regular" w:cs="Arial Regular"/>
                <w:color w:val="000000"/>
                <w:sz w:val="24"/>
                <w:szCs w:val="24"/>
              </w:rPr>
            </w:pPr>
          </w:p>
        </w:tc>
      </w:tr>
      <w:tr w14:paraId="5612A237">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7D6593C">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Cash Flow Ratios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52A1EC7">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2020</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BEB72D1">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2021</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A06A14">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2022</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127D46">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5CB182">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2024</w:t>
            </w:r>
          </w:p>
        </w:tc>
      </w:tr>
      <w:tr w14:paraId="6F607B89">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3E5F79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Operating cash flow</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8582D01">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5,943</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79C34E56">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11,497</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4A1245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14,724</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4FB00A1">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13,256</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6C540C15">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14,923</w:t>
            </w:r>
          </w:p>
        </w:tc>
      </w:tr>
      <w:tr w14:paraId="6EC1D479">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37024F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Current liabilities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047DF3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14,248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04C257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19,705</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470FB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26,709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531C6A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28,748</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19DD35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28,821</w:t>
            </w:r>
          </w:p>
        </w:tc>
      </w:tr>
      <w:tr w14:paraId="65D59C98">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D010950">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Operating cash flow ratio</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BCF168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0.42</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9F47E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0.58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396381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0.55</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4F3B08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0.46</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3C774B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0.52</w:t>
            </w:r>
          </w:p>
        </w:tc>
      </w:tr>
      <w:tr w14:paraId="1957738A">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EE566AF">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(Operating cash flow/ current liabilities)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1A11DE4">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D049742">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42B9A3E">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C8F924">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40AB1E5">
            <w:pPr>
              <w:rPr>
                <w:rFonts w:ascii="Arial Regular" w:hAnsi="Arial Regular" w:eastAsia="Times New Roman Regular" w:cs="Arial Regular"/>
                <w:color w:val="000000"/>
                <w:sz w:val="24"/>
                <w:szCs w:val="24"/>
              </w:rPr>
            </w:pPr>
          </w:p>
        </w:tc>
      </w:tr>
      <w:tr w14:paraId="207AF6AE">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AF82456">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C96E1B8">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5E0797">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9560B17">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4F44607">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A2F37C3">
            <w:pPr>
              <w:rPr>
                <w:rFonts w:ascii="Arial Regular" w:hAnsi="Arial Regular" w:eastAsia="Times New Roman Regular" w:cs="Arial Regular"/>
                <w:color w:val="000000"/>
                <w:sz w:val="24"/>
                <w:szCs w:val="24"/>
              </w:rPr>
            </w:pPr>
          </w:p>
        </w:tc>
      </w:tr>
      <w:tr w14:paraId="2E749F70">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8562596">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0BECC410">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19,384</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52A41C1">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17,576</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1293579">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16,253</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74F52ACF">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16,398</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7C784ED1">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16,139</w:t>
            </w:r>
          </w:p>
        </w:tc>
      </w:tr>
      <w:tr w14:paraId="7ADE8C2F">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B155AB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Current liabilities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D46D05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14,248</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0B35E9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19,705</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C41920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26,709</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8C5DC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28,748</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5F6747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28,821</w:t>
            </w:r>
          </w:p>
        </w:tc>
      </w:tr>
      <w:tr w14:paraId="2AB37485">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6B4E58E">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 ratio</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4D7437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1.36</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1430B2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0.89</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40F035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0.61</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EFF574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0.57</w:t>
            </w: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4C312C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0.56</w:t>
            </w:r>
          </w:p>
        </w:tc>
      </w:tr>
      <w:tr w14:paraId="5433AAE5">
        <w:tblPrEx>
          <w:tblCellMar>
            <w:top w:w="0" w:type="dxa"/>
            <w:left w:w="108" w:type="dxa"/>
            <w:bottom w:w="0" w:type="dxa"/>
            <w:right w:w="108" w:type="dxa"/>
          </w:tblCellMar>
        </w:tblPrEx>
        <w:trPr>
          <w:trHeight w:val="336" w:hRule="atLeast"/>
        </w:trPr>
        <w:tc>
          <w:tcPr>
            <w:tcW w:w="226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189D634">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 flow/ current liabilities)</w:t>
            </w: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FEB5218">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1B94E50">
            <w:pPr>
              <w:rPr>
                <w:rFonts w:ascii="Arial Regular" w:hAnsi="Arial Regular" w:eastAsia="Times New Roman Regular" w:cs="Arial Regular"/>
                <w:color w:val="000000"/>
                <w:sz w:val="24"/>
                <w:szCs w:val="24"/>
              </w:rPr>
            </w:pPr>
          </w:p>
        </w:tc>
        <w:tc>
          <w:tcPr>
            <w:tcW w:w="53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CFE4CF9">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DBB43D">
            <w:pPr>
              <w:rPr>
                <w:rFonts w:ascii="Arial Regular" w:hAnsi="Arial Regular" w:eastAsia="Times New Roman Regular" w:cs="Arial Regular"/>
                <w:color w:val="000000"/>
                <w:sz w:val="24"/>
                <w:szCs w:val="24"/>
              </w:rPr>
            </w:pPr>
          </w:p>
        </w:tc>
        <w:tc>
          <w:tcPr>
            <w:tcW w:w="56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19E6273">
            <w:pPr>
              <w:rPr>
                <w:rFonts w:ascii="Arial Regular" w:hAnsi="Arial Regular" w:eastAsia="Times New Roman Regular" w:cs="Arial Regular"/>
                <w:color w:val="000000"/>
                <w:sz w:val="24"/>
                <w:szCs w:val="24"/>
              </w:rPr>
            </w:pPr>
          </w:p>
        </w:tc>
      </w:tr>
    </w:tbl>
    <w:p w14:paraId="5D2FFA37">
      <w:pPr>
        <w:spacing w:line="360" w:lineRule="auto"/>
        <w:jc w:val="both"/>
        <w:rPr>
          <w:rFonts w:ascii="Arial Regular" w:hAnsi="Arial Regular" w:cs="Arial Regular"/>
          <w:b/>
          <w:bCs/>
          <w:sz w:val="24"/>
          <w:szCs w:val="24"/>
        </w:rPr>
      </w:pPr>
    </w:p>
    <w:p w14:paraId="149F06D2">
      <w:pPr>
        <w:numPr>
          <w:ilvl w:val="0"/>
          <w:numId w:val="3"/>
        </w:numPr>
        <w:spacing w:line="360" w:lineRule="auto"/>
        <w:jc w:val="both"/>
        <w:outlineLvl w:val="0"/>
        <w:rPr>
          <w:rFonts w:ascii="Arial Regular" w:hAnsi="Arial Regular" w:cs="Arial Regular"/>
          <w:b/>
          <w:bCs/>
          <w:sz w:val="24"/>
          <w:szCs w:val="24"/>
        </w:rPr>
      </w:pPr>
      <w:bookmarkStart w:id="11" w:name="_Toc1215815601"/>
      <w:r>
        <w:rPr>
          <w:rFonts w:ascii="Arial Regular" w:hAnsi="Arial Regular" w:cs="Arial Regular"/>
          <w:b/>
          <w:bCs/>
          <w:sz w:val="24"/>
          <w:szCs w:val="24"/>
        </w:rPr>
        <w:t>Cash Operating Cycle</w:t>
      </w:r>
      <w:bookmarkEnd w:id="11"/>
    </w:p>
    <w:tbl>
      <w:tblPr>
        <w:tblStyle w:val="4"/>
        <w:tblW w:w="5000" w:type="pct"/>
        <w:tblInd w:w="0" w:type="dxa"/>
        <w:tblLayout w:type="autofit"/>
        <w:tblCellMar>
          <w:top w:w="0" w:type="dxa"/>
          <w:left w:w="108" w:type="dxa"/>
          <w:bottom w:w="0" w:type="dxa"/>
          <w:right w:w="108" w:type="dxa"/>
        </w:tblCellMar>
      </w:tblPr>
      <w:tblGrid>
        <w:gridCol w:w="7314"/>
        <w:gridCol w:w="1369"/>
        <w:gridCol w:w="1369"/>
        <w:gridCol w:w="1369"/>
        <w:gridCol w:w="1369"/>
        <w:gridCol w:w="1384"/>
      </w:tblGrid>
      <w:tr w14:paraId="1B5A4072">
        <w:tblPrEx>
          <w:tblCellMar>
            <w:top w:w="0" w:type="dxa"/>
            <w:left w:w="108" w:type="dxa"/>
            <w:bottom w:w="0" w:type="dxa"/>
            <w:right w:w="108" w:type="dxa"/>
          </w:tblCellMar>
        </w:tblPrEx>
        <w:trPr>
          <w:trHeight w:val="336" w:hRule="atLeast"/>
        </w:trPr>
        <w:tc>
          <w:tcPr>
            <w:tcW w:w="5000" w:type="pct"/>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D55CEA">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Cash Operating Cycle</w:t>
            </w:r>
          </w:p>
        </w:tc>
      </w:tr>
      <w:tr w14:paraId="0898FAF1">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0671B2B">
            <w:pPr>
              <w:rPr>
                <w:rFonts w:ascii="Arial Regular" w:hAnsi="Arial Regular" w:eastAsia="Times New Roman Regular" w:cs="Arial Regular"/>
                <w:b/>
                <w:bCs/>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E8A44F2">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2020</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983C95C">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2021</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FD0B945">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2022</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56066A7">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E4F05AA">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2024</w:t>
            </w:r>
          </w:p>
        </w:tc>
      </w:tr>
      <w:tr w14:paraId="222CFB49">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FDF9B28">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Average inventory</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05042C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4,101</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21F49E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5,757</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563DD6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12,839</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312C6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13,626</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0824F6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12,017</w:t>
            </w:r>
          </w:p>
        </w:tc>
      </w:tr>
      <w:tr w14:paraId="17A4BB10">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2B0E355">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COGS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70E019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24,906</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F60E26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40,217</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DA5D0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60,609</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E30176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79,113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5FDE0C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80,240</w:t>
            </w:r>
          </w:p>
        </w:tc>
      </w:tr>
      <w:tr w14:paraId="7BF7CB65">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5A911F5">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Inventory days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229FD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60</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55C0CD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52</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7669F3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77</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6F65FB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C2B07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55</w:t>
            </w:r>
          </w:p>
        </w:tc>
      </w:tr>
      <w:tr w14:paraId="2877A665">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C42D48E">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(Average inventory/COGS)*365</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AE136F5">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D063A16">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EF12BE">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8AED811">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6A3E43D">
            <w:pPr>
              <w:rPr>
                <w:rFonts w:ascii="Arial Regular" w:hAnsi="Arial Regular" w:eastAsia="Times New Roman Regular" w:cs="Arial Regular"/>
                <w:color w:val="000000"/>
                <w:sz w:val="24"/>
                <w:szCs w:val="24"/>
              </w:rPr>
            </w:pPr>
          </w:p>
        </w:tc>
      </w:tr>
      <w:tr w14:paraId="7FEF463B">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13726F1">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BDDB283">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315FF97">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DFB1FF2">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6054374">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F9B05A">
            <w:pPr>
              <w:rPr>
                <w:rFonts w:ascii="Arial Regular" w:hAnsi="Arial Regular" w:eastAsia="Times New Roman Regular" w:cs="Arial Regular"/>
                <w:color w:val="000000"/>
                <w:sz w:val="24"/>
                <w:szCs w:val="24"/>
              </w:rPr>
            </w:pPr>
          </w:p>
        </w:tc>
      </w:tr>
      <w:tr w14:paraId="49630FC4">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96647F6">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Receivables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3E36C0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1,886</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6B4233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1,913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7B779D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2,952</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4CA729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3,508</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59BE9C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4,418</w:t>
            </w:r>
          </w:p>
        </w:tc>
      </w:tr>
      <w:tr w14:paraId="45943001">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860A1B3">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Sales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2E284584">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31,536</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59FFAB99">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53,823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066F3D5">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81,462</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48A517C2">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96,773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008D3E1B">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97,690</w:t>
            </w:r>
          </w:p>
        </w:tc>
      </w:tr>
      <w:tr w14:paraId="25B58A12">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10277EB">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Receivable days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6BF6AB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22</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86D70A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9879AC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2496B2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5A1A7F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17</w:t>
            </w:r>
          </w:p>
        </w:tc>
      </w:tr>
      <w:tr w14:paraId="7F3308D8">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07E9820">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(Receivables/Sales)*365</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39ED752">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FB73A83">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34C5F47">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3EFD64D">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FD0198">
            <w:pPr>
              <w:rPr>
                <w:rFonts w:ascii="Arial Regular" w:hAnsi="Arial Regular" w:eastAsia="Times New Roman Regular" w:cs="Arial Regular"/>
                <w:color w:val="000000"/>
                <w:sz w:val="24"/>
                <w:szCs w:val="24"/>
              </w:rPr>
            </w:pPr>
          </w:p>
        </w:tc>
      </w:tr>
      <w:tr w14:paraId="3DA37060">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3E7447F">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A3BAA0F">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DF7C6D6">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593BADC">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F746FD3">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0F2CCB1">
            <w:pPr>
              <w:rPr>
                <w:rFonts w:ascii="Arial Regular" w:hAnsi="Arial Regular" w:eastAsia="Times New Roman Regular" w:cs="Arial Regular"/>
                <w:color w:val="000000"/>
                <w:sz w:val="24"/>
                <w:szCs w:val="24"/>
              </w:rPr>
            </w:pPr>
          </w:p>
        </w:tc>
      </w:tr>
      <w:tr w14:paraId="290B6B6F">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1AF70E">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Payables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F84A84F">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6,054</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F399878">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10,025</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F9B0F29">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15,255</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1AA14A06">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14,431</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bottom"/>
          </w:tcPr>
          <w:p w14:paraId="38A18F83">
            <w:pPr>
              <w:jc w:val="right"/>
              <w:textAlignment w:val="bottom"/>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12,474</w:t>
            </w:r>
          </w:p>
        </w:tc>
      </w:tr>
      <w:tr w14:paraId="59812994">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62548CF">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COGS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F66EB9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24,906</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A69CBA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40,217</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7B611B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60,609</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ED3849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79,113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922AC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80,240</w:t>
            </w:r>
          </w:p>
        </w:tc>
      </w:tr>
      <w:tr w14:paraId="16B4FA76">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B24FF90">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Payable days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56D074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89</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2BC67E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91</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0EB35E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92</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A80AE9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67</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5B6F3D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57</w:t>
            </w:r>
          </w:p>
        </w:tc>
      </w:tr>
      <w:tr w14:paraId="2F58AF6E">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F950AB">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(Payables/ COGS)*365</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29874C1">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DC3F8A3">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266E0A">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75853E4">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2973EFF">
            <w:pPr>
              <w:rPr>
                <w:rFonts w:ascii="Arial Regular" w:hAnsi="Arial Regular" w:eastAsia="Times New Roman Regular" w:cs="Arial Regular"/>
                <w:color w:val="000000"/>
                <w:sz w:val="24"/>
                <w:szCs w:val="24"/>
              </w:rPr>
            </w:pPr>
          </w:p>
        </w:tc>
      </w:tr>
      <w:tr w14:paraId="401D5134">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84ECCEC">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2188242">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149CFA8">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7B023EC">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B5ECE94">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F27ACCF">
            <w:pPr>
              <w:rPr>
                <w:rFonts w:ascii="Arial Regular" w:hAnsi="Arial Regular" w:eastAsia="Times New Roman Regular" w:cs="Arial Regular"/>
                <w:color w:val="000000"/>
                <w:sz w:val="24"/>
                <w:szCs w:val="24"/>
              </w:rPr>
            </w:pPr>
          </w:p>
        </w:tc>
      </w:tr>
      <w:tr w14:paraId="14052384">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C1194C">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DF4578B">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1CF4EA7">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90950E2">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570BD61">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11DEC76">
            <w:pPr>
              <w:rPr>
                <w:rFonts w:ascii="Arial Regular" w:hAnsi="Arial Regular" w:eastAsia="Times New Roman Regular" w:cs="Arial Regular"/>
                <w:color w:val="000000"/>
                <w:sz w:val="24"/>
                <w:szCs w:val="24"/>
              </w:rPr>
            </w:pPr>
          </w:p>
        </w:tc>
      </w:tr>
      <w:tr w14:paraId="11F26E52">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4303EB8">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Inventory days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9E2E26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60</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015314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52</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811890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77</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3C1B50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94A497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55</w:t>
            </w:r>
          </w:p>
        </w:tc>
      </w:tr>
      <w:tr w14:paraId="51E06245">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C7F09D2">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Receivable days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0A8827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22</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BA1425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47B68F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D767F5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13</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600A5A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17</w:t>
            </w:r>
          </w:p>
        </w:tc>
      </w:tr>
      <w:tr w14:paraId="1E86EC66">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826C00B">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Payable days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1A22AB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89</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54D2AE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91</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C7304B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92</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38951A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67</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60F283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57</w:t>
            </w:r>
          </w:p>
        </w:tc>
      </w:tr>
      <w:tr w14:paraId="19E16F1F">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927C8CA">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 Operating Cycle</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64ECF0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-7</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86899E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-26</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E6124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8573CC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5C4619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w:t>
            </w:r>
          </w:p>
        </w:tc>
      </w:tr>
      <w:tr w14:paraId="79959821">
        <w:tblPrEx>
          <w:tblCellMar>
            <w:top w:w="0" w:type="dxa"/>
            <w:left w:w="108" w:type="dxa"/>
            <w:bottom w:w="0" w:type="dxa"/>
            <w:right w:w="108" w:type="dxa"/>
          </w:tblCellMar>
        </w:tblPrEx>
        <w:trPr>
          <w:trHeight w:val="336" w:hRule="atLeast"/>
        </w:trPr>
        <w:tc>
          <w:tcPr>
            <w:tcW w:w="2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870BCBE">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(Inventory days+receivable days-payable days)</w:t>
            </w: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805C5FA">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088D286">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C013C32">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66EF1A7">
            <w:pPr>
              <w:rPr>
                <w:rFonts w:ascii="Arial Regular" w:hAnsi="Arial Regular" w:eastAsia="Times New Roman Regular" w:cs="Arial Regular"/>
                <w:color w:val="000000"/>
                <w:sz w:val="24"/>
                <w:szCs w:val="24"/>
              </w:rPr>
            </w:pPr>
          </w:p>
        </w:tc>
        <w:tc>
          <w:tcPr>
            <w:tcW w:w="48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93962F2">
            <w:pPr>
              <w:rPr>
                <w:rFonts w:ascii="Arial Regular" w:hAnsi="Arial Regular" w:eastAsia="Times New Roman Regular" w:cs="Arial Regular"/>
                <w:color w:val="000000"/>
                <w:sz w:val="24"/>
                <w:szCs w:val="24"/>
              </w:rPr>
            </w:pPr>
          </w:p>
        </w:tc>
      </w:tr>
    </w:tbl>
    <w:p w14:paraId="7AFA2F5B">
      <w:pPr>
        <w:spacing w:line="360" w:lineRule="auto"/>
        <w:jc w:val="both"/>
        <w:rPr>
          <w:rFonts w:ascii="Arial Regular" w:hAnsi="Arial Regular" w:cs="Arial Regular"/>
          <w:b/>
          <w:bCs/>
          <w:sz w:val="24"/>
          <w:szCs w:val="24"/>
        </w:rPr>
      </w:pPr>
    </w:p>
    <w:p w14:paraId="6AF7C28C">
      <w:pPr>
        <w:numPr>
          <w:ilvl w:val="0"/>
          <w:numId w:val="3"/>
        </w:numPr>
        <w:spacing w:line="360" w:lineRule="auto"/>
        <w:jc w:val="both"/>
        <w:outlineLvl w:val="0"/>
        <w:rPr>
          <w:rFonts w:ascii="Arial Regular" w:hAnsi="Arial Regular" w:cs="Arial Regular"/>
          <w:b/>
          <w:bCs/>
          <w:sz w:val="24"/>
          <w:szCs w:val="24"/>
        </w:rPr>
      </w:pPr>
      <w:bookmarkStart w:id="12" w:name="_Toc905904802"/>
      <w:r>
        <w:rPr>
          <w:rFonts w:ascii="Arial Regular" w:hAnsi="Arial Regular" w:cs="Arial Regular"/>
          <w:b/>
          <w:bCs/>
          <w:sz w:val="24"/>
          <w:szCs w:val="24"/>
        </w:rPr>
        <w:t>Payback, ARR, NPV, PI, and IRR</w:t>
      </w:r>
      <w:bookmarkEnd w:id="12"/>
    </w:p>
    <w:tbl>
      <w:tblPr>
        <w:tblStyle w:val="4"/>
        <w:tblW w:w="5000" w:type="pct"/>
        <w:tblInd w:w="0" w:type="dxa"/>
        <w:tblLayout w:type="autofit"/>
        <w:tblCellMar>
          <w:top w:w="0" w:type="dxa"/>
          <w:left w:w="108" w:type="dxa"/>
          <w:bottom w:w="0" w:type="dxa"/>
          <w:right w:w="108" w:type="dxa"/>
        </w:tblCellMar>
      </w:tblPr>
      <w:tblGrid>
        <w:gridCol w:w="2250"/>
        <w:gridCol w:w="2324"/>
        <w:gridCol w:w="1647"/>
        <w:gridCol w:w="2325"/>
        <w:gridCol w:w="1647"/>
        <w:gridCol w:w="2325"/>
        <w:gridCol w:w="1656"/>
      </w:tblGrid>
      <w:tr w14:paraId="23FDD47F">
        <w:tblPrEx>
          <w:tblCellMar>
            <w:top w:w="0" w:type="dxa"/>
            <w:left w:w="108" w:type="dxa"/>
            <w:bottom w:w="0" w:type="dxa"/>
            <w:right w:w="108" w:type="dxa"/>
          </w:tblCellMar>
        </w:tblPrEx>
        <w:trPr>
          <w:trHeight w:val="336" w:hRule="atLeast"/>
        </w:trPr>
        <w:tc>
          <w:tcPr>
            <w:tcW w:w="5000" w:type="pct"/>
            <w:gridSpan w:val="7"/>
            <w:tcBorders>
              <w:top w:val="single" w:color="000000" w:sz="4" w:space="0"/>
              <w:left w:val="single" w:color="000000" w:sz="4" w:space="0"/>
              <w:bottom w:val="single" w:color="000000" w:sz="4" w:space="0"/>
              <w:right w:val="single" w:color="000000" w:sz="4" w:space="0"/>
            </w:tcBorders>
            <w:shd w:val="clear" w:color="auto" w:fill="auto"/>
            <w:noWrap/>
            <w:vAlign w:val="center"/>
          </w:tcPr>
          <w:p w14:paraId="3DEF64E1">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Payback period</w:t>
            </w:r>
          </w:p>
        </w:tc>
      </w:tr>
      <w:tr w14:paraId="4786A3DA">
        <w:tblPrEx>
          <w:tblCellMar>
            <w:top w:w="0" w:type="dxa"/>
            <w:left w:w="108" w:type="dxa"/>
            <w:bottom w:w="0" w:type="dxa"/>
            <w:right w:w="108" w:type="dxa"/>
          </w:tblCellMar>
        </w:tblPrEx>
        <w:trPr>
          <w:trHeight w:val="336" w:hRule="atLeast"/>
        </w:trPr>
        <w:tc>
          <w:tcPr>
            <w:tcW w:w="7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BCDCDEC">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Projects</w:t>
            </w:r>
          </w:p>
        </w:tc>
        <w:tc>
          <w:tcPr>
            <w:tcW w:w="1401" w:type="pct"/>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0161C303">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A</w:t>
            </w:r>
          </w:p>
        </w:tc>
        <w:tc>
          <w:tcPr>
            <w:tcW w:w="1401" w:type="pct"/>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1E82E943">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B</w:t>
            </w:r>
          </w:p>
        </w:tc>
        <w:tc>
          <w:tcPr>
            <w:tcW w:w="1402" w:type="pct"/>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1F3B7866">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w:t>
            </w:r>
          </w:p>
        </w:tc>
      </w:tr>
      <w:tr w14:paraId="4CAC96EE">
        <w:tblPrEx>
          <w:tblCellMar>
            <w:top w:w="0" w:type="dxa"/>
            <w:left w:w="108" w:type="dxa"/>
            <w:bottom w:w="0" w:type="dxa"/>
            <w:right w:w="108" w:type="dxa"/>
          </w:tblCellMar>
        </w:tblPrEx>
        <w:trPr>
          <w:trHeight w:val="336" w:hRule="atLeast"/>
        </w:trPr>
        <w:tc>
          <w:tcPr>
            <w:tcW w:w="7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348CCA2">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Year</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DF2A55">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 Flows (£M)</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E67E3A9">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Cumulative</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9589B6">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 Flows (£M)</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DD0D13F">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Cumulative</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EF85EB0">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 Flows (£M)</w:t>
            </w:r>
          </w:p>
        </w:tc>
        <w:tc>
          <w:tcPr>
            <w:tcW w:w="58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9556912">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Cumulative</w:t>
            </w:r>
          </w:p>
        </w:tc>
      </w:tr>
      <w:tr w14:paraId="3488EC34">
        <w:tblPrEx>
          <w:tblCellMar>
            <w:top w:w="0" w:type="dxa"/>
            <w:left w:w="108" w:type="dxa"/>
            <w:bottom w:w="0" w:type="dxa"/>
            <w:right w:w="108" w:type="dxa"/>
          </w:tblCellMar>
        </w:tblPrEx>
        <w:trPr>
          <w:trHeight w:val="336" w:hRule="atLeast"/>
        </w:trPr>
        <w:tc>
          <w:tcPr>
            <w:tcW w:w="7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426F59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5A76BA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2D8E2E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5862CA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76B25F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49CF3F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8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4470B4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r>
      <w:tr w14:paraId="47B06F59">
        <w:tblPrEx>
          <w:tblCellMar>
            <w:top w:w="0" w:type="dxa"/>
            <w:left w:w="108" w:type="dxa"/>
            <w:bottom w:w="0" w:type="dxa"/>
            <w:right w:w="108" w:type="dxa"/>
          </w:tblCellMar>
        </w:tblPrEx>
        <w:trPr>
          <w:trHeight w:val="336" w:hRule="atLeast"/>
        </w:trPr>
        <w:tc>
          <w:tcPr>
            <w:tcW w:w="7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3DA43F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76DE94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E9AB8A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-40</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0ABE96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E2576A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-39</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E467A0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58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0C52F3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-45</w:t>
            </w:r>
          </w:p>
        </w:tc>
      </w:tr>
      <w:tr w14:paraId="35ABF854">
        <w:tblPrEx>
          <w:tblCellMar>
            <w:top w:w="0" w:type="dxa"/>
            <w:left w:w="108" w:type="dxa"/>
            <w:bottom w:w="0" w:type="dxa"/>
            <w:right w:w="108" w:type="dxa"/>
          </w:tblCellMar>
        </w:tblPrEx>
        <w:trPr>
          <w:trHeight w:val="336" w:hRule="atLeast"/>
        </w:trPr>
        <w:tc>
          <w:tcPr>
            <w:tcW w:w="7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6AC8F8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50B4B5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D55466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B79DCE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D1CE98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-28</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936D44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58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77B710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-35</w:t>
            </w:r>
          </w:p>
        </w:tc>
      </w:tr>
      <w:tr w14:paraId="078EC3B8">
        <w:tblPrEx>
          <w:tblCellMar>
            <w:top w:w="0" w:type="dxa"/>
            <w:left w:w="108" w:type="dxa"/>
            <w:bottom w:w="0" w:type="dxa"/>
            <w:right w:w="108" w:type="dxa"/>
          </w:tblCellMar>
        </w:tblPrEx>
        <w:trPr>
          <w:trHeight w:val="336" w:hRule="atLeast"/>
        </w:trPr>
        <w:tc>
          <w:tcPr>
            <w:tcW w:w="7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1627FB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ACB4B9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2039E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359F61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D417E8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-17</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4A0F70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20</w:t>
            </w:r>
          </w:p>
        </w:tc>
        <w:tc>
          <w:tcPr>
            <w:tcW w:w="58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E30F76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-15</w:t>
            </w:r>
          </w:p>
        </w:tc>
      </w:tr>
      <w:tr w14:paraId="0F0B4F1A">
        <w:tblPrEx>
          <w:tblCellMar>
            <w:top w:w="0" w:type="dxa"/>
            <w:left w:w="108" w:type="dxa"/>
            <w:bottom w:w="0" w:type="dxa"/>
            <w:right w:w="108" w:type="dxa"/>
          </w:tblCellMar>
        </w:tblPrEx>
        <w:trPr>
          <w:trHeight w:val="336" w:hRule="atLeast"/>
        </w:trPr>
        <w:tc>
          <w:tcPr>
            <w:tcW w:w="7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AF712E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9D167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C729D7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40F520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CA4C6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-6</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DE2DDC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25</w:t>
            </w:r>
          </w:p>
        </w:tc>
        <w:tc>
          <w:tcPr>
            <w:tcW w:w="58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6399A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r>
      <w:tr w14:paraId="0F8FB838">
        <w:tblPrEx>
          <w:tblCellMar>
            <w:top w:w="0" w:type="dxa"/>
            <w:left w:w="108" w:type="dxa"/>
            <w:bottom w:w="0" w:type="dxa"/>
            <w:right w:w="108" w:type="dxa"/>
          </w:tblCellMar>
        </w:tblPrEx>
        <w:trPr>
          <w:trHeight w:val="336" w:hRule="atLeast"/>
        </w:trPr>
        <w:tc>
          <w:tcPr>
            <w:tcW w:w="7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E6565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28AFC6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902E3F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EF0A36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0B945A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EB25AD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58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B546412">
            <w:pPr>
              <w:rPr>
                <w:rFonts w:ascii="Arial Regular" w:hAnsi="Arial Regular" w:eastAsia="Times New Roman Regular" w:cs="Arial Regular"/>
                <w:color w:val="000000"/>
                <w:sz w:val="24"/>
                <w:szCs w:val="24"/>
              </w:rPr>
            </w:pPr>
          </w:p>
        </w:tc>
      </w:tr>
      <w:tr w14:paraId="5B1375A9">
        <w:tblPrEx>
          <w:tblCellMar>
            <w:top w:w="0" w:type="dxa"/>
            <w:left w:w="108" w:type="dxa"/>
            <w:bottom w:w="0" w:type="dxa"/>
            <w:right w:w="108" w:type="dxa"/>
          </w:tblCellMar>
        </w:tblPrEx>
        <w:trPr>
          <w:trHeight w:val="336" w:hRule="atLeast"/>
        </w:trPr>
        <w:tc>
          <w:tcPr>
            <w:tcW w:w="7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79B003B">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Payback Period</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064A0A4">
            <w:pPr>
              <w:rPr>
                <w:rFonts w:ascii="Arial Regular" w:hAnsi="Arial Regular" w:eastAsia="Times New Roman Regular" w:cs="Arial Regular"/>
                <w:b/>
                <w:bCs/>
                <w:color w:val="000000"/>
                <w:sz w:val="24"/>
                <w:szCs w:val="24"/>
              </w:rPr>
            </w:pP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F7378D0">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 xml:space="preserve">4.50 </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BEE971C">
            <w:pPr>
              <w:rPr>
                <w:rFonts w:ascii="Arial Regular" w:hAnsi="Arial Regular" w:eastAsia="Times New Roman Regular" w:cs="Arial Regular"/>
                <w:b/>
                <w:bCs/>
                <w:color w:val="000000"/>
                <w:sz w:val="24"/>
                <w:szCs w:val="24"/>
              </w:rPr>
            </w:pPr>
          </w:p>
        </w:tc>
        <w:tc>
          <w:tcPr>
            <w:tcW w:w="58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B27D4F3">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 xml:space="preserve">4.55 </w:t>
            </w:r>
          </w:p>
        </w:tc>
        <w:tc>
          <w:tcPr>
            <w:tcW w:w="820"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216EEE">
            <w:pPr>
              <w:rPr>
                <w:rFonts w:ascii="Arial Regular" w:hAnsi="Arial Regular" w:eastAsia="Times New Roman Regular" w:cs="Arial Regular"/>
                <w:b/>
                <w:bCs/>
                <w:color w:val="000000"/>
                <w:sz w:val="24"/>
                <w:szCs w:val="24"/>
              </w:rPr>
            </w:pPr>
          </w:p>
        </w:tc>
        <w:tc>
          <w:tcPr>
            <w:tcW w:w="58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7A975A8">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 xml:space="preserve">3.60 </w:t>
            </w:r>
          </w:p>
        </w:tc>
      </w:tr>
    </w:tbl>
    <w:p w14:paraId="1495C71D">
      <w:pPr>
        <w:spacing w:line="360" w:lineRule="auto"/>
        <w:jc w:val="both"/>
        <w:rPr>
          <w:rFonts w:ascii="Arial Regular" w:hAnsi="Arial Regular" w:cs="Arial Regular"/>
          <w:b/>
          <w:bCs/>
          <w:sz w:val="24"/>
          <w:szCs w:val="24"/>
        </w:rPr>
      </w:pPr>
    </w:p>
    <w:tbl>
      <w:tblPr>
        <w:tblStyle w:val="4"/>
        <w:tblW w:w="5000" w:type="pct"/>
        <w:tblInd w:w="0" w:type="dxa"/>
        <w:tblLayout w:type="autofit"/>
        <w:tblCellMar>
          <w:top w:w="0" w:type="dxa"/>
          <w:left w:w="108" w:type="dxa"/>
          <w:bottom w:w="0" w:type="dxa"/>
          <w:right w:w="108" w:type="dxa"/>
        </w:tblCellMar>
      </w:tblPr>
      <w:tblGrid>
        <w:gridCol w:w="2448"/>
        <w:gridCol w:w="1535"/>
        <w:gridCol w:w="1662"/>
        <w:gridCol w:w="711"/>
        <w:gridCol w:w="1535"/>
        <w:gridCol w:w="1662"/>
        <w:gridCol w:w="711"/>
        <w:gridCol w:w="1535"/>
        <w:gridCol w:w="1663"/>
        <w:gridCol w:w="712"/>
      </w:tblGrid>
      <w:tr w14:paraId="2F11F9AF">
        <w:tblPrEx>
          <w:tblCellMar>
            <w:top w:w="0" w:type="dxa"/>
            <w:left w:w="108" w:type="dxa"/>
            <w:bottom w:w="0" w:type="dxa"/>
            <w:right w:w="108" w:type="dxa"/>
          </w:tblCellMar>
        </w:tblPrEx>
        <w:trPr>
          <w:trHeight w:val="336" w:hRule="atLeast"/>
        </w:trPr>
        <w:tc>
          <w:tcPr>
            <w:tcW w:w="5000" w:type="pct"/>
            <w:gridSpan w:val="10"/>
            <w:tcBorders>
              <w:top w:val="single" w:color="000000" w:sz="4" w:space="0"/>
              <w:left w:val="single" w:color="000000" w:sz="4" w:space="0"/>
              <w:bottom w:val="single" w:color="000000" w:sz="4" w:space="0"/>
              <w:right w:val="single" w:color="000000" w:sz="4" w:space="0"/>
            </w:tcBorders>
            <w:shd w:val="clear" w:color="auto" w:fill="auto"/>
            <w:noWrap/>
            <w:vAlign w:val="center"/>
          </w:tcPr>
          <w:p w14:paraId="51045A88">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Accounting rate of return</w:t>
            </w:r>
          </w:p>
        </w:tc>
      </w:tr>
      <w:tr w14:paraId="4D503ECC">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FA48617">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Projects</w:t>
            </w:r>
          </w:p>
        </w:tc>
        <w:tc>
          <w:tcPr>
            <w:tcW w:w="1375" w:type="pct"/>
            <w:gridSpan w:val="3"/>
            <w:tcBorders>
              <w:top w:val="single" w:color="000000" w:sz="4" w:space="0"/>
              <w:left w:val="single" w:color="000000" w:sz="4" w:space="0"/>
              <w:bottom w:val="single" w:color="000000" w:sz="4" w:space="0"/>
              <w:right w:val="single" w:color="000000" w:sz="4" w:space="0"/>
            </w:tcBorders>
            <w:shd w:val="clear" w:color="auto" w:fill="auto"/>
            <w:noWrap/>
            <w:vAlign w:val="center"/>
          </w:tcPr>
          <w:p w14:paraId="45B90030">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A</w:t>
            </w:r>
          </w:p>
        </w:tc>
        <w:tc>
          <w:tcPr>
            <w:tcW w:w="1375" w:type="pct"/>
            <w:gridSpan w:val="3"/>
            <w:tcBorders>
              <w:top w:val="single" w:color="000000" w:sz="4" w:space="0"/>
              <w:left w:val="single" w:color="000000" w:sz="4" w:space="0"/>
              <w:bottom w:val="single" w:color="000000" w:sz="4" w:space="0"/>
              <w:right w:val="single" w:color="000000" w:sz="4" w:space="0"/>
            </w:tcBorders>
            <w:shd w:val="clear" w:color="auto" w:fill="auto"/>
            <w:noWrap/>
            <w:vAlign w:val="center"/>
          </w:tcPr>
          <w:p w14:paraId="6549177D">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B</w:t>
            </w:r>
          </w:p>
        </w:tc>
        <w:tc>
          <w:tcPr>
            <w:tcW w:w="1376" w:type="pct"/>
            <w:gridSpan w:val="3"/>
            <w:tcBorders>
              <w:top w:val="single" w:color="000000" w:sz="4" w:space="0"/>
              <w:left w:val="single" w:color="000000" w:sz="4" w:space="0"/>
              <w:bottom w:val="single" w:color="000000" w:sz="4" w:space="0"/>
              <w:right w:val="single" w:color="000000" w:sz="4" w:space="0"/>
            </w:tcBorders>
            <w:shd w:val="clear" w:color="auto" w:fill="auto"/>
            <w:noWrap/>
            <w:vAlign w:val="center"/>
          </w:tcPr>
          <w:p w14:paraId="4016FF63">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w:t>
            </w:r>
          </w:p>
        </w:tc>
      </w:tr>
      <w:tr w14:paraId="61D0946F">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A85FD0A">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Year</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14935D0">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 Flows (£M)</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0A2237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Less: Depreciation</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382B5B">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Profit</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0E41DB3">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 Flows (£M)</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A54151F">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Less: Depreciation</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6BB2FD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Profit</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627076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Cash Flows (£M)</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2549C8A">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Less: Depreciation</w:t>
            </w: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063FF6">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Profit</w:t>
            </w:r>
          </w:p>
        </w:tc>
      </w:tr>
      <w:tr w14:paraId="7CA50694">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9DB5EE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FD3E7E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F74870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6CBF8E">
            <w:pPr>
              <w:rPr>
                <w:rFonts w:ascii="Arial Regular" w:hAnsi="Arial Regular" w:eastAsia="Times New Roman Regular" w:cs="Arial Regular"/>
                <w:color w:val="000000"/>
                <w:sz w:val="24"/>
                <w:szCs w:val="24"/>
              </w:rPr>
            </w:pP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AFD844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AC85B88">
            <w:pPr>
              <w:rPr>
                <w:rFonts w:ascii="Arial Regular" w:hAnsi="Arial Regular" w:eastAsia="Times New Roman Regular" w:cs="Arial Regular"/>
                <w:color w:val="000000"/>
                <w:sz w:val="24"/>
                <w:szCs w:val="24"/>
              </w:rPr>
            </w:pP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6C2BAD">
            <w:pPr>
              <w:rPr>
                <w:rFonts w:ascii="Arial Regular" w:hAnsi="Arial Regular" w:eastAsia="Times New Roman Regular" w:cs="Arial Regular"/>
                <w:color w:val="000000"/>
                <w:sz w:val="24"/>
                <w:szCs w:val="24"/>
              </w:rPr>
            </w:pP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7D4595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87397F3">
            <w:pPr>
              <w:rPr>
                <w:rFonts w:ascii="Arial Regular" w:hAnsi="Arial Regular" w:eastAsia="Times New Roman Regular" w:cs="Arial Regular"/>
                <w:color w:val="000000"/>
                <w:sz w:val="24"/>
                <w:szCs w:val="24"/>
              </w:rPr>
            </w:pP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599141B">
            <w:pPr>
              <w:rPr>
                <w:rFonts w:ascii="Arial Regular" w:hAnsi="Arial Regular" w:eastAsia="Times New Roman Regular" w:cs="Arial Regular"/>
                <w:color w:val="000000"/>
                <w:sz w:val="24"/>
                <w:szCs w:val="24"/>
              </w:rPr>
            </w:pPr>
          </w:p>
        </w:tc>
      </w:tr>
      <w:tr w14:paraId="43BC25D2">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1FA538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B62398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45DCB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D30345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D53BBE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05B5FE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C7B37D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E196CC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06DD47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07CEDD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r>
      <w:tr w14:paraId="15539FA6">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403BA4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E0E69E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A024FA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B7DB5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9659E1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A6EFF9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F50543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BCA93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BB3680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CAAF3B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w:t>
            </w:r>
          </w:p>
        </w:tc>
      </w:tr>
      <w:tr w14:paraId="487ADF9A">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206EA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B42FF1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404B0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18B1E3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111FEB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A648B7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E4732C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C745D9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20</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7364E6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969BCB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r>
      <w:tr w14:paraId="5069006B">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CE0E63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AECD2E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A64AD1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351CAF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3E322D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BBC812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9B3871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515F2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25</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7BD56E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5BBCB0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15</w:t>
            </w:r>
          </w:p>
        </w:tc>
      </w:tr>
      <w:tr w14:paraId="224390FF">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741F52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86651F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863ACE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EBEB0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FA4940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D0CA7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FF4B20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95E1B6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A4EBB2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96E947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r>
      <w:tr w14:paraId="56E426A7">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51E5DC8">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Average profit</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9007EA6">
            <w:pPr>
              <w:rPr>
                <w:rFonts w:ascii="Arial Regular" w:hAnsi="Arial Regular" w:eastAsia="Times New Roman Regular" w:cs="Arial Regular"/>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077A9A">
            <w:pPr>
              <w:rPr>
                <w:rFonts w:ascii="Arial Regular" w:hAnsi="Arial Regular" w:eastAsia="Times New Roman Regular" w:cs="Arial Regular"/>
                <w:color w:val="000000"/>
                <w:sz w:val="24"/>
                <w:szCs w:val="24"/>
              </w:rPr>
            </w:pP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0F726A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0.8</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493DF03">
            <w:pPr>
              <w:rPr>
                <w:rFonts w:ascii="Arial Regular" w:hAnsi="Arial Regular" w:eastAsia="Times New Roman Regular" w:cs="Arial Regular"/>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7DF7552">
            <w:pPr>
              <w:rPr>
                <w:rFonts w:ascii="Arial Regular" w:hAnsi="Arial Regular" w:eastAsia="Times New Roman Regular" w:cs="Arial Regular"/>
                <w:color w:val="000000"/>
                <w:sz w:val="24"/>
                <w:szCs w:val="24"/>
              </w:rPr>
            </w:pP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2A48E9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DFF6C2F">
            <w:pPr>
              <w:rPr>
                <w:rFonts w:ascii="Arial Regular" w:hAnsi="Arial Regular" w:eastAsia="Times New Roman Regular" w:cs="Arial Regular"/>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AE6106E">
            <w:pPr>
              <w:rPr>
                <w:rFonts w:ascii="Arial Regular" w:hAnsi="Arial Regular" w:eastAsia="Times New Roman Regular" w:cs="Arial Regular"/>
                <w:color w:val="000000"/>
                <w:sz w:val="24"/>
                <w:szCs w:val="24"/>
              </w:rPr>
            </w:pP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7111F2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w:t>
            </w:r>
          </w:p>
        </w:tc>
      </w:tr>
      <w:tr w14:paraId="5BA1073D">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9ABC391">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Investment</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D7A3E8F">
            <w:pPr>
              <w:rPr>
                <w:rFonts w:ascii="Arial Regular" w:hAnsi="Arial Regular" w:eastAsia="Times New Roman Regular" w:cs="Arial Regular"/>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5BEC638">
            <w:pPr>
              <w:rPr>
                <w:rFonts w:ascii="Arial Regular" w:hAnsi="Arial Regular" w:eastAsia="Times New Roman Regular" w:cs="Arial Regular"/>
                <w:color w:val="000000"/>
                <w:sz w:val="24"/>
                <w:szCs w:val="24"/>
              </w:rPr>
            </w:pP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2C73D1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0807B98">
            <w:pPr>
              <w:rPr>
                <w:rFonts w:ascii="Arial Regular" w:hAnsi="Arial Regular" w:eastAsia="Times New Roman Regular" w:cs="Arial Regular"/>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C124BEF">
            <w:pPr>
              <w:rPr>
                <w:rFonts w:ascii="Arial Regular" w:hAnsi="Arial Regular" w:eastAsia="Times New Roman Regular" w:cs="Arial Regular"/>
                <w:color w:val="000000"/>
                <w:sz w:val="24"/>
                <w:szCs w:val="24"/>
              </w:rPr>
            </w:pP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4F8083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A60BBBE">
            <w:pPr>
              <w:rPr>
                <w:rFonts w:ascii="Arial Regular" w:hAnsi="Arial Regular" w:eastAsia="Times New Roman Regular" w:cs="Arial Regular"/>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C0F289D">
            <w:pPr>
              <w:rPr>
                <w:rFonts w:ascii="Arial Regular" w:hAnsi="Arial Regular" w:eastAsia="Times New Roman Regular" w:cs="Arial Regular"/>
                <w:color w:val="000000"/>
                <w:sz w:val="24"/>
                <w:szCs w:val="24"/>
              </w:rPr>
            </w:pP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C95D88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r>
      <w:tr w14:paraId="05221D52">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B9F9895">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ARR</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AD7BC6">
            <w:pPr>
              <w:rPr>
                <w:rFonts w:ascii="Arial Regular" w:hAnsi="Arial Regular" w:eastAsia="Times New Roman Regular" w:cs="Arial Regular"/>
                <w:b/>
                <w:bCs/>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E722722">
            <w:pPr>
              <w:rPr>
                <w:rFonts w:ascii="Arial Regular" w:hAnsi="Arial Regular" w:eastAsia="Times New Roman Regular" w:cs="Arial Regular"/>
                <w:b/>
                <w:bCs/>
                <w:color w:val="000000"/>
                <w:sz w:val="24"/>
                <w:szCs w:val="24"/>
              </w:rPr>
            </w:pP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C5412C7">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1.60%</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0612474">
            <w:pPr>
              <w:rPr>
                <w:rFonts w:ascii="Arial Regular" w:hAnsi="Arial Regular" w:eastAsia="Times New Roman Regular" w:cs="Arial Regular"/>
                <w:b/>
                <w:bCs/>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9C0268B">
            <w:pPr>
              <w:rPr>
                <w:rFonts w:ascii="Arial Regular" w:hAnsi="Arial Regular" w:eastAsia="Times New Roman Regular" w:cs="Arial Regular"/>
                <w:b/>
                <w:bCs/>
                <w:color w:val="000000"/>
                <w:sz w:val="24"/>
                <w:szCs w:val="24"/>
              </w:rPr>
            </w:pP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B93895F">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2.00%</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609EA7C">
            <w:pPr>
              <w:rPr>
                <w:rFonts w:ascii="Arial Regular" w:hAnsi="Arial Regular" w:eastAsia="Times New Roman Regular" w:cs="Arial Regular"/>
                <w:b/>
                <w:bCs/>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575833F">
            <w:pPr>
              <w:rPr>
                <w:rFonts w:ascii="Arial Regular" w:hAnsi="Arial Regular" w:eastAsia="Times New Roman Regular" w:cs="Arial Regular"/>
                <w:b/>
                <w:bCs/>
                <w:color w:val="000000"/>
                <w:sz w:val="24"/>
                <w:szCs w:val="24"/>
              </w:rPr>
            </w:pP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838C675">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6.00%</w:t>
            </w:r>
          </w:p>
        </w:tc>
      </w:tr>
      <w:tr w14:paraId="153246F9">
        <w:tblPrEx>
          <w:tblCellMar>
            <w:top w:w="0" w:type="dxa"/>
            <w:left w:w="108" w:type="dxa"/>
            <w:bottom w:w="0" w:type="dxa"/>
            <w:right w:w="108" w:type="dxa"/>
          </w:tblCellMar>
        </w:tblPrEx>
        <w:trPr>
          <w:trHeight w:val="336" w:hRule="atLeast"/>
        </w:trPr>
        <w:tc>
          <w:tcPr>
            <w:tcW w:w="8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8CB89B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(Average profits/ investment)</w:t>
            </w: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36EEA6E">
            <w:pPr>
              <w:rPr>
                <w:rFonts w:ascii="Arial Regular" w:hAnsi="Arial Regular" w:eastAsia="Times New Roman Regular" w:cs="Arial Regular"/>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124333C">
            <w:pPr>
              <w:rPr>
                <w:rFonts w:ascii="Arial Regular" w:hAnsi="Arial Regular" w:eastAsia="Times New Roman Regular" w:cs="Arial Regular"/>
                <w:color w:val="000000"/>
                <w:sz w:val="24"/>
                <w:szCs w:val="24"/>
              </w:rPr>
            </w:pP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4CE6441">
            <w:pPr>
              <w:rPr>
                <w:rFonts w:ascii="Arial Regular" w:hAnsi="Arial Regular" w:eastAsia="Times New Roman Regular" w:cs="Arial Regular"/>
                <w:color w:val="000000"/>
                <w:sz w:val="24"/>
                <w:szCs w:val="24"/>
              </w:rPr>
            </w:pP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CE8FB30">
            <w:pPr>
              <w:rPr>
                <w:rFonts w:ascii="Arial Regular" w:hAnsi="Arial Regular" w:eastAsia="Times New Roman Regular" w:cs="Arial Regular"/>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0F937BC">
            <w:pPr>
              <w:rPr>
                <w:rFonts w:ascii="Arial Regular" w:hAnsi="Arial Regular" w:eastAsia="Times New Roman Regular" w:cs="Arial Regular"/>
                <w:color w:val="000000"/>
                <w:sz w:val="24"/>
                <w:szCs w:val="24"/>
              </w:rPr>
            </w:pPr>
          </w:p>
        </w:tc>
        <w:tc>
          <w:tcPr>
            <w:tcW w:w="25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3DBCBDC">
            <w:pPr>
              <w:rPr>
                <w:rFonts w:ascii="Arial Regular" w:hAnsi="Arial Regular" w:eastAsia="Times New Roman Regular" w:cs="Arial Regular"/>
                <w:color w:val="000000"/>
                <w:sz w:val="24"/>
                <w:szCs w:val="24"/>
              </w:rPr>
            </w:pPr>
          </w:p>
        </w:tc>
        <w:tc>
          <w:tcPr>
            <w:tcW w:w="542"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228A956">
            <w:pPr>
              <w:rPr>
                <w:rFonts w:ascii="Arial Regular" w:hAnsi="Arial Regular" w:eastAsia="Times New Roman Regular" w:cs="Arial Regular"/>
                <w:color w:val="000000"/>
                <w:sz w:val="24"/>
                <w:szCs w:val="24"/>
              </w:rPr>
            </w:pPr>
          </w:p>
        </w:tc>
        <w:tc>
          <w:tcPr>
            <w:tcW w:w="57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CF53BB4">
            <w:pPr>
              <w:rPr>
                <w:rFonts w:ascii="Arial Regular" w:hAnsi="Arial Regular" w:eastAsia="Times New Roman Regular" w:cs="Arial Regular"/>
                <w:color w:val="000000"/>
                <w:sz w:val="24"/>
                <w:szCs w:val="24"/>
              </w:rPr>
            </w:pPr>
          </w:p>
        </w:tc>
        <w:tc>
          <w:tcPr>
            <w:tcW w:w="25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7006512">
            <w:pPr>
              <w:rPr>
                <w:rFonts w:ascii="Arial Regular" w:hAnsi="Arial Regular" w:eastAsia="Times New Roman Regular" w:cs="Arial Regular"/>
                <w:color w:val="000000"/>
                <w:sz w:val="24"/>
                <w:szCs w:val="24"/>
              </w:rPr>
            </w:pPr>
          </w:p>
        </w:tc>
      </w:tr>
    </w:tbl>
    <w:p w14:paraId="44D9735B">
      <w:pPr>
        <w:spacing w:line="360" w:lineRule="auto"/>
        <w:jc w:val="both"/>
        <w:rPr>
          <w:rFonts w:ascii="Arial Regular" w:hAnsi="Arial Regular" w:cs="Arial Regular"/>
          <w:b/>
          <w:bCs/>
          <w:sz w:val="24"/>
          <w:szCs w:val="24"/>
        </w:rPr>
      </w:pPr>
    </w:p>
    <w:tbl>
      <w:tblPr>
        <w:tblStyle w:val="4"/>
        <w:tblW w:w="5000" w:type="pct"/>
        <w:tblInd w:w="0" w:type="dxa"/>
        <w:tblLayout w:type="autofit"/>
        <w:tblCellMar>
          <w:top w:w="0" w:type="dxa"/>
          <w:left w:w="108" w:type="dxa"/>
          <w:bottom w:w="0" w:type="dxa"/>
          <w:right w:w="108" w:type="dxa"/>
        </w:tblCellMar>
      </w:tblPr>
      <w:tblGrid>
        <w:gridCol w:w="1278"/>
        <w:gridCol w:w="3141"/>
        <w:gridCol w:w="2361"/>
        <w:gridCol w:w="1335"/>
        <w:gridCol w:w="1684"/>
        <w:gridCol w:w="1338"/>
        <w:gridCol w:w="1684"/>
        <w:gridCol w:w="1353"/>
      </w:tblGrid>
      <w:tr w14:paraId="49375073">
        <w:tblPrEx>
          <w:tblCellMar>
            <w:top w:w="0" w:type="dxa"/>
            <w:left w:w="108" w:type="dxa"/>
            <w:bottom w:w="0" w:type="dxa"/>
            <w:right w:w="108" w:type="dxa"/>
          </w:tblCellMar>
        </w:tblPrEx>
        <w:trPr>
          <w:trHeight w:val="336" w:hRule="atLeast"/>
        </w:trPr>
        <w:tc>
          <w:tcPr>
            <w:tcW w:w="5000" w:type="pct"/>
            <w:gridSpan w:val="8"/>
            <w:tcBorders>
              <w:top w:val="single" w:color="000000" w:sz="4" w:space="0"/>
              <w:left w:val="single" w:color="000000" w:sz="4" w:space="0"/>
              <w:bottom w:val="single" w:color="000000" w:sz="4" w:space="0"/>
              <w:right w:val="single" w:color="000000" w:sz="4" w:space="0"/>
            </w:tcBorders>
            <w:shd w:val="clear" w:color="auto" w:fill="auto"/>
            <w:noWrap/>
            <w:vAlign w:val="center"/>
          </w:tcPr>
          <w:p w14:paraId="652B4D09">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Net Present Value</w:t>
            </w:r>
          </w:p>
        </w:tc>
      </w:tr>
      <w:tr w14:paraId="7D2F8BC7">
        <w:tblPrEx>
          <w:tblCellMar>
            <w:top w:w="0" w:type="dxa"/>
            <w:left w:w="108" w:type="dxa"/>
            <w:bottom w:w="0" w:type="dxa"/>
            <w:right w:w="108" w:type="dxa"/>
          </w:tblCellMar>
        </w:tblPrEx>
        <w:trPr>
          <w:trHeight w:val="336" w:hRule="atLeast"/>
        </w:trPr>
        <w:tc>
          <w:tcPr>
            <w:tcW w:w="45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16211E">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Projects</w:t>
            </w:r>
          </w:p>
        </w:tc>
        <w:tc>
          <w:tcPr>
            <w:tcW w:w="110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E0177D4">
            <w:pPr>
              <w:rPr>
                <w:rFonts w:ascii="Arial Regular" w:hAnsi="Arial Regular" w:eastAsia="Times New Roman Regular" w:cs="Arial Regular"/>
                <w:b/>
                <w:bCs/>
                <w:color w:val="000000"/>
                <w:sz w:val="24"/>
                <w:szCs w:val="24"/>
              </w:rPr>
            </w:pPr>
          </w:p>
        </w:tc>
        <w:tc>
          <w:tcPr>
            <w:tcW w:w="1304" w:type="pct"/>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495EEA7D">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A</w:t>
            </w:r>
          </w:p>
        </w:tc>
        <w:tc>
          <w:tcPr>
            <w:tcW w:w="1066" w:type="pct"/>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59569B98">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B</w:t>
            </w:r>
          </w:p>
        </w:tc>
        <w:tc>
          <w:tcPr>
            <w:tcW w:w="1068" w:type="pct"/>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9BFC6B">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w:t>
            </w:r>
          </w:p>
        </w:tc>
      </w:tr>
      <w:tr w14:paraId="48633BA9">
        <w:tblPrEx>
          <w:tblCellMar>
            <w:top w:w="0" w:type="dxa"/>
            <w:left w:w="108" w:type="dxa"/>
            <w:bottom w:w="0" w:type="dxa"/>
            <w:right w:w="108" w:type="dxa"/>
          </w:tblCellMar>
        </w:tblPrEx>
        <w:trPr>
          <w:trHeight w:val="336" w:hRule="atLeast"/>
        </w:trPr>
        <w:tc>
          <w:tcPr>
            <w:tcW w:w="45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4125B9D">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Year</w:t>
            </w:r>
          </w:p>
        </w:tc>
        <w:tc>
          <w:tcPr>
            <w:tcW w:w="110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F51557F">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Discount factor @ 10%</w:t>
            </w:r>
          </w:p>
        </w:tc>
        <w:tc>
          <w:tcPr>
            <w:tcW w:w="83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E49E392">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Cash Flows (£M)</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3AC2A63">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PV (£M)</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EE2E358">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Cash Flows</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1387677">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PV (£M)</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E25A8B8">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Cash Flows</w:t>
            </w:r>
          </w:p>
        </w:tc>
        <w:tc>
          <w:tcPr>
            <w:tcW w:w="47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5C66D7E">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PV (£M)</w:t>
            </w:r>
          </w:p>
        </w:tc>
      </w:tr>
      <w:tr w14:paraId="6971E306">
        <w:tblPrEx>
          <w:tblCellMar>
            <w:top w:w="0" w:type="dxa"/>
            <w:left w:w="108" w:type="dxa"/>
            <w:bottom w:w="0" w:type="dxa"/>
            <w:right w:w="108" w:type="dxa"/>
          </w:tblCellMar>
        </w:tblPrEx>
        <w:trPr>
          <w:trHeight w:val="336" w:hRule="atLeast"/>
        </w:trPr>
        <w:tc>
          <w:tcPr>
            <w:tcW w:w="45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1F4A7C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w:t>
            </w:r>
          </w:p>
        </w:tc>
        <w:tc>
          <w:tcPr>
            <w:tcW w:w="110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1D5278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83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95B372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B5F680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6258E8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9D8E82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14EA1E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47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0A5887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r>
      <w:tr w14:paraId="40C1C7C4">
        <w:tblPrEx>
          <w:tblCellMar>
            <w:top w:w="0" w:type="dxa"/>
            <w:left w:w="108" w:type="dxa"/>
            <w:bottom w:w="0" w:type="dxa"/>
            <w:right w:w="108" w:type="dxa"/>
          </w:tblCellMar>
        </w:tblPrEx>
        <w:trPr>
          <w:trHeight w:val="336" w:hRule="atLeast"/>
        </w:trPr>
        <w:tc>
          <w:tcPr>
            <w:tcW w:w="45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11F3F3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110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6C7E9D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0.9091 </w:t>
            </w:r>
          </w:p>
        </w:tc>
        <w:tc>
          <w:tcPr>
            <w:tcW w:w="83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E63531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77A61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9.09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02ADF0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7BAC4E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10.00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20454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47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80DB41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4.55 </w:t>
            </w:r>
          </w:p>
        </w:tc>
      </w:tr>
      <w:tr w14:paraId="567A2809">
        <w:tblPrEx>
          <w:tblCellMar>
            <w:top w:w="0" w:type="dxa"/>
            <w:left w:w="108" w:type="dxa"/>
            <w:bottom w:w="0" w:type="dxa"/>
            <w:right w:w="108" w:type="dxa"/>
          </w:tblCellMar>
        </w:tblPrEx>
        <w:trPr>
          <w:trHeight w:val="336" w:hRule="atLeast"/>
        </w:trPr>
        <w:tc>
          <w:tcPr>
            <w:tcW w:w="45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519911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w:t>
            </w:r>
          </w:p>
        </w:tc>
        <w:tc>
          <w:tcPr>
            <w:tcW w:w="110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0DF952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0.8264 </w:t>
            </w:r>
          </w:p>
        </w:tc>
        <w:tc>
          <w:tcPr>
            <w:tcW w:w="83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C6A517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C4EB1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9.92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E7BEAE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2EEC0E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9.09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C6B783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47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1EEF00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8.26 </w:t>
            </w:r>
          </w:p>
        </w:tc>
      </w:tr>
      <w:tr w14:paraId="4572F127">
        <w:tblPrEx>
          <w:tblCellMar>
            <w:top w:w="0" w:type="dxa"/>
            <w:left w:w="108" w:type="dxa"/>
            <w:bottom w:w="0" w:type="dxa"/>
            <w:right w:w="108" w:type="dxa"/>
          </w:tblCellMar>
        </w:tblPrEx>
        <w:trPr>
          <w:trHeight w:val="336" w:hRule="atLeast"/>
        </w:trPr>
        <w:tc>
          <w:tcPr>
            <w:tcW w:w="45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75EBAA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w:t>
            </w:r>
          </w:p>
        </w:tc>
        <w:tc>
          <w:tcPr>
            <w:tcW w:w="110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82BB39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0.7513 </w:t>
            </w:r>
          </w:p>
        </w:tc>
        <w:tc>
          <w:tcPr>
            <w:tcW w:w="83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96A68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17EE20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10.52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BB1283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660966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8.26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275DD4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20</w:t>
            </w:r>
          </w:p>
        </w:tc>
        <w:tc>
          <w:tcPr>
            <w:tcW w:w="47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EB5F48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15.03 </w:t>
            </w:r>
          </w:p>
        </w:tc>
      </w:tr>
      <w:tr w14:paraId="612D52CC">
        <w:tblPrEx>
          <w:tblCellMar>
            <w:top w:w="0" w:type="dxa"/>
            <w:left w:w="108" w:type="dxa"/>
            <w:bottom w:w="0" w:type="dxa"/>
            <w:right w:w="108" w:type="dxa"/>
          </w:tblCellMar>
        </w:tblPrEx>
        <w:trPr>
          <w:trHeight w:val="336" w:hRule="atLeast"/>
        </w:trPr>
        <w:tc>
          <w:tcPr>
            <w:tcW w:w="45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59A46A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w:t>
            </w:r>
          </w:p>
        </w:tc>
        <w:tc>
          <w:tcPr>
            <w:tcW w:w="110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95343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0.6830 </w:t>
            </w:r>
          </w:p>
        </w:tc>
        <w:tc>
          <w:tcPr>
            <w:tcW w:w="83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900B04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A77FB5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6.83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7F15D1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18E2A0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7.51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5F032F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25</w:t>
            </w:r>
          </w:p>
        </w:tc>
        <w:tc>
          <w:tcPr>
            <w:tcW w:w="47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AE07D2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17.08 </w:t>
            </w:r>
          </w:p>
        </w:tc>
      </w:tr>
      <w:tr w14:paraId="181A7E6F">
        <w:tblPrEx>
          <w:tblCellMar>
            <w:top w:w="0" w:type="dxa"/>
            <w:left w:w="108" w:type="dxa"/>
            <w:bottom w:w="0" w:type="dxa"/>
            <w:right w:w="108" w:type="dxa"/>
          </w:tblCellMar>
        </w:tblPrEx>
        <w:trPr>
          <w:trHeight w:val="336" w:hRule="atLeast"/>
        </w:trPr>
        <w:tc>
          <w:tcPr>
            <w:tcW w:w="45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2CE46F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110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E84FF97">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0.6209 </w:t>
            </w:r>
          </w:p>
        </w:tc>
        <w:tc>
          <w:tcPr>
            <w:tcW w:w="83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F4E34D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64E3F5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4.97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2E217D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6B9AEB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6.83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C71200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47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AE6ECE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3.10 </w:t>
            </w:r>
          </w:p>
        </w:tc>
      </w:tr>
      <w:tr w14:paraId="5D2EDBE8">
        <w:tblPrEx>
          <w:tblCellMar>
            <w:top w:w="0" w:type="dxa"/>
            <w:left w:w="108" w:type="dxa"/>
            <w:bottom w:w="0" w:type="dxa"/>
            <w:right w:w="108" w:type="dxa"/>
          </w:tblCellMar>
        </w:tblPrEx>
        <w:trPr>
          <w:trHeight w:val="336" w:hRule="atLeast"/>
        </w:trPr>
        <w:tc>
          <w:tcPr>
            <w:tcW w:w="45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B71241E">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NPV</w:t>
            </w:r>
          </w:p>
        </w:tc>
        <w:tc>
          <w:tcPr>
            <w:tcW w:w="1108"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E836ACA">
            <w:pPr>
              <w:rPr>
                <w:rFonts w:ascii="Arial Regular" w:hAnsi="Arial Regular" w:eastAsia="Times New Roman Regular" w:cs="Arial Regular"/>
                <w:b/>
                <w:bCs/>
                <w:color w:val="000000"/>
                <w:sz w:val="24"/>
                <w:szCs w:val="24"/>
              </w:rPr>
            </w:pPr>
          </w:p>
        </w:tc>
        <w:tc>
          <w:tcPr>
            <w:tcW w:w="83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2A4A3B2">
            <w:pPr>
              <w:rPr>
                <w:rFonts w:ascii="Arial Regular" w:hAnsi="Arial Regular" w:eastAsia="Times New Roman Regular" w:cs="Arial Regular"/>
                <w:b/>
                <w:bCs/>
                <w:color w:val="000000"/>
                <w:sz w:val="24"/>
                <w:szCs w:val="24"/>
              </w:rPr>
            </w:pP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128B51D">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 xml:space="preserve">-8.68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1B8DE05">
            <w:pPr>
              <w:rPr>
                <w:rFonts w:ascii="Arial Regular" w:hAnsi="Arial Regular" w:eastAsia="Times New Roman Regular" w:cs="Arial Regular"/>
                <w:b/>
                <w:bCs/>
                <w:color w:val="000000"/>
                <w:sz w:val="24"/>
                <w:szCs w:val="24"/>
              </w:rPr>
            </w:pPr>
          </w:p>
        </w:tc>
        <w:tc>
          <w:tcPr>
            <w:tcW w:w="47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C2A4068">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 xml:space="preserve">-8.30 </w:t>
            </w:r>
          </w:p>
        </w:tc>
        <w:tc>
          <w:tcPr>
            <w:tcW w:w="594"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BF5A06A">
            <w:pPr>
              <w:rPr>
                <w:rFonts w:ascii="Arial Regular" w:hAnsi="Arial Regular" w:eastAsia="Times New Roman Regular" w:cs="Arial Regular"/>
                <w:b/>
                <w:bCs/>
                <w:color w:val="000000"/>
                <w:sz w:val="24"/>
                <w:szCs w:val="24"/>
              </w:rPr>
            </w:pPr>
          </w:p>
        </w:tc>
        <w:tc>
          <w:tcPr>
            <w:tcW w:w="473"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917B2B0">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 xml:space="preserve">-1.98 </w:t>
            </w:r>
          </w:p>
        </w:tc>
      </w:tr>
    </w:tbl>
    <w:p w14:paraId="69B7488B">
      <w:pPr>
        <w:spacing w:line="360" w:lineRule="auto"/>
        <w:jc w:val="both"/>
        <w:rPr>
          <w:rFonts w:ascii="Arial Regular" w:hAnsi="Arial Regular" w:cs="Arial Regular"/>
          <w:b/>
          <w:bCs/>
          <w:sz w:val="24"/>
          <w:szCs w:val="24"/>
        </w:rPr>
      </w:pPr>
    </w:p>
    <w:tbl>
      <w:tblPr>
        <w:tblStyle w:val="4"/>
        <w:tblW w:w="5000" w:type="pct"/>
        <w:tblInd w:w="0" w:type="dxa"/>
        <w:tblLayout w:type="autofit"/>
        <w:tblCellMar>
          <w:top w:w="0" w:type="dxa"/>
          <w:left w:w="108" w:type="dxa"/>
          <w:bottom w:w="0" w:type="dxa"/>
          <w:right w:w="108" w:type="dxa"/>
        </w:tblCellMar>
      </w:tblPr>
      <w:tblGrid>
        <w:gridCol w:w="6338"/>
        <w:gridCol w:w="2611"/>
        <w:gridCol w:w="2611"/>
        <w:gridCol w:w="2614"/>
      </w:tblGrid>
      <w:tr w14:paraId="00C34133">
        <w:tblPrEx>
          <w:tblCellMar>
            <w:top w:w="0" w:type="dxa"/>
            <w:left w:w="108" w:type="dxa"/>
            <w:bottom w:w="0" w:type="dxa"/>
            <w:right w:w="108" w:type="dxa"/>
          </w:tblCellMar>
        </w:tblPrEx>
        <w:trPr>
          <w:trHeight w:val="336" w:hRule="atLeast"/>
        </w:trPr>
        <w:tc>
          <w:tcPr>
            <w:tcW w:w="5000" w:type="pct"/>
            <w:gridSpan w:val="4"/>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66E09A">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Profitability Index</w:t>
            </w:r>
          </w:p>
        </w:tc>
      </w:tr>
      <w:tr w14:paraId="4BE1F513">
        <w:tblPrEx>
          <w:tblCellMar>
            <w:top w:w="0" w:type="dxa"/>
            <w:left w:w="108" w:type="dxa"/>
            <w:bottom w:w="0" w:type="dxa"/>
            <w:right w:w="108" w:type="dxa"/>
          </w:tblCellMar>
        </w:tblPrEx>
        <w:trPr>
          <w:trHeight w:val="336" w:hRule="atLeast"/>
        </w:trPr>
        <w:tc>
          <w:tcPr>
            <w:tcW w:w="2236"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DA8FF6B">
            <w:pPr>
              <w:rPr>
                <w:rFonts w:ascii="Arial Regular" w:hAnsi="Arial Regular" w:eastAsia="Times New Roman Regular" w:cs="Arial Regular"/>
                <w:b/>
                <w:bCs/>
                <w:color w:val="000000"/>
                <w:sz w:val="24"/>
                <w:szCs w:val="24"/>
              </w:rPr>
            </w:pP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5B8710">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A</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D5931ED">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B</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1DD2504">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w:t>
            </w:r>
          </w:p>
        </w:tc>
      </w:tr>
      <w:tr w14:paraId="173BA4B9">
        <w:tblPrEx>
          <w:tblCellMar>
            <w:top w:w="0" w:type="dxa"/>
            <w:left w:w="108" w:type="dxa"/>
            <w:bottom w:w="0" w:type="dxa"/>
            <w:right w:w="108" w:type="dxa"/>
          </w:tblCellMar>
        </w:tblPrEx>
        <w:trPr>
          <w:trHeight w:val="336" w:hRule="atLeast"/>
        </w:trPr>
        <w:tc>
          <w:tcPr>
            <w:tcW w:w="2236"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683C606">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PV of cash flows</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850B22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41.32 </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ACEE06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41.70 </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D829FD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 xml:space="preserve">48.02 </w:t>
            </w:r>
          </w:p>
        </w:tc>
      </w:tr>
      <w:tr w14:paraId="7D638C9A">
        <w:tblPrEx>
          <w:tblCellMar>
            <w:top w:w="0" w:type="dxa"/>
            <w:left w:w="108" w:type="dxa"/>
            <w:bottom w:w="0" w:type="dxa"/>
            <w:right w:w="108" w:type="dxa"/>
          </w:tblCellMar>
        </w:tblPrEx>
        <w:trPr>
          <w:trHeight w:val="336" w:hRule="atLeast"/>
        </w:trPr>
        <w:tc>
          <w:tcPr>
            <w:tcW w:w="2236"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62B12F7">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Investment</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D836BB1">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C7369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686687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r>
      <w:tr w14:paraId="3DA8806C">
        <w:tblPrEx>
          <w:tblCellMar>
            <w:top w:w="0" w:type="dxa"/>
            <w:left w:w="108" w:type="dxa"/>
            <w:bottom w:w="0" w:type="dxa"/>
            <w:right w:w="108" w:type="dxa"/>
          </w:tblCellMar>
        </w:tblPrEx>
        <w:trPr>
          <w:trHeight w:val="336" w:hRule="atLeast"/>
        </w:trPr>
        <w:tc>
          <w:tcPr>
            <w:tcW w:w="2236"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F15E02F">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PI</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5466F2C">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 xml:space="preserve">0.83 </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A23CDD0">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 xml:space="preserve">0.83 </w:t>
            </w:r>
          </w:p>
        </w:tc>
        <w:tc>
          <w:tcPr>
            <w:tcW w:w="92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A9B94CD">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 xml:space="preserve">0.96 </w:t>
            </w:r>
          </w:p>
        </w:tc>
      </w:tr>
    </w:tbl>
    <w:p w14:paraId="04538422">
      <w:pPr>
        <w:spacing w:line="360" w:lineRule="auto"/>
        <w:jc w:val="both"/>
        <w:rPr>
          <w:rFonts w:ascii="Arial Regular" w:hAnsi="Arial Regular" w:cs="Arial Regular"/>
          <w:b/>
          <w:bCs/>
          <w:sz w:val="24"/>
          <w:szCs w:val="24"/>
        </w:rPr>
      </w:pPr>
    </w:p>
    <w:tbl>
      <w:tblPr>
        <w:tblStyle w:val="4"/>
        <w:tblW w:w="5000" w:type="pct"/>
        <w:tblInd w:w="0" w:type="dxa"/>
        <w:tblLayout w:type="autofit"/>
        <w:tblCellMar>
          <w:top w:w="0" w:type="dxa"/>
          <w:left w:w="108" w:type="dxa"/>
          <w:bottom w:w="0" w:type="dxa"/>
          <w:right w:w="108" w:type="dxa"/>
        </w:tblCellMar>
      </w:tblPr>
      <w:tblGrid>
        <w:gridCol w:w="2168"/>
        <w:gridCol w:w="4000"/>
        <w:gridCol w:w="4000"/>
        <w:gridCol w:w="4006"/>
      </w:tblGrid>
      <w:tr w14:paraId="1DA3E703">
        <w:tblPrEx>
          <w:tblCellMar>
            <w:top w:w="0" w:type="dxa"/>
            <w:left w:w="108" w:type="dxa"/>
            <w:bottom w:w="0" w:type="dxa"/>
            <w:right w:w="108" w:type="dxa"/>
          </w:tblCellMar>
        </w:tblPrEx>
        <w:trPr>
          <w:trHeight w:val="336" w:hRule="atLeast"/>
        </w:trPr>
        <w:tc>
          <w:tcPr>
            <w:tcW w:w="5000" w:type="pct"/>
            <w:gridSpan w:val="4"/>
            <w:tcBorders>
              <w:top w:val="single" w:color="000000" w:sz="4" w:space="0"/>
              <w:left w:val="single" w:color="000000" w:sz="4" w:space="0"/>
              <w:bottom w:val="single" w:color="000000" w:sz="4" w:space="0"/>
              <w:right w:val="single" w:color="000000" w:sz="4" w:space="0"/>
            </w:tcBorders>
            <w:shd w:val="clear" w:color="auto" w:fill="auto"/>
            <w:noWrap/>
            <w:vAlign w:val="center"/>
          </w:tcPr>
          <w:p w14:paraId="1300B81D">
            <w:pPr>
              <w:jc w:val="cente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Internal rate of return</w:t>
            </w:r>
          </w:p>
        </w:tc>
      </w:tr>
      <w:tr w14:paraId="368CCB09">
        <w:tblPrEx>
          <w:tblCellMar>
            <w:top w:w="0" w:type="dxa"/>
            <w:left w:w="108" w:type="dxa"/>
            <w:bottom w:w="0" w:type="dxa"/>
            <w:right w:w="108" w:type="dxa"/>
          </w:tblCellMar>
        </w:tblPrEx>
        <w:trPr>
          <w:trHeight w:val="336" w:hRule="atLeast"/>
        </w:trPr>
        <w:tc>
          <w:tcPr>
            <w:tcW w:w="76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3E21397">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Projects</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31655DC">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A</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AE88FC6">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B</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6E050E9">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w:t>
            </w:r>
          </w:p>
        </w:tc>
      </w:tr>
      <w:tr w14:paraId="09284841">
        <w:tblPrEx>
          <w:tblCellMar>
            <w:top w:w="0" w:type="dxa"/>
            <w:left w:w="108" w:type="dxa"/>
            <w:bottom w:w="0" w:type="dxa"/>
            <w:right w:w="108" w:type="dxa"/>
          </w:tblCellMar>
        </w:tblPrEx>
        <w:trPr>
          <w:trHeight w:val="336" w:hRule="atLeast"/>
        </w:trPr>
        <w:tc>
          <w:tcPr>
            <w:tcW w:w="76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255DF0A">
            <w:pPr>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Year</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5A5ECB">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Cash Flows (£M)</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CF37B9E">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Cash Flows (£M)</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3DA4F7E">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Cash Flows (£M)</w:t>
            </w:r>
          </w:p>
        </w:tc>
      </w:tr>
      <w:tr w14:paraId="4835D841">
        <w:tblPrEx>
          <w:tblCellMar>
            <w:top w:w="0" w:type="dxa"/>
            <w:left w:w="108" w:type="dxa"/>
            <w:bottom w:w="0" w:type="dxa"/>
            <w:right w:w="108" w:type="dxa"/>
          </w:tblCellMar>
        </w:tblPrEx>
        <w:trPr>
          <w:trHeight w:val="336" w:hRule="atLeast"/>
        </w:trPr>
        <w:tc>
          <w:tcPr>
            <w:tcW w:w="76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96890E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0</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B8C871F">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928A4D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7490AF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-50</w:t>
            </w:r>
          </w:p>
        </w:tc>
      </w:tr>
      <w:tr w14:paraId="0DFF5BD4">
        <w:tblPrEx>
          <w:tblCellMar>
            <w:top w:w="0" w:type="dxa"/>
            <w:left w:w="108" w:type="dxa"/>
            <w:bottom w:w="0" w:type="dxa"/>
            <w:right w:w="108" w:type="dxa"/>
          </w:tblCellMar>
        </w:tblPrEx>
        <w:trPr>
          <w:trHeight w:val="336" w:hRule="atLeast"/>
        </w:trPr>
        <w:tc>
          <w:tcPr>
            <w:tcW w:w="76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4B616A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88F9A6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8230874">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23083C55">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r>
      <w:tr w14:paraId="2B996E08">
        <w:tblPrEx>
          <w:tblCellMar>
            <w:top w:w="0" w:type="dxa"/>
            <w:left w:w="108" w:type="dxa"/>
            <w:bottom w:w="0" w:type="dxa"/>
            <w:right w:w="108" w:type="dxa"/>
          </w:tblCellMar>
        </w:tblPrEx>
        <w:trPr>
          <w:trHeight w:val="336" w:hRule="atLeast"/>
        </w:trPr>
        <w:tc>
          <w:tcPr>
            <w:tcW w:w="76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8728A6B">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7D34D96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12</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F851689">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FBE88F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r>
      <w:tr w14:paraId="5C49B6A5">
        <w:tblPrEx>
          <w:tblCellMar>
            <w:top w:w="0" w:type="dxa"/>
            <w:left w:w="108" w:type="dxa"/>
            <w:bottom w:w="0" w:type="dxa"/>
            <w:right w:w="108" w:type="dxa"/>
          </w:tblCellMar>
        </w:tblPrEx>
        <w:trPr>
          <w:trHeight w:val="336" w:hRule="atLeast"/>
        </w:trPr>
        <w:tc>
          <w:tcPr>
            <w:tcW w:w="76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81EFDE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3</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7FE537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14</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2D4D4F3">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9FA242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20</w:t>
            </w:r>
          </w:p>
        </w:tc>
      </w:tr>
      <w:tr w14:paraId="188A2930">
        <w:tblPrEx>
          <w:tblCellMar>
            <w:top w:w="0" w:type="dxa"/>
            <w:left w:w="108" w:type="dxa"/>
            <w:bottom w:w="0" w:type="dxa"/>
            <w:right w:w="108" w:type="dxa"/>
          </w:tblCellMar>
        </w:tblPrEx>
        <w:trPr>
          <w:trHeight w:val="336" w:hRule="atLeast"/>
        </w:trPr>
        <w:tc>
          <w:tcPr>
            <w:tcW w:w="76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12F0C6EA">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4</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A0BB2DC">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10</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6DD97012">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9AD4DB0">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25</w:t>
            </w:r>
          </w:p>
        </w:tc>
      </w:tr>
      <w:tr w14:paraId="69B7A735">
        <w:tblPrEx>
          <w:tblCellMar>
            <w:top w:w="0" w:type="dxa"/>
            <w:left w:w="108" w:type="dxa"/>
            <w:bottom w:w="0" w:type="dxa"/>
            <w:right w:w="108" w:type="dxa"/>
          </w:tblCellMar>
        </w:tblPrEx>
        <w:trPr>
          <w:trHeight w:val="336" w:hRule="atLeast"/>
        </w:trPr>
        <w:tc>
          <w:tcPr>
            <w:tcW w:w="76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75ADE86">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417641D">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8</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0689788">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11</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78A24EE">
            <w:pPr>
              <w:jc w:val="right"/>
              <w:textAlignment w:val="center"/>
              <w:rPr>
                <w:rFonts w:ascii="Arial Regular" w:hAnsi="Arial Regular" w:eastAsia="Times New Roman Regular" w:cs="Arial Regular"/>
                <w:color w:val="000000"/>
                <w:sz w:val="24"/>
                <w:szCs w:val="24"/>
              </w:rPr>
            </w:pPr>
            <w:r>
              <w:rPr>
                <w:rFonts w:ascii="Arial Regular" w:hAnsi="Arial Regular" w:eastAsia="Times New Roman Regular" w:cs="Arial Regular"/>
                <w:color w:val="000000"/>
                <w:sz w:val="24"/>
                <w:szCs w:val="24"/>
                <w:lang w:bidi="ar"/>
              </w:rPr>
              <w:t>5</w:t>
            </w:r>
          </w:p>
        </w:tc>
      </w:tr>
      <w:tr w14:paraId="690082AB">
        <w:tblPrEx>
          <w:tblCellMar>
            <w:top w:w="0" w:type="dxa"/>
            <w:left w:w="108" w:type="dxa"/>
            <w:bottom w:w="0" w:type="dxa"/>
            <w:right w:w="108" w:type="dxa"/>
          </w:tblCellMar>
        </w:tblPrEx>
        <w:trPr>
          <w:trHeight w:val="336" w:hRule="atLeast"/>
        </w:trPr>
        <w:tc>
          <w:tcPr>
            <w:tcW w:w="765"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59699E9">
            <w:pPr>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IRR</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D9B4A93">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2.72%</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0988B575">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3.26%</w:t>
            </w:r>
          </w:p>
        </w:tc>
        <w:tc>
          <w:tcPr>
            <w:tcW w:w="1411" w:type="pct"/>
            <w:tcBorders>
              <w:top w:val="single" w:color="000000" w:sz="4" w:space="0"/>
              <w:left w:val="single" w:color="000000" w:sz="4" w:space="0"/>
              <w:bottom w:val="single" w:color="000000" w:sz="4" w:space="0"/>
              <w:right w:val="single" w:color="000000" w:sz="4" w:space="0"/>
            </w:tcBorders>
            <w:shd w:val="clear" w:color="auto" w:fill="auto"/>
            <w:noWrap/>
            <w:vAlign w:val="center"/>
          </w:tcPr>
          <w:p w14:paraId="5CA60AFD">
            <w:pPr>
              <w:jc w:val="right"/>
              <w:textAlignment w:val="center"/>
              <w:rPr>
                <w:rFonts w:ascii="Arial Regular" w:hAnsi="Arial Regular" w:eastAsia="Times New Roman Regular" w:cs="Arial Regular"/>
                <w:b/>
                <w:bCs/>
                <w:color w:val="000000"/>
                <w:sz w:val="24"/>
                <w:szCs w:val="24"/>
              </w:rPr>
            </w:pPr>
            <w:r>
              <w:rPr>
                <w:rFonts w:ascii="Arial Regular" w:hAnsi="Arial Regular" w:eastAsia="Times New Roman Regular" w:cs="Arial Regular"/>
                <w:b/>
                <w:bCs/>
                <w:color w:val="000000"/>
                <w:sz w:val="24"/>
                <w:szCs w:val="24"/>
                <w:lang w:bidi="ar"/>
              </w:rPr>
              <w:t>8.59%</w:t>
            </w:r>
          </w:p>
        </w:tc>
      </w:tr>
    </w:tbl>
    <w:p w14:paraId="53A1D680">
      <w:pPr>
        <w:spacing w:line="360" w:lineRule="auto"/>
        <w:jc w:val="both"/>
        <w:rPr>
          <w:rFonts w:ascii="Arial Regular" w:hAnsi="Arial Regular" w:cs="Arial Regular"/>
          <w:b/>
          <w:bCs/>
          <w:sz w:val="24"/>
          <w:szCs w:val="24"/>
        </w:rPr>
      </w:pPr>
    </w:p>
    <w:p w14:paraId="02AEDA6D">
      <w:pPr>
        <w:spacing w:line="360" w:lineRule="auto"/>
        <w:jc w:val="both"/>
        <w:rPr>
          <w:rFonts w:ascii="Arial Regular" w:hAnsi="Arial Regular" w:cs="Arial Regular"/>
          <w:sz w:val="24"/>
          <w:szCs w:val="24"/>
        </w:rPr>
      </w:pPr>
    </w:p>
    <w:sectPr>
      <w:pgSz w:w="16838" w:h="11906" w:orient="landscape"/>
      <w:pgMar w:top="1800" w:right="1440" w:bottom="180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Arial MT">
    <w:altName w:val="Arial"/>
    <w:panose1 w:val="00000000000000000000"/>
    <w:charset w:val="01"/>
    <w:family w:val="swiss"/>
    <w:pitch w:val="default"/>
    <w:sig w:usb0="00000000" w:usb1="00000000" w:usb2="00000000" w:usb3="00000000" w:csb0="00000000" w:csb1="00000000"/>
  </w:font>
  <w:font w:name="Times New Roman Regular">
    <w:altName w:val="Times New Roman"/>
    <w:panose1 w:val="00000000000000000000"/>
    <w:charset w:val="00"/>
    <w:family w:val="auto"/>
    <w:pitch w:val="default"/>
    <w:sig w:usb0="00000000" w:usb1="00000000" w:usb2="00000001" w:usb3="00000000" w:csb0="400001BF" w:csb1="DFF70000"/>
  </w:font>
  <w:font w:name="Arial Regular">
    <w:altName w:val="Arial"/>
    <w:panose1 w:val="00000000000000000000"/>
    <w:charset w:val="00"/>
    <w:family w:val="auto"/>
    <w:pitch w:val="default"/>
    <w:sig w:usb0="00000000" w:usb1="00000000" w:usb2="00000001" w:usb3="00000000" w:csb0="400001BF" w:csb1="DFF7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20B3220">
    <w:pPr>
      <w:pStyle w:val="10"/>
    </w:pPr>
    <w: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5446887">
                          <w:pPr>
                            <w:pStyle w:val="10"/>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CzSVju0AAAAAUBAAAPAAAAAAAA&#10;AAEAIAAAACIAAABkcnMvZG93bnJldi54bWxQSwECFAAUAAAACACHTuJAnFEXqBoCAABUBAAADgAA&#10;AAAAAAABACAAAAAfAQAAZHJzL2Uyb0RvYy54bWxQSwUGAAAAAAYABgBZAQAAqwUAAAAA&#10;">
              <v:fill on="f" focussize="0,0"/>
              <v:stroke on="f" weight="0.5pt"/>
              <v:imagedata o:title=""/>
              <o:lock v:ext="edit" aspectratio="f"/>
              <v:textbox inset="0mm,0mm,0mm,0mm" style="mso-fit-shape-to-text:t;">
                <w:txbxContent>
                  <w:p w14:paraId="75446887">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EF41DA9"/>
    <w:multiLevelType w:val="singleLevel"/>
    <w:tmpl w:val="BEF41DA9"/>
    <w:lvl w:ilvl="0" w:tentative="0">
      <w:start w:val="1"/>
      <w:numFmt w:val="decimal"/>
      <w:suff w:val="space"/>
      <w:lvlText w:val="%1."/>
      <w:lvlJc w:val="left"/>
    </w:lvl>
  </w:abstractNum>
  <w:abstractNum w:abstractNumId="1">
    <w:nsid w:val="EBCE6784"/>
    <w:multiLevelType w:val="singleLevel"/>
    <w:tmpl w:val="EBCE6784"/>
    <w:lvl w:ilvl="0" w:tentative="0">
      <w:start w:val="1"/>
      <w:numFmt w:val="decimal"/>
      <w:suff w:val="space"/>
      <w:lvlText w:val="%1."/>
      <w:lvlJc w:val="left"/>
    </w:lvl>
  </w:abstractNum>
  <w:abstractNum w:abstractNumId="2">
    <w:nsid w:val="F0AF934F"/>
    <w:multiLevelType w:val="singleLevel"/>
    <w:tmpl w:val="F0AF934F"/>
    <w:lvl w:ilvl="0" w:tentative="0">
      <w:start w:val="1"/>
      <w:numFmt w:val="bullet"/>
      <w:lvlText w:val=""/>
      <w:lvlJc w:val="left"/>
      <w:pPr>
        <w:tabs>
          <w:tab w:val="left" w:pos="420"/>
        </w:tabs>
        <w:ind w:left="420" w:hanging="42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documentProtection w:enforcement="0"/>
  <w:defaultTabStop w:val="720"/>
  <w:drawingGridVerticalSpacing w:val="156"/>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BFD117E"/>
    <w:rsid w:val="00194003"/>
    <w:rsid w:val="003F10CC"/>
    <w:rsid w:val="005A4BE5"/>
    <w:rsid w:val="008F61B6"/>
    <w:rsid w:val="00C06D41"/>
    <w:rsid w:val="00CA2947"/>
    <w:rsid w:val="00D31144"/>
    <w:rsid w:val="00E03408"/>
    <w:rsid w:val="00E55BF3"/>
    <w:rsid w:val="02F36B20"/>
    <w:rsid w:val="07FF1F9F"/>
    <w:rsid w:val="09974DEA"/>
    <w:rsid w:val="0A93C795"/>
    <w:rsid w:val="0CE99532"/>
    <w:rsid w:val="0DEFB290"/>
    <w:rsid w:val="0EABBF19"/>
    <w:rsid w:val="0EFF208D"/>
    <w:rsid w:val="0F17FD27"/>
    <w:rsid w:val="0FEC100A"/>
    <w:rsid w:val="1676767D"/>
    <w:rsid w:val="16F753B7"/>
    <w:rsid w:val="177E238D"/>
    <w:rsid w:val="17BF2020"/>
    <w:rsid w:val="18FFAB02"/>
    <w:rsid w:val="19D72391"/>
    <w:rsid w:val="19F768B4"/>
    <w:rsid w:val="1A7B55B2"/>
    <w:rsid w:val="1AFFBC92"/>
    <w:rsid w:val="1B5B6CC9"/>
    <w:rsid w:val="1D555A28"/>
    <w:rsid w:val="1DFAFA1F"/>
    <w:rsid w:val="1E0F4996"/>
    <w:rsid w:val="1ED36FF4"/>
    <w:rsid w:val="1EFF40EB"/>
    <w:rsid w:val="1F722706"/>
    <w:rsid w:val="1FE72EA0"/>
    <w:rsid w:val="1FFFB328"/>
    <w:rsid w:val="1FFFDB4B"/>
    <w:rsid w:val="223D8E25"/>
    <w:rsid w:val="239FA3E5"/>
    <w:rsid w:val="26E68BE4"/>
    <w:rsid w:val="276224B2"/>
    <w:rsid w:val="27EBFC97"/>
    <w:rsid w:val="27F7B391"/>
    <w:rsid w:val="27FE14CF"/>
    <w:rsid w:val="2908548B"/>
    <w:rsid w:val="2AE72605"/>
    <w:rsid w:val="2B994CE4"/>
    <w:rsid w:val="2BDF264F"/>
    <w:rsid w:val="2BE6928C"/>
    <w:rsid w:val="2DBB4DB3"/>
    <w:rsid w:val="2EEE644D"/>
    <w:rsid w:val="2EEFF201"/>
    <w:rsid w:val="2EFAAA2C"/>
    <w:rsid w:val="2EFF8CA3"/>
    <w:rsid w:val="2F7BDBC8"/>
    <w:rsid w:val="2FF74778"/>
    <w:rsid w:val="2FF75BA2"/>
    <w:rsid w:val="2FFA2571"/>
    <w:rsid w:val="2FFB6243"/>
    <w:rsid w:val="2FFB8D5A"/>
    <w:rsid w:val="2FFFD8F2"/>
    <w:rsid w:val="3356F4BE"/>
    <w:rsid w:val="339E8AAF"/>
    <w:rsid w:val="339FAEAA"/>
    <w:rsid w:val="33DFB875"/>
    <w:rsid w:val="33EDCE5C"/>
    <w:rsid w:val="33FBD441"/>
    <w:rsid w:val="34D7775F"/>
    <w:rsid w:val="34E1B61D"/>
    <w:rsid w:val="34FCE444"/>
    <w:rsid w:val="35FAC669"/>
    <w:rsid w:val="369E386B"/>
    <w:rsid w:val="36EFC068"/>
    <w:rsid w:val="376EFE76"/>
    <w:rsid w:val="376EFEA9"/>
    <w:rsid w:val="37BED964"/>
    <w:rsid w:val="37BF20E7"/>
    <w:rsid w:val="37BFAC1B"/>
    <w:rsid w:val="37D380C1"/>
    <w:rsid w:val="37D3DFCD"/>
    <w:rsid w:val="37DF3AFE"/>
    <w:rsid w:val="37EEBEF6"/>
    <w:rsid w:val="37EFAFF9"/>
    <w:rsid w:val="37F4FAB3"/>
    <w:rsid w:val="37FBC6CE"/>
    <w:rsid w:val="37FED005"/>
    <w:rsid w:val="38CF8651"/>
    <w:rsid w:val="396B1505"/>
    <w:rsid w:val="39E9CD21"/>
    <w:rsid w:val="39F658AA"/>
    <w:rsid w:val="3A4EC77A"/>
    <w:rsid w:val="3A5EE93E"/>
    <w:rsid w:val="3A786F2E"/>
    <w:rsid w:val="3AFFB34B"/>
    <w:rsid w:val="3B3CDA65"/>
    <w:rsid w:val="3B7359D7"/>
    <w:rsid w:val="3B77891A"/>
    <w:rsid w:val="3B79C659"/>
    <w:rsid w:val="3B7BF987"/>
    <w:rsid w:val="3B9BA5CD"/>
    <w:rsid w:val="3BD9A050"/>
    <w:rsid w:val="3BFD8281"/>
    <w:rsid w:val="3BFDC462"/>
    <w:rsid w:val="3BFE5C62"/>
    <w:rsid w:val="3BFF733B"/>
    <w:rsid w:val="3BFF9091"/>
    <w:rsid w:val="3BFFDE38"/>
    <w:rsid w:val="3BFFE8E1"/>
    <w:rsid w:val="3CB7B213"/>
    <w:rsid w:val="3CBF21C1"/>
    <w:rsid w:val="3CBF4131"/>
    <w:rsid w:val="3CFB9399"/>
    <w:rsid w:val="3D1E7BE1"/>
    <w:rsid w:val="3D3E7B69"/>
    <w:rsid w:val="3DBFF7FD"/>
    <w:rsid w:val="3DD819F4"/>
    <w:rsid w:val="3DDE2915"/>
    <w:rsid w:val="3DDFBA41"/>
    <w:rsid w:val="3DEFC4A1"/>
    <w:rsid w:val="3DF71152"/>
    <w:rsid w:val="3DFDE516"/>
    <w:rsid w:val="3E5FD8F6"/>
    <w:rsid w:val="3E764E76"/>
    <w:rsid w:val="3E7ADE5B"/>
    <w:rsid w:val="3E7E2880"/>
    <w:rsid w:val="3EAFA558"/>
    <w:rsid w:val="3ED9DADA"/>
    <w:rsid w:val="3EFF1838"/>
    <w:rsid w:val="3F1B63AD"/>
    <w:rsid w:val="3F1F2116"/>
    <w:rsid w:val="3F3E3DA1"/>
    <w:rsid w:val="3F6FED21"/>
    <w:rsid w:val="3F77952E"/>
    <w:rsid w:val="3F7B92BF"/>
    <w:rsid w:val="3F7FEB61"/>
    <w:rsid w:val="3F9BF039"/>
    <w:rsid w:val="3FA67079"/>
    <w:rsid w:val="3FAFF2B4"/>
    <w:rsid w:val="3FB16C0A"/>
    <w:rsid w:val="3FB6294F"/>
    <w:rsid w:val="3FBD0438"/>
    <w:rsid w:val="3FD178DA"/>
    <w:rsid w:val="3FD8A2E0"/>
    <w:rsid w:val="3FDB520E"/>
    <w:rsid w:val="3FDF80FC"/>
    <w:rsid w:val="3FE33C79"/>
    <w:rsid w:val="3FED1896"/>
    <w:rsid w:val="3FEE1F90"/>
    <w:rsid w:val="3FEEDF58"/>
    <w:rsid w:val="3FEF3E0A"/>
    <w:rsid w:val="3FF2752A"/>
    <w:rsid w:val="3FF5B10A"/>
    <w:rsid w:val="3FF64846"/>
    <w:rsid w:val="3FF69A7F"/>
    <w:rsid w:val="3FF78ACF"/>
    <w:rsid w:val="3FFB3CA3"/>
    <w:rsid w:val="3FFF8220"/>
    <w:rsid w:val="42A340E8"/>
    <w:rsid w:val="472FA10F"/>
    <w:rsid w:val="478FC0C3"/>
    <w:rsid w:val="47AD169F"/>
    <w:rsid w:val="47F690E2"/>
    <w:rsid w:val="49075AB9"/>
    <w:rsid w:val="49DB4474"/>
    <w:rsid w:val="4AE684C7"/>
    <w:rsid w:val="4B9FBB3F"/>
    <w:rsid w:val="4BEBC1D4"/>
    <w:rsid w:val="4BEE7532"/>
    <w:rsid w:val="4BFBDE34"/>
    <w:rsid w:val="4CDDA9EE"/>
    <w:rsid w:val="4DFFA75B"/>
    <w:rsid w:val="4ECF0DFC"/>
    <w:rsid w:val="4EEF18B2"/>
    <w:rsid w:val="4EFB500C"/>
    <w:rsid w:val="4F57ADB5"/>
    <w:rsid w:val="4F7308C3"/>
    <w:rsid w:val="4FF7DD81"/>
    <w:rsid w:val="4FFDA491"/>
    <w:rsid w:val="4FFE1D4B"/>
    <w:rsid w:val="4FFEB4BE"/>
    <w:rsid w:val="505D46C5"/>
    <w:rsid w:val="51FEB88D"/>
    <w:rsid w:val="51FFCADB"/>
    <w:rsid w:val="536F94C6"/>
    <w:rsid w:val="544DFCD6"/>
    <w:rsid w:val="55762EFE"/>
    <w:rsid w:val="55B4FBA9"/>
    <w:rsid w:val="55DD89B7"/>
    <w:rsid w:val="55E29DC1"/>
    <w:rsid w:val="55F224BE"/>
    <w:rsid w:val="55F7241D"/>
    <w:rsid w:val="563C6E3F"/>
    <w:rsid w:val="56DC6349"/>
    <w:rsid w:val="56F7BB10"/>
    <w:rsid w:val="577CBE15"/>
    <w:rsid w:val="5791F710"/>
    <w:rsid w:val="57BB501A"/>
    <w:rsid w:val="57BBF8FF"/>
    <w:rsid w:val="57BF081E"/>
    <w:rsid w:val="57BF6609"/>
    <w:rsid w:val="57BFEBB7"/>
    <w:rsid w:val="57CFFBE0"/>
    <w:rsid w:val="57DA9B4E"/>
    <w:rsid w:val="57F55CB8"/>
    <w:rsid w:val="57FE8984"/>
    <w:rsid w:val="57FF17CC"/>
    <w:rsid w:val="58E93393"/>
    <w:rsid w:val="59F6C7A1"/>
    <w:rsid w:val="59FCF0ED"/>
    <w:rsid w:val="5A3E6DF5"/>
    <w:rsid w:val="5A7DEC4B"/>
    <w:rsid w:val="5ABF2D0A"/>
    <w:rsid w:val="5AFF894D"/>
    <w:rsid w:val="5BCF21C9"/>
    <w:rsid w:val="5BDE6180"/>
    <w:rsid w:val="5BDEBDDA"/>
    <w:rsid w:val="5BE52D88"/>
    <w:rsid w:val="5BEA65EE"/>
    <w:rsid w:val="5BF9AEE1"/>
    <w:rsid w:val="5BFBC7D3"/>
    <w:rsid w:val="5C759ED2"/>
    <w:rsid w:val="5CFAC62B"/>
    <w:rsid w:val="5D5FAEF4"/>
    <w:rsid w:val="5D7A82F7"/>
    <w:rsid w:val="5DDF508F"/>
    <w:rsid w:val="5DF93EDC"/>
    <w:rsid w:val="5DFF5079"/>
    <w:rsid w:val="5DFF8380"/>
    <w:rsid w:val="5E7024D0"/>
    <w:rsid w:val="5E7C7059"/>
    <w:rsid w:val="5E9E12DF"/>
    <w:rsid w:val="5EB7B9C1"/>
    <w:rsid w:val="5EBD949F"/>
    <w:rsid w:val="5EBFB585"/>
    <w:rsid w:val="5EDF1DC0"/>
    <w:rsid w:val="5EF2534A"/>
    <w:rsid w:val="5EFF53BE"/>
    <w:rsid w:val="5EFFAA94"/>
    <w:rsid w:val="5EFFB386"/>
    <w:rsid w:val="5F3F37B8"/>
    <w:rsid w:val="5F6982E0"/>
    <w:rsid w:val="5F775936"/>
    <w:rsid w:val="5F7F6253"/>
    <w:rsid w:val="5FAFBEA1"/>
    <w:rsid w:val="5FB73C5E"/>
    <w:rsid w:val="5FBB1A27"/>
    <w:rsid w:val="5FBF4716"/>
    <w:rsid w:val="5FBF7741"/>
    <w:rsid w:val="5FD0806B"/>
    <w:rsid w:val="5FDF1573"/>
    <w:rsid w:val="5FEF3046"/>
    <w:rsid w:val="5FEFE69D"/>
    <w:rsid w:val="5FF743AA"/>
    <w:rsid w:val="5FF7D69D"/>
    <w:rsid w:val="5FF7DC8F"/>
    <w:rsid w:val="5FF951C4"/>
    <w:rsid w:val="5FFCF759"/>
    <w:rsid w:val="5FFDC142"/>
    <w:rsid w:val="5FFDFB9A"/>
    <w:rsid w:val="5FFE81C3"/>
    <w:rsid w:val="5FFEF227"/>
    <w:rsid w:val="5FFF97DD"/>
    <w:rsid w:val="5FFF992B"/>
    <w:rsid w:val="5FFFAA0D"/>
    <w:rsid w:val="626D02FD"/>
    <w:rsid w:val="62EDF5BF"/>
    <w:rsid w:val="63C716E2"/>
    <w:rsid w:val="63D37399"/>
    <w:rsid w:val="653D2CAD"/>
    <w:rsid w:val="65D658F8"/>
    <w:rsid w:val="65D79963"/>
    <w:rsid w:val="66B3F156"/>
    <w:rsid w:val="66BF6A0F"/>
    <w:rsid w:val="67332BAF"/>
    <w:rsid w:val="67976ADE"/>
    <w:rsid w:val="67AFEC23"/>
    <w:rsid w:val="67BEE567"/>
    <w:rsid w:val="67C8D1BF"/>
    <w:rsid w:val="67DF9EFA"/>
    <w:rsid w:val="67ECA186"/>
    <w:rsid w:val="67ED057D"/>
    <w:rsid w:val="67F14871"/>
    <w:rsid w:val="67F3F693"/>
    <w:rsid w:val="67FABD16"/>
    <w:rsid w:val="67FECBED"/>
    <w:rsid w:val="67FF2618"/>
    <w:rsid w:val="67FF2EEA"/>
    <w:rsid w:val="692213F1"/>
    <w:rsid w:val="69DBF181"/>
    <w:rsid w:val="69F5DAF1"/>
    <w:rsid w:val="69FF3CC7"/>
    <w:rsid w:val="6A77CECD"/>
    <w:rsid w:val="6AB5528C"/>
    <w:rsid w:val="6ACF0FD8"/>
    <w:rsid w:val="6AE3C22E"/>
    <w:rsid w:val="6B5F8814"/>
    <w:rsid w:val="6B7F1631"/>
    <w:rsid w:val="6B9D5F0D"/>
    <w:rsid w:val="6BB75352"/>
    <w:rsid w:val="6BCBC738"/>
    <w:rsid w:val="6BD6AE45"/>
    <w:rsid w:val="6BDD336D"/>
    <w:rsid w:val="6BE71862"/>
    <w:rsid w:val="6BE799BC"/>
    <w:rsid w:val="6BFD117E"/>
    <w:rsid w:val="6BFF34C3"/>
    <w:rsid w:val="6BFF6C74"/>
    <w:rsid w:val="6C339149"/>
    <w:rsid w:val="6C5E83B2"/>
    <w:rsid w:val="6CCBD6FC"/>
    <w:rsid w:val="6CFE8031"/>
    <w:rsid w:val="6D32C31F"/>
    <w:rsid w:val="6D568165"/>
    <w:rsid w:val="6D779025"/>
    <w:rsid w:val="6D9D0158"/>
    <w:rsid w:val="6DB3AB25"/>
    <w:rsid w:val="6DBF8164"/>
    <w:rsid w:val="6DBFAD69"/>
    <w:rsid w:val="6DC77010"/>
    <w:rsid w:val="6DF70249"/>
    <w:rsid w:val="6DFE6834"/>
    <w:rsid w:val="6DFECC89"/>
    <w:rsid w:val="6DFF5E98"/>
    <w:rsid w:val="6E5F1C32"/>
    <w:rsid w:val="6E5F8A2B"/>
    <w:rsid w:val="6E6BD06F"/>
    <w:rsid w:val="6E6BEFCC"/>
    <w:rsid w:val="6E7F608E"/>
    <w:rsid w:val="6EBF18A6"/>
    <w:rsid w:val="6EEFA832"/>
    <w:rsid w:val="6EF4C9EF"/>
    <w:rsid w:val="6EFC120E"/>
    <w:rsid w:val="6F3F8ADB"/>
    <w:rsid w:val="6F4C1F75"/>
    <w:rsid w:val="6F6A951C"/>
    <w:rsid w:val="6F7C8156"/>
    <w:rsid w:val="6F7F1D50"/>
    <w:rsid w:val="6F9B6CBD"/>
    <w:rsid w:val="6FB92EA9"/>
    <w:rsid w:val="6FBE5D5F"/>
    <w:rsid w:val="6FBFD65F"/>
    <w:rsid w:val="6FBFE324"/>
    <w:rsid w:val="6FDC6760"/>
    <w:rsid w:val="6FDCB048"/>
    <w:rsid w:val="6FDE7E62"/>
    <w:rsid w:val="6FED264E"/>
    <w:rsid w:val="6FEF7527"/>
    <w:rsid w:val="6FEFACBF"/>
    <w:rsid w:val="6FF39448"/>
    <w:rsid w:val="6FF66F2A"/>
    <w:rsid w:val="6FF71083"/>
    <w:rsid w:val="6FFD52B6"/>
    <w:rsid w:val="6FFDAA8E"/>
    <w:rsid w:val="6FFF194A"/>
    <w:rsid w:val="6FFF6142"/>
    <w:rsid w:val="6FFF715A"/>
    <w:rsid w:val="6FFF72DE"/>
    <w:rsid w:val="6FFFF534"/>
    <w:rsid w:val="702D3BA6"/>
    <w:rsid w:val="716D4BEF"/>
    <w:rsid w:val="71BB3578"/>
    <w:rsid w:val="71BE186F"/>
    <w:rsid w:val="71DBB1AE"/>
    <w:rsid w:val="71F5CC6D"/>
    <w:rsid w:val="72DBD88D"/>
    <w:rsid w:val="72DFE130"/>
    <w:rsid w:val="72EC4C4C"/>
    <w:rsid w:val="7326A100"/>
    <w:rsid w:val="733B4BFE"/>
    <w:rsid w:val="733D0703"/>
    <w:rsid w:val="733DB1E8"/>
    <w:rsid w:val="7377E254"/>
    <w:rsid w:val="73AE22FD"/>
    <w:rsid w:val="73AF6E95"/>
    <w:rsid w:val="73EF8F00"/>
    <w:rsid w:val="73F7264C"/>
    <w:rsid w:val="746F7F85"/>
    <w:rsid w:val="74981D62"/>
    <w:rsid w:val="74CF4BD8"/>
    <w:rsid w:val="74DD7225"/>
    <w:rsid w:val="74FA74D1"/>
    <w:rsid w:val="7539F289"/>
    <w:rsid w:val="753BE77A"/>
    <w:rsid w:val="75469425"/>
    <w:rsid w:val="755F122D"/>
    <w:rsid w:val="75771A8A"/>
    <w:rsid w:val="75990B12"/>
    <w:rsid w:val="75D76272"/>
    <w:rsid w:val="75FCCCB0"/>
    <w:rsid w:val="75FF849F"/>
    <w:rsid w:val="763E6596"/>
    <w:rsid w:val="76573D0A"/>
    <w:rsid w:val="7679CE27"/>
    <w:rsid w:val="767F4E11"/>
    <w:rsid w:val="76CDBB01"/>
    <w:rsid w:val="76E2F289"/>
    <w:rsid w:val="76EB2CE1"/>
    <w:rsid w:val="76EFA143"/>
    <w:rsid w:val="76FEAF33"/>
    <w:rsid w:val="771B5D8F"/>
    <w:rsid w:val="77352CD1"/>
    <w:rsid w:val="773D7C40"/>
    <w:rsid w:val="775F874A"/>
    <w:rsid w:val="77670FD5"/>
    <w:rsid w:val="777B01D8"/>
    <w:rsid w:val="777FDFF1"/>
    <w:rsid w:val="77ADF56E"/>
    <w:rsid w:val="77AF2CF0"/>
    <w:rsid w:val="77BB9E53"/>
    <w:rsid w:val="77BE1201"/>
    <w:rsid w:val="77C7B726"/>
    <w:rsid w:val="77D3977C"/>
    <w:rsid w:val="77D765E2"/>
    <w:rsid w:val="77D7B6F8"/>
    <w:rsid w:val="77DD44D6"/>
    <w:rsid w:val="77DEB261"/>
    <w:rsid w:val="77E50593"/>
    <w:rsid w:val="77EDE389"/>
    <w:rsid w:val="77EF05E2"/>
    <w:rsid w:val="77F39C9A"/>
    <w:rsid w:val="77F635CE"/>
    <w:rsid w:val="77FA5F27"/>
    <w:rsid w:val="77FBE4FB"/>
    <w:rsid w:val="77FD3A82"/>
    <w:rsid w:val="77FDDD1B"/>
    <w:rsid w:val="77FF2D77"/>
    <w:rsid w:val="77FF44A2"/>
    <w:rsid w:val="77FF5BB6"/>
    <w:rsid w:val="77FF92CA"/>
    <w:rsid w:val="77FFB996"/>
    <w:rsid w:val="77FFD009"/>
    <w:rsid w:val="77FFF789"/>
    <w:rsid w:val="78DBC463"/>
    <w:rsid w:val="78EF3754"/>
    <w:rsid w:val="791B467F"/>
    <w:rsid w:val="799E3E49"/>
    <w:rsid w:val="799F24CD"/>
    <w:rsid w:val="79A31927"/>
    <w:rsid w:val="79BA4B9A"/>
    <w:rsid w:val="79BF59C0"/>
    <w:rsid w:val="79CF5033"/>
    <w:rsid w:val="79E96F07"/>
    <w:rsid w:val="79F302CA"/>
    <w:rsid w:val="79FAEC3F"/>
    <w:rsid w:val="79FB02BB"/>
    <w:rsid w:val="7A3B4184"/>
    <w:rsid w:val="7A6FA576"/>
    <w:rsid w:val="7AA62DEA"/>
    <w:rsid w:val="7ABE8263"/>
    <w:rsid w:val="7AD72931"/>
    <w:rsid w:val="7AE7A4A5"/>
    <w:rsid w:val="7AEC6A2A"/>
    <w:rsid w:val="7AF8627E"/>
    <w:rsid w:val="7AFA64B4"/>
    <w:rsid w:val="7AFD925A"/>
    <w:rsid w:val="7AFDBFD1"/>
    <w:rsid w:val="7AFEA8DD"/>
    <w:rsid w:val="7AFF2C21"/>
    <w:rsid w:val="7B1FF531"/>
    <w:rsid w:val="7B5DAA96"/>
    <w:rsid w:val="7B774939"/>
    <w:rsid w:val="7B970401"/>
    <w:rsid w:val="7BB35832"/>
    <w:rsid w:val="7BCB7A74"/>
    <w:rsid w:val="7BDF3F3B"/>
    <w:rsid w:val="7BED8239"/>
    <w:rsid w:val="7BF39A30"/>
    <w:rsid w:val="7BF62908"/>
    <w:rsid w:val="7BF9868C"/>
    <w:rsid w:val="7BFF79BB"/>
    <w:rsid w:val="7BFF8AB1"/>
    <w:rsid w:val="7BFFA171"/>
    <w:rsid w:val="7C1A8D8E"/>
    <w:rsid w:val="7C1F109A"/>
    <w:rsid w:val="7C3F98F5"/>
    <w:rsid w:val="7CD71F36"/>
    <w:rsid w:val="7CDE040A"/>
    <w:rsid w:val="7CDF2A59"/>
    <w:rsid w:val="7CF76BFE"/>
    <w:rsid w:val="7D5BF322"/>
    <w:rsid w:val="7D63FB22"/>
    <w:rsid w:val="7D6D60F8"/>
    <w:rsid w:val="7D6D8273"/>
    <w:rsid w:val="7D704D32"/>
    <w:rsid w:val="7D7BFF61"/>
    <w:rsid w:val="7D95E610"/>
    <w:rsid w:val="7DAFFA07"/>
    <w:rsid w:val="7DB3D14D"/>
    <w:rsid w:val="7DBF1DF6"/>
    <w:rsid w:val="7DC90BAF"/>
    <w:rsid w:val="7DD8D8D0"/>
    <w:rsid w:val="7DDDBF0F"/>
    <w:rsid w:val="7DDEB24E"/>
    <w:rsid w:val="7DDFFA5E"/>
    <w:rsid w:val="7DE584C2"/>
    <w:rsid w:val="7DE71297"/>
    <w:rsid w:val="7DEE66BA"/>
    <w:rsid w:val="7DF1F835"/>
    <w:rsid w:val="7DF63342"/>
    <w:rsid w:val="7DF741A0"/>
    <w:rsid w:val="7DF916AB"/>
    <w:rsid w:val="7DFB610F"/>
    <w:rsid w:val="7DFD8EAE"/>
    <w:rsid w:val="7DFE045D"/>
    <w:rsid w:val="7DFEAF49"/>
    <w:rsid w:val="7E09BC8F"/>
    <w:rsid w:val="7E1FC710"/>
    <w:rsid w:val="7E33FC5D"/>
    <w:rsid w:val="7E54F921"/>
    <w:rsid w:val="7E5B8EEC"/>
    <w:rsid w:val="7E5BFCB3"/>
    <w:rsid w:val="7E65CB54"/>
    <w:rsid w:val="7E7F06C7"/>
    <w:rsid w:val="7E7FA74F"/>
    <w:rsid w:val="7E9C06D0"/>
    <w:rsid w:val="7E9E5FBC"/>
    <w:rsid w:val="7EAE3C97"/>
    <w:rsid w:val="7EAFA20A"/>
    <w:rsid w:val="7EBE98FE"/>
    <w:rsid w:val="7EC7BE52"/>
    <w:rsid w:val="7ED5198D"/>
    <w:rsid w:val="7EDE33E6"/>
    <w:rsid w:val="7EDF8D96"/>
    <w:rsid w:val="7EDFC834"/>
    <w:rsid w:val="7EE3B882"/>
    <w:rsid w:val="7EEFCCBE"/>
    <w:rsid w:val="7EEFD992"/>
    <w:rsid w:val="7EF58418"/>
    <w:rsid w:val="7EF605AC"/>
    <w:rsid w:val="7EF7BCE4"/>
    <w:rsid w:val="7EFAECAF"/>
    <w:rsid w:val="7EFD7F3F"/>
    <w:rsid w:val="7EFE78F4"/>
    <w:rsid w:val="7EFFD049"/>
    <w:rsid w:val="7F1C0E8C"/>
    <w:rsid w:val="7F2F72FD"/>
    <w:rsid w:val="7F3F1BB1"/>
    <w:rsid w:val="7F3F8922"/>
    <w:rsid w:val="7F3F956D"/>
    <w:rsid w:val="7F46CFAC"/>
    <w:rsid w:val="7F48E4AC"/>
    <w:rsid w:val="7F5653AB"/>
    <w:rsid w:val="7F5FC6CA"/>
    <w:rsid w:val="7F6EB4CA"/>
    <w:rsid w:val="7F6EDD14"/>
    <w:rsid w:val="7F6F444E"/>
    <w:rsid w:val="7F76C362"/>
    <w:rsid w:val="7F77D7A4"/>
    <w:rsid w:val="7F77FFD6"/>
    <w:rsid w:val="7F79675E"/>
    <w:rsid w:val="7F7B0439"/>
    <w:rsid w:val="7F7CDB4B"/>
    <w:rsid w:val="7F7D385B"/>
    <w:rsid w:val="7F7E8370"/>
    <w:rsid w:val="7F7F0542"/>
    <w:rsid w:val="7F7FB8EA"/>
    <w:rsid w:val="7F8B6997"/>
    <w:rsid w:val="7F966C55"/>
    <w:rsid w:val="7F9B156B"/>
    <w:rsid w:val="7F9F2C47"/>
    <w:rsid w:val="7F9F39BB"/>
    <w:rsid w:val="7FA385DD"/>
    <w:rsid w:val="7FAB518E"/>
    <w:rsid w:val="7FAB6D10"/>
    <w:rsid w:val="7FAEDB2D"/>
    <w:rsid w:val="7FAF9904"/>
    <w:rsid w:val="7FB2B417"/>
    <w:rsid w:val="7FB60605"/>
    <w:rsid w:val="7FBBC2C2"/>
    <w:rsid w:val="7FBCD05F"/>
    <w:rsid w:val="7FBD437F"/>
    <w:rsid w:val="7FBDE67E"/>
    <w:rsid w:val="7FBEAE7C"/>
    <w:rsid w:val="7FBF310C"/>
    <w:rsid w:val="7FBFF17D"/>
    <w:rsid w:val="7FCBD22B"/>
    <w:rsid w:val="7FD202D1"/>
    <w:rsid w:val="7FD76CFF"/>
    <w:rsid w:val="7FD7DE38"/>
    <w:rsid w:val="7FD9CF72"/>
    <w:rsid w:val="7FD9FEA6"/>
    <w:rsid w:val="7FDDB2DE"/>
    <w:rsid w:val="7FDDB373"/>
    <w:rsid w:val="7FDE25A0"/>
    <w:rsid w:val="7FDED22F"/>
    <w:rsid w:val="7FDF310F"/>
    <w:rsid w:val="7FDF4572"/>
    <w:rsid w:val="7FDF4888"/>
    <w:rsid w:val="7FDFB4C6"/>
    <w:rsid w:val="7FE31A23"/>
    <w:rsid w:val="7FE6B4E6"/>
    <w:rsid w:val="7FE9FC0A"/>
    <w:rsid w:val="7FEB8B5B"/>
    <w:rsid w:val="7FECCAE4"/>
    <w:rsid w:val="7FED9052"/>
    <w:rsid w:val="7FEF1B03"/>
    <w:rsid w:val="7FF36CDA"/>
    <w:rsid w:val="7FF4BA31"/>
    <w:rsid w:val="7FF55A0A"/>
    <w:rsid w:val="7FF56EDB"/>
    <w:rsid w:val="7FF5720F"/>
    <w:rsid w:val="7FF5B6FF"/>
    <w:rsid w:val="7FF6131F"/>
    <w:rsid w:val="7FF6498E"/>
    <w:rsid w:val="7FF701D9"/>
    <w:rsid w:val="7FF760B4"/>
    <w:rsid w:val="7FF773FB"/>
    <w:rsid w:val="7FF77976"/>
    <w:rsid w:val="7FF7AA5F"/>
    <w:rsid w:val="7FF9A7B7"/>
    <w:rsid w:val="7FFA7F9E"/>
    <w:rsid w:val="7FFAAC0C"/>
    <w:rsid w:val="7FFB3848"/>
    <w:rsid w:val="7FFB3917"/>
    <w:rsid w:val="7FFB4452"/>
    <w:rsid w:val="7FFB658E"/>
    <w:rsid w:val="7FFBBFD8"/>
    <w:rsid w:val="7FFDA3F8"/>
    <w:rsid w:val="7FFDDCE9"/>
    <w:rsid w:val="7FFDDFAE"/>
    <w:rsid w:val="7FFE104D"/>
    <w:rsid w:val="7FFE31E7"/>
    <w:rsid w:val="7FFE4CB3"/>
    <w:rsid w:val="7FFE89BB"/>
    <w:rsid w:val="7FFEF1B8"/>
    <w:rsid w:val="7FFF0748"/>
    <w:rsid w:val="7FFF9546"/>
    <w:rsid w:val="7FFF9B10"/>
    <w:rsid w:val="7FFFF4CE"/>
    <w:rsid w:val="83FE5EB8"/>
    <w:rsid w:val="87CF5F54"/>
    <w:rsid w:val="8ADBBEF0"/>
    <w:rsid w:val="8BCE1362"/>
    <w:rsid w:val="8CAD5FF4"/>
    <w:rsid w:val="8D9A3FD8"/>
    <w:rsid w:val="8DDF96FC"/>
    <w:rsid w:val="8E6FB936"/>
    <w:rsid w:val="8E9B8075"/>
    <w:rsid w:val="8F7272B8"/>
    <w:rsid w:val="8FFF1255"/>
    <w:rsid w:val="8FFF6671"/>
    <w:rsid w:val="92DF4AEB"/>
    <w:rsid w:val="932F8B36"/>
    <w:rsid w:val="93A59C9F"/>
    <w:rsid w:val="93EB389C"/>
    <w:rsid w:val="957B7DBF"/>
    <w:rsid w:val="969F8545"/>
    <w:rsid w:val="96BD2C59"/>
    <w:rsid w:val="96FD5D84"/>
    <w:rsid w:val="976A4466"/>
    <w:rsid w:val="97FB03EC"/>
    <w:rsid w:val="97FDE4A3"/>
    <w:rsid w:val="9A6F31F8"/>
    <w:rsid w:val="9AF3288E"/>
    <w:rsid w:val="9B7FBAE7"/>
    <w:rsid w:val="9BAD2A18"/>
    <w:rsid w:val="9CFFA23E"/>
    <w:rsid w:val="9D3597A0"/>
    <w:rsid w:val="9D5A51BA"/>
    <w:rsid w:val="9D7FB225"/>
    <w:rsid w:val="9DAFA259"/>
    <w:rsid w:val="9DFB5AD2"/>
    <w:rsid w:val="9DFF2146"/>
    <w:rsid w:val="9E6F362C"/>
    <w:rsid w:val="9EBF88D6"/>
    <w:rsid w:val="9EF72F13"/>
    <w:rsid w:val="9FAF4DF7"/>
    <w:rsid w:val="9FBFE8DB"/>
    <w:rsid w:val="9FCF2B44"/>
    <w:rsid w:val="9FD7BA72"/>
    <w:rsid w:val="9FFFD969"/>
    <w:rsid w:val="A1C7291E"/>
    <w:rsid w:val="A1D51B59"/>
    <w:rsid w:val="A27FFBFD"/>
    <w:rsid w:val="A3A39306"/>
    <w:rsid w:val="A733368A"/>
    <w:rsid w:val="A77F55E6"/>
    <w:rsid w:val="A78F6933"/>
    <w:rsid w:val="A7A3094D"/>
    <w:rsid w:val="A7ED8DCD"/>
    <w:rsid w:val="A7F64D40"/>
    <w:rsid w:val="A9DBDB55"/>
    <w:rsid w:val="A9EE10A0"/>
    <w:rsid w:val="ABBDAD7C"/>
    <w:rsid w:val="ABFBE899"/>
    <w:rsid w:val="AC77F05D"/>
    <w:rsid w:val="ACE97FAA"/>
    <w:rsid w:val="ACFF3D41"/>
    <w:rsid w:val="AED8C367"/>
    <w:rsid w:val="AEFB18FD"/>
    <w:rsid w:val="AFBF6023"/>
    <w:rsid w:val="AFDBA2E9"/>
    <w:rsid w:val="AFDF9649"/>
    <w:rsid w:val="AFF54A47"/>
    <w:rsid w:val="AFFF6A21"/>
    <w:rsid w:val="B27EF3D6"/>
    <w:rsid w:val="B2F62DC4"/>
    <w:rsid w:val="B3470651"/>
    <w:rsid w:val="B35F0FCA"/>
    <w:rsid w:val="B3812E5C"/>
    <w:rsid w:val="B3F7DB64"/>
    <w:rsid w:val="B3FBE6D9"/>
    <w:rsid w:val="B46E5C35"/>
    <w:rsid w:val="B46F46A0"/>
    <w:rsid w:val="B48BF268"/>
    <w:rsid w:val="B4DFEC49"/>
    <w:rsid w:val="B59A34A6"/>
    <w:rsid w:val="B65F5742"/>
    <w:rsid w:val="B67FEBE7"/>
    <w:rsid w:val="B6E5C96F"/>
    <w:rsid w:val="B6FC2B1D"/>
    <w:rsid w:val="B6FFDF3B"/>
    <w:rsid w:val="B76DA116"/>
    <w:rsid w:val="B77B2C46"/>
    <w:rsid w:val="B7BF2693"/>
    <w:rsid w:val="B7D8C935"/>
    <w:rsid w:val="B7DB8A35"/>
    <w:rsid w:val="B7E99737"/>
    <w:rsid w:val="B7FB34ED"/>
    <w:rsid w:val="B7FD1E36"/>
    <w:rsid w:val="B7FEECBD"/>
    <w:rsid w:val="B89FC441"/>
    <w:rsid w:val="B96F6CC4"/>
    <w:rsid w:val="B97AD1EB"/>
    <w:rsid w:val="B97F2705"/>
    <w:rsid w:val="B9CF1CF7"/>
    <w:rsid w:val="B9EDECE1"/>
    <w:rsid w:val="B9FF9678"/>
    <w:rsid w:val="BA53A3A5"/>
    <w:rsid w:val="BA66776D"/>
    <w:rsid w:val="BABF3A4D"/>
    <w:rsid w:val="BAE7983C"/>
    <w:rsid w:val="BAEECE14"/>
    <w:rsid w:val="BB5F068B"/>
    <w:rsid w:val="BB7F2408"/>
    <w:rsid w:val="BBAE44CC"/>
    <w:rsid w:val="BBB7169D"/>
    <w:rsid w:val="BBB95820"/>
    <w:rsid w:val="BBECE054"/>
    <w:rsid w:val="BBF0B548"/>
    <w:rsid w:val="BBFDEFF1"/>
    <w:rsid w:val="BBFF6C4A"/>
    <w:rsid w:val="BBFFB143"/>
    <w:rsid w:val="BC5A621E"/>
    <w:rsid w:val="BCAE5E5B"/>
    <w:rsid w:val="BCFB0D47"/>
    <w:rsid w:val="BCFF5828"/>
    <w:rsid w:val="BD115469"/>
    <w:rsid w:val="BD572806"/>
    <w:rsid w:val="BD6B0FE9"/>
    <w:rsid w:val="BD7D59D9"/>
    <w:rsid w:val="BDB81DF4"/>
    <w:rsid w:val="BDDFA43D"/>
    <w:rsid w:val="BDE6B3D6"/>
    <w:rsid w:val="BDF6948D"/>
    <w:rsid w:val="BDFB7616"/>
    <w:rsid w:val="BDFE0DAC"/>
    <w:rsid w:val="BDFFC629"/>
    <w:rsid w:val="BE7940DE"/>
    <w:rsid w:val="BE79EB1D"/>
    <w:rsid w:val="BEBE7ACB"/>
    <w:rsid w:val="BECE9F70"/>
    <w:rsid w:val="BED73B9C"/>
    <w:rsid w:val="BEDE1FDC"/>
    <w:rsid w:val="BEF5EC1A"/>
    <w:rsid w:val="BEFD8637"/>
    <w:rsid w:val="BEFE19C4"/>
    <w:rsid w:val="BF0E80A8"/>
    <w:rsid w:val="BF3D2410"/>
    <w:rsid w:val="BF4B4225"/>
    <w:rsid w:val="BF6BB550"/>
    <w:rsid w:val="BF7EC4ED"/>
    <w:rsid w:val="BFA7C5A8"/>
    <w:rsid w:val="BFAF7C4D"/>
    <w:rsid w:val="BFBC5290"/>
    <w:rsid w:val="BFBE9418"/>
    <w:rsid w:val="BFBF6046"/>
    <w:rsid w:val="BFBF659A"/>
    <w:rsid w:val="BFBF7ECC"/>
    <w:rsid w:val="BFBFE96B"/>
    <w:rsid w:val="BFD8F3C3"/>
    <w:rsid w:val="BFDFFFA9"/>
    <w:rsid w:val="BFF33CCD"/>
    <w:rsid w:val="BFF63DB3"/>
    <w:rsid w:val="BFF75BC8"/>
    <w:rsid w:val="BFF97518"/>
    <w:rsid w:val="BFFB7BD8"/>
    <w:rsid w:val="BFFBDFEE"/>
    <w:rsid w:val="BFFC7FC6"/>
    <w:rsid w:val="BFFDEEB1"/>
    <w:rsid w:val="BFFF0E06"/>
    <w:rsid w:val="BFFF5C73"/>
    <w:rsid w:val="BFFFA11E"/>
    <w:rsid w:val="BFFFDD1D"/>
    <w:rsid w:val="BFFFFC66"/>
    <w:rsid w:val="C0E2EEAD"/>
    <w:rsid w:val="C1EFBC71"/>
    <w:rsid w:val="C37F10DE"/>
    <w:rsid w:val="C73B6D16"/>
    <w:rsid w:val="C7AFBD81"/>
    <w:rsid w:val="C7BC94CF"/>
    <w:rsid w:val="C7FD2078"/>
    <w:rsid w:val="C8DFA69A"/>
    <w:rsid w:val="CAF767F8"/>
    <w:rsid w:val="CB0E8797"/>
    <w:rsid w:val="CB7B46E5"/>
    <w:rsid w:val="CBDEEFE0"/>
    <w:rsid w:val="CBE4CB91"/>
    <w:rsid w:val="CBFB460C"/>
    <w:rsid w:val="CBFFDB2D"/>
    <w:rsid w:val="CCB36A29"/>
    <w:rsid w:val="CDBE8FC1"/>
    <w:rsid w:val="CDDB210B"/>
    <w:rsid w:val="CE46FA1A"/>
    <w:rsid w:val="CED64088"/>
    <w:rsid w:val="CEEBEF9A"/>
    <w:rsid w:val="CEF7FE5A"/>
    <w:rsid w:val="CF1651ED"/>
    <w:rsid w:val="CF1F46BB"/>
    <w:rsid w:val="CF7F6110"/>
    <w:rsid w:val="CF9F4E51"/>
    <w:rsid w:val="CFBE5F1A"/>
    <w:rsid w:val="CFDE04EA"/>
    <w:rsid w:val="CFDF87BA"/>
    <w:rsid w:val="CFF540C7"/>
    <w:rsid w:val="CFF58669"/>
    <w:rsid w:val="CFF670F3"/>
    <w:rsid w:val="CFFE232E"/>
    <w:rsid w:val="CFFF7DAF"/>
    <w:rsid w:val="D37E3021"/>
    <w:rsid w:val="D37E5639"/>
    <w:rsid w:val="D3F59FD5"/>
    <w:rsid w:val="D45F269C"/>
    <w:rsid w:val="D4BFC252"/>
    <w:rsid w:val="D4FD798E"/>
    <w:rsid w:val="D57DBFAC"/>
    <w:rsid w:val="D5CF202D"/>
    <w:rsid w:val="D5EBF5DA"/>
    <w:rsid w:val="D66A7A43"/>
    <w:rsid w:val="D6B54DAA"/>
    <w:rsid w:val="D6DD12A8"/>
    <w:rsid w:val="D6E74056"/>
    <w:rsid w:val="D6FDCC7E"/>
    <w:rsid w:val="D79FC2F1"/>
    <w:rsid w:val="D7BFD826"/>
    <w:rsid w:val="D7BFE2C7"/>
    <w:rsid w:val="D7D77E60"/>
    <w:rsid w:val="D7F72BDD"/>
    <w:rsid w:val="D7FFFA5B"/>
    <w:rsid w:val="D8BF6A77"/>
    <w:rsid w:val="D8EDFE97"/>
    <w:rsid w:val="D95F37FD"/>
    <w:rsid w:val="D9DF3A61"/>
    <w:rsid w:val="D9FD84A5"/>
    <w:rsid w:val="DAAD24B7"/>
    <w:rsid w:val="DABA3DEA"/>
    <w:rsid w:val="DABF5EE8"/>
    <w:rsid w:val="DAD7E3A9"/>
    <w:rsid w:val="DB3B69FD"/>
    <w:rsid w:val="DB3F08D1"/>
    <w:rsid w:val="DB5BE62C"/>
    <w:rsid w:val="DB8B47EC"/>
    <w:rsid w:val="DB978556"/>
    <w:rsid w:val="DBA37A7C"/>
    <w:rsid w:val="DBBFDA83"/>
    <w:rsid w:val="DBC00348"/>
    <w:rsid w:val="DBD35324"/>
    <w:rsid w:val="DBD544E2"/>
    <w:rsid w:val="DBEF0D3E"/>
    <w:rsid w:val="DC97393F"/>
    <w:rsid w:val="DCDAB3BB"/>
    <w:rsid w:val="DCF8D263"/>
    <w:rsid w:val="DCFCB2BC"/>
    <w:rsid w:val="DD5E3991"/>
    <w:rsid w:val="DD7FCCF8"/>
    <w:rsid w:val="DDAFC18C"/>
    <w:rsid w:val="DDB67001"/>
    <w:rsid w:val="DDCF2F27"/>
    <w:rsid w:val="DDDBE90E"/>
    <w:rsid w:val="DDED39B4"/>
    <w:rsid w:val="DDF5AFC9"/>
    <w:rsid w:val="DDFE3783"/>
    <w:rsid w:val="DDFF6B13"/>
    <w:rsid w:val="DE73E9B2"/>
    <w:rsid w:val="DE7B7708"/>
    <w:rsid w:val="DE9F6BF4"/>
    <w:rsid w:val="DEC88F06"/>
    <w:rsid w:val="DEE658D4"/>
    <w:rsid w:val="DEEBFDF7"/>
    <w:rsid w:val="DEEF0A09"/>
    <w:rsid w:val="DEF70684"/>
    <w:rsid w:val="DEFD73D4"/>
    <w:rsid w:val="DEFDFE79"/>
    <w:rsid w:val="DF2B8671"/>
    <w:rsid w:val="DF3D6EFC"/>
    <w:rsid w:val="DF541F21"/>
    <w:rsid w:val="DF5972F6"/>
    <w:rsid w:val="DF661EC3"/>
    <w:rsid w:val="DF673717"/>
    <w:rsid w:val="DF7B48C2"/>
    <w:rsid w:val="DF7E0289"/>
    <w:rsid w:val="DF7EEA07"/>
    <w:rsid w:val="DF7FC0B5"/>
    <w:rsid w:val="DF8F981A"/>
    <w:rsid w:val="DFA5B274"/>
    <w:rsid w:val="DFA5DA87"/>
    <w:rsid w:val="DFADEC44"/>
    <w:rsid w:val="DFB313C8"/>
    <w:rsid w:val="DFBF34ED"/>
    <w:rsid w:val="DFBF7818"/>
    <w:rsid w:val="DFC7FE68"/>
    <w:rsid w:val="DFCFB3F9"/>
    <w:rsid w:val="DFD991FE"/>
    <w:rsid w:val="DFDB26D1"/>
    <w:rsid w:val="DFDD9D72"/>
    <w:rsid w:val="DFE73999"/>
    <w:rsid w:val="DFEE7518"/>
    <w:rsid w:val="DFEEA4E1"/>
    <w:rsid w:val="DFF3F24A"/>
    <w:rsid w:val="DFF5BE1A"/>
    <w:rsid w:val="DFF62ACF"/>
    <w:rsid w:val="DFF68E43"/>
    <w:rsid w:val="DFFB2A44"/>
    <w:rsid w:val="DFFD056F"/>
    <w:rsid w:val="DFFD14FC"/>
    <w:rsid w:val="DFFF0B73"/>
    <w:rsid w:val="DFFF1298"/>
    <w:rsid w:val="DFFF6033"/>
    <w:rsid w:val="DFFF6D31"/>
    <w:rsid w:val="E1DF73F9"/>
    <w:rsid w:val="E29D6852"/>
    <w:rsid w:val="E2FF8B75"/>
    <w:rsid w:val="E32A9FAA"/>
    <w:rsid w:val="E3FA903A"/>
    <w:rsid w:val="E3FEAEF3"/>
    <w:rsid w:val="E477D148"/>
    <w:rsid w:val="E5E749D7"/>
    <w:rsid w:val="E5FFCBD7"/>
    <w:rsid w:val="E67C7C7C"/>
    <w:rsid w:val="E7482825"/>
    <w:rsid w:val="E77BACA6"/>
    <w:rsid w:val="E78F5B21"/>
    <w:rsid w:val="E7EC266D"/>
    <w:rsid w:val="E7F73902"/>
    <w:rsid w:val="E7F7963E"/>
    <w:rsid w:val="E7F9C1D2"/>
    <w:rsid w:val="E7FEF29C"/>
    <w:rsid w:val="E7FF670D"/>
    <w:rsid w:val="E92E0C02"/>
    <w:rsid w:val="EAEF7A18"/>
    <w:rsid w:val="EBBF53AD"/>
    <w:rsid w:val="EBDB4D68"/>
    <w:rsid w:val="EBDE0FE1"/>
    <w:rsid w:val="EBE821D4"/>
    <w:rsid w:val="EBF66580"/>
    <w:rsid w:val="EBF76FC7"/>
    <w:rsid w:val="EBFB38C0"/>
    <w:rsid w:val="EBFD4CBB"/>
    <w:rsid w:val="ECD2A236"/>
    <w:rsid w:val="ECF6B14F"/>
    <w:rsid w:val="ED3B04EF"/>
    <w:rsid w:val="EDA7D5A3"/>
    <w:rsid w:val="EDB58638"/>
    <w:rsid w:val="EDB5E717"/>
    <w:rsid w:val="EDDAF2FC"/>
    <w:rsid w:val="EDDE2C75"/>
    <w:rsid w:val="EDDE9E12"/>
    <w:rsid w:val="EDE74873"/>
    <w:rsid w:val="EDEF3D98"/>
    <w:rsid w:val="EDFC50B2"/>
    <w:rsid w:val="EE7ED336"/>
    <w:rsid w:val="EEB59281"/>
    <w:rsid w:val="EEF7EA1C"/>
    <w:rsid w:val="EEF9B678"/>
    <w:rsid w:val="EEFD4F42"/>
    <w:rsid w:val="EEFEB485"/>
    <w:rsid w:val="EF380147"/>
    <w:rsid w:val="EF457A01"/>
    <w:rsid w:val="EF5E152F"/>
    <w:rsid w:val="EF5FD236"/>
    <w:rsid w:val="EF7CC6B8"/>
    <w:rsid w:val="EF7F56D5"/>
    <w:rsid w:val="EF7FA620"/>
    <w:rsid w:val="EFAD6FF3"/>
    <w:rsid w:val="EFAEE5D7"/>
    <w:rsid w:val="EFB9D55F"/>
    <w:rsid w:val="EFBD1B45"/>
    <w:rsid w:val="EFBE61FF"/>
    <w:rsid w:val="EFCF0815"/>
    <w:rsid w:val="EFDB98A1"/>
    <w:rsid w:val="EFDF8CD7"/>
    <w:rsid w:val="EFEF52E7"/>
    <w:rsid w:val="EFEF658C"/>
    <w:rsid w:val="EFEF6E4A"/>
    <w:rsid w:val="EFF3BD09"/>
    <w:rsid w:val="EFF6FEEA"/>
    <w:rsid w:val="EFF791E2"/>
    <w:rsid w:val="EFFADEC7"/>
    <w:rsid w:val="EFFBC582"/>
    <w:rsid w:val="EFFD6CE7"/>
    <w:rsid w:val="EFFF3F60"/>
    <w:rsid w:val="EFFF44D7"/>
    <w:rsid w:val="EFFF532A"/>
    <w:rsid w:val="EFFF88C2"/>
    <w:rsid w:val="EFFFE5DE"/>
    <w:rsid w:val="F17F16EC"/>
    <w:rsid w:val="F1FFFA1E"/>
    <w:rsid w:val="F27CCAD5"/>
    <w:rsid w:val="F27F573A"/>
    <w:rsid w:val="F2EBACFE"/>
    <w:rsid w:val="F2FEB2FC"/>
    <w:rsid w:val="F36F68D9"/>
    <w:rsid w:val="F37B0A53"/>
    <w:rsid w:val="F37F518C"/>
    <w:rsid w:val="F3BF824A"/>
    <w:rsid w:val="F3D6A1E1"/>
    <w:rsid w:val="F3E95802"/>
    <w:rsid w:val="F3FD74E6"/>
    <w:rsid w:val="F4A74E87"/>
    <w:rsid w:val="F4BEFB9B"/>
    <w:rsid w:val="F4D879EC"/>
    <w:rsid w:val="F4DB775A"/>
    <w:rsid w:val="F55358D7"/>
    <w:rsid w:val="F56DE1CA"/>
    <w:rsid w:val="F56FA0EF"/>
    <w:rsid w:val="F59F9D3C"/>
    <w:rsid w:val="F5D76C82"/>
    <w:rsid w:val="F5DF3E76"/>
    <w:rsid w:val="F5DF650E"/>
    <w:rsid w:val="F5E6FBDB"/>
    <w:rsid w:val="F5EF66D8"/>
    <w:rsid w:val="F5EFCDB3"/>
    <w:rsid w:val="F5F397A5"/>
    <w:rsid w:val="F5FE318E"/>
    <w:rsid w:val="F666A0E7"/>
    <w:rsid w:val="F66DA39A"/>
    <w:rsid w:val="F679E219"/>
    <w:rsid w:val="F6AFC5B1"/>
    <w:rsid w:val="F6BF0868"/>
    <w:rsid w:val="F6BF5EE4"/>
    <w:rsid w:val="F6DF5D20"/>
    <w:rsid w:val="F6E3EF31"/>
    <w:rsid w:val="F6E527BC"/>
    <w:rsid w:val="F6F91B88"/>
    <w:rsid w:val="F6FB633B"/>
    <w:rsid w:val="F735BD31"/>
    <w:rsid w:val="F739F2E1"/>
    <w:rsid w:val="F75FBA60"/>
    <w:rsid w:val="F77F79A2"/>
    <w:rsid w:val="F788A37F"/>
    <w:rsid w:val="F79F6DB1"/>
    <w:rsid w:val="F7C78CB9"/>
    <w:rsid w:val="F7CF3FF0"/>
    <w:rsid w:val="F7D6B27B"/>
    <w:rsid w:val="F7E74F72"/>
    <w:rsid w:val="F7ED2E93"/>
    <w:rsid w:val="F7EF991F"/>
    <w:rsid w:val="F7EFBD1D"/>
    <w:rsid w:val="F7F083BC"/>
    <w:rsid w:val="F7F48098"/>
    <w:rsid w:val="F7FACB40"/>
    <w:rsid w:val="F7FB2CA0"/>
    <w:rsid w:val="F7FB6605"/>
    <w:rsid w:val="F7FF2185"/>
    <w:rsid w:val="F7FF2A95"/>
    <w:rsid w:val="F7FF3DF0"/>
    <w:rsid w:val="F7FF5C02"/>
    <w:rsid w:val="F7FF6BC7"/>
    <w:rsid w:val="F8DF751D"/>
    <w:rsid w:val="F8FCFBCF"/>
    <w:rsid w:val="F93FC5AC"/>
    <w:rsid w:val="F9547E05"/>
    <w:rsid w:val="F9AFBAC0"/>
    <w:rsid w:val="F9BA791B"/>
    <w:rsid w:val="F9D3A8C4"/>
    <w:rsid w:val="F9D817E5"/>
    <w:rsid w:val="F9DDE002"/>
    <w:rsid w:val="F9F75D33"/>
    <w:rsid w:val="F9F897D7"/>
    <w:rsid w:val="F9F987C6"/>
    <w:rsid w:val="F9FEDE1D"/>
    <w:rsid w:val="FA611A51"/>
    <w:rsid w:val="FA77F07C"/>
    <w:rsid w:val="FA7B81B4"/>
    <w:rsid w:val="FABFE29C"/>
    <w:rsid w:val="FAEFFD07"/>
    <w:rsid w:val="FAFBEB96"/>
    <w:rsid w:val="FAFC0A0D"/>
    <w:rsid w:val="FAFE5422"/>
    <w:rsid w:val="FAFEE8CD"/>
    <w:rsid w:val="FAFF7939"/>
    <w:rsid w:val="FB3EF96E"/>
    <w:rsid w:val="FB6F7941"/>
    <w:rsid w:val="FB97C696"/>
    <w:rsid w:val="FB9E8DB7"/>
    <w:rsid w:val="FB9F6B3B"/>
    <w:rsid w:val="FBB6B050"/>
    <w:rsid w:val="FBBD8EE9"/>
    <w:rsid w:val="FBBE021D"/>
    <w:rsid w:val="FBBE4851"/>
    <w:rsid w:val="FBBECED0"/>
    <w:rsid w:val="FBBF283D"/>
    <w:rsid w:val="FBD6BAB0"/>
    <w:rsid w:val="FBDE6094"/>
    <w:rsid w:val="FBDF0016"/>
    <w:rsid w:val="FBDF3AA3"/>
    <w:rsid w:val="FBDF4191"/>
    <w:rsid w:val="FBEDA7DC"/>
    <w:rsid w:val="FBEFC116"/>
    <w:rsid w:val="FBEFC3A5"/>
    <w:rsid w:val="FBF18F10"/>
    <w:rsid w:val="FBF7E8FF"/>
    <w:rsid w:val="FBFA311B"/>
    <w:rsid w:val="FBFB289D"/>
    <w:rsid w:val="FBFD93EE"/>
    <w:rsid w:val="FBFDC8C1"/>
    <w:rsid w:val="FBFDFBD5"/>
    <w:rsid w:val="FBFF2AD3"/>
    <w:rsid w:val="FBFFE5B5"/>
    <w:rsid w:val="FC665393"/>
    <w:rsid w:val="FCBC2FD3"/>
    <w:rsid w:val="FCEF84CC"/>
    <w:rsid w:val="FCFE42AA"/>
    <w:rsid w:val="FCFE5FAF"/>
    <w:rsid w:val="FCFF4903"/>
    <w:rsid w:val="FCFFE49F"/>
    <w:rsid w:val="FD2E9F83"/>
    <w:rsid w:val="FD2FD6DA"/>
    <w:rsid w:val="FD309ED1"/>
    <w:rsid w:val="FD7753F0"/>
    <w:rsid w:val="FD792A8E"/>
    <w:rsid w:val="FD7F4C79"/>
    <w:rsid w:val="FD7F7A85"/>
    <w:rsid w:val="FD7FA72E"/>
    <w:rsid w:val="FD8B9864"/>
    <w:rsid w:val="FDAE8BF2"/>
    <w:rsid w:val="FDAF04A0"/>
    <w:rsid w:val="FDAF0D81"/>
    <w:rsid w:val="FDB95DA4"/>
    <w:rsid w:val="FDBC4046"/>
    <w:rsid w:val="FDBF53A9"/>
    <w:rsid w:val="FDCE9512"/>
    <w:rsid w:val="FDDD945B"/>
    <w:rsid w:val="FDEED213"/>
    <w:rsid w:val="FDF6E0FC"/>
    <w:rsid w:val="FDF776ED"/>
    <w:rsid w:val="FDF7A328"/>
    <w:rsid w:val="FDF80118"/>
    <w:rsid w:val="FDFA8435"/>
    <w:rsid w:val="FDFBB349"/>
    <w:rsid w:val="FDFBF2CE"/>
    <w:rsid w:val="FDFD5086"/>
    <w:rsid w:val="FDFE9A86"/>
    <w:rsid w:val="FDFFDA57"/>
    <w:rsid w:val="FE5F5452"/>
    <w:rsid w:val="FE6F4108"/>
    <w:rsid w:val="FE772961"/>
    <w:rsid w:val="FE775CB1"/>
    <w:rsid w:val="FE7EF532"/>
    <w:rsid w:val="FE7FF90D"/>
    <w:rsid w:val="FE9F1C9D"/>
    <w:rsid w:val="FEAE5F12"/>
    <w:rsid w:val="FEB70FD3"/>
    <w:rsid w:val="FEBBC588"/>
    <w:rsid w:val="FEBFD18E"/>
    <w:rsid w:val="FECD5E99"/>
    <w:rsid w:val="FECED406"/>
    <w:rsid w:val="FECFE5C3"/>
    <w:rsid w:val="FEDFAA61"/>
    <w:rsid w:val="FEE4A035"/>
    <w:rsid w:val="FEED7485"/>
    <w:rsid w:val="FEEF06B2"/>
    <w:rsid w:val="FEEF1606"/>
    <w:rsid w:val="FEEF4FE3"/>
    <w:rsid w:val="FEEF68B0"/>
    <w:rsid w:val="FEF55E92"/>
    <w:rsid w:val="FEF7233E"/>
    <w:rsid w:val="FEFB78A5"/>
    <w:rsid w:val="FEFBC4AB"/>
    <w:rsid w:val="FEFBD971"/>
    <w:rsid w:val="FEFD12F1"/>
    <w:rsid w:val="FEFDA490"/>
    <w:rsid w:val="FEFEAF22"/>
    <w:rsid w:val="FEFEF50F"/>
    <w:rsid w:val="FF1A4EF0"/>
    <w:rsid w:val="FF1B6E4E"/>
    <w:rsid w:val="FF2F2EF0"/>
    <w:rsid w:val="FF3BEF1F"/>
    <w:rsid w:val="FF3F3A4E"/>
    <w:rsid w:val="FF3FC471"/>
    <w:rsid w:val="FF3FF223"/>
    <w:rsid w:val="FF4FCEB1"/>
    <w:rsid w:val="FF5751BB"/>
    <w:rsid w:val="FF5D82BA"/>
    <w:rsid w:val="FF5FE6E8"/>
    <w:rsid w:val="FF6C5E54"/>
    <w:rsid w:val="FF6F424C"/>
    <w:rsid w:val="FF7614DD"/>
    <w:rsid w:val="FF7A201B"/>
    <w:rsid w:val="FF7B6B17"/>
    <w:rsid w:val="FF7E6DEC"/>
    <w:rsid w:val="FF7F3140"/>
    <w:rsid w:val="FF7F5C3E"/>
    <w:rsid w:val="FF7F7C41"/>
    <w:rsid w:val="FF870F74"/>
    <w:rsid w:val="FF8E3BA1"/>
    <w:rsid w:val="FF932424"/>
    <w:rsid w:val="FF9AFFEF"/>
    <w:rsid w:val="FFAB5E7B"/>
    <w:rsid w:val="FFAF3B2F"/>
    <w:rsid w:val="FFB7AED7"/>
    <w:rsid w:val="FFBAB28B"/>
    <w:rsid w:val="FFBF10F6"/>
    <w:rsid w:val="FFBF467C"/>
    <w:rsid w:val="FFBF76F8"/>
    <w:rsid w:val="FFBF8A1A"/>
    <w:rsid w:val="FFC54969"/>
    <w:rsid w:val="FFCE3657"/>
    <w:rsid w:val="FFD9B87A"/>
    <w:rsid w:val="FFDBBBE9"/>
    <w:rsid w:val="FFDD024F"/>
    <w:rsid w:val="FFDE2DF6"/>
    <w:rsid w:val="FFDFB524"/>
    <w:rsid w:val="FFE5F833"/>
    <w:rsid w:val="FFE6371F"/>
    <w:rsid w:val="FFE87E7B"/>
    <w:rsid w:val="FFE97424"/>
    <w:rsid w:val="FFEAE373"/>
    <w:rsid w:val="FFEB0086"/>
    <w:rsid w:val="FFEF77A8"/>
    <w:rsid w:val="FFF3280D"/>
    <w:rsid w:val="FFF745DC"/>
    <w:rsid w:val="FFF76F1D"/>
    <w:rsid w:val="FFFAD24D"/>
    <w:rsid w:val="FFFD0DAB"/>
    <w:rsid w:val="FFFDB7B1"/>
    <w:rsid w:val="FFFDC7C9"/>
    <w:rsid w:val="FFFDD541"/>
    <w:rsid w:val="FFFDF51A"/>
    <w:rsid w:val="FFFEE38E"/>
    <w:rsid w:val="FFFF08C8"/>
    <w:rsid w:val="FFFF18A8"/>
    <w:rsid w:val="FFFF226A"/>
    <w:rsid w:val="FFFF3D4A"/>
    <w:rsid w:val="FFFF3E57"/>
    <w:rsid w:val="FFFF46A3"/>
    <w:rsid w:val="FFFF89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ody Text"/>
    <w:basedOn w:val="1"/>
    <w:qFormat/>
    <w:uiPriority w:val="1"/>
    <w:rPr>
      <w:rFonts w:ascii="Arial MT" w:hAnsi="Arial MT" w:eastAsia="Arial MT" w:cs="Arial MT"/>
      <w:sz w:val="22"/>
      <w:szCs w:val="22"/>
      <w:lang w:eastAsia="en-US"/>
    </w:rPr>
  </w:style>
  <w:style w:type="character" w:styleId="6">
    <w:name w:val="annotation reference"/>
    <w:basedOn w:val="3"/>
    <w:qFormat/>
    <w:uiPriority w:val="0"/>
    <w:rPr>
      <w:sz w:val="16"/>
      <w:szCs w:val="16"/>
    </w:rPr>
  </w:style>
  <w:style w:type="paragraph" w:styleId="7">
    <w:name w:val="annotation text"/>
    <w:basedOn w:val="1"/>
    <w:link w:val="16"/>
    <w:qFormat/>
    <w:uiPriority w:val="0"/>
  </w:style>
  <w:style w:type="paragraph" w:styleId="8">
    <w:name w:val="annotation subject"/>
    <w:basedOn w:val="7"/>
    <w:next w:val="7"/>
    <w:link w:val="17"/>
    <w:qFormat/>
    <w:uiPriority w:val="0"/>
    <w:rPr>
      <w:b/>
      <w:bCs/>
    </w:rPr>
  </w:style>
  <w:style w:type="character" w:styleId="9">
    <w:name w:val="FollowedHyperlink"/>
    <w:basedOn w:val="3"/>
    <w:qFormat/>
    <w:uiPriority w:val="0"/>
    <w:rPr>
      <w:color w:val="800080"/>
      <w:u w:val="single"/>
    </w:rPr>
  </w:style>
  <w:style w:type="paragraph" w:styleId="10">
    <w:name w:val="footer"/>
    <w:basedOn w:val="1"/>
    <w:qFormat/>
    <w:uiPriority w:val="0"/>
    <w:pPr>
      <w:tabs>
        <w:tab w:val="center" w:pos="4153"/>
        <w:tab w:val="right" w:pos="8306"/>
      </w:tabs>
      <w:snapToGrid w:val="0"/>
    </w:pPr>
    <w:rPr>
      <w:sz w:val="18"/>
      <w:szCs w:val="18"/>
    </w:rPr>
  </w:style>
  <w:style w:type="paragraph" w:styleId="11">
    <w:name w:val="header"/>
    <w:basedOn w:val="1"/>
    <w:qFormat/>
    <w:uiPriority w:val="0"/>
    <w:pPr>
      <w:tabs>
        <w:tab w:val="center" w:pos="4153"/>
        <w:tab w:val="right" w:pos="8306"/>
      </w:tabs>
      <w:snapToGrid w:val="0"/>
    </w:pPr>
    <w:rPr>
      <w:sz w:val="18"/>
      <w:szCs w:val="18"/>
    </w:rPr>
  </w:style>
  <w:style w:type="character" w:styleId="12">
    <w:name w:val="Hyperlink"/>
    <w:basedOn w:val="3"/>
    <w:qFormat/>
    <w:uiPriority w:val="0"/>
    <w:rPr>
      <w:color w:val="0000FF"/>
      <w:u w:val="single"/>
    </w:rPr>
  </w:style>
  <w:style w:type="table" w:styleId="13">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4">
    <w:name w:val="WPSOffice手动目录 1"/>
    <w:qFormat/>
    <w:uiPriority w:val="0"/>
    <w:rPr>
      <w:rFonts w:ascii="Times New Roman" w:hAnsi="Times New Roman" w:eastAsia="SimSun" w:cs="Times New Roman"/>
      <w:lang w:val="en-IN" w:eastAsia="en-IN" w:bidi="ar-SA"/>
    </w:rPr>
  </w:style>
  <w:style w:type="paragraph" w:customStyle="1" w:styleId="15">
    <w:name w:val="Table Paragraph"/>
    <w:basedOn w:val="1"/>
    <w:qFormat/>
    <w:uiPriority w:val="1"/>
    <w:rPr>
      <w:rFonts w:ascii="Arial MT" w:hAnsi="Arial MT" w:eastAsia="Arial MT" w:cs="Arial MT"/>
      <w:lang w:eastAsia="en-US"/>
    </w:rPr>
  </w:style>
  <w:style w:type="character" w:customStyle="1" w:styleId="16">
    <w:name w:val="Comment Text Char"/>
    <w:basedOn w:val="3"/>
    <w:link w:val="7"/>
    <w:qFormat/>
    <w:uiPriority w:val="0"/>
    <w:rPr>
      <w:rFonts w:asciiTheme="minorHAnsi" w:hAnsiTheme="minorHAnsi" w:eastAsiaTheme="minorEastAsia" w:cstheme="minorBidi"/>
      <w:lang w:val="en-US" w:eastAsia="zh-CN"/>
    </w:rPr>
  </w:style>
  <w:style w:type="character" w:customStyle="1" w:styleId="17">
    <w:name w:val="Comment Subject Char"/>
    <w:basedOn w:val="16"/>
    <w:link w:val="8"/>
    <w:qFormat/>
    <w:uiPriority w:val="0"/>
    <w:rPr>
      <w:rFonts w:asciiTheme="minorHAnsi" w:hAnsiTheme="minorHAnsi" w:eastAsiaTheme="minorEastAsia" w:cstheme="minorBidi"/>
      <w:b/>
      <w:bCs/>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chart" Target="charts/chart4.xml"/><Relationship Id="rId8" Type="http://schemas.openxmlformats.org/officeDocument/2006/relationships/chart" Target="charts/chart3.xml"/><Relationship Id="rId7" Type="http://schemas.openxmlformats.org/officeDocument/2006/relationships/chart" Target="charts/chart2.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chart" Target="charts/chart7.xml"/><Relationship Id="rId11" Type="http://schemas.openxmlformats.org/officeDocument/2006/relationships/chart" Target="charts/chart6.xml"/><Relationship Id="rId10" Type="http://schemas.openxmlformats.org/officeDocument/2006/relationships/chart" Target="charts/chart5.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Users/vineet/Documents/CB/April%202026/D2633526V1/D2633526V1.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Users/vineet/Documents/CB/April%202026/D2633526V1/D2633526V1.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Users/vineet/Documents/CB/April%202026/D2633526V1/D2633526V1.xlsx"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Users/vineet/Documents/CB/April%202026/D2633526V1/D2633526V1.xlsx"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Users/vineet/Documents/CB/April%202026/D2633526V1/D2633526V1.xlsx"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Users/vineet/Documents/CB/April%202026/D2633526V1/D2633526V1.xlsx" TargetMode="External"/></Relationships>
</file>

<file path=word/charts/_rels/chart7.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Users/vineet/Documents/CB/April%202026/D2633526V1/D2633526V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Profitability</a:t>
            </a:r>
            <a:endParaRPr lang="en-US"/>
          </a:p>
        </c:rich>
      </c:tx>
      <c:layout/>
      <c:overlay val="0"/>
      <c:spPr>
        <a:noFill/>
        <a:ln>
          <a:noFill/>
        </a:ln>
        <a:effectLst/>
      </c:spPr>
    </c:title>
    <c:autoTitleDeleted val="0"/>
    <c:plotArea>
      <c:layout/>
      <c:barChart>
        <c:barDir val="col"/>
        <c:grouping val="clustered"/>
        <c:varyColors val="0"/>
        <c:ser>
          <c:idx val="0"/>
          <c:order val="0"/>
          <c:tx>
            <c:strRef>
              <c:f>[D2633526V1.xlsx]Charts!$A$3</c:f>
              <c:strCache>
                <c:ptCount val="1"/>
                <c:pt idx="0">
                  <c:v>Gross profit margin</c:v>
                </c:pt>
              </c:strCache>
            </c:strRef>
          </c:tx>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[D2633526V1.xlsx]Charts!$B$2:$F$2</c:f>
              <c:numCache>
                <c:formatCode>General</c:formatCode>
                <c:ptCount val="5"/>
                <c:pt idx="0">
                  <c:v>2020</c:v>
                </c:pt>
                <c:pt idx="1">
                  <c:v>2021</c:v>
                </c:pt>
                <c:pt idx="2">
                  <c:v>2022</c:v>
                </c:pt>
                <c:pt idx="3">
                  <c:v>2023</c:v>
                </c:pt>
                <c:pt idx="4">
                  <c:v>2024</c:v>
                </c:pt>
              </c:numCache>
            </c:numRef>
          </c:cat>
          <c:val>
            <c:numRef>
              <c:f>[D2633526V1.xlsx]Charts!$B$3:$F$3</c:f>
              <c:numCache>
                <c:formatCode>0.00%</c:formatCode>
                <c:ptCount val="5"/>
                <c:pt idx="0">
                  <c:v>0.210235920852359</c:v>
                </c:pt>
                <c:pt idx="1">
                  <c:v>0.252791557512588</c:v>
                </c:pt>
                <c:pt idx="2">
                  <c:v>0.25598438535759</c:v>
                </c:pt>
                <c:pt idx="3">
                  <c:v>0.1825</c:v>
                </c:pt>
                <c:pt idx="4">
                  <c:v>0.1786</c:v>
                </c:pt>
              </c:numCache>
            </c:numRef>
          </c:val>
        </c:ser>
        <c:ser>
          <c:idx val="1"/>
          <c:order val="1"/>
          <c:tx>
            <c:strRef>
              <c:f>[D2633526V1.xlsx]Charts!$A$4</c:f>
              <c:strCache>
                <c:ptCount val="1"/>
                <c:pt idx="0">
                  <c:v>Net profit margin</c:v>
                </c:pt>
              </c:strCache>
            </c:strRef>
          </c:tx>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[D2633526V1.xlsx]Charts!$B$2:$F$2</c:f>
              <c:numCache>
                <c:formatCode>General</c:formatCode>
                <c:ptCount val="5"/>
                <c:pt idx="0">
                  <c:v>2020</c:v>
                </c:pt>
                <c:pt idx="1">
                  <c:v>2021</c:v>
                </c:pt>
                <c:pt idx="2">
                  <c:v>2022</c:v>
                </c:pt>
                <c:pt idx="3">
                  <c:v>2023</c:v>
                </c:pt>
                <c:pt idx="4">
                  <c:v>2024</c:v>
                </c:pt>
              </c:numCache>
            </c:numRef>
          </c:cat>
          <c:val>
            <c:numRef>
              <c:f>[D2633526V1.xlsx]Charts!$B$4:$F$4</c:f>
              <c:numCache>
                <c:formatCode>0.00%</c:formatCode>
                <c:ptCount val="5"/>
                <c:pt idx="0">
                  <c:v>0.0273338406900051</c:v>
                </c:pt>
                <c:pt idx="1">
                  <c:v>0.104862233617598</c:v>
                </c:pt>
                <c:pt idx="2">
                  <c:v>0.154513761017407</c:v>
                </c:pt>
                <c:pt idx="3">
                  <c:v>0.1547</c:v>
                </c:pt>
                <c:pt idx="4">
                  <c:v>0.0732</c:v>
                </c:pt>
              </c:numCache>
            </c:numRef>
          </c:val>
        </c:ser>
        <c:dLbls>
          <c:showLegendKey val="0"/>
          <c:showVal val="1"/>
          <c:showCatName val="0"/>
          <c:showSerName val="0"/>
          <c:showPercent val="0"/>
          <c:showBubbleSize val="0"/>
        </c:dLbls>
        <c:gapWidth val="219"/>
        <c:overlap val="-27"/>
        <c:axId val="1078721031"/>
        <c:axId val="1096163847"/>
      </c:barChart>
      <c:catAx>
        <c:axId val="1078721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096163847"/>
        <c:crosses val="autoZero"/>
        <c:auto val="1"/>
        <c:lblAlgn val="ctr"/>
        <c:lblOffset val="100"/>
        <c:noMultiLvlLbl val="0"/>
      </c:catAx>
      <c:valAx>
        <c:axId val="10961638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078721031"/>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51689e9b-341e-4655-9aa6-925f9be2471b}"/>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Liquidity</a:t>
            </a:r>
            <a:endParaRPr lang="en-US"/>
          </a:p>
        </c:rich>
      </c:tx>
      <c:layout/>
      <c:overlay val="0"/>
      <c:spPr>
        <a:noFill/>
        <a:ln>
          <a:noFill/>
        </a:ln>
        <a:effectLst/>
      </c:spPr>
    </c:title>
    <c:autoTitleDeleted val="0"/>
    <c:plotArea>
      <c:layout/>
      <c:lineChart>
        <c:grouping val="standard"/>
        <c:varyColors val="0"/>
        <c:ser>
          <c:idx val="0"/>
          <c:order val="0"/>
          <c:tx>
            <c:strRef>
              <c:f>[D2633526V1.xlsx]Charts!$A$7</c:f>
              <c:strCache>
                <c:ptCount val="1"/>
                <c:pt idx="0">
                  <c:v>Current ratio</c:v>
                </c:pt>
              </c:strCache>
            </c:strRef>
          </c:tx>
          <c:spPr>
            <a:ln w="28575" cap="rnd">
              <a:solidFill>
                <a:schemeClr val="accent1"/>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[D2633526V1.xlsx]Charts!$B$6:$F$6</c:f>
              <c:numCache>
                <c:formatCode>General</c:formatCode>
                <c:ptCount val="5"/>
                <c:pt idx="0">
                  <c:v>2020</c:v>
                </c:pt>
                <c:pt idx="1">
                  <c:v>2021</c:v>
                </c:pt>
                <c:pt idx="2">
                  <c:v>2022</c:v>
                </c:pt>
                <c:pt idx="3">
                  <c:v>2023</c:v>
                </c:pt>
                <c:pt idx="4">
                  <c:v>2024</c:v>
                </c:pt>
              </c:numCache>
            </c:numRef>
          </c:cat>
          <c:val>
            <c:numRef>
              <c:f>[D2633526V1.xlsx]Charts!$B$7:$F$7</c:f>
              <c:numCache>
                <c:formatCode>0.00_ </c:formatCode>
                <c:ptCount val="5"/>
                <c:pt idx="0">
                  <c:v>1.87514037057833</c:v>
                </c:pt>
                <c:pt idx="1">
                  <c:v>1.37528546054301</c:v>
                </c:pt>
                <c:pt idx="2">
                  <c:v>1.53195552061103</c:v>
                </c:pt>
                <c:pt idx="3">
                  <c:v>1.72589397523306</c:v>
                </c:pt>
                <c:pt idx="4">
                  <c:v>2.02491239027098</c:v>
                </c:pt>
              </c:numCache>
            </c:numRef>
          </c:val>
          <c:smooth val="0"/>
        </c:ser>
        <c:ser>
          <c:idx val="1"/>
          <c:order val="1"/>
          <c:tx>
            <c:strRef>
              <c:f>[D2633526V1.xlsx]Charts!$A$8</c:f>
              <c:strCache>
                <c:ptCount val="1"/>
                <c:pt idx="0">
                  <c:v>Quick ratio</c:v>
                </c:pt>
              </c:strCache>
            </c:strRef>
          </c:tx>
          <c:spPr>
            <a:ln w="28575" cap="rnd">
              <a:solidFill>
                <a:schemeClr val="accent2"/>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[D2633526V1.xlsx]Charts!$B$6:$F$6</c:f>
              <c:numCache>
                <c:formatCode>General</c:formatCode>
                <c:ptCount val="5"/>
                <c:pt idx="0">
                  <c:v>2020</c:v>
                </c:pt>
                <c:pt idx="1">
                  <c:v>2021</c:v>
                </c:pt>
                <c:pt idx="2">
                  <c:v>2022</c:v>
                </c:pt>
                <c:pt idx="3">
                  <c:v>2023</c:v>
                </c:pt>
                <c:pt idx="4">
                  <c:v>2024</c:v>
                </c:pt>
              </c:numCache>
            </c:numRef>
          </c:cat>
          <c:val>
            <c:numRef>
              <c:f>[D2633526V1.xlsx]Charts!$B$8:$F$8</c:f>
              <c:numCache>
                <c:formatCode>0.00_ </c:formatCode>
                <c:ptCount val="5"/>
                <c:pt idx="0">
                  <c:v>1.58731049971926</c:v>
                </c:pt>
                <c:pt idx="1">
                  <c:v>1.08312611012433</c:v>
                </c:pt>
                <c:pt idx="2">
                  <c:v>1.05125613089221</c:v>
                </c:pt>
                <c:pt idx="3">
                  <c:v>1.2519131765688</c:v>
                </c:pt>
                <c:pt idx="4">
                  <c:v>1.60795947399466</c:v>
                </c:pt>
              </c:numCache>
            </c:numRef>
          </c:val>
          <c:smooth val="0"/>
        </c:ser>
        <c:dLbls>
          <c:showLegendKey val="0"/>
          <c:showVal val="1"/>
          <c:showCatName val="0"/>
          <c:showSerName val="0"/>
          <c:showPercent val="0"/>
          <c:showBubbleSize val="0"/>
        </c:dLbls>
        <c:marker val="0"/>
        <c:smooth val="0"/>
        <c:axId val="695604232"/>
        <c:axId val="695606280"/>
      </c:lineChart>
      <c:catAx>
        <c:axId val="695604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95606280"/>
        <c:crosses val="autoZero"/>
        <c:auto val="1"/>
        <c:lblAlgn val="ctr"/>
        <c:lblOffset val="100"/>
        <c:noMultiLvlLbl val="0"/>
      </c:catAx>
      <c:valAx>
        <c:axId val="695606280"/>
        <c:scaling>
          <c:orientation val="minMax"/>
        </c:scaling>
        <c:delete val="0"/>
        <c:axPos val="l"/>
        <c:majorGridlines>
          <c:spPr>
            <a:ln w="9525" cap="flat" cmpd="sng" algn="ctr">
              <a:solidFill>
                <a:schemeClr val="tx1">
                  <a:lumMod val="15000"/>
                  <a:lumOff val="850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9560423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034cd038-af77-4059-8765-a52303dbdb32}"/>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Efficiency</a:t>
            </a:r>
            <a:endParaRPr lang="en-US"/>
          </a:p>
        </c:rich>
      </c:tx>
      <c:layout/>
      <c:overlay val="0"/>
      <c:spPr>
        <a:noFill/>
        <a:ln>
          <a:noFill/>
        </a:ln>
        <a:effectLst/>
      </c:spPr>
    </c:title>
    <c:autoTitleDeleted val="0"/>
    <c:plotArea>
      <c:layout/>
      <c:barChart>
        <c:barDir val="bar"/>
        <c:grouping val="clustered"/>
        <c:varyColors val="0"/>
        <c:ser>
          <c:idx val="0"/>
          <c:order val="0"/>
          <c:tx>
            <c:strRef>
              <c:f>[D2633526V1.xlsx]Charts!$A$11</c:f>
              <c:strCache>
                <c:ptCount val="1"/>
                <c:pt idx="0">
                  <c:v>Asset turnover ratio</c:v>
                </c:pt>
              </c:strCache>
            </c:strRef>
          </c:tx>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[D2633526V1.xlsx]Charts!$B$10:$F$10</c:f>
              <c:numCache>
                <c:formatCode>General</c:formatCode>
                <c:ptCount val="5"/>
                <c:pt idx="0">
                  <c:v>2020</c:v>
                </c:pt>
                <c:pt idx="1">
                  <c:v>2021</c:v>
                </c:pt>
                <c:pt idx="2">
                  <c:v>2022</c:v>
                </c:pt>
                <c:pt idx="3">
                  <c:v>2023</c:v>
                </c:pt>
                <c:pt idx="4">
                  <c:v>2024</c:v>
                </c:pt>
              </c:numCache>
            </c:numRef>
          </c:cat>
          <c:val>
            <c:numRef>
              <c:f>[D2633526V1.xlsx]Charts!$B$11:$F$11</c:f>
              <c:numCache>
                <c:formatCode>0.00_ </c:formatCode>
                <c:ptCount val="5"/>
                <c:pt idx="0">
                  <c:v>0.604740354376007</c:v>
                </c:pt>
                <c:pt idx="1">
                  <c:v>0.866282532069337</c:v>
                </c:pt>
                <c:pt idx="2">
                  <c:v>0.989360926911025</c:v>
                </c:pt>
                <c:pt idx="3">
                  <c:v>0.91</c:v>
                </c:pt>
                <c:pt idx="4">
                  <c:v>0.8</c:v>
                </c:pt>
              </c:numCache>
            </c:numRef>
          </c:val>
        </c:ser>
        <c:ser>
          <c:idx val="1"/>
          <c:order val="1"/>
          <c:tx>
            <c:strRef>
              <c:f>[D2633526V1.xlsx]Charts!$A$12</c:f>
              <c:strCache>
                <c:ptCount val="1"/>
                <c:pt idx="0">
                  <c:v>Inventory turnover ratio</c:v>
                </c:pt>
              </c:strCache>
            </c:strRef>
          </c:tx>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[D2633526V1.xlsx]Charts!$B$10:$F$10</c:f>
              <c:numCache>
                <c:formatCode>General</c:formatCode>
                <c:ptCount val="5"/>
                <c:pt idx="0">
                  <c:v>2020</c:v>
                </c:pt>
                <c:pt idx="1">
                  <c:v>2021</c:v>
                </c:pt>
                <c:pt idx="2">
                  <c:v>2022</c:v>
                </c:pt>
                <c:pt idx="3">
                  <c:v>2023</c:v>
                </c:pt>
                <c:pt idx="4">
                  <c:v>2024</c:v>
                </c:pt>
              </c:numCache>
            </c:numRef>
          </c:cat>
          <c:val>
            <c:numRef>
              <c:f>[D2633526V1.xlsx]Charts!$B$12:$F$12</c:f>
              <c:numCache>
                <c:formatCode>0.00_ </c:formatCode>
                <c:ptCount val="5"/>
                <c:pt idx="0">
                  <c:v>6.07315288953914</c:v>
                </c:pt>
                <c:pt idx="1">
                  <c:v>6.98575647038388</c:v>
                </c:pt>
                <c:pt idx="2">
                  <c:v>4.72069475815873</c:v>
                </c:pt>
                <c:pt idx="3">
                  <c:v>5.80603258476442</c:v>
                </c:pt>
                <c:pt idx="4">
                  <c:v>6.67720728967296</c:v>
                </c:pt>
              </c:numCache>
            </c:numRef>
          </c:val>
        </c:ser>
        <c:dLbls>
          <c:showLegendKey val="0"/>
          <c:showVal val="1"/>
          <c:showCatName val="0"/>
          <c:showSerName val="0"/>
          <c:showPercent val="0"/>
          <c:showBubbleSize val="0"/>
        </c:dLbls>
        <c:gapWidth val="182"/>
        <c:axId val="619901960"/>
        <c:axId val="619904008"/>
      </c:barChart>
      <c:catAx>
        <c:axId val="6199019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19904008"/>
        <c:crosses val="autoZero"/>
        <c:auto val="1"/>
        <c:lblAlgn val="ctr"/>
        <c:lblOffset val="100"/>
        <c:noMultiLvlLbl val="0"/>
      </c:catAx>
      <c:valAx>
        <c:axId val="619904008"/>
        <c:scaling>
          <c:orientation val="minMax"/>
        </c:scaling>
        <c:delete val="0"/>
        <c:axPos val="b"/>
        <c:majorGridlines>
          <c:spPr>
            <a:ln w="9525" cap="flat" cmpd="sng" algn="ctr">
              <a:solidFill>
                <a:schemeClr val="tx1">
                  <a:lumMod val="15000"/>
                  <a:lumOff val="850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1990196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52bdaf6f-d80a-42b3-b7af-5a2f5496a0de}"/>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Gearing</a:t>
            </a:r>
            <a:endParaRPr lang="en-US"/>
          </a:p>
        </c:rich>
      </c:tx>
      <c:layout/>
      <c:overlay val="0"/>
      <c:spPr>
        <a:noFill/>
        <a:ln>
          <a:noFill/>
        </a:ln>
        <a:effectLst/>
      </c:spPr>
    </c:title>
    <c:autoTitleDeleted val="0"/>
    <c:plotArea>
      <c:layout/>
      <c:barChart>
        <c:barDir val="col"/>
        <c:grouping val="clustered"/>
        <c:varyColors val="0"/>
        <c:ser>
          <c:idx val="0"/>
          <c:order val="0"/>
          <c:tx>
            <c:strRef>
              <c:f>[D2633526V1.xlsx]Charts!$A$15</c:f>
              <c:strCache>
                <c:ptCount val="1"/>
                <c:pt idx="0">
                  <c:v>Debt-equity ratio</c:v>
                </c:pt>
              </c:strCache>
            </c:strRef>
          </c:tx>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[D2633526V1.xlsx]Charts!$B$14:$F$14</c:f>
              <c:numCache>
                <c:formatCode>General</c:formatCode>
                <c:ptCount val="5"/>
                <c:pt idx="0">
                  <c:v>2020</c:v>
                </c:pt>
                <c:pt idx="1">
                  <c:v>2021</c:v>
                </c:pt>
                <c:pt idx="2">
                  <c:v>2022</c:v>
                </c:pt>
                <c:pt idx="3">
                  <c:v>2023</c:v>
                </c:pt>
                <c:pt idx="4">
                  <c:v>2024</c:v>
                </c:pt>
              </c:numCache>
            </c:numRef>
          </c:cat>
          <c:val>
            <c:numRef>
              <c:f>[D2633526V1.xlsx]Charts!$B$15:$F$15</c:f>
              <c:numCache>
                <c:formatCode>0.00_ </c:formatCode>
                <c:ptCount val="5"/>
                <c:pt idx="0">
                  <c:v>1.23154929577465</c:v>
                </c:pt>
                <c:pt idx="1">
                  <c:v>0.9849427696276</c:v>
                </c:pt>
                <c:pt idx="2">
                  <c:v>0.801072786827585</c:v>
                </c:pt>
                <c:pt idx="3">
                  <c:v>0.678728675809175</c:v>
                </c:pt>
                <c:pt idx="4">
                  <c:v>0.657320999225722</c:v>
                </c:pt>
              </c:numCache>
            </c:numRef>
          </c:val>
        </c:ser>
        <c:ser>
          <c:idx val="1"/>
          <c:order val="1"/>
          <c:tx>
            <c:strRef>
              <c:f>[D2633526V1.xlsx]Charts!$A$16</c:f>
              <c:strCache>
                <c:ptCount val="1"/>
                <c:pt idx="0">
                  <c:v>Interest coverage ratio</c:v>
                </c:pt>
              </c:strCache>
            </c:strRef>
          </c:tx>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[D2633526V1.xlsx]Charts!$B$14:$F$14</c:f>
              <c:numCache>
                <c:formatCode>General</c:formatCode>
                <c:ptCount val="5"/>
                <c:pt idx="0">
                  <c:v>2020</c:v>
                </c:pt>
                <c:pt idx="1">
                  <c:v>2021</c:v>
                </c:pt>
                <c:pt idx="2">
                  <c:v>2022</c:v>
                </c:pt>
                <c:pt idx="3">
                  <c:v>2023</c:v>
                </c:pt>
                <c:pt idx="4">
                  <c:v>2024</c:v>
                </c:pt>
              </c:numCache>
            </c:numRef>
          </c:cat>
          <c:val>
            <c:numRef>
              <c:f>[D2633526V1.xlsx]Charts!$B$16:$F$16</c:f>
              <c:numCache>
                <c:formatCode>0.00_ </c:formatCode>
                <c:ptCount val="5"/>
                <c:pt idx="0">
                  <c:v>2.66577540106952</c:v>
                </c:pt>
                <c:pt idx="1">
                  <c:v>17.5822102425876</c:v>
                </c:pt>
                <c:pt idx="2">
                  <c:v>71.4973821989529</c:v>
                </c:pt>
                <c:pt idx="3">
                  <c:v>56.9935897435897</c:v>
                </c:pt>
                <c:pt idx="4">
                  <c:v>20.2171428571429</c:v>
                </c:pt>
              </c:numCache>
            </c:numRef>
          </c:val>
        </c:ser>
        <c:dLbls>
          <c:showLegendKey val="0"/>
          <c:showVal val="1"/>
          <c:showCatName val="0"/>
          <c:showSerName val="0"/>
          <c:showPercent val="0"/>
          <c:showBubbleSize val="0"/>
        </c:dLbls>
        <c:gapWidth val="219"/>
        <c:overlap val="-27"/>
        <c:axId val="976602632"/>
        <c:axId val="976604680"/>
      </c:barChart>
      <c:catAx>
        <c:axId val="976602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976604680"/>
        <c:crosses val="autoZero"/>
        <c:auto val="1"/>
        <c:lblAlgn val="ctr"/>
        <c:lblOffset val="100"/>
        <c:noMultiLvlLbl val="0"/>
      </c:catAx>
      <c:valAx>
        <c:axId val="976604680"/>
        <c:scaling>
          <c:orientation val="minMax"/>
        </c:scaling>
        <c:delete val="0"/>
        <c:axPos val="l"/>
        <c:majorGridlines>
          <c:spPr>
            <a:ln w="9525" cap="flat" cmpd="sng" algn="ctr">
              <a:solidFill>
                <a:schemeClr val="tx1">
                  <a:lumMod val="15000"/>
                  <a:lumOff val="850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97660263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020b9941-199a-4a31-b1c4-a2a97ee9292e}"/>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Investment</a:t>
            </a:r>
            <a:endParaRPr lang="en-US"/>
          </a:p>
        </c:rich>
      </c:tx>
      <c:layout/>
      <c:overlay val="0"/>
      <c:spPr>
        <a:noFill/>
        <a:ln>
          <a:noFill/>
        </a:ln>
        <a:effectLst/>
      </c:spPr>
    </c:title>
    <c:autoTitleDeleted val="0"/>
    <c:plotArea>
      <c:layout/>
      <c:barChart>
        <c:barDir val="bar"/>
        <c:grouping val="clustered"/>
        <c:varyColors val="0"/>
        <c:ser>
          <c:idx val="0"/>
          <c:order val="0"/>
          <c:tx>
            <c:strRef>
              <c:f>[D2633526V1.xlsx]Charts!$A$19</c:f>
              <c:strCache>
                <c:ptCount val="1"/>
                <c:pt idx="0">
                  <c:v>EPS</c:v>
                </c:pt>
              </c:strCache>
            </c:strRef>
          </c:tx>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[D2633526V1.xlsx]Charts!$B$18:$F$18</c:f>
              <c:numCache>
                <c:formatCode>General</c:formatCode>
                <c:ptCount val="5"/>
                <c:pt idx="0">
                  <c:v>2020</c:v>
                </c:pt>
                <c:pt idx="1">
                  <c:v>2021</c:v>
                </c:pt>
                <c:pt idx="2">
                  <c:v>2022</c:v>
                </c:pt>
                <c:pt idx="3">
                  <c:v>2023</c:v>
                </c:pt>
                <c:pt idx="4">
                  <c:v>2024</c:v>
                </c:pt>
              </c:numCache>
            </c:numRef>
          </c:cat>
          <c:val>
            <c:numRef>
              <c:f>[D2633526V1.xlsx]Charts!$B$19:$F$19</c:f>
              <c:numCache>
                <c:formatCode>0.00_ </c:formatCode>
                <c:ptCount val="5"/>
                <c:pt idx="0">
                  <c:v>0.25</c:v>
                </c:pt>
                <c:pt idx="1">
                  <c:v>1.870112657389</c:v>
                </c:pt>
                <c:pt idx="2">
                  <c:v>4.02012136697541</c:v>
                </c:pt>
                <c:pt idx="3">
                  <c:v>4.73112164296998</c:v>
                </c:pt>
                <c:pt idx="4">
                  <c:v>2.2304334268787</c:v>
                </c:pt>
              </c:numCache>
            </c:numRef>
          </c:val>
        </c:ser>
        <c:ser>
          <c:idx val="1"/>
          <c:order val="1"/>
          <c:tx>
            <c:strRef>
              <c:f>[D2633526V1.xlsx]Charts!$A$20</c:f>
              <c:strCache>
                <c:ptCount val="1"/>
                <c:pt idx="0">
                  <c:v>Return on equity</c:v>
                </c:pt>
              </c:strCache>
            </c:strRef>
          </c:tx>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[D2633526V1.xlsx]Charts!$B$18:$F$18</c:f>
              <c:numCache>
                <c:formatCode>General</c:formatCode>
                <c:ptCount val="5"/>
                <c:pt idx="0">
                  <c:v>2020</c:v>
                </c:pt>
                <c:pt idx="1">
                  <c:v>2021</c:v>
                </c:pt>
                <c:pt idx="2">
                  <c:v>2022</c:v>
                </c:pt>
                <c:pt idx="3">
                  <c:v>2023</c:v>
                </c:pt>
                <c:pt idx="4">
                  <c:v>2024</c:v>
                </c:pt>
              </c:numCache>
            </c:numRef>
          </c:cat>
          <c:val>
            <c:numRef>
              <c:f>[D2633526V1.xlsx]Charts!$B$20:$F$20</c:f>
              <c:numCache>
                <c:formatCode>0.00%</c:formatCode>
                <c:ptCount val="5"/>
                <c:pt idx="0">
                  <c:v>0.0373564463705309</c:v>
                </c:pt>
                <c:pt idx="1">
                  <c:v>0.181976463001773</c:v>
                </c:pt>
                <c:pt idx="2">
                  <c:v>0.276704258172305</c:v>
                </c:pt>
                <c:pt idx="3">
                  <c:v>0.236305963671943</c:v>
                </c:pt>
                <c:pt idx="4">
                  <c:v>0.0971650569841205</c:v>
                </c:pt>
              </c:numCache>
            </c:numRef>
          </c:val>
        </c:ser>
        <c:dLbls>
          <c:showLegendKey val="0"/>
          <c:showVal val="1"/>
          <c:showCatName val="0"/>
          <c:showSerName val="0"/>
          <c:showPercent val="0"/>
          <c:showBubbleSize val="0"/>
        </c:dLbls>
        <c:gapWidth val="182"/>
        <c:axId val="1238038536"/>
        <c:axId val="1037762567"/>
      </c:barChart>
      <c:catAx>
        <c:axId val="12380385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037762567"/>
        <c:crosses val="autoZero"/>
        <c:auto val="1"/>
        <c:lblAlgn val="ctr"/>
        <c:lblOffset val="100"/>
        <c:noMultiLvlLbl val="0"/>
      </c:catAx>
      <c:valAx>
        <c:axId val="1037762567"/>
        <c:scaling>
          <c:orientation val="minMax"/>
        </c:scaling>
        <c:delete val="0"/>
        <c:axPos val="b"/>
        <c:majorGridlines>
          <c:spPr>
            <a:ln w="9525" cap="flat" cmpd="sng" algn="ctr">
              <a:solidFill>
                <a:schemeClr val="tx1">
                  <a:lumMod val="15000"/>
                  <a:lumOff val="850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23803853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61011ada-0263-40a7-99d3-f387784c9faf}"/>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Cash Flow</a:t>
            </a:r>
            <a:endParaRPr lang="en-US"/>
          </a:p>
        </c:rich>
      </c:tx>
      <c:layout/>
      <c:overlay val="0"/>
      <c:spPr>
        <a:noFill/>
        <a:ln>
          <a:noFill/>
        </a:ln>
        <a:effectLst/>
      </c:spPr>
    </c:title>
    <c:autoTitleDeleted val="0"/>
    <c:plotArea>
      <c:layout/>
      <c:lineChart>
        <c:grouping val="standard"/>
        <c:varyColors val="0"/>
        <c:ser>
          <c:idx val="0"/>
          <c:order val="0"/>
          <c:tx>
            <c:strRef>
              <c:f>[D2633526V1.xlsx]Charts!$A$23</c:f>
              <c:strCache>
                <c:ptCount val="1"/>
                <c:pt idx="0">
                  <c:v>Operating cash flow ratio</c:v>
                </c:pt>
              </c:strCache>
            </c:strRef>
          </c:tx>
          <c:spPr>
            <a:ln w="28575" cap="rnd">
              <a:solidFill>
                <a:schemeClr val="accent1"/>
              </a:solidFill>
              <a:round/>
            </a:ln>
            <a:effectLst/>
          </c:spPr>
          <c:marker>
            <c:symbol val="none"/>
          </c:marker>
          <c:dLbls>
            <c:delete val="1"/>
          </c:dLbls>
          <c:cat>
            <c:numRef>
              <c:f>[D2633526V1.xlsx]Charts!$B$22:$F$22</c:f>
              <c:numCache>
                <c:formatCode>General</c:formatCode>
                <c:ptCount val="5"/>
                <c:pt idx="0">
                  <c:v>2020</c:v>
                </c:pt>
                <c:pt idx="1">
                  <c:v>2021</c:v>
                </c:pt>
                <c:pt idx="2">
                  <c:v>2022</c:v>
                </c:pt>
                <c:pt idx="3">
                  <c:v>2023</c:v>
                </c:pt>
                <c:pt idx="4">
                  <c:v>2024</c:v>
                </c:pt>
              </c:numCache>
            </c:numRef>
          </c:cat>
          <c:val>
            <c:numRef>
              <c:f>[D2633526V1.xlsx]Charts!$B$23:$F$23</c:f>
              <c:numCache>
                <c:formatCode>0.00_ </c:formatCode>
                <c:ptCount val="5"/>
                <c:pt idx="0">
                  <c:v>0.417111173498035</c:v>
                </c:pt>
                <c:pt idx="1">
                  <c:v>0.5834559756407</c:v>
                </c:pt>
                <c:pt idx="2">
                  <c:v>0.551274851173762</c:v>
                </c:pt>
                <c:pt idx="3">
                  <c:v>0.46</c:v>
                </c:pt>
                <c:pt idx="4">
                  <c:v>0.52</c:v>
                </c:pt>
              </c:numCache>
            </c:numRef>
          </c:val>
          <c:smooth val="0"/>
        </c:ser>
        <c:ser>
          <c:idx val="1"/>
          <c:order val="1"/>
          <c:tx>
            <c:strRef>
              <c:f>[D2633526V1.xlsx]Charts!$A$24</c:f>
              <c:strCache>
                <c:ptCount val="1"/>
                <c:pt idx="0">
                  <c:v>Cash ratio</c:v>
                </c:pt>
              </c:strCache>
            </c:strRef>
          </c:tx>
          <c:spPr>
            <a:ln w="28575" cap="rnd">
              <a:solidFill>
                <a:schemeClr val="accent2"/>
              </a:solidFill>
              <a:round/>
            </a:ln>
            <a:effectLst/>
          </c:spPr>
          <c:marker>
            <c:symbol val="none"/>
          </c:marker>
          <c:dLbls>
            <c:delete val="1"/>
          </c:dLbls>
          <c:cat>
            <c:numRef>
              <c:f>[D2633526V1.xlsx]Charts!$B$22:$F$22</c:f>
              <c:numCache>
                <c:formatCode>General</c:formatCode>
                <c:ptCount val="5"/>
                <c:pt idx="0">
                  <c:v>2020</c:v>
                </c:pt>
                <c:pt idx="1">
                  <c:v>2021</c:v>
                </c:pt>
                <c:pt idx="2">
                  <c:v>2022</c:v>
                </c:pt>
                <c:pt idx="3">
                  <c:v>2023</c:v>
                </c:pt>
                <c:pt idx="4">
                  <c:v>2024</c:v>
                </c:pt>
              </c:numCache>
            </c:numRef>
          </c:cat>
          <c:val>
            <c:numRef>
              <c:f>[D2633526V1.xlsx]Charts!$B$24:$F$24</c:f>
              <c:numCache>
                <c:formatCode>0.00_ </c:formatCode>
                <c:ptCount val="5"/>
                <c:pt idx="0">
                  <c:v>1.36047164514318</c:v>
                </c:pt>
                <c:pt idx="1">
                  <c:v>0.891956356254758</c:v>
                </c:pt>
                <c:pt idx="2">
                  <c:v>0.608521472162941</c:v>
                </c:pt>
                <c:pt idx="3">
                  <c:v>0.570404897732016</c:v>
                </c:pt>
                <c:pt idx="4">
                  <c:v>0.559973630338989</c:v>
                </c:pt>
              </c:numCache>
            </c:numRef>
          </c:val>
          <c:smooth val="0"/>
        </c:ser>
        <c:dLbls>
          <c:showLegendKey val="0"/>
          <c:showVal val="0"/>
          <c:showCatName val="0"/>
          <c:showSerName val="0"/>
          <c:showPercent val="0"/>
          <c:showBubbleSize val="0"/>
        </c:dLbls>
        <c:marker val="0"/>
        <c:smooth val="0"/>
        <c:axId val="1026071559"/>
        <c:axId val="1026077703"/>
      </c:lineChart>
      <c:catAx>
        <c:axId val="1026071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026077703"/>
        <c:crosses val="autoZero"/>
        <c:auto val="1"/>
        <c:lblAlgn val="ctr"/>
        <c:lblOffset val="100"/>
        <c:noMultiLvlLbl val="0"/>
      </c:catAx>
      <c:valAx>
        <c:axId val="1026077703"/>
        <c:scaling>
          <c:orientation val="minMax"/>
        </c:scaling>
        <c:delete val="0"/>
        <c:axPos val="l"/>
        <c:majorGridlines>
          <c:spPr>
            <a:ln w="9525" cap="flat" cmpd="sng" algn="ctr">
              <a:solidFill>
                <a:schemeClr val="tx1">
                  <a:lumMod val="15000"/>
                  <a:lumOff val="85000"/>
                </a:schemeClr>
              </a:solidFill>
              <a:round/>
            </a:ln>
            <a:effectLst/>
          </c:spPr>
        </c:majorGridlines>
        <c:numFmt formatCode="0.0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02607155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dTable>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af5a61d7-6345-4ffd-8cb4-88f07c52acc5}"/>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Cash Operating Cycle</a:t>
            </a:r>
            <a:endParaRPr lang="en-US"/>
          </a:p>
        </c:rich>
      </c:tx>
      <c:layout/>
      <c:overlay val="0"/>
      <c:spPr>
        <a:noFill/>
        <a:ln>
          <a:noFill/>
        </a:ln>
        <a:effectLst/>
      </c:spPr>
    </c:title>
    <c:autoTitleDeleted val="0"/>
    <c:plotArea>
      <c:layout/>
      <c:barChart>
        <c:barDir val="col"/>
        <c:grouping val="clustered"/>
        <c:varyColors val="0"/>
        <c:ser>
          <c:idx val="0"/>
          <c:order val="0"/>
          <c:tx>
            <c:strRef>
              <c:f>[D2633526V1.xlsx]Charts!$A$27</c:f>
              <c:strCache>
                <c:ptCount val="1"/>
                <c:pt idx="0">
                  <c:v>Inventory days</c:v>
                </c:pt>
              </c:strCache>
            </c:strRef>
          </c:tx>
          <c:spPr>
            <a:solidFill>
              <a:schemeClr val="accent1"/>
            </a:solidFill>
            <a:ln>
              <a:noFill/>
            </a:ln>
            <a:effectLst/>
          </c:spPr>
          <c:invertIfNegative val="0"/>
          <c:dLbls>
            <c:delete val="1"/>
          </c:dLbls>
          <c:cat>
            <c:numRef>
              <c:f>[D2633526V1.xlsx]Charts!$B$26:$F$26</c:f>
              <c:numCache>
                <c:formatCode>General</c:formatCode>
                <c:ptCount val="5"/>
                <c:pt idx="0">
                  <c:v>2020</c:v>
                </c:pt>
                <c:pt idx="1">
                  <c:v>2021</c:v>
                </c:pt>
                <c:pt idx="2">
                  <c:v>2022</c:v>
                </c:pt>
                <c:pt idx="3">
                  <c:v>2023</c:v>
                </c:pt>
                <c:pt idx="4">
                  <c:v>2024</c:v>
                </c:pt>
              </c:numCache>
            </c:numRef>
          </c:cat>
          <c:val>
            <c:numRef>
              <c:f>[D2633526V1.xlsx]Charts!$B$27:$F$27</c:f>
              <c:numCache>
                <c:formatCode>0_ </c:formatCode>
                <c:ptCount val="5"/>
                <c:pt idx="0">
                  <c:v>60.100578173934</c:v>
                </c:pt>
                <c:pt idx="1">
                  <c:v>52.249173235199</c:v>
                </c:pt>
                <c:pt idx="2">
                  <c:v>77.3191275223152</c:v>
                </c:pt>
                <c:pt idx="3">
                  <c:v>62.8656478707671</c:v>
                </c:pt>
                <c:pt idx="4">
                  <c:v>54.6635717846461</c:v>
                </c:pt>
              </c:numCache>
            </c:numRef>
          </c:val>
        </c:ser>
        <c:ser>
          <c:idx val="1"/>
          <c:order val="1"/>
          <c:tx>
            <c:strRef>
              <c:f>[D2633526V1.xlsx]Charts!$A$28</c:f>
              <c:strCache>
                <c:ptCount val="1"/>
                <c:pt idx="0">
                  <c:v>Receivable days</c:v>
                </c:pt>
              </c:strCache>
            </c:strRef>
          </c:tx>
          <c:spPr>
            <a:solidFill>
              <a:schemeClr val="accent2"/>
            </a:solidFill>
            <a:ln>
              <a:noFill/>
            </a:ln>
            <a:effectLst/>
          </c:spPr>
          <c:invertIfNegative val="0"/>
          <c:dLbls>
            <c:delete val="1"/>
          </c:dLbls>
          <c:cat>
            <c:numRef>
              <c:f>[D2633526V1.xlsx]Charts!$B$26:$F$26</c:f>
              <c:numCache>
                <c:formatCode>General</c:formatCode>
                <c:ptCount val="5"/>
                <c:pt idx="0">
                  <c:v>2020</c:v>
                </c:pt>
                <c:pt idx="1">
                  <c:v>2021</c:v>
                </c:pt>
                <c:pt idx="2">
                  <c:v>2022</c:v>
                </c:pt>
                <c:pt idx="3">
                  <c:v>2023</c:v>
                </c:pt>
                <c:pt idx="4">
                  <c:v>2024</c:v>
                </c:pt>
              </c:numCache>
            </c:numRef>
          </c:cat>
          <c:val>
            <c:numRef>
              <c:f>[D2633526V1.xlsx]Charts!$B$28:$F$28</c:f>
              <c:numCache>
                <c:formatCode>0_ </c:formatCode>
                <c:ptCount val="5"/>
                <c:pt idx="0">
                  <c:v>21.8287037037037</c:v>
                </c:pt>
                <c:pt idx="1">
                  <c:v>12.9729855266336</c:v>
                </c:pt>
                <c:pt idx="2">
                  <c:v>13.2267805848126</c:v>
                </c:pt>
                <c:pt idx="3">
                  <c:v>13</c:v>
                </c:pt>
                <c:pt idx="4">
                  <c:v>17</c:v>
                </c:pt>
              </c:numCache>
            </c:numRef>
          </c:val>
        </c:ser>
        <c:dLbls>
          <c:showLegendKey val="0"/>
          <c:showVal val="0"/>
          <c:showCatName val="0"/>
          <c:showSerName val="0"/>
          <c:showPercent val="0"/>
          <c:showBubbleSize val="0"/>
        </c:dLbls>
        <c:gapWidth val="150"/>
        <c:axId val="1372344327"/>
        <c:axId val="1372346375"/>
      </c:barChart>
      <c:lineChart>
        <c:grouping val="standard"/>
        <c:varyColors val="0"/>
        <c:ser>
          <c:idx val="2"/>
          <c:order val="2"/>
          <c:tx>
            <c:strRef>
              <c:f>[D2633526V1.xlsx]Charts!$A$29</c:f>
              <c:strCache>
                <c:ptCount val="1"/>
                <c:pt idx="0">
                  <c:v>Payable days</c:v>
                </c:pt>
              </c:strCache>
            </c:strRef>
          </c:tx>
          <c:spPr>
            <a:ln w="28575" cap="rnd">
              <a:solidFill>
                <a:schemeClr val="accent3"/>
              </a:solidFill>
              <a:round/>
            </a:ln>
            <a:effectLst/>
          </c:spPr>
          <c:marker>
            <c:symbol val="none"/>
          </c:marker>
          <c:dLbls>
            <c:delete val="1"/>
          </c:dLbls>
          <c:cat>
            <c:numRef>
              <c:f>[D2633526V1.xlsx]Charts!$B$26:$F$26</c:f>
              <c:numCache>
                <c:formatCode>General</c:formatCode>
                <c:ptCount val="5"/>
                <c:pt idx="0">
                  <c:v>2020</c:v>
                </c:pt>
                <c:pt idx="1">
                  <c:v>2021</c:v>
                </c:pt>
                <c:pt idx="2">
                  <c:v>2022</c:v>
                </c:pt>
                <c:pt idx="3">
                  <c:v>2023</c:v>
                </c:pt>
                <c:pt idx="4">
                  <c:v>2024</c:v>
                </c:pt>
              </c:numCache>
            </c:numRef>
          </c:cat>
          <c:val>
            <c:numRef>
              <c:f>[D2633526V1.xlsx]Charts!$B$29:$F$29</c:f>
              <c:numCache>
                <c:formatCode>0_ </c:formatCode>
                <c:ptCount val="5"/>
                <c:pt idx="0">
                  <c:v>88.7219947000723</c:v>
                </c:pt>
                <c:pt idx="1">
                  <c:v>90.9845339035731</c:v>
                </c:pt>
                <c:pt idx="2">
                  <c:v>91.8687818640796</c:v>
                </c:pt>
                <c:pt idx="3">
                  <c:v>66.5796392501864</c:v>
                </c:pt>
                <c:pt idx="4">
                  <c:v>56.7423978065803</c:v>
                </c:pt>
              </c:numCache>
            </c:numRef>
          </c:val>
          <c:smooth val="0"/>
        </c:ser>
        <c:ser>
          <c:idx val="3"/>
          <c:order val="3"/>
          <c:tx>
            <c:strRef>
              <c:f>[D2633526V1.xlsx]Charts!$A$30</c:f>
              <c:strCache>
                <c:ptCount val="1"/>
                <c:pt idx="0">
                  <c:v>Cash Operating Cycle</c:v>
                </c:pt>
              </c:strCache>
            </c:strRef>
          </c:tx>
          <c:spPr>
            <a:ln w="28575" cap="rnd">
              <a:solidFill>
                <a:schemeClr val="accent4"/>
              </a:solidFill>
              <a:round/>
            </a:ln>
            <a:effectLst/>
          </c:spPr>
          <c:marker>
            <c:symbol val="none"/>
          </c:marker>
          <c:dLbls>
            <c:delete val="1"/>
          </c:dLbls>
          <c:cat>
            <c:numRef>
              <c:f>[D2633526V1.xlsx]Charts!$B$26:$F$26</c:f>
              <c:numCache>
                <c:formatCode>General</c:formatCode>
                <c:ptCount val="5"/>
                <c:pt idx="0">
                  <c:v>2020</c:v>
                </c:pt>
                <c:pt idx="1">
                  <c:v>2021</c:v>
                </c:pt>
                <c:pt idx="2">
                  <c:v>2022</c:v>
                </c:pt>
                <c:pt idx="3">
                  <c:v>2023</c:v>
                </c:pt>
                <c:pt idx="4">
                  <c:v>2024</c:v>
                </c:pt>
              </c:numCache>
            </c:numRef>
          </c:cat>
          <c:val>
            <c:numRef>
              <c:f>[D2633526V1.xlsx]Charts!$B$30:$F$30</c:f>
              <c:numCache>
                <c:formatCode>0_ </c:formatCode>
                <c:ptCount val="5"/>
                <c:pt idx="0">
                  <c:v>-6.79271282243461</c:v>
                </c:pt>
                <c:pt idx="1">
                  <c:v>-25.7623751417405</c:v>
                </c:pt>
                <c:pt idx="2">
                  <c:v>-1.32287375695179</c:v>
                </c:pt>
                <c:pt idx="3">
                  <c:v>10</c:v>
                </c:pt>
                <c:pt idx="4">
                  <c:v>14</c:v>
                </c:pt>
              </c:numCache>
            </c:numRef>
          </c:val>
          <c:smooth val="0"/>
        </c:ser>
        <c:dLbls>
          <c:showLegendKey val="0"/>
          <c:showVal val="0"/>
          <c:showCatName val="0"/>
          <c:showSerName val="0"/>
          <c:showPercent val="0"/>
          <c:showBubbleSize val="0"/>
        </c:dLbls>
        <c:marker val="0"/>
        <c:smooth val="0"/>
        <c:axId val="1372344327"/>
        <c:axId val="1372346375"/>
      </c:lineChart>
      <c:catAx>
        <c:axId val="1372344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372346375"/>
        <c:crosses val="autoZero"/>
        <c:auto val="1"/>
        <c:lblAlgn val="ctr"/>
        <c:lblOffset val="100"/>
        <c:noMultiLvlLbl val="0"/>
      </c:catAx>
      <c:valAx>
        <c:axId val="1372346375"/>
        <c:scaling>
          <c:orientation val="minMax"/>
        </c:scaling>
        <c:delete val="0"/>
        <c:axPos val="l"/>
        <c:majorGridlines>
          <c:spPr>
            <a:ln w="9525" cap="flat" cmpd="sng" algn="ctr">
              <a:solidFill>
                <a:schemeClr val="tx1">
                  <a:lumMod val="15000"/>
                  <a:lumOff val="85000"/>
                </a:schemeClr>
              </a:solidFill>
              <a:round/>
            </a:ln>
            <a:effectLst/>
          </c:spPr>
        </c:majorGridlines>
        <c:numFmt formatCode="0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37234432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dTable>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f14d411d-b29d-41a9-89d9-393a3519ed66}"/>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32</Pages>
  <Words>3389</Words>
  <Characters>18874</Characters>
  <Lines>363</Lines>
  <Paragraphs>102</Paragraphs>
  <TotalTime>6</TotalTime>
  <ScaleCrop>false</ScaleCrop>
  <LinksUpToDate>false</LinksUpToDate>
  <CharactersWithSpaces>22177</CharactersWithSpaces>
  <Application>WPS Office_12.1.0.25242_F1E327BC-269C-435d-A152-05C5408002CA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2026-04-16T10:44:00Z</dcterms:created>
  <dc:creator>Roshan Shah</dc:creator>
  <cp:lastModifiedBy>Roshan Shah</cp:lastModifiedBy>
  <dcterms:modified xsi:type="dcterms:W3CDTF">2026-04-22T07:08:46Z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1033-12.1.0.25242</vt:lpwstr>
  </property>
  <property fmtid="{D5CDD505-2E9C-101B-9397-08002B2CF9AE}" pid="3" name="ICV">
    <vt:lpwstr>77EAFAFED9857CFBD93ADF69735E215E_41</vt:lpwstr>
  </property>
  <property fmtid="{D5CDD505-2E9C-101B-9397-08002B2CF9AE}" pid="4" name="GrammarlyDocumentId">
    <vt:lpwstr>23bd42b0-716f-4e09-b04b-e04f7bbf2942</vt:lpwstr>
  </property>
  <property fmtid="{D5CDD505-2E9C-101B-9397-08002B2CF9AE}" pid="5" name="KSOTemplateDocerSaveRecord">
    <vt:lpwstr>eyJoZGlkIjoiYTA5NjFmZjdmYzRhZDY1NTA1Njc4MTdmM2ZlMmQ0YmMiLCJ1c2VySWQiOiI1NjczODgwNjU3NTEifQ==</vt:lpwstr>
  </property>
</Properties>
</file>