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8EA29" w14:textId="73E404E3" w:rsidR="00752D41" w:rsidRPr="0046401C" w:rsidRDefault="0047250F" w:rsidP="0047250F">
      <w:pPr>
        <w:jc w:val="center"/>
        <w:rPr>
          <w:sz w:val="36"/>
          <w:szCs w:val="36"/>
          <w:u w:val="single"/>
        </w:rPr>
      </w:pPr>
      <w:r w:rsidRPr="0046401C">
        <w:rPr>
          <w:sz w:val="36"/>
          <w:szCs w:val="36"/>
          <w:u w:val="single"/>
        </w:rPr>
        <w:t>Critical analysis on the online presence of the Imperial War Museums</w:t>
      </w:r>
    </w:p>
    <w:p w14:paraId="0D9C7693" w14:textId="467D8D7D" w:rsidR="0047250F" w:rsidRDefault="0047250F" w:rsidP="0047250F">
      <w:pPr>
        <w:jc w:val="center"/>
      </w:pPr>
    </w:p>
    <w:p w14:paraId="716B4C41" w14:textId="77777777" w:rsidR="0046401C" w:rsidRDefault="0046401C" w:rsidP="0047250F"/>
    <w:p w14:paraId="49CC24C6" w14:textId="77777777" w:rsidR="0046401C" w:rsidRDefault="0046401C" w:rsidP="0047250F"/>
    <w:p w14:paraId="4F2DF59B" w14:textId="77777777" w:rsidR="0046401C" w:rsidRDefault="0046401C" w:rsidP="0047250F"/>
    <w:p w14:paraId="59A9D511" w14:textId="395E551B" w:rsidR="0047250F" w:rsidRDefault="0047250F" w:rsidP="0047250F">
      <w:r>
        <w:t xml:space="preserve">In order to properly analyse an institute that deals with war and militaria, one has to have some context for the nation to whom said militaria </w:t>
      </w:r>
      <w:r w:rsidR="0046401C">
        <w:t>‘</w:t>
      </w:r>
      <w:r>
        <w:t>belongs’.  While this is obviously a topic that could fill several hundred tomes, a worthy summary is provided by Hassan and Wright</w:t>
      </w:r>
      <w:r>
        <w:rPr>
          <w:rStyle w:val="FootnoteReference"/>
        </w:rPr>
        <w:footnoteReference w:id="1"/>
      </w:r>
      <w:r w:rsidR="001A49EB">
        <w:t>. In this explanation, coined as ‘the revivalist fable’, the heroic victory of Britain’s wartime brilliance is repeatedly tarnished by encroaching ‘degenerate’ institutions and occurrences – unions, immigration, the youths, moral degradation and so on. Those who would invoke this myth, however, are a return of the fabled champions and like resurrected heroes will steer the nation back to its correct path that it may recrystalise as the eidolon of times past. As Wright says, “</w:t>
      </w:r>
      <w:r w:rsidR="001A49EB" w:rsidRPr="001A49EB">
        <w:t>The Revivalist Fable has endured as a rallying cry not just in the battle against the now largely dismantled welfare state, but also in the martial rhetoric of Euroscepticism.</w:t>
      </w:r>
      <w:r w:rsidR="001A49EB">
        <w:t>”</w:t>
      </w:r>
      <w:r w:rsidR="001A49EB">
        <w:rPr>
          <w:rStyle w:val="FootnoteReference"/>
        </w:rPr>
        <w:footnoteReference w:id="2"/>
      </w:r>
      <w:r w:rsidR="001A49EB">
        <w:t xml:space="preserve">. </w:t>
      </w:r>
      <w:r w:rsidR="008B2108">
        <w:t>It needs to be clear that any promotion of UK military history is going to be subject to the same push and pull of narrative forces that have been so clearly weaponised over the UK’s ‘Brexit Era’, and thus during this analysis extra attention will be paid to these socio-political ideas.</w:t>
      </w:r>
    </w:p>
    <w:p w14:paraId="29874D72" w14:textId="46B2DF90" w:rsidR="008B2108" w:rsidRDefault="008B2108" w:rsidP="0047250F"/>
    <w:p w14:paraId="0C0CAFB6" w14:textId="77777777" w:rsidR="008B2108" w:rsidRDefault="008B2108" w:rsidP="0047250F"/>
    <w:p w14:paraId="49A26D97" w14:textId="77777777" w:rsidR="008B2108" w:rsidRDefault="008B2108" w:rsidP="0047250F"/>
    <w:p w14:paraId="4C0FE3D7" w14:textId="77777777" w:rsidR="008B2108" w:rsidRDefault="008B2108" w:rsidP="0047250F"/>
    <w:p w14:paraId="7C1DB276" w14:textId="77777777" w:rsidR="008B2108" w:rsidRDefault="008B2108" w:rsidP="0047250F"/>
    <w:p w14:paraId="2F79E9D7" w14:textId="77777777" w:rsidR="008B2108" w:rsidRDefault="008B2108" w:rsidP="0047250F"/>
    <w:p w14:paraId="495D58E3" w14:textId="77777777" w:rsidR="008B2108" w:rsidRDefault="008B2108" w:rsidP="0047250F"/>
    <w:p w14:paraId="1E99E5E3" w14:textId="77777777" w:rsidR="008B2108" w:rsidRDefault="008B2108" w:rsidP="0047250F"/>
    <w:p w14:paraId="6BE2A414" w14:textId="77777777" w:rsidR="008B2108" w:rsidRDefault="008B2108" w:rsidP="0047250F"/>
    <w:p w14:paraId="34536E64" w14:textId="77777777" w:rsidR="008B2108" w:rsidRDefault="008B2108" w:rsidP="0047250F"/>
    <w:p w14:paraId="56FE9008" w14:textId="77777777" w:rsidR="008B2108" w:rsidRDefault="008B2108" w:rsidP="0047250F"/>
    <w:p w14:paraId="2E992BDA" w14:textId="77777777" w:rsidR="008B2108" w:rsidRDefault="008B2108" w:rsidP="0047250F"/>
    <w:p w14:paraId="76859873" w14:textId="10785B84" w:rsidR="003A30AB" w:rsidRDefault="0046401C" w:rsidP="0047250F">
      <w:pPr>
        <w:rPr>
          <w:sz w:val="32"/>
          <w:szCs w:val="32"/>
        </w:rPr>
      </w:pPr>
      <w:r>
        <w:rPr>
          <w:noProof/>
        </w:rPr>
        <w:lastRenderedPageBreak/>
        <mc:AlternateContent>
          <mc:Choice Requires="wps">
            <w:drawing>
              <wp:anchor distT="0" distB="0" distL="114300" distR="114300" simplePos="0" relativeHeight="251661312" behindDoc="1" locked="0" layoutInCell="1" allowOverlap="1" wp14:anchorId="745B9B23" wp14:editId="7CE7798C">
                <wp:simplePos x="0" y="0"/>
                <wp:positionH relativeFrom="column">
                  <wp:posOffset>-2540</wp:posOffset>
                </wp:positionH>
                <wp:positionV relativeFrom="paragraph">
                  <wp:posOffset>1666875</wp:posOffset>
                </wp:positionV>
                <wp:extent cx="573151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E77CF9F" w14:textId="62F03822" w:rsidR="0046401C" w:rsidRPr="0046401C" w:rsidRDefault="0046401C" w:rsidP="0046401C">
                            <w:pPr>
                              <w:pStyle w:val="Caption"/>
                              <w:jc w:val="right"/>
                              <w:rPr>
                                <w:i w:val="0"/>
                                <w:iCs w:val="0"/>
                                <w:noProof/>
                                <w:sz w:val="32"/>
                                <w:szCs w:val="32"/>
                              </w:rPr>
                            </w:pPr>
                            <w:r w:rsidRPr="0046401C">
                              <w:rPr>
                                <w:i w:val="0"/>
                                <w:iCs w:val="0"/>
                              </w:rPr>
                              <w:t xml:space="preserve">Via </w:t>
                            </w:r>
                            <w:r>
                              <w:rPr>
                                <w:i w:val="0"/>
                                <w:iCs w:val="0"/>
                              </w:rPr>
                              <w:t>iwm</w:t>
                            </w:r>
                            <w:r w:rsidRPr="0046401C">
                              <w:rPr>
                                <w:i w:val="0"/>
                                <w:iCs w:val="0"/>
                              </w:rPr>
                              <w:t>.</w:t>
                            </w:r>
                            <w:r>
                              <w:rPr>
                                <w:i w:val="0"/>
                                <w:iCs w:val="0"/>
                              </w:rPr>
                              <w:t>o</w:t>
                            </w:r>
                            <w:r w:rsidRPr="0046401C">
                              <w:rPr>
                                <w:i w:val="0"/>
                                <w:iCs w:val="0"/>
                              </w:rPr>
                              <w:t>rg.</w:t>
                            </w:r>
                            <w:r>
                              <w:rPr>
                                <w:i w:val="0"/>
                                <w:iCs w:val="0"/>
                              </w:rPr>
                              <w:t>uk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45B9B23" id="_x0000_t202" coordsize="21600,21600" o:spt="202" path="m,l,21600r21600,l21600,xe">
                <v:stroke joinstyle="miter"/>
                <v:path gradientshapeok="t" o:connecttype="rect"/>
              </v:shapetype>
              <v:shape id="Text Box 3" o:spid="_x0000_s1026" type="#_x0000_t202" style="position:absolute;margin-left:-.2pt;margin-top:131.25pt;width:451.3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" stroked="f">
                <v:textbox style="mso-fit-shape-to-text:t" inset="0,0,0,0">
                  <w:txbxContent>
                    <w:p w14:paraId="6E77CF9F" w14:textId="62F03822" w:rsidR="0046401C" w:rsidRPr="0046401C" w:rsidRDefault="0046401C" w:rsidP="0046401C">
                      <w:pPr>
                        <w:pStyle w:val="Caption"/>
                        <w:jc w:val="right"/>
                        <w:rPr>
                          <w:i w:val="0"/>
                          <w:iCs w:val="0"/>
                          <w:noProof/>
                          <w:sz w:val="32"/>
                          <w:szCs w:val="32"/>
                        </w:rPr>
                      </w:pPr>
                      <w:r w:rsidRPr="0046401C">
                        <w:rPr>
                          <w:i w:val="0"/>
                          <w:iCs w:val="0"/>
                        </w:rPr>
                        <w:t xml:space="preserve">Via </w:t>
                      </w:r>
                      <w:r>
                        <w:rPr>
                          <w:i w:val="0"/>
                          <w:iCs w:val="0"/>
                        </w:rPr>
                        <w:t>iwm</w:t>
                      </w:r>
                      <w:r w:rsidRPr="0046401C">
                        <w:rPr>
                          <w:i w:val="0"/>
                          <w:iCs w:val="0"/>
                        </w:rPr>
                        <w:t>.</w:t>
                      </w:r>
                      <w:r>
                        <w:rPr>
                          <w:i w:val="0"/>
                          <w:iCs w:val="0"/>
                        </w:rPr>
                        <w:t>o</w:t>
                      </w:r>
                      <w:r w:rsidRPr="0046401C">
                        <w:rPr>
                          <w:i w:val="0"/>
                          <w:iCs w:val="0"/>
                        </w:rPr>
                        <w:t>rg.</w:t>
                      </w:r>
                      <w:r>
                        <w:rPr>
                          <w:i w:val="0"/>
                          <w:iCs w:val="0"/>
                        </w:rPr>
                        <w:t>uk</w:t>
                      </w:r>
                    </w:p>
                  </w:txbxContent>
                </v:textbox>
                <w10:wrap type="tight"/>
              </v:shape>
            </w:pict>
          </mc:Fallback>
        </mc:AlternateContent>
      </w:r>
      <w:r w:rsidR="008B2108" w:rsidRPr="008B2108">
        <w:rPr>
          <w:noProof/>
          <w:sz w:val="32"/>
          <w:szCs w:val="32"/>
        </w:rPr>
        <w:drawing>
          <wp:anchor distT="0" distB="0" distL="114300" distR="114300" simplePos="0" relativeHeight="251658240" behindDoc="1" locked="0" layoutInCell="1" allowOverlap="1" wp14:anchorId="28260177" wp14:editId="39093DFC">
            <wp:simplePos x="0" y="0"/>
            <wp:positionH relativeFrom="margin">
              <wp:align>right</wp:align>
            </wp:positionH>
            <wp:positionV relativeFrom="paragraph">
              <wp:posOffset>0</wp:posOffset>
            </wp:positionV>
            <wp:extent cx="5731510" cy="1609725"/>
            <wp:effectExtent l="0" t="0" r="2540" b="9525"/>
            <wp:wrapTight wrapText="bothSides">
              <wp:wrapPolygon edited="0">
                <wp:start x="0" y="0"/>
                <wp:lineTo x="0" y="21472"/>
                <wp:lineTo x="21538" y="21472"/>
                <wp:lineTo x="21538" y="0"/>
                <wp:lineTo x="0" y="0"/>
              </wp:wrapPolygon>
            </wp:wrapTight>
            <wp:docPr id="1" name="Picture 1"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1609725"/>
                    </a:xfrm>
                    <a:prstGeom prst="rect">
                      <a:avLst/>
                    </a:prstGeom>
                  </pic:spPr>
                </pic:pic>
              </a:graphicData>
            </a:graphic>
          </wp:anchor>
        </w:drawing>
      </w:r>
    </w:p>
    <w:p w14:paraId="31FBF19F" w14:textId="5D0A9EA7" w:rsidR="008B2108" w:rsidRPr="003A30AB" w:rsidRDefault="008B2108" w:rsidP="0047250F">
      <w:pPr>
        <w:rPr>
          <w:sz w:val="32"/>
          <w:szCs w:val="32"/>
        </w:rPr>
      </w:pPr>
      <w:r>
        <w:t>The very first thing that one sees upon opening the Imperial War Museums</w:t>
      </w:r>
      <w:r>
        <w:rPr>
          <w:rStyle w:val="FootnoteReference"/>
        </w:rPr>
        <w:footnoteReference w:id="3"/>
      </w:r>
      <w:r>
        <w:t xml:space="preserve"> website is a banner of Elizabeth II, smiling and proud in military uniform next to a large medical military vehicle. One cannot deny the aesthetic quality of the banner </w:t>
      </w:r>
      <w:r w:rsidR="003A30AB">
        <w:t>–</w:t>
      </w:r>
      <w:r>
        <w:t xml:space="preserve"> </w:t>
      </w:r>
      <w:r w:rsidR="003A30AB">
        <w:t xml:space="preserve">the tasteful white font and the information box neatly framing the monarch as the centrepiece of the image. Said information box contains a link to a new display at IWM London, titled ‘The Queen’s Platinum Jubilee’. It would seem that IWM is significantly more interested in any potential online visitors seeing this page than they are with any of the rest of their properties, </w:t>
      </w:r>
      <w:r w:rsidR="00252342">
        <w:t>and this speaks volumes. The platinum jubilee is just around the corner, and any institution that deals with UK military that isn’t strictly and strongly critical will find itself aligned to royalist narratives</w:t>
      </w:r>
      <w:r w:rsidR="00252342">
        <w:rPr>
          <w:rStyle w:val="FootnoteReference"/>
        </w:rPr>
        <w:footnoteReference w:id="4"/>
      </w:r>
      <w:r w:rsidR="00252342">
        <w:t xml:space="preserve">. Here, then, we have IWM trying to show you just how much the queen is like the average Tommy, promising a ‘closely focused exhibition of 18 photographs’ that show how she too had to ‘muck in and do her part’. Furthermore, a selection of images of the queen handing out various awards and meeting with Victoria Cross recipients will show you just how much she and the country care for their war heroes and war wounded. The exhibition will not ask any questions of the morality of monarchy or of how much war and conflict arises of the imperial ambitions of said dynasties. </w:t>
      </w:r>
      <w:r w:rsidR="006D7D05">
        <w:t xml:space="preserve">In presenting what will certainly be a kind and clean image, IWM performs a disservice by reinforcing monarchical beliefs – not by presenting them as greater than the British people, but by presenting Elizabeth II as containing a fundamentally British spirit. </w:t>
      </w:r>
      <w:r w:rsidR="00252342">
        <w:t xml:space="preserve"> </w:t>
      </w:r>
    </w:p>
    <w:p w14:paraId="0588A46F" w14:textId="4FD94AC1" w:rsidR="003A30AB" w:rsidRDefault="003A30AB" w:rsidP="0047250F">
      <w:r>
        <w:t xml:space="preserve">Across the very top of the page lies a relatively standard link bar, with a logo and a variety of options titling drop down menus to navigate the site, followed of course by a large and unmissable red ‘BECOME A MEMBER’ button. Below this and the Elizabeth II banner, a section titled ‘Our Museums’ presents the five IWM properties not as a list, but as a strangely organised tableau of differently shaped boxes, </w:t>
      </w:r>
      <w:r w:rsidR="006D7D05">
        <w:t xml:space="preserve">each with their own image. </w:t>
      </w:r>
      <w:r w:rsidR="006D7D05">
        <w:br/>
        <w:t>Some things to note on these images:</w:t>
      </w:r>
    </w:p>
    <w:p w14:paraId="5E15A69A" w14:textId="49869F33" w:rsidR="006D7D05" w:rsidRDefault="00950BDF" w:rsidP="006D7D05">
      <w:pPr>
        <w:pStyle w:val="ListParagraph"/>
        <w:numPr>
          <w:ilvl w:val="0"/>
          <w:numId w:val="1"/>
        </w:numPr>
      </w:pPr>
      <w:r>
        <w:t xml:space="preserve">The Churchill War Rooms are represented by an image of Churchill – something that should immediately ring alarm bells given the current prime minister’s obsession with </w:t>
      </w:r>
      <w:r w:rsidR="00007982">
        <w:t>portraying himself as some sort of Churchillian reincarnation.</w:t>
      </w:r>
      <w:r w:rsidR="00007982">
        <w:rPr>
          <w:rStyle w:val="FootnoteReference"/>
        </w:rPr>
        <w:footnoteReference w:id="5"/>
      </w:r>
    </w:p>
    <w:p w14:paraId="4C963F31" w14:textId="7374EEBB" w:rsidR="002860E0" w:rsidRDefault="002860E0" w:rsidP="006D7D05">
      <w:pPr>
        <w:pStyle w:val="ListParagraph"/>
        <w:numPr>
          <w:ilvl w:val="0"/>
          <w:numId w:val="1"/>
        </w:numPr>
      </w:pPr>
      <w:r>
        <w:t>HMS Belfast is photographed with the iconic Tower Bridge of London immediately in the background, and with a Union Jack flying proudly at the front of the ship.</w:t>
      </w:r>
    </w:p>
    <w:p w14:paraId="67F78307" w14:textId="2496C024" w:rsidR="002860E0" w:rsidRDefault="002860E0" w:rsidP="006D7D05">
      <w:pPr>
        <w:pStyle w:val="ListParagraph"/>
        <w:numPr>
          <w:ilvl w:val="0"/>
          <w:numId w:val="1"/>
        </w:numPr>
      </w:pPr>
      <w:r>
        <w:t>IWM London has the perspective standing under what appears to be two large guns, which lends an air of authority and threat to the image.</w:t>
      </w:r>
    </w:p>
    <w:p w14:paraId="4655E511" w14:textId="5712FBFE" w:rsidR="002860E0" w:rsidRDefault="002860E0" w:rsidP="006D7D05">
      <w:pPr>
        <w:pStyle w:val="ListParagraph"/>
        <w:numPr>
          <w:ilvl w:val="0"/>
          <w:numId w:val="1"/>
        </w:numPr>
      </w:pPr>
      <w:r>
        <w:lastRenderedPageBreak/>
        <w:t>IWM North is the only image without any obvious signs of militaria.</w:t>
      </w:r>
    </w:p>
    <w:p w14:paraId="0E5A1705" w14:textId="37711F7C" w:rsidR="002860E0" w:rsidRDefault="002860E0" w:rsidP="006D7D05">
      <w:pPr>
        <w:pStyle w:val="ListParagraph"/>
        <w:numPr>
          <w:ilvl w:val="0"/>
          <w:numId w:val="1"/>
        </w:numPr>
      </w:pPr>
      <w:r>
        <w:t>IWM Duxford being beneath the waters of the images of HMS Belfast and IWM North gives it a probably unintentional subaquatic feel, much at odds with the place aircraft tend to find themselves.</w:t>
      </w:r>
    </w:p>
    <w:p w14:paraId="0B08A786" w14:textId="21224A8D" w:rsidR="00750014" w:rsidRDefault="00750014" w:rsidP="00750014">
      <w:pPr>
        <w:ind w:left="360"/>
      </w:pPr>
      <w:r>
        <w:t>While the images themselves are perfectly fine (IWM North is somewhat uninteresting, and IWM Duxford’s modern jet transposed with the two biplanes dangling above make for a pleasingly dynamic photograph), the layout leaves something to be desired. The arrangement of the grid is perplexing, as well as the use of red in the title – ‘Our’ in red, and ‘Museums’ in black. Most of the website seems to use red as an indication of either a subtitle or as a link to another page, but here a singular title is split in two. Potentially, this is for emphasis on ‘our’ – strengthening the idea that the history of ‘us’ – the British – is intrinsically linked with its military</w:t>
      </w:r>
      <w:r w:rsidR="00561529">
        <w:t xml:space="preserve">. Of course, many British would claim that the military history is not ‘theirs’ just as much as they would try not to wear proud badges of the nation’s imperial past such as naming themselves after said imperial past as the IWM have done, but this is </w:t>
      </w:r>
      <w:proofErr w:type="spellStart"/>
      <w:r w:rsidR="00561529">
        <w:t>besides</w:t>
      </w:r>
      <w:proofErr w:type="spellEnd"/>
      <w:r w:rsidR="00561529">
        <w:t xml:space="preserve"> the point – to keep the illusion of the revivalist fable alive, sometimes a little </w:t>
      </w:r>
      <w:proofErr w:type="gramStart"/>
      <w:r w:rsidR="00561529">
        <w:t>top down</w:t>
      </w:r>
      <w:proofErr w:type="gramEnd"/>
      <w:r w:rsidR="00561529">
        <w:t xml:space="preserve"> suggestion is necessary.</w:t>
      </w:r>
    </w:p>
    <w:p w14:paraId="3B92C815" w14:textId="121AF5E8" w:rsidR="00561529" w:rsidRDefault="00561529" w:rsidP="00750014">
      <w:pPr>
        <w:ind w:left="360"/>
      </w:pPr>
      <w:r>
        <w:t>A ‘What’s On’ section details some upcoming events and plans for IWM in 2022. The Queen’s Jubilee, the 40</w:t>
      </w:r>
      <w:r w:rsidRPr="00561529">
        <w:rPr>
          <w:vertAlign w:val="superscript"/>
        </w:rPr>
        <w:t>th</w:t>
      </w:r>
      <w:r>
        <w:t xml:space="preserve"> Anniversary of the Falklands</w:t>
      </w:r>
      <w:r>
        <w:rPr>
          <w:rStyle w:val="FootnoteReference"/>
        </w:rPr>
        <w:footnoteReference w:id="6"/>
      </w:r>
      <w:r>
        <w:t xml:space="preserve"> and an exhibition on War and Videogames are promised on pages easily accessed by following links. Below this, an ‘IWM from Home’ section</w:t>
      </w:r>
      <w:r w:rsidR="00976367">
        <w:t xml:space="preserve"> invites visitors to explore videos and a catalogue of the IWM collections, as well as access to varied learning resources. Finally, the bottom of the page highlights various ways that someone can support IWM (other than spending money in their properties, of course) through volunteering, donation, or becoming a paying member. </w:t>
      </w:r>
    </w:p>
    <w:p w14:paraId="2F5870BE" w14:textId="3024F9DE" w:rsidR="00976367" w:rsidRDefault="0046401C" w:rsidP="00750014">
      <w:pPr>
        <w:ind w:left="360"/>
      </w:pPr>
      <w:r>
        <w:rPr>
          <w:noProof/>
        </w:rPr>
        <mc:AlternateContent>
          <mc:Choice Requires="wps">
            <w:drawing>
              <wp:anchor distT="0" distB="0" distL="114300" distR="114300" simplePos="0" relativeHeight="251663360" behindDoc="1" locked="0" layoutInCell="1" allowOverlap="1" wp14:anchorId="15928A6D" wp14:editId="7A703719">
                <wp:simplePos x="0" y="0"/>
                <wp:positionH relativeFrom="column">
                  <wp:posOffset>-2540</wp:posOffset>
                </wp:positionH>
                <wp:positionV relativeFrom="paragraph">
                  <wp:posOffset>3740150</wp:posOffset>
                </wp:positionV>
                <wp:extent cx="573151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5884D2" w14:textId="3ACCD62B" w:rsidR="0046401C" w:rsidRPr="001512AF" w:rsidRDefault="0046401C" w:rsidP="0046401C">
                            <w:pPr>
                              <w:pStyle w:val="Caption"/>
                              <w:jc w:val="right"/>
                              <w:rPr>
                                <w:noProof/>
                              </w:rPr>
                            </w:pPr>
                            <w:r>
                              <w:t>Via iwm.org.uk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928A6D" id="Text Box 4" o:spid="_x0000_s1027" type="#_x0000_t202" style="position:absolute;left:0;text-align:left;margin-left:-.2pt;margin-top:294.5pt;width:451.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" stroked="f">
                <v:textbox style="mso-fit-shape-to-text:t" inset="0,0,0,0">
                  <w:txbxContent>
                    <w:p w14:paraId="725884D2" w14:textId="3ACCD62B" w:rsidR="0046401C" w:rsidRPr="001512AF" w:rsidRDefault="0046401C" w:rsidP="0046401C">
                      <w:pPr>
                        <w:pStyle w:val="Caption"/>
                        <w:jc w:val="right"/>
                        <w:rPr>
                          <w:noProof/>
                        </w:rPr>
                      </w:pPr>
                      <w:r>
                        <w:t>Via iwm.org.uk</w:t>
                      </w:r>
                    </w:p>
                  </w:txbxContent>
                </v:textbox>
                <w10:wrap type="tight"/>
              </v:shape>
            </w:pict>
          </mc:Fallback>
        </mc:AlternateContent>
      </w:r>
      <w:r w:rsidR="006C01B3">
        <w:rPr>
          <w:noProof/>
        </w:rPr>
        <w:drawing>
          <wp:anchor distT="0" distB="0" distL="114300" distR="114300" simplePos="0" relativeHeight="251659264" behindDoc="1" locked="0" layoutInCell="1" allowOverlap="1" wp14:anchorId="4A2176A4" wp14:editId="7C26B509">
            <wp:simplePos x="0" y="0"/>
            <wp:positionH relativeFrom="margin">
              <wp:align>right</wp:align>
            </wp:positionH>
            <wp:positionV relativeFrom="paragraph">
              <wp:posOffset>1237615</wp:posOffset>
            </wp:positionV>
            <wp:extent cx="5731510" cy="2536190"/>
            <wp:effectExtent l="0" t="0" r="2540" b="0"/>
            <wp:wrapTight wrapText="bothSides">
              <wp:wrapPolygon edited="0">
                <wp:start x="0" y="0"/>
                <wp:lineTo x="0" y="21416"/>
                <wp:lineTo x="21538" y="21416"/>
                <wp:lineTo x="21538" y="0"/>
                <wp:lineTo x="0" y="0"/>
              </wp:wrapPolygon>
            </wp:wrapTight>
            <wp:docPr id="2" name="Picture 2" descr="A picture containing text,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pers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536190"/>
                    </a:xfrm>
                    <a:prstGeom prst="rect">
                      <a:avLst/>
                    </a:prstGeom>
                  </pic:spPr>
                </pic:pic>
              </a:graphicData>
            </a:graphic>
          </wp:anchor>
        </w:drawing>
      </w:r>
      <w:r w:rsidR="00976367">
        <w:t xml:space="preserve">The front page of a website is arguably the most important – it is here that the digital visitor that is browsing for places of interest is sold the product, and the visitor that has already been sold on visiting can learn more. IWM have done reasonably well </w:t>
      </w:r>
      <w:r w:rsidR="006C01B3">
        <w:t>on their landing page – information is easy to find, and the colour scheme and general layout is generally pleasing. It is however the ‘About IWM’ page that highlights the main goal of IWM – their mission statement is given as ‘No other museum tells stories that matter more than these’.</w:t>
      </w:r>
    </w:p>
    <w:p w14:paraId="686CE1F1" w14:textId="76C1BB06" w:rsidR="006C01B3" w:rsidRDefault="006C01B3" w:rsidP="00750014">
      <w:pPr>
        <w:ind w:left="360"/>
      </w:pPr>
    </w:p>
    <w:p w14:paraId="69C40C8C" w14:textId="5DBEC1AB" w:rsidR="00561529" w:rsidRDefault="006C01B3" w:rsidP="00750014">
      <w:pPr>
        <w:ind w:left="360"/>
      </w:pPr>
      <w:r>
        <w:t xml:space="preserve">This is not a small claim – IWM explicitly says that the tale of war, from World War I to present day conflict, is the most important story that can be told. This again </w:t>
      </w:r>
      <w:proofErr w:type="gramStart"/>
      <w:r>
        <w:t>echoes strongly</w:t>
      </w:r>
      <w:proofErr w:type="gramEnd"/>
      <w:r>
        <w:t xml:space="preserve"> the narrative of the ‘Revivalist Fable’, wherein as stewards of the heritage of proud military history only the IWM can truthfully and authentically communicate the proud and noble Britain of old, furthering also the implied link between Queen and country.</w:t>
      </w:r>
      <w:r w:rsidR="00930F80">
        <w:t xml:space="preserve"> Perhaps one should also make note of the colour scheme – the very light greys and bright reds – approaching </w:t>
      </w:r>
    </w:p>
    <w:p w14:paraId="07DDF50D" w14:textId="50B39F25" w:rsidR="00930F80" w:rsidRDefault="0064415F" w:rsidP="00750014">
      <w:pPr>
        <w:ind w:left="360"/>
      </w:pPr>
      <w:r>
        <w:t>Each of the IWM locations has its own individual page, the contents of which are all roughly equal – multiple tabs offer varying pieces of information, with the overview tab being the one that is immediately presented containing the address, opening times, and ticket prices, as well as a brief preview of some of the things on offer as well as stories related to the museums and the collections within.</w:t>
      </w:r>
      <w:r w:rsidR="006B1A95">
        <w:t xml:space="preserve"> As with the main page, the focus is on usability and accessibility – even the most tech illiterate </w:t>
      </w:r>
      <w:proofErr w:type="gramStart"/>
      <w:r w:rsidR="006B1A95">
        <w:t>are</w:t>
      </w:r>
      <w:proofErr w:type="gramEnd"/>
      <w:r w:rsidR="006B1A95">
        <w:t xml:space="preserve"> not likely to have any issues navigating and finding the information that they need. Of particular note are the highlight reels present in the pages for HMS Belfast, the Churchill War Rooms, and IWM Duxford</w:t>
      </w:r>
      <w:r w:rsidR="00930F80">
        <w:rPr>
          <w:rStyle w:val="FootnoteReference"/>
        </w:rPr>
        <w:footnoteReference w:id="7"/>
      </w:r>
      <w:r w:rsidR="006B1A95">
        <w:t xml:space="preserve">. A slideshow of images of the highlights of the properties, with a caption alongside describing the scene and a progress bar above showing how many highlights there are and their titles. </w:t>
      </w:r>
      <w:r w:rsidR="00DC504D">
        <w:t>Whilst one struggles to suggest that all of these highlights are equally high – the antepenultimate highlight in the War Room slideshow depicts guests seemingly not particularly interested in the small weather indicators highlighted, and the final highlight appears to be slightly broken visually – the slight tactile experience of clicking through them and watching them literally scroll by adds something enjoyable.</w:t>
      </w:r>
    </w:p>
    <w:p w14:paraId="4E5FE248" w14:textId="25EE334B" w:rsidR="0064415F" w:rsidRDefault="00930F80" w:rsidP="00750014">
      <w:pPr>
        <w:ind w:left="360"/>
      </w:pPr>
      <w:r>
        <w:t>Commendations must be made for the IWM Collections ‘how to’ page</w:t>
      </w:r>
      <w:r>
        <w:rPr>
          <w:rStyle w:val="FootnoteReference"/>
        </w:rPr>
        <w:footnoteReference w:id="8"/>
      </w:r>
      <w:r>
        <w:t>.</w:t>
      </w:r>
      <w:r w:rsidR="00DC504D">
        <w:t xml:space="preserve"> </w:t>
      </w:r>
      <w:r>
        <w:t xml:space="preserve">The IWM can boast not only of allowing access to almost a million different digitised </w:t>
      </w:r>
      <w:proofErr w:type="gramStart"/>
      <w:r>
        <w:t>items, but</w:t>
      </w:r>
      <w:proofErr w:type="gramEnd"/>
      <w:r>
        <w:t xml:space="preserve"> have also produced an extensive guide available in both text and video form on the best ways to use its search function, and even provide friendly suggestions on what you could search. </w:t>
      </w:r>
      <w:r w:rsidR="00304016">
        <w:t>Along these same lines, their ‘Research at IWM’ section</w:t>
      </w:r>
      <w:r w:rsidR="00304016">
        <w:rPr>
          <w:rStyle w:val="FootnoteReference"/>
        </w:rPr>
        <w:footnoteReference w:id="9"/>
      </w:r>
      <w:r w:rsidR="00304016">
        <w:t xml:space="preserve"> concisely lays their abilities as a research organisation and their current projects. </w:t>
      </w:r>
    </w:p>
    <w:p w14:paraId="3E327BD8" w14:textId="612B53EC" w:rsidR="00304016" w:rsidRDefault="00304016" w:rsidP="00750014">
      <w:pPr>
        <w:ind w:left="360"/>
      </w:pPr>
      <w:r>
        <w:t xml:space="preserve">Among all of these pages, two main features stand out. Firstly, the visual design and the text work in harmony – large clean blocks of colour and text make information easy to find, and the entire website seems well designed to lead the visitor towards the information they would want to find. Secondly, and perhaps more interestingly, the website seems to be very hesitant to show war itself. </w:t>
      </w:r>
      <w:proofErr w:type="gramStart"/>
      <w:r>
        <w:t>Obviously</w:t>
      </w:r>
      <w:proofErr w:type="gramEnd"/>
      <w:r>
        <w:t xml:space="preserve"> one would not expect imagery of men dying or houses being destroyed, but there seems to be a very deliberate attempt at avoiding anything that could highlight the repercussions of war – clean and sanitary images of </w:t>
      </w:r>
      <w:proofErr w:type="spellStart"/>
      <w:r>
        <w:t>well dressed</w:t>
      </w:r>
      <w:proofErr w:type="spellEnd"/>
      <w:r>
        <w:t xml:space="preserve"> soldiers or auxiliary persons, and deactivated weaponry and vehicles, yes, but little else. This is the pitfall that much heritage often falls into – presenting a family friendly version of uncomfortable truths due to ignorance, attempting to appeal to the widest audience or, as one could assume as the primary factor in this instance, political positioning. Again, institutions such as IWM are upholding the illusion of the glorious </w:t>
      </w:r>
      <w:r w:rsidR="0046401C">
        <w:t>war, and one is hardly able to connect to such a glorious past if you are readily reminded of the suffering and destruction that the instruments and tools presented before you are connected to or have themselves imparted upon the world.</w:t>
      </w:r>
    </w:p>
    <w:p w14:paraId="563F6ED5" w14:textId="2BD98032" w:rsidR="0046401C" w:rsidRDefault="0046401C" w:rsidP="00750014">
      <w:pPr>
        <w:ind w:left="360"/>
      </w:pPr>
      <w:r>
        <w:lastRenderedPageBreak/>
        <w:t>In totality, the IWM website does a very admirable job at informing people about the heritage that its sites represent, as well as allowing easy online access to a significant amount of these items. However, almost all military heritage lives under the shadows of the political spaces in which it is formed and transmitted – in the IWM, the tendrils of a populist myth of the character of the UK that are today and in years previous used to promote ‘military pride’ that furthers divisions between the nation and its neighbours are fully apparent, and no attempt is made at cutting them down or disconnecting them, despite their privileged position.</w:t>
      </w:r>
    </w:p>
    <w:p w14:paraId="5217C3B2" w14:textId="74BB7314" w:rsidR="0046401C" w:rsidRDefault="0046401C" w:rsidP="00750014">
      <w:pPr>
        <w:ind w:left="360"/>
      </w:pPr>
    </w:p>
    <w:p w14:paraId="563ACA4A" w14:textId="286F54D2" w:rsidR="0046401C" w:rsidRDefault="0046401C" w:rsidP="00750014">
      <w:pPr>
        <w:ind w:left="360"/>
      </w:pPr>
    </w:p>
    <w:p w14:paraId="5215D142" w14:textId="2A09AA11" w:rsidR="0046401C" w:rsidRDefault="0046401C" w:rsidP="00750014">
      <w:pPr>
        <w:ind w:left="360"/>
      </w:pPr>
    </w:p>
    <w:p w14:paraId="4FCE26E4" w14:textId="32B6D511" w:rsidR="0046401C" w:rsidRDefault="0046401C" w:rsidP="00750014">
      <w:pPr>
        <w:ind w:left="360"/>
      </w:pPr>
    </w:p>
    <w:p w14:paraId="2B18B7A8" w14:textId="6E4A70A2" w:rsidR="0046401C" w:rsidRDefault="0046401C" w:rsidP="00750014">
      <w:pPr>
        <w:ind w:left="360"/>
      </w:pPr>
    </w:p>
    <w:p w14:paraId="38CFF76E" w14:textId="1D54051D" w:rsidR="0046401C" w:rsidRDefault="0046401C" w:rsidP="00750014">
      <w:pPr>
        <w:ind w:left="360"/>
      </w:pPr>
    </w:p>
    <w:p w14:paraId="3B54EE52" w14:textId="44478FE3" w:rsidR="0046401C" w:rsidRDefault="0046401C" w:rsidP="00750014">
      <w:pPr>
        <w:ind w:left="360"/>
      </w:pPr>
    </w:p>
    <w:p w14:paraId="0867D7FA" w14:textId="12D54380" w:rsidR="0046401C" w:rsidRDefault="0046401C" w:rsidP="00750014">
      <w:pPr>
        <w:ind w:left="360"/>
      </w:pPr>
    </w:p>
    <w:p w14:paraId="1A8B4963" w14:textId="6C8B242B" w:rsidR="0046401C" w:rsidRDefault="0046401C" w:rsidP="00750014">
      <w:pPr>
        <w:ind w:left="360"/>
      </w:pPr>
    </w:p>
    <w:p w14:paraId="30F77138" w14:textId="1FBF44E4" w:rsidR="0046401C" w:rsidRDefault="0046401C" w:rsidP="00750014">
      <w:pPr>
        <w:ind w:left="360"/>
      </w:pPr>
    </w:p>
    <w:p w14:paraId="07C2A69D" w14:textId="517E88F6" w:rsidR="0046401C" w:rsidRDefault="0046401C" w:rsidP="00750014">
      <w:pPr>
        <w:ind w:left="360"/>
      </w:pPr>
    </w:p>
    <w:p w14:paraId="7E591A7B" w14:textId="3B59EE13" w:rsidR="0046401C" w:rsidRDefault="0046401C" w:rsidP="00750014">
      <w:pPr>
        <w:ind w:left="360"/>
      </w:pPr>
    </w:p>
    <w:p w14:paraId="040F1F74" w14:textId="533662BB" w:rsidR="0046401C" w:rsidRDefault="0046401C" w:rsidP="00750014">
      <w:pPr>
        <w:ind w:left="360"/>
      </w:pPr>
    </w:p>
    <w:p w14:paraId="6876859C" w14:textId="25F09E2C" w:rsidR="0046401C" w:rsidRDefault="0046401C" w:rsidP="00750014">
      <w:pPr>
        <w:ind w:left="360"/>
      </w:pPr>
    </w:p>
    <w:p w14:paraId="1AF0B210" w14:textId="1EEBCC82" w:rsidR="0046401C" w:rsidRDefault="0046401C" w:rsidP="00750014">
      <w:pPr>
        <w:ind w:left="360"/>
      </w:pPr>
    </w:p>
    <w:p w14:paraId="57114FA6" w14:textId="4E296487" w:rsidR="0046401C" w:rsidRDefault="0046401C" w:rsidP="00750014">
      <w:pPr>
        <w:ind w:left="360"/>
      </w:pPr>
    </w:p>
    <w:p w14:paraId="250264FD" w14:textId="67E8FE7F" w:rsidR="0046401C" w:rsidRDefault="0046401C" w:rsidP="00750014">
      <w:pPr>
        <w:ind w:left="360"/>
      </w:pPr>
    </w:p>
    <w:p w14:paraId="70783E01" w14:textId="4FEF8D78" w:rsidR="0046401C" w:rsidRDefault="0046401C" w:rsidP="00750014">
      <w:pPr>
        <w:ind w:left="360"/>
      </w:pPr>
    </w:p>
    <w:p w14:paraId="34131E05" w14:textId="5C736F18" w:rsidR="0046401C" w:rsidRDefault="0046401C" w:rsidP="00750014">
      <w:pPr>
        <w:ind w:left="360"/>
      </w:pPr>
    </w:p>
    <w:p w14:paraId="5379DE49" w14:textId="055165F3" w:rsidR="0046401C" w:rsidRDefault="0046401C" w:rsidP="00750014">
      <w:pPr>
        <w:ind w:left="360"/>
      </w:pPr>
    </w:p>
    <w:p w14:paraId="1EC0BD13" w14:textId="6322324E" w:rsidR="0046401C" w:rsidRDefault="0046401C" w:rsidP="00750014">
      <w:pPr>
        <w:ind w:left="360"/>
      </w:pPr>
    </w:p>
    <w:p w14:paraId="31F0C137" w14:textId="7C311D83" w:rsidR="0046401C" w:rsidRDefault="0046401C" w:rsidP="00750014">
      <w:pPr>
        <w:ind w:left="360"/>
      </w:pPr>
    </w:p>
    <w:p w14:paraId="0346362F" w14:textId="37996BD6" w:rsidR="0046401C" w:rsidRDefault="0046401C" w:rsidP="00750014">
      <w:pPr>
        <w:ind w:left="360"/>
      </w:pPr>
    </w:p>
    <w:p w14:paraId="13CAC484" w14:textId="64E1C947" w:rsidR="0046401C" w:rsidRDefault="0046401C" w:rsidP="00750014">
      <w:pPr>
        <w:ind w:left="360"/>
      </w:pPr>
    </w:p>
    <w:p w14:paraId="44F39404" w14:textId="4F823485" w:rsidR="0046401C" w:rsidRDefault="0046401C" w:rsidP="00750014">
      <w:pPr>
        <w:ind w:left="360"/>
      </w:pPr>
    </w:p>
    <w:p w14:paraId="5125AEB4" w14:textId="2DAC07CF" w:rsidR="0046401C" w:rsidRDefault="0046401C" w:rsidP="00750014">
      <w:pPr>
        <w:ind w:left="360"/>
      </w:pPr>
    </w:p>
    <w:p w14:paraId="42B68DE6" w14:textId="04F8B61C" w:rsidR="0046401C" w:rsidRDefault="0046401C" w:rsidP="0046401C">
      <w:r>
        <w:lastRenderedPageBreak/>
        <w:t>Bibliography</w:t>
      </w:r>
    </w:p>
    <w:p w14:paraId="546EF988" w14:textId="4067BA70" w:rsidR="0046401C" w:rsidRDefault="0046401C" w:rsidP="00750014">
      <w:pPr>
        <w:ind w:left="360"/>
      </w:pPr>
    </w:p>
    <w:p w14:paraId="5CE78368" w14:textId="2941C304" w:rsidR="0046401C" w:rsidRDefault="0046401C" w:rsidP="0046401C">
      <w:r w:rsidRPr="007D6226">
        <w:t>Hassan, G. and Wright, P. (2020)</w:t>
      </w:r>
      <w:r w:rsidRPr="00342EFA">
        <w:rPr>
          <w:i/>
          <w:iCs/>
        </w:rPr>
        <w:t xml:space="preserve"> </w:t>
      </w:r>
      <w:proofErr w:type="gramStart"/>
      <w:r w:rsidRPr="00342EFA">
        <w:rPr>
          <w:i/>
          <w:iCs/>
        </w:rPr>
        <w:t>‘</w:t>
      </w:r>
      <w:r w:rsidRPr="007D6226">
        <w:t xml:space="preserve"> </w:t>
      </w:r>
      <w:r w:rsidRPr="0046401C">
        <w:rPr>
          <w:i/>
          <w:iCs/>
        </w:rPr>
        <w:t>‘</w:t>
      </w:r>
      <w:proofErr w:type="gramEnd"/>
      <w:r w:rsidRPr="0046401C">
        <w:rPr>
          <w:i/>
          <w:iCs/>
        </w:rPr>
        <w:t xml:space="preserve">A decisive effort is necessary’: heritage, Brexit and the British state’. </w:t>
      </w:r>
      <w:r w:rsidRPr="007D6226">
        <w:t>Soundings. 76, pp.95-110</w:t>
      </w:r>
    </w:p>
    <w:p w14:paraId="5AE33948" w14:textId="585920C6" w:rsidR="0046401C" w:rsidRPr="0046401C" w:rsidRDefault="0046401C" w:rsidP="0046401C">
      <w:r>
        <w:t xml:space="preserve">Imperial War Museums (2022) </w:t>
      </w:r>
      <w:r>
        <w:rPr>
          <w:i/>
          <w:iCs/>
        </w:rPr>
        <w:t>Imperial War Museums</w:t>
      </w:r>
      <w:r>
        <w:t xml:space="preserve">. Available at: </w:t>
      </w:r>
      <w:hyperlink r:id="rId10" w:history="1">
        <w:r w:rsidRPr="00122FD0">
          <w:rPr>
            <w:rStyle w:val="Hyperlink"/>
          </w:rPr>
          <w:t>https://www.iwm.org.uk/</w:t>
        </w:r>
      </w:hyperlink>
      <w:r>
        <w:t xml:space="preserve"> [Accessed 15/05/2022]</w:t>
      </w:r>
    </w:p>
    <w:p w14:paraId="38A9081F" w14:textId="77777777" w:rsidR="0046401C" w:rsidRDefault="0046401C" w:rsidP="0046401C">
      <w:r>
        <w:t xml:space="preserve">Kampfner, J. (2014) </w:t>
      </w:r>
      <w:r>
        <w:rPr>
          <w:i/>
          <w:iCs/>
        </w:rPr>
        <w:t>The Churchill Factor review – Boris Johnson’s flawed but fascinating take on his hero.</w:t>
      </w:r>
      <w:r>
        <w:t xml:space="preserve"> Available at: </w:t>
      </w:r>
      <w:hyperlink r:id="rId11" w:history="1">
        <w:r w:rsidRPr="00CB6175">
          <w:rPr>
            <w:rStyle w:val="Hyperlink"/>
          </w:rPr>
          <w:t>https://www.theguardian.com/books/2014/nov/03/churchill-factor-review-boris-johnson-winston</w:t>
        </w:r>
      </w:hyperlink>
      <w:r>
        <w:t xml:space="preserve"> [Accessed 15/05/2022]</w:t>
      </w:r>
    </w:p>
    <w:p w14:paraId="47A950D9" w14:textId="77777777" w:rsidR="0046401C" w:rsidRPr="002F619A" w:rsidRDefault="0046401C" w:rsidP="0046401C">
      <w:r>
        <w:t xml:space="preserve">Payne, J. (2022) </w:t>
      </w:r>
      <w:r>
        <w:rPr>
          <w:i/>
          <w:iCs/>
        </w:rPr>
        <w:t xml:space="preserve">Margaret Thatcher statue egged within hours of being installed in </w:t>
      </w:r>
      <w:proofErr w:type="gramStart"/>
      <w:r>
        <w:rPr>
          <w:i/>
          <w:iCs/>
        </w:rPr>
        <w:t>home town</w:t>
      </w:r>
      <w:proofErr w:type="gramEnd"/>
      <w:r>
        <w:rPr>
          <w:i/>
          <w:iCs/>
        </w:rPr>
        <w:t>.</w:t>
      </w:r>
      <w:r>
        <w:t xml:space="preserve"> Available at: </w:t>
      </w:r>
      <w:hyperlink r:id="rId12" w:history="1">
        <w:r w:rsidRPr="00FD3C84">
          <w:rPr>
            <w:rStyle w:val="Hyperlink"/>
          </w:rPr>
          <w:t>https://www.standard.co.uk/news/uk/margaret-thatcher-statue-egged-grantham-parliament-square-lincolnshire-isaac-newton-facebook-b1000105.html</w:t>
        </w:r>
      </w:hyperlink>
      <w:r>
        <w:t xml:space="preserve"> [Accessed 15/05/2022]</w:t>
      </w:r>
    </w:p>
    <w:p w14:paraId="666820F8" w14:textId="77777777" w:rsidR="0046401C" w:rsidRDefault="0046401C" w:rsidP="00750014">
      <w:pPr>
        <w:ind w:left="360"/>
      </w:pPr>
    </w:p>
    <w:p w14:paraId="48A49951" w14:textId="77777777" w:rsidR="006B1A95" w:rsidRDefault="006B1A95" w:rsidP="00750014">
      <w:pPr>
        <w:ind w:left="360"/>
      </w:pPr>
    </w:p>
    <w:p w14:paraId="65C49551" w14:textId="77777777" w:rsidR="0064415F" w:rsidRDefault="0064415F" w:rsidP="00750014">
      <w:pPr>
        <w:ind w:left="360"/>
      </w:pPr>
    </w:p>
    <w:sectPr w:rsidR="006441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9F8A7" w14:textId="77777777" w:rsidR="00AE43D7" w:rsidRDefault="00AE43D7" w:rsidP="0047250F">
      <w:pPr>
        <w:spacing w:after="0" w:line="240" w:lineRule="auto"/>
      </w:pPr>
      <w:r>
        <w:separator/>
      </w:r>
    </w:p>
  </w:endnote>
  <w:endnote w:type="continuationSeparator" w:id="0">
    <w:p w14:paraId="51F70AA9" w14:textId="77777777" w:rsidR="00AE43D7" w:rsidRDefault="00AE43D7" w:rsidP="00472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2E7B1" w14:textId="77777777" w:rsidR="00AE43D7" w:rsidRDefault="00AE43D7" w:rsidP="0047250F">
      <w:pPr>
        <w:spacing w:after="0" w:line="240" w:lineRule="auto"/>
      </w:pPr>
      <w:r>
        <w:separator/>
      </w:r>
    </w:p>
  </w:footnote>
  <w:footnote w:type="continuationSeparator" w:id="0">
    <w:p w14:paraId="782D3262" w14:textId="77777777" w:rsidR="00AE43D7" w:rsidRDefault="00AE43D7" w:rsidP="0047250F">
      <w:pPr>
        <w:spacing w:after="0" w:line="240" w:lineRule="auto"/>
      </w:pPr>
      <w:r>
        <w:continuationSeparator/>
      </w:r>
    </w:p>
  </w:footnote>
  <w:footnote w:id="1">
    <w:p w14:paraId="27596E08" w14:textId="3714A27E" w:rsidR="0047250F" w:rsidRDefault="0047250F">
      <w:pPr>
        <w:pStyle w:val="FootnoteText"/>
      </w:pPr>
      <w:r>
        <w:rPr>
          <w:rStyle w:val="FootnoteReference"/>
        </w:rPr>
        <w:footnoteRef/>
      </w:r>
      <w:r>
        <w:t xml:space="preserve"> Hassan, G. and Wright, P. (2020)</w:t>
      </w:r>
    </w:p>
  </w:footnote>
  <w:footnote w:id="2">
    <w:p w14:paraId="542A1CFC" w14:textId="041C22E7" w:rsidR="001A49EB" w:rsidRDefault="001A49EB">
      <w:pPr>
        <w:pStyle w:val="FootnoteText"/>
      </w:pPr>
      <w:r>
        <w:rPr>
          <w:rStyle w:val="FootnoteReference"/>
        </w:rPr>
        <w:footnoteRef/>
      </w:r>
      <w:r>
        <w:t xml:space="preserve"> </w:t>
      </w:r>
      <w:r w:rsidRPr="001A49EB">
        <w:t>Hassan, G. and Wright, P. (2020)</w:t>
      </w:r>
    </w:p>
  </w:footnote>
  <w:footnote w:id="3">
    <w:p w14:paraId="3D09227F" w14:textId="68D0423C" w:rsidR="008B2108" w:rsidRDefault="008B2108">
      <w:pPr>
        <w:pStyle w:val="FootnoteText"/>
      </w:pPr>
      <w:r>
        <w:rPr>
          <w:rStyle w:val="FootnoteReference"/>
        </w:rPr>
        <w:footnoteRef/>
      </w:r>
      <w:r>
        <w:t xml:space="preserve"> Hereby referred to as IWM</w:t>
      </w:r>
    </w:p>
  </w:footnote>
  <w:footnote w:id="4">
    <w:p w14:paraId="15B1A114" w14:textId="372BEA62" w:rsidR="00252342" w:rsidRDefault="00252342">
      <w:pPr>
        <w:pStyle w:val="FootnoteText"/>
      </w:pPr>
      <w:r>
        <w:rPr>
          <w:rStyle w:val="FootnoteReference"/>
        </w:rPr>
        <w:footnoteRef/>
      </w:r>
      <w:r>
        <w:t xml:space="preserve"> As well as Wright’s Revivalist Fable narrative.</w:t>
      </w:r>
    </w:p>
  </w:footnote>
  <w:footnote w:id="5">
    <w:p w14:paraId="14B51EBE" w14:textId="0AE6797C" w:rsidR="00007982" w:rsidRDefault="00007982">
      <w:pPr>
        <w:pStyle w:val="FootnoteText"/>
      </w:pPr>
      <w:r>
        <w:rPr>
          <w:rStyle w:val="FootnoteReference"/>
        </w:rPr>
        <w:footnoteRef/>
      </w:r>
      <w:r>
        <w:t xml:space="preserve"> See </w:t>
      </w:r>
      <w:r w:rsidRPr="00007982">
        <w:t>Kampfner, J. (2014)</w:t>
      </w:r>
    </w:p>
  </w:footnote>
  <w:footnote w:id="6">
    <w:p w14:paraId="6A534203" w14:textId="7D12335B" w:rsidR="00561529" w:rsidRDefault="00561529">
      <w:pPr>
        <w:pStyle w:val="FootnoteText"/>
      </w:pPr>
      <w:r>
        <w:rPr>
          <w:rStyle w:val="FootnoteReference"/>
        </w:rPr>
        <w:footnoteRef/>
      </w:r>
      <w:r>
        <w:t xml:space="preserve"> Part of a highly contested legacy – a statue of Margaret Thatcher installed in Grantham on the morning of 15/05/2022 was pelted with eggs within hours. Payne, J. (2022)</w:t>
      </w:r>
    </w:p>
  </w:footnote>
  <w:footnote w:id="7">
    <w:p w14:paraId="15ED26DC" w14:textId="63A254BE" w:rsidR="00930F80" w:rsidRDefault="00930F80">
      <w:pPr>
        <w:pStyle w:val="FootnoteText"/>
      </w:pPr>
      <w:r>
        <w:rPr>
          <w:rStyle w:val="FootnoteReference"/>
        </w:rPr>
        <w:footnoteRef/>
      </w:r>
      <w:r>
        <w:t xml:space="preserve"> </w:t>
      </w:r>
      <w:hyperlink r:id="rId1" w:history="1">
        <w:r w:rsidRPr="00FD3C84">
          <w:rPr>
            <w:rStyle w:val="Hyperlink"/>
          </w:rPr>
          <w:t>https://www.iwm.org.uk/visits/hms-belfast</w:t>
        </w:r>
      </w:hyperlink>
      <w:r>
        <w:t xml:space="preserve">, </w:t>
      </w:r>
      <w:hyperlink r:id="rId2" w:history="1">
        <w:r w:rsidRPr="00FD3C84">
          <w:rPr>
            <w:rStyle w:val="Hyperlink"/>
          </w:rPr>
          <w:t>https://www.iwm.org.uk/visits/churchill-war-rooms</w:t>
        </w:r>
      </w:hyperlink>
      <w:r>
        <w:t xml:space="preserve">, and </w:t>
      </w:r>
      <w:hyperlink r:id="rId3" w:history="1">
        <w:r w:rsidRPr="00FD3C84">
          <w:rPr>
            <w:rStyle w:val="Hyperlink"/>
          </w:rPr>
          <w:t>https://www.iwm.org.uk/visits/iwm-duxford</w:t>
        </w:r>
      </w:hyperlink>
      <w:r>
        <w:t xml:space="preserve"> respectively. </w:t>
      </w:r>
    </w:p>
  </w:footnote>
  <w:footnote w:id="8">
    <w:p w14:paraId="2B062912" w14:textId="613BDDAA" w:rsidR="00930F80" w:rsidRDefault="00930F80">
      <w:pPr>
        <w:pStyle w:val="FootnoteText"/>
      </w:pPr>
      <w:r>
        <w:rPr>
          <w:rStyle w:val="FootnoteReference"/>
        </w:rPr>
        <w:footnoteRef/>
      </w:r>
      <w:r>
        <w:t xml:space="preserve"> </w:t>
      </w:r>
      <w:r w:rsidRPr="00930F80">
        <w:t>https://www.iwm.org.uk/collections/how-to</w:t>
      </w:r>
    </w:p>
  </w:footnote>
  <w:footnote w:id="9">
    <w:p w14:paraId="60A182B5" w14:textId="0252E011" w:rsidR="00304016" w:rsidRDefault="00304016">
      <w:pPr>
        <w:pStyle w:val="FootnoteText"/>
      </w:pPr>
      <w:r>
        <w:rPr>
          <w:rStyle w:val="FootnoteReference"/>
        </w:rPr>
        <w:footnoteRef/>
      </w:r>
      <w:r>
        <w:t xml:space="preserve"> </w:t>
      </w:r>
      <w:r w:rsidRPr="00304016">
        <w:t>https://www.iwm.org.uk/research</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AC0201"/>
    <w:multiLevelType w:val="hybridMultilevel"/>
    <w:tmpl w:val="E50A6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50F"/>
    <w:rsid w:val="00007982"/>
    <w:rsid w:val="001A49EB"/>
    <w:rsid w:val="00252342"/>
    <w:rsid w:val="002860E0"/>
    <w:rsid w:val="00304016"/>
    <w:rsid w:val="00342EFA"/>
    <w:rsid w:val="003A30AB"/>
    <w:rsid w:val="0046401C"/>
    <w:rsid w:val="0047250F"/>
    <w:rsid w:val="00561529"/>
    <w:rsid w:val="0064415F"/>
    <w:rsid w:val="006B1A95"/>
    <w:rsid w:val="006C01B3"/>
    <w:rsid w:val="006D7D05"/>
    <w:rsid w:val="00750014"/>
    <w:rsid w:val="00752D41"/>
    <w:rsid w:val="008B2108"/>
    <w:rsid w:val="00930F80"/>
    <w:rsid w:val="00950BDF"/>
    <w:rsid w:val="00976367"/>
    <w:rsid w:val="00AE43D7"/>
    <w:rsid w:val="00DC5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8605E"/>
  <w15:chartTrackingRefBased/>
  <w15:docId w15:val="{82E7D4FE-0C1D-4B81-BF2F-49EC01179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725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250F"/>
    <w:rPr>
      <w:sz w:val="20"/>
      <w:szCs w:val="20"/>
    </w:rPr>
  </w:style>
  <w:style w:type="character" w:styleId="FootnoteReference">
    <w:name w:val="footnote reference"/>
    <w:basedOn w:val="DefaultParagraphFont"/>
    <w:uiPriority w:val="99"/>
    <w:semiHidden/>
    <w:unhideWhenUsed/>
    <w:rsid w:val="0047250F"/>
    <w:rPr>
      <w:vertAlign w:val="superscript"/>
    </w:rPr>
  </w:style>
  <w:style w:type="paragraph" w:styleId="ListParagraph">
    <w:name w:val="List Paragraph"/>
    <w:basedOn w:val="Normal"/>
    <w:uiPriority w:val="34"/>
    <w:qFormat/>
    <w:rsid w:val="006D7D05"/>
    <w:pPr>
      <w:ind w:left="720"/>
      <w:contextualSpacing/>
    </w:pPr>
  </w:style>
  <w:style w:type="character" w:styleId="Hyperlink">
    <w:name w:val="Hyperlink"/>
    <w:basedOn w:val="DefaultParagraphFont"/>
    <w:uiPriority w:val="99"/>
    <w:unhideWhenUsed/>
    <w:rsid w:val="00930F80"/>
    <w:rPr>
      <w:color w:val="0563C1" w:themeColor="hyperlink"/>
      <w:u w:val="single"/>
    </w:rPr>
  </w:style>
  <w:style w:type="character" w:styleId="UnresolvedMention">
    <w:name w:val="Unresolved Mention"/>
    <w:basedOn w:val="DefaultParagraphFont"/>
    <w:uiPriority w:val="99"/>
    <w:semiHidden/>
    <w:unhideWhenUsed/>
    <w:rsid w:val="00930F80"/>
    <w:rPr>
      <w:color w:val="605E5C"/>
      <w:shd w:val="clear" w:color="auto" w:fill="E1DFDD"/>
    </w:rPr>
  </w:style>
  <w:style w:type="paragraph" w:styleId="Caption">
    <w:name w:val="caption"/>
    <w:basedOn w:val="Normal"/>
    <w:next w:val="Normal"/>
    <w:uiPriority w:val="35"/>
    <w:unhideWhenUsed/>
    <w:qFormat/>
    <w:rsid w:val="0046401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ndard.co.uk/news/uk/margaret-thatcher-statue-egged-grantham-parliament-square-lincolnshire-isaac-newton-facebook-b1000105.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ooks/2014/nov/03/churchill-factor-review-boris-johnson-winston" TargetMode="External"/><Relationship Id="rId5" Type="http://schemas.openxmlformats.org/officeDocument/2006/relationships/webSettings" Target="webSettings.xml"/><Relationship Id="rId10" Type="http://schemas.openxmlformats.org/officeDocument/2006/relationships/hyperlink" Target="https://www.iwm.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iwm.org.uk/visits/iwm-duxford" TargetMode="External"/><Relationship Id="rId2" Type="http://schemas.openxmlformats.org/officeDocument/2006/relationships/hyperlink" Target="https://www.iwm.org.uk/visits/churchill-war-rooms" TargetMode="External"/><Relationship Id="rId1" Type="http://schemas.openxmlformats.org/officeDocument/2006/relationships/hyperlink" Target="https://www.iwm.org.uk/visits/hms-belfa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8E2D02-3431-482D-9047-F415DE859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6</Pages>
  <Words>1771</Words>
  <Characters>10097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Manton (1801747)</dc:creator>
  <cp:keywords/>
  <dc:description/>
  <cp:lastModifiedBy>Paul Manton (1801747)</cp:lastModifiedBy>
  <cp:revision>1</cp:revision>
  <dcterms:created xsi:type="dcterms:W3CDTF">2022-05-15T13:53:00Z</dcterms:created>
  <dcterms:modified xsi:type="dcterms:W3CDTF">2022-05-15T19:12:00Z</dcterms:modified>
</cp:coreProperties>
</file>