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2595AB" w14:textId="41B01B2B" w:rsidR="00F45065" w:rsidRDefault="2F6DECF4" w:rsidP="4A11E466">
      <w:r>
        <w:rPr>
          <w:noProof/>
        </w:rPr>
        <w:drawing>
          <wp:inline distT="0" distB="0" distL="0" distR="0" wp14:anchorId="1EBA35DB" wp14:editId="07A149FA">
            <wp:extent cx="2905125" cy="1019175"/>
            <wp:effectExtent l="0" t="0" r="0" b="0"/>
            <wp:docPr id="1024001664" name="drawing" title="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001664" name="Picture 1024001664"/>
                    <pic:cNvPicPr/>
                  </pic:nvPicPr>
                  <pic:blipFill>
                    <a:blip r:embed="rId6">
                      <a:extLst>
                        <a:ext uri="{28A0092B-C50C-407E-A947-70E740481C1C}">
                          <a14:useLocalDpi xmlns:a14="http://schemas.microsoft.com/office/drawing/2010/main"/>
                        </a:ext>
                      </a:extLst>
                    </a:blip>
                    <a:stretch>
                      <a:fillRect/>
                    </a:stretch>
                  </pic:blipFill>
                  <pic:spPr>
                    <a:xfrm>
                      <a:off x="0" y="0"/>
                      <a:ext cx="2905125" cy="1019175"/>
                    </a:xfrm>
                    <a:prstGeom prst="rect">
                      <a:avLst/>
                    </a:prstGeom>
                  </pic:spPr>
                </pic:pic>
              </a:graphicData>
            </a:graphic>
          </wp:inline>
        </w:drawing>
      </w:r>
    </w:p>
    <w:p w14:paraId="09D7D1EB" w14:textId="1621853B" w:rsidR="55D1B75F" w:rsidRDefault="55D1B75F" w:rsidP="55D1B75F"/>
    <w:p w14:paraId="683848CC" w14:textId="5C4E248B" w:rsidR="55D1B75F" w:rsidRDefault="55D1B75F" w:rsidP="55D1B75F"/>
    <w:p w14:paraId="332524C3" w14:textId="7783F832" w:rsidR="55D1B75F" w:rsidRDefault="55D1B75F" w:rsidP="55D1B75F"/>
    <w:p w14:paraId="656E8E33" w14:textId="602F2C3F" w:rsidR="2F6DECF4" w:rsidRDefault="2F6DECF4" w:rsidP="55D1B75F">
      <w:pPr>
        <w:ind w:left="2880" w:firstLine="720"/>
        <w:rPr>
          <w:rFonts w:ascii="Arial" w:eastAsia="Arial" w:hAnsi="Arial" w:cs="Arial"/>
          <w:color w:val="000000" w:themeColor="text1"/>
          <w:sz w:val="28"/>
          <w:szCs w:val="28"/>
        </w:rPr>
      </w:pPr>
      <w:r w:rsidRPr="55D1B75F">
        <w:rPr>
          <w:rFonts w:ascii="Arial" w:eastAsia="Arial" w:hAnsi="Arial" w:cs="Arial"/>
          <w:b/>
          <w:bCs/>
          <w:color w:val="000000" w:themeColor="text1"/>
          <w:sz w:val="28"/>
          <w:szCs w:val="28"/>
        </w:rPr>
        <w:t xml:space="preserve">Dilara Begum </w:t>
      </w:r>
    </w:p>
    <w:p w14:paraId="70B978CA" w14:textId="54F6B35D" w:rsidR="2F6DECF4" w:rsidRDefault="2F6DECF4" w:rsidP="55D1B75F">
      <w:pPr>
        <w:spacing w:before="240" w:after="240"/>
        <w:jc w:val="center"/>
        <w:rPr>
          <w:rFonts w:ascii="Arial" w:eastAsia="Arial" w:hAnsi="Arial" w:cs="Arial"/>
          <w:color w:val="000000" w:themeColor="text1"/>
          <w:sz w:val="28"/>
          <w:szCs w:val="28"/>
        </w:rPr>
      </w:pPr>
      <w:r w:rsidRPr="55D1B75F">
        <w:rPr>
          <w:rFonts w:ascii="Arial" w:eastAsia="Arial" w:hAnsi="Arial" w:cs="Arial"/>
          <w:b/>
          <w:bCs/>
          <w:color w:val="000000" w:themeColor="text1"/>
          <w:sz w:val="28"/>
          <w:szCs w:val="28"/>
        </w:rPr>
        <w:t>Student Number:</w:t>
      </w:r>
      <w:r w:rsidRPr="55D1B75F">
        <w:rPr>
          <w:rFonts w:ascii="Arial" w:eastAsia="Arial" w:hAnsi="Arial" w:cs="Arial"/>
          <w:color w:val="000000" w:themeColor="text1"/>
          <w:sz w:val="28"/>
          <w:szCs w:val="28"/>
        </w:rPr>
        <w:t xml:space="preserve"> 2017884 </w:t>
      </w:r>
    </w:p>
    <w:p w14:paraId="3B65D0E6" w14:textId="5E82C373" w:rsidR="2F6DECF4" w:rsidRDefault="2F6DECF4" w:rsidP="55D1B75F">
      <w:pPr>
        <w:keepNext/>
        <w:keepLines/>
        <w:rPr>
          <w:rFonts w:ascii="Arial" w:eastAsia="Arial" w:hAnsi="Arial" w:cs="Arial"/>
          <w:color w:val="000000" w:themeColor="text1"/>
          <w:sz w:val="28"/>
          <w:szCs w:val="28"/>
        </w:rPr>
      </w:pPr>
      <w:r w:rsidRPr="55D1B75F">
        <w:rPr>
          <w:rFonts w:ascii="Arial" w:eastAsia="Arial" w:hAnsi="Arial" w:cs="Arial"/>
          <w:b/>
          <w:bCs/>
          <w:color w:val="000000" w:themeColor="text1"/>
          <w:sz w:val="28"/>
          <w:szCs w:val="28"/>
        </w:rPr>
        <w:t xml:space="preserve">                    </w:t>
      </w:r>
      <w:r w:rsidR="2B938AAE" w:rsidRPr="55D1B75F">
        <w:rPr>
          <w:rFonts w:ascii="Arial" w:eastAsia="Arial" w:hAnsi="Arial" w:cs="Arial"/>
          <w:b/>
          <w:bCs/>
          <w:color w:val="000000" w:themeColor="text1"/>
          <w:sz w:val="28"/>
          <w:szCs w:val="28"/>
        </w:rPr>
        <w:t xml:space="preserve">             </w:t>
      </w:r>
      <w:r w:rsidRPr="55D1B75F">
        <w:rPr>
          <w:rFonts w:ascii="Arial" w:eastAsia="Arial" w:hAnsi="Arial" w:cs="Arial"/>
          <w:b/>
          <w:bCs/>
          <w:color w:val="000000" w:themeColor="text1"/>
          <w:sz w:val="28"/>
          <w:szCs w:val="28"/>
        </w:rPr>
        <w:t xml:space="preserve">Module: </w:t>
      </w:r>
      <w:r w:rsidRPr="55D1B75F">
        <w:rPr>
          <w:rFonts w:ascii="Arial" w:eastAsia="Arial" w:hAnsi="Arial" w:cs="Arial"/>
          <w:color w:val="000000" w:themeColor="text1"/>
          <w:sz w:val="28"/>
          <w:szCs w:val="28"/>
        </w:rPr>
        <w:t>Component 2-</w:t>
      </w:r>
      <w:r w:rsidR="6B2CC54C" w:rsidRPr="55D1B75F">
        <w:rPr>
          <w:rFonts w:ascii="Arial" w:eastAsia="Arial" w:hAnsi="Arial" w:cs="Arial"/>
          <w:color w:val="000000" w:themeColor="text1"/>
          <w:sz w:val="28"/>
          <w:szCs w:val="28"/>
        </w:rPr>
        <w:t xml:space="preserve"> Report </w:t>
      </w:r>
    </w:p>
    <w:p w14:paraId="31B431AE" w14:textId="569477C6" w:rsidR="2F6DECF4" w:rsidRDefault="2F6DECF4" w:rsidP="55D1B75F">
      <w:pPr>
        <w:shd w:val="clear" w:color="auto" w:fill="FFFFFF" w:themeFill="background1"/>
        <w:spacing w:after="120"/>
        <w:jc w:val="center"/>
        <w:rPr>
          <w:rFonts w:ascii="Arial" w:eastAsia="Arial" w:hAnsi="Arial" w:cs="Arial"/>
          <w:color w:val="1D2125"/>
          <w:sz w:val="28"/>
          <w:szCs w:val="28"/>
        </w:rPr>
      </w:pPr>
      <w:r w:rsidRPr="55D1B75F">
        <w:rPr>
          <w:rFonts w:ascii="Arial" w:eastAsia="Arial" w:hAnsi="Arial" w:cs="Arial"/>
          <w:color w:val="1D2125"/>
          <w:sz w:val="28"/>
          <w:szCs w:val="28"/>
        </w:rPr>
        <w:t xml:space="preserve">                </w:t>
      </w:r>
      <w:r w:rsidRPr="55D1B75F">
        <w:rPr>
          <w:rFonts w:ascii="Arial" w:eastAsia="Arial" w:hAnsi="Arial" w:cs="Arial"/>
          <w:b/>
          <w:bCs/>
          <w:color w:val="1D2125"/>
          <w:sz w:val="28"/>
          <w:szCs w:val="28"/>
        </w:rPr>
        <w:t>BMHP60</w:t>
      </w:r>
      <w:r w:rsidR="45184C17" w:rsidRPr="55D1B75F">
        <w:rPr>
          <w:rFonts w:ascii="Arial" w:eastAsia="Arial" w:hAnsi="Arial" w:cs="Arial"/>
          <w:b/>
          <w:bCs/>
          <w:color w:val="1D2125"/>
          <w:sz w:val="28"/>
          <w:szCs w:val="28"/>
        </w:rPr>
        <w:t>30</w:t>
      </w:r>
      <w:r w:rsidRPr="55D1B75F">
        <w:rPr>
          <w:rFonts w:ascii="Arial" w:eastAsia="Arial" w:hAnsi="Arial" w:cs="Arial"/>
          <w:b/>
          <w:bCs/>
          <w:color w:val="1D2125"/>
          <w:sz w:val="28"/>
          <w:szCs w:val="28"/>
        </w:rPr>
        <w:t>:</w:t>
      </w:r>
      <w:r w:rsidRPr="55D1B75F">
        <w:rPr>
          <w:rFonts w:ascii="Arial" w:eastAsia="Arial" w:hAnsi="Arial" w:cs="Arial"/>
          <w:color w:val="1D2125"/>
          <w:sz w:val="28"/>
          <w:szCs w:val="28"/>
        </w:rPr>
        <w:t xml:space="preserve"> </w:t>
      </w:r>
      <w:r w:rsidR="66D27E0E" w:rsidRPr="55D1B75F">
        <w:rPr>
          <w:rFonts w:ascii="Segoe UI" w:eastAsia="Segoe UI" w:hAnsi="Segoe UI" w:cs="Segoe UI"/>
          <w:color w:val="1D2125"/>
          <w:sz w:val="28"/>
          <w:szCs w:val="28"/>
        </w:rPr>
        <w:t>Health, Wellbeing and Sustainable Development</w:t>
      </w:r>
    </w:p>
    <w:p w14:paraId="0DFCB8A5" w14:textId="7DF19A33" w:rsidR="55D1B75F" w:rsidRDefault="55D1B75F" w:rsidP="55D1B75F">
      <w:pPr>
        <w:keepNext/>
        <w:keepLines/>
        <w:rPr>
          <w:rFonts w:ascii="Arial" w:eastAsia="Arial" w:hAnsi="Arial" w:cs="Arial"/>
          <w:color w:val="1D2125"/>
          <w:sz w:val="28"/>
          <w:szCs w:val="28"/>
        </w:rPr>
      </w:pPr>
    </w:p>
    <w:p w14:paraId="25A01362" w14:textId="68F94E69" w:rsidR="2F6DECF4" w:rsidRDefault="2F6DECF4" w:rsidP="55D1B75F">
      <w:pPr>
        <w:shd w:val="clear" w:color="auto" w:fill="FFFFFF" w:themeFill="background1"/>
        <w:spacing w:after="120" w:line="360" w:lineRule="auto"/>
        <w:jc w:val="center"/>
        <w:rPr>
          <w:rFonts w:ascii="Arial" w:eastAsia="Arial" w:hAnsi="Arial" w:cs="Arial"/>
          <w:color w:val="000000" w:themeColor="text1"/>
          <w:sz w:val="28"/>
          <w:szCs w:val="28"/>
        </w:rPr>
      </w:pPr>
      <w:r w:rsidRPr="55D1B75F">
        <w:rPr>
          <w:rFonts w:ascii="Arial" w:eastAsia="Arial" w:hAnsi="Arial" w:cs="Arial"/>
          <w:b/>
          <w:bCs/>
          <w:color w:val="000000" w:themeColor="text1"/>
          <w:sz w:val="28"/>
          <w:szCs w:val="28"/>
        </w:rPr>
        <w:t xml:space="preserve">Lecturer: </w:t>
      </w:r>
      <w:r w:rsidRPr="55D1B75F">
        <w:rPr>
          <w:rFonts w:ascii="Arial" w:eastAsia="Arial" w:hAnsi="Arial" w:cs="Arial"/>
          <w:color w:val="000000" w:themeColor="text1"/>
          <w:sz w:val="28"/>
          <w:szCs w:val="28"/>
        </w:rPr>
        <w:t>Zakiyyah Ahmed</w:t>
      </w:r>
    </w:p>
    <w:p w14:paraId="64B63F4F" w14:textId="1495C14A" w:rsidR="55D1B75F" w:rsidRDefault="55D1B75F" w:rsidP="55D1B75F"/>
    <w:p w14:paraId="74E9D3D4" w14:textId="72975CB6" w:rsidR="55D1B75F" w:rsidRDefault="55D1B75F">
      <w:r>
        <w:br w:type="page"/>
      </w:r>
    </w:p>
    <w:sdt>
      <w:sdtPr>
        <w:id w:val="1897483424"/>
        <w:docPartObj>
          <w:docPartGallery w:val="Table of Contents"/>
          <w:docPartUnique/>
        </w:docPartObj>
      </w:sdtPr>
      <w:sdtEndPr>
        <w:rPr>
          <w:rFonts w:ascii="Arial" w:hAnsi="Arial" w:cs="Arial"/>
          <w:sz w:val="22"/>
          <w:szCs w:val="22"/>
        </w:rPr>
      </w:sdtEndPr>
      <w:sdtContent>
        <w:p w14:paraId="23A2CD0A" w14:textId="049EA0BB" w:rsidR="55D1B75F" w:rsidRPr="00B67F60" w:rsidRDefault="55D1B75F" w:rsidP="55D1B75F">
          <w:pPr>
            <w:pStyle w:val="TOC1"/>
            <w:tabs>
              <w:tab w:val="right" w:leader="dot" w:pos="9015"/>
            </w:tabs>
            <w:rPr>
              <w:rStyle w:val="Hyperlink"/>
              <w:rFonts w:ascii="Arial" w:hAnsi="Arial" w:cs="Arial"/>
              <w:sz w:val="22"/>
              <w:szCs w:val="22"/>
            </w:rPr>
          </w:pPr>
          <w:r w:rsidRPr="00B67F60">
            <w:rPr>
              <w:rFonts w:ascii="Arial" w:hAnsi="Arial" w:cs="Arial"/>
              <w:sz w:val="22"/>
              <w:szCs w:val="22"/>
            </w:rPr>
            <w:fldChar w:fldCharType="begin"/>
          </w:r>
          <w:r w:rsidRPr="00B67F60">
            <w:rPr>
              <w:rFonts w:ascii="Arial" w:hAnsi="Arial" w:cs="Arial"/>
              <w:sz w:val="22"/>
              <w:szCs w:val="22"/>
            </w:rPr>
            <w:instrText>TOC \o \z \u \h</w:instrText>
          </w:r>
          <w:r w:rsidRPr="00B67F60">
            <w:rPr>
              <w:rFonts w:ascii="Arial" w:hAnsi="Arial" w:cs="Arial"/>
              <w:sz w:val="22"/>
              <w:szCs w:val="22"/>
            </w:rPr>
            <w:fldChar w:fldCharType="separate"/>
          </w:r>
          <w:hyperlink w:anchor="_Toc2126017163">
            <w:r w:rsidRPr="00B67F60">
              <w:rPr>
                <w:rStyle w:val="Hyperlink"/>
                <w:rFonts w:ascii="Arial" w:hAnsi="Arial" w:cs="Arial"/>
                <w:sz w:val="22"/>
                <w:szCs w:val="22"/>
              </w:rPr>
              <w:t>Introduction</w:t>
            </w:r>
            <w:r w:rsidRPr="00B67F60">
              <w:rPr>
                <w:rFonts w:ascii="Arial" w:hAnsi="Arial" w:cs="Arial"/>
                <w:sz w:val="22"/>
                <w:szCs w:val="22"/>
              </w:rPr>
              <w:tab/>
            </w:r>
            <w:r w:rsidRPr="00B67F60">
              <w:rPr>
                <w:rFonts w:ascii="Arial" w:hAnsi="Arial" w:cs="Arial"/>
                <w:sz w:val="22"/>
                <w:szCs w:val="22"/>
              </w:rPr>
              <w:fldChar w:fldCharType="begin"/>
            </w:r>
            <w:r w:rsidRPr="00B67F60">
              <w:rPr>
                <w:rFonts w:ascii="Arial" w:hAnsi="Arial" w:cs="Arial"/>
                <w:sz w:val="22"/>
                <w:szCs w:val="22"/>
              </w:rPr>
              <w:instrText>PAGEREF _Toc2126017163 \h</w:instrText>
            </w:r>
            <w:r w:rsidRPr="00B67F60">
              <w:rPr>
                <w:rFonts w:ascii="Arial" w:hAnsi="Arial" w:cs="Arial"/>
                <w:sz w:val="22"/>
                <w:szCs w:val="22"/>
              </w:rPr>
            </w:r>
            <w:r w:rsidRPr="00B67F60">
              <w:rPr>
                <w:rFonts w:ascii="Arial" w:hAnsi="Arial" w:cs="Arial"/>
                <w:sz w:val="22"/>
                <w:szCs w:val="22"/>
              </w:rPr>
              <w:fldChar w:fldCharType="separate"/>
            </w:r>
            <w:r w:rsidRPr="00B67F60">
              <w:rPr>
                <w:rStyle w:val="Hyperlink"/>
                <w:rFonts w:ascii="Arial" w:hAnsi="Arial" w:cs="Arial"/>
                <w:sz w:val="22"/>
                <w:szCs w:val="22"/>
              </w:rPr>
              <w:t>3</w:t>
            </w:r>
            <w:r w:rsidRPr="00B67F60">
              <w:rPr>
                <w:rFonts w:ascii="Arial" w:hAnsi="Arial" w:cs="Arial"/>
                <w:sz w:val="22"/>
                <w:szCs w:val="22"/>
              </w:rPr>
              <w:fldChar w:fldCharType="end"/>
            </w:r>
          </w:hyperlink>
        </w:p>
        <w:p w14:paraId="050581C1" w14:textId="72F3FA4E" w:rsidR="55D1B75F" w:rsidRPr="00B67F60" w:rsidRDefault="55D1B75F" w:rsidP="55D1B75F">
          <w:pPr>
            <w:pStyle w:val="TOC1"/>
            <w:tabs>
              <w:tab w:val="right" w:leader="dot" w:pos="9015"/>
            </w:tabs>
            <w:rPr>
              <w:rStyle w:val="Hyperlink"/>
              <w:rFonts w:ascii="Arial" w:hAnsi="Arial" w:cs="Arial"/>
              <w:sz w:val="22"/>
              <w:szCs w:val="22"/>
            </w:rPr>
          </w:pPr>
          <w:hyperlink w:anchor="_Toc1959009248">
            <w:r w:rsidR="00B67F60" w:rsidRPr="00B67F60">
              <w:rPr>
                <w:rStyle w:val="Hyperlink"/>
                <w:rFonts w:ascii="Arial" w:hAnsi="Arial" w:cs="Arial"/>
                <w:sz w:val="22"/>
                <w:szCs w:val="22"/>
              </w:rPr>
              <w:t>Section 1: SDG 3 – Promoting Good Health and Well-being</w:t>
            </w:r>
            <w:r w:rsidR="00B67F60" w:rsidRPr="00B67F60">
              <w:rPr>
                <w:rStyle w:val="Hyperlink"/>
                <w:rFonts w:ascii="Arial" w:hAnsi="Arial" w:cs="Arial"/>
                <w:sz w:val="22"/>
                <w:szCs w:val="22"/>
              </w:rPr>
              <w:tab/>
              <w:t>3</w:t>
            </w:r>
          </w:hyperlink>
        </w:p>
        <w:p w14:paraId="5A7E50DA" w14:textId="00AB2823" w:rsidR="55D1B75F" w:rsidRPr="00B67F60" w:rsidRDefault="55D1B75F" w:rsidP="55D1B75F">
          <w:pPr>
            <w:pStyle w:val="TOC2"/>
            <w:tabs>
              <w:tab w:val="right" w:leader="dot" w:pos="9015"/>
            </w:tabs>
            <w:rPr>
              <w:rStyle w:val="Hyperlink"/>
              <w:rFonts w:ascii="Arial" w:hAnsi="Arial" w:cs="Arial"/>
              <w:sz w:val="22"/>
              <w:szCs w:val="22"/>
            </w:rPr>
          </w:pPr>
          <w:hyperlink w:anchor="_Toc450044442">
            <w:r w:rsidRPr="00B67F60">
              <w:rPr>
                <w:rStyle w:val="Hyperlink"/>
                <w:rFonts w:ascii="Arial" w:hAnsi="Arial" w:cs="Arial"/>
                <w:sz w:val="22"/>
                <w:szCs w:val="22"/>
              </w:rPr>
              <w:t>International Context and Systemic Barriers</w:t>
            </w:r>
            <w:r w:rsidRPr="00B67F60">
              <w:rPr>
                <w:rFonts w:ascii="Arial" w:hAnsi="Arial" w:cs="Arial"/>
                <w:sz w:val="22"/>
                <w:szCs w:val="22"/>
              </w:rPr>
              <w:tab/>
            </w:r>
            <w:r w:rsidRPr="00B67F60">
              <w:rPr>
                <w:rFonts w:ascii="Arial" w:hAnsi="Arial" w:cs="Arial"/>
                <w:sz w:val="22"/>
                <w:szCs w:val="22"/>
              </w:rPr>
              <w:fldChar w:fldCharType="begin"/>
            </w:r>
            <w:r w:rsidRPr="00B67F60">
              <w:rPr>
                <w:rFonts w:ascii="Arial" w:hAnsi="Arial" w:cs="Arial"/>
                <w:sz w:val="22"/>
                <w:szCs w:val="22"/>
              </w:rPr>
              <w:instrText>PAGEREF _Toc450044442 \h</w:instrText>
            </w:r>
            <w:r w:rsidRPr="00B67F60">
              <w:rPr>
                <w:rFonts w:ascii="Arial" w:hAnsi="Arial" w:cs="Arial"/>
                <w:sz w:val="22"/>
                <w:szCs w:val="22"/>
              </w:rPr>
            </w:r>
            <w:r w:rsidRPr="00B67F60">
              <w:rPr>
                <w:rFonts w:ascii="Arial" w:hAnsi="Arial" w:cs="Arial"/>
                <w:sz w:val="22"/>
                <w:szCs w:val="22"/>
              </w:rPr>
              <w:fldChar w:fldCharType="separate"/>
            </w:r>
            <w:r w:rsidRPr="00B67F60">
              <w:rPr>
                <w:rStyle w:val="Hyperlink"/>
                <w:rFonts w:ascii="Arial" w:hAnsi="Arial" w:cs="Arial"/>
                <w:sz w:val="22"/>
                <w:szCs w:val="22"/>
              </w:rPr>
              <w:t>4</w:t>
            </w:r>
            <w:r w:rsidRPr="00B67F60">
              <w:rPr>
                <w:rFonts w:ascii="Arial" w:hAnsi="Arial" w:cs="Arial"/>
                <w:sz w:val="22"/>
                <w:szCs w:val="22"/>
              </w:rPr>
              <w:fldChar w:fldCharType="end"/>
            </w:r>
          </w:hyperlink>
        </w:p>
        <w:p w14:paraId="40AA617A" w14:textId="1576E4E8" w:rsidR="55D1B75F" w:rsidRPr="00B67F60" w:rsidRDefault="55D1B75F" w:rsidP="55D1B75F">
          <w:pPr>
            <w:pStyle w:val="TOC2"/>
            <w:tabs>
              <w:tab w:val="right" w:leader="dot" w:pos="9015"/>
            </w:tabs>
            <w:rPr>
              <w:rStyle w:val="Hyperlink"/>
              <w:rFonts w:ascii="Arial" w:hAnsi="Arial" w:cs="Arial"/>
              <w:sz w:val="22"/>
              <w:szCs w:val="22"/>
            </w:rPr>
          </w:pPr>
          <w:hyperlink w:anchor="_Toc801850434">
            <w:r w:rsidRPr="00B67F60">
              <w:rPr>
                <w:rStyle w:val="Hyperlink"/>
                <w:rFonts w:ascii="Arial" w:hAnsi="Arial" w:cs="Arial"/>
                <w:sz w:val="22"/>
                <w:szCs w:val="22"/>
              </w:rPr>
              <w:t>Behavioural Theory and Policy Uptake</w:t>
            </w:r>
            <w:r w:rsidRPr="00B67F60">
              <w:rPr>
                <w:rFonts w:ascii="Arial" w:hAnsi="Arial" w:cs="Arial"/>
                <w:sz w:val="22"/>
                <w:szCs w:val="22"/>
              </w:rPr>
              <w:tab/>
            </w:r>
            <w:r w:rsidRPr="00B67F60">
              <w:rPr>
                <w:rFonts w:ascii="Arial" w:hAnsi="Arial" w:cs="Arial"/>
                <w:sz w:val="22"/>
                <w:szCs w:val="22"/>
              </w:rPr>
              <w:fldChar w:fldCharType="begin"/>
            </w:r>
            <w:r w:rsidRPr="00B67F60">
              <w:rPr>
                <w:rFonts w:ascii="Arial" w:hAnsi="Arial" w:cs="Arial"/>
                <w:sz w:val="22"/>
                <w:szCs w:val="22"/>
              </w:rPr>
              <w:instrText>PAGEREF _Toc801850434 \h</w:instrText>
            </w:r>
            <w:r w:rsidRPr="00B67F60">
              <w:rPr>
                <w:rFonts w:ascii="Arial" w:hAnsi="Arial" w:cs="Arial"/>
                <w:sz w:val="22"/>
                <w:szCs w:val="22"/>
              </w:rPr>
            </w:r>
            <w:r w:rsidRPr="00B67F60">
              <w:rPr>
                <w:rFonts w:ascii="Arial" w:hAnsi="Arial" w:cs="Arial"/>
                <w:sz w:val="22"/>
                <w:szCs w:val="22"/>
              </w:rPr>
              <w:fldChar w:fldCharType="separate"/>
            </w:r>
            <w:r w:rsidRPr="00B67F60">
              <w:rPr>
                <w:rStyle w:val="Hyperlink"/>
                <w:rFonts w:ascii="Arial" w:hAnsi="Arial" w:cs="Arial"/>
                <w:sz w:val="22"/>
                <w:szCs w:val="22"/>
              </w:rPr>
              <w:t>5</w:t>
            </w:r>
            <w:r w:rsidRPr="00B67F60">
              <w:rPr>
                <w:rFonts w:ascii="Arial" w:hAnsi="Arial" w:cs="Arial"/>
                <w:sz w:val="22"/>
                <w:szCs w:val="22"/>
              </w:rPr>
              <w:fldChar w:fldCharType="end"/>
            </w:r>
          </w:hyperlink>
        </w:p>
        <w:p w14:paraId="49030DAB" w14:textId="4BAFA0FB" w:rsidR="55D1B75F" w:rsidRPr="00B67F60" w:rsidRDefault="55D1B75F" w:rsidP="55D1B75F">
          <w:pPr>
            <w:pStyle w:val="TOC2"/>
            <w:tabs>
              <w:tab w:val="right" w:leader="dot" w:pos="9015"/>
            </w:tabs>
            <w:rPr>
              <w:rStyle w:val="Hyperlink"/>
              <w:rFonts w:ascii="Arial" w:hAnsi="Arial" w:cs="Arial"/>
              <w:sz w:val="22"/>
              <w:szCs w:val="22"/>
            </w:rPr>
          </w:pPr>
          <w:hyperlink w:anchor="_Toc1838819224">
            <w:r w:rsidRPr="00B67F60">
              <w:rPr>
                <w:rStyle w:val="Hyperlink"/>
                <w:rFonts w:ascii="Arial" w:hAnsi="Arial" w:cs="Arial"/>
                <w:sz w:val="22"/>
                <w:szCs w:val="22"/>
              </w:rPr>
              <w:t>National Context: England</w:t>
            </w:r>
            <w:r w:rsidRPr="00B67F60">
              <w:rPr>
                <w:rFonts w:ascii="Arial" w:hAnsi="Arial" w:cs="Arial"/>
                <w:sz w:val="22"/>
                <w:szCs w:val="22"/>
              </w:rPr>
              <w:tab/>
            </w:r>
            <w:r w:rsidRPr="00B67F60">
              <w:rPr>
                <w:rFonts w:ascii="Arial" w:hAnsi="Arial" w:cs="Arial"/>
                <w:sz w:val="22"/>
                <w:szCs w:val="22"/>
              </w:rPr>
              <w:fldChar w:fldCharType="begin"/>
            </w:r>
            <w:r w:rsidRPr="00B67F60">
              <w:rPr>
                <w:rFonts w:ascii="Arial" w:hAnsi="Arial" w:cs="Arial"/>
                <w:sz w:val="22"/>
                <w:szCs w:val="22"/>
              </w:rPr>
              <w:instrText>PAGEREF _Toc1838819224 \h</w:instrText>
            </w:r>
            <w:r w:rsidRPr="00B67F60">
              <w:rPr>
                <w:rFonts w:ascii="Arial" w:hAnsi="Arial" w:cs="Arial"/>
                <w:sz w:val="22"/>
                <w:szCs w:val="22"/>
              </w:rPr>
            </w:r>
            <w:r w:rsidRPr="00B67F60">
              <w:rPr>
                <w:rFonts w:ascii="Arial" w:hAnsi="Arial" w:cs="Arial"/>
                <w:sz w:val="22"/>
                <w:szCs w:val="22"/>
              </w:rPr>
              <w:fldChar w:fldCharType="separate"/>
            </w:r>
            <w:r w:rsidRPr="00B67F60">
              <w:rPr>
                <w:rStyle w:val="Hyperlink"/>
                <w:rFonts w:ascii="Arial" w:hAnsi="Arial" w:cs="Arial"/>
                <w:sz w:val="22"/>
                <w:szCs w:val="22"/>
              </w:rPr>
              <w:t>5</w:t>
            </w:r>
            <w:r w:rsidRPr="00B67F60">
              <w:rPr>
                <w:rFonts w:ascii="Arial" w:hAnsi="Arial" w:cs="Arial"/>
                <w:sz w:val="22"/>
                <w:szCs w:val="22"/>
              </w:rPr>
              <w:fldChar w:fldCharType="end"/>
            </w:r>
          </w:hyperlink>
        </w:p>
        <w:p w14:paraId="3E3586AE" w14:textId="3EE01C65" w:rsidR="55D1B75F" w:rsidRPr="00B67F60" w:rsidRDefault="55D1B75F" w:rsidP="55D1B75F">
          <w:pPr>
            <w:pStyle w:val="TOC2"/>
            <w:tabs>
              <w:tab w:val="right" w:leader="dot" w:pos="9015"/>
            </w:tabs>
            <w:rPr>
              <w:rStyle w:val="Hyperlink"/>
              <w:rFonts w:ascii="Arial" w:hAnsi="Arial" w:cs="Arial"/>
              <w:sz w:val="22"/>
              <w:szCs w:val="22"/>
            </w:rPr>
          </w:pPr>
          <w:hyperlink w:anchor="_Toc1025393236">
            <w:r w:rsidRPr="00B67F60">
              <w:rPr>
                <w:rStyle w:val="Hyperlink"/>
                <w:rFonts w:ascii="Arial" w:hAnsi="Arial" w:cs="Arial"/>
                <w:sz w:val="22"/>
                <w:szCs w:val="22"/>
              </w:rPr>
              <w:t>Local Implementation in England</w:t>
            </w:r>
            <w:r w:rsidRPr="00B67F60">
              <w:rPr>
                <w:rFonts w:ascii="Arial" w:hAnsi="Arial" w:cs="Arial"/>
                <w:sz w:val="22"/>
                <w:szCs w:val="22"/>
              </w:rPr>
              <w:tab/>
            </w:r>
            <w:r w:rsidRPr="00B67F60">
              <w:rPr>
                <w:rFonts w:ascii="Arial" w:hAnsi="Arial" w:cs="Arial"/>
                <w:sz w:val="22"/>
                <w:szCs w:val="22"/>
              </w:rPr>
              <w:fldChar w:fldCharType="begin"/>
            </w:r>
            <w:r w:rsidRPr="00B67F60">
              <w:rPr>
                <w:rFonts w:ascii="Arial" w:hAnsi="Arial" w:cs="Arial"/>
                <w:sz w:val="22"/>
                <w:szCs w:val="22"/>
              </w:rPr>
              <w:instrText>PAGEREF _Toc1025393236 \h</w:instrText>
            </w:r>
            <w:r w:rsidRPr="00B67F60">
              <w:rPr>
                <w:rFonts w:ascii="Arial" w:hAnsi="Arial" w:cs="Arial"/>
                <w:sz w:val="22"/>
                <w:szCs w:val="22"/>
              </w:rPr>
            </w:r>
            <w:r w:rsidRPr="00B67F60">
              <w:rPr>
                <w:rFonts w:ascii="Arial" w:hAnsi="Arial" w:cs="Arial"/>
                <w:sz w:val="22"/>
                <w:szCs w:val="22"/>
              </w:rPr>
              <w:fldChar w:fldCharType="separate"/>
            </w:r>
            <w:r w:rsidRPr="00B67F60">
              <w:rPr>
                <w:rStyle w:val="Hyperlink"/>
                <w:rFonts w:ascii="Arial" w:hAnsi="Arial" w:cs="Arial"/>
                <w:sz w:val="22"/>
                <w:szCs w:val="22"/>
              </w:rPr>
              <w:t>6</w:t>
            </w:r>
            <w:r w:rsidRPr="00B67F60">
              <w:rPr>
                <w:rFonts w:ascii="Arial" w:hAnsi="Arial" w:cs="Arial"/>
                <w:sz w:val="22"/>
                <w:szCs w:val="22"/>
              </w:rPr>
              <w:fldChar w:fldCharType="end"/>
            </w:r>
          </w:hyperlink>
        </w:p>
        <w:p w14:paraId="315B08A2" w14:textId="788F2A8D" w:rsidR="55D1B75F" w:rsidRPr="00B67F60" w:rsidRDefault="55D1B75F" w:rsidP="55D1B75F">
          <w:pPr>
            <w:pStyle w:val="TOC2"/>
            <w:tabs>
              <w:tab w:val="right" w:leader="dot" w:pos="9015"/>
            </w:tabs>
            <w:rPr>
              <w:rStyle w:val="Hyperlink"/>
              <w:rFonts w:ascii="Arial" w:hAnsi="Arial" w:cs="Arial"/>
              <w:sz w:val="22"/>
              <w:szCs w:val="22"/>
            </w:rPr>
          </w:pPr>
          <w:hyperlink w:anchor="_Toc358811056">
            <w:r w:rsidRPr="00B67F60">
              <w:rPr>
                <w:rStyle w:val="Hyperlink"/>
                <w:rFonts w:ascii="Arial" w:hAnsi="Arial" w:cs="Arial"/>
                <w:sz w:val="22"/>
                <w:szCs w:val="22"/>
              </w:rPr>
              <w:t>Recommendations for SDG 3</w:t>
            </w:r>
            <w:r w:rsidRPr="00B67F60">
              <w:rPr>
                <w:rFonts w:ascii="Arial" w:hAnsi="Arial" w:cs="Arial"/>
                <w:sz w:val="22"/>
                <w:szCs w:val="22"/>
              </w:rPr>
              <w:tab/>
            </w:r>
            <w:r w:rsidRPr="00B67F60">
              <w:rPr>
                <w:rFonts w:ascii="Arial" w:hAnsi="Arial" w:cs="Arial"/>
                <w:sz w:val="22"/>
                <w:szCs w:val="22"/>
              </w:rPr>
              <w:fldChar w:fldCharType="begin"/>
            </w:r>
            <w:r w:rsidRPr="00B67F60">
              <w:rPr>
                <w:rFonts w:ascii="Arial" w:hAnsi="Arial" w:cs="Arial"/>
                <w:sz w:val="22"/>
                <w:szCs w:val="22"/>
              </w:rPr>
              <w:instrText>PAGEREF _Toc358811056 \h</w:instrText>
            </w:r>
            <w:r w:rsidRPr="00B67F60">
              <w:rPr>
                <w:rFonts w:ascii="Arial" w:hAnsi="Arial" w:cs="Arial"/>
                <w:sz w:val="22"/>
                <w:szCs w:val="22"/>
              </w:rPr>
            </w:r>
            <w:r w:rsidRPr="00B67F60">
              <w:rPr>
                <w:rFonts w:ascii="Arial" w:hAnsi="Arial" w:cs="Arial"/>
                <w:sz w:val="22"/>
                <w:szCs w:val="22"/>
              </w:rPr>
              <w:fldChar w:fldCharType="separate"/>
            </w:r>
            <w:r w:rsidRPr="00B67F60">
              <w:rPr>
                <w:rStyle w:val="Hyperlink"/>
                <w:rFonts w:ascii="Arial" w:hAnsi="Arial" w:cs="Arial"/>
                <w:sz w:val="22"/>
                <w:szCs w:val="22"/>
              </w:rPr>
              <w:t>6</w:t>
            </w:r>
            <w:r w:rsidRPr="00B67F60">
              <w:rPr>
                <w:rFonts w:ascii="Arial" w:hAnsi="Arial" w:cs="Arial"/>
                <w:sz w:val="22"/>
                <w:szCs w:val="22"/>
              </w:rPr>
              <w:fldChar w:fldCharType="end"/>
            </w:r>
          </w:hyperlink>
        </w:p>
        <w:p w14:paraId="1BD1402E" w14:textId="3DBBA191" w:rsidR="55D1B75F" w:rsidRPr="00B67F60" w:rsidRDefault="55D1B75F" w:rsidP="55D1B75F">
          <w:pPr>
            <w:pStyle w:val="TOC1"/>
            <w:tabs>
              <w:tab w:val="right" w:leader="dot" w:pos="9015"/>
            </w:tabs>
            <w:rPr>
              <w:rStyle w:val="Hyperlink"/>
              <w:rFonts w:ascii="Arial" w:hAnsi="Arial" w:cs="Arial"/>
              <w:sz w:val="22"/>
              <w:szCs w:val="22"/>
            </w:rPr>
          </w:pPr>
          <w:hyperlink w:anchor="_Toc504505223">
            <w:r w:rsidRPr="00B67F60">
              <w:rPr>
                <w:rStyle w:val="Hyperlink"/>
                <w:rFonts w:ascii="Arial" w:hAnsi="Arial" w:cs="Arial"/>
                <w:sz w:val="22"/>
                <w:szCs w:val="22"/>
              </w:rPr>
              <w:t>Section 2: SDG 13 – Climate Action</w:t>
            </w:r>
            <w:r w:rsidRPr="00B67F60">
              <w:rPr>
                <w:rFonts w:ascii="Arial" w:hAnsi="Arial" w:cs="Arial"/>
                <w:sz w:val="22"/>
                <w:szCs w:val="22"/>
              </w:rPr>
              <w:tab/>
            </w:r>
            <w:r w:rsidRPr="00B67F60">
              <w:rPr>
                <w:rFonts w:ascii="Arial" w:hAnsi="Arial" w:cs="Arial"/>
                <w:sz w:val="22"/>
                <w:szCs w:val="22"/>
              </w:rPr>
              <w:fldChar w:fldCharType="begin"/>
            </w:r>
            <w:r w:rsidRPr="00B67F60">
              <w:rPr>
                <w:rFonts w:ascii="Arial" w:hAnsi="Arial" w:cs="Arial"/>
                <w:sz w:val="22"/>
                <w:szCs w:val="22"/>
              </w:rPr>
              <w:instrText>PAGEREF _Toc504505223 \h</w:instrText>
            </w:r>
            <w:r w:rsidRPr="00B67F60">
              <w:rPr>
                <w:rFonts w:ascii="Arial" w:hAnsi="Arial" w:cs="Arial"/>
                <w:sz w:val="22"/>
                <w:szCs w:val="22"/>
              </w:rPr>
            </w:r>
            <w:r w:rsidRPr="00B67F60">
              <w:rPr>
                <w:rFonts w:ascii="Arial" w:hAnsi="Arial" w:cs="Arial"/>
                <w:sz w:val="22"/>
                <w:szCs w:val="22"/>
              </w:rPr>
              <w:fldChar w:fldCharType="separate"/>
            </w:r>
            <w:r w:rsidRPr="00B67F60">
              <w:rPr>
                <w:rStyle w:val="Hyperlink"/>
                <w:rFonts w:ascii="Arial" w:hAnsi="Arial" w:cs="Arial"/>
                <w:sz w:val="22"/>
                <w:szCs w:val="22"/>
              </w:rPr>
              <w:t>7</w:t>
            </w:r>
            <w:r w:rsidRPr="00B67F60">
              <w:rPr>
                <w:rFonts w:ascii="Arial" w:hAnsi="Arial" w:cs="Arial"/>
                <w:sz w:val="22"/>
                <w:szCs w:val="22"/>
              </w:rPr>
              <w:fldChar w:fldCharType="end"/>
            </w:r>
          </w:hyperlink>
        </w:p>
        <w:p w14:paraId="5E284532" w14:textId="2707572A" w:rsidR="55D1B75F" w:rsidRPr="00B67F60" w:rsidRDefault="55D1B75F" w:rsidP="55D1B75F">
          <w:pPr>
            <w:pStyle w:val="TOC2"/>
            <w:tabs>
              <w:tab w:val="right" w:leader="dot" w:pos="9015"/>
            </w:tabs>
            <w:rPr>
              <w:rStyle w:val="Hyperlink"/>
              <w:rFonts w:ascii="Arial" w:hAnsi="Arial" w:cs="Arial"/>
              <w:sz w:val="22"/>
              <w:szCs w:val="22"/>
            </w:rPr>
          </w:pPr>
          <w:hyperlink w:anchor="_Toc69044135">
            <w:r w:rsidRPr="00B67F60">
              <w:rPr>
                <w:rStyle w:val="Hyperlink"/>
                <w:rFonts w:ascii="Arial" w:hAnsi="Arial" w:cs="Arial"/>
                <w:sz w:val="22"/>
                <w:szCs w:val="22"/>
              </w:rPr>
              <w:t>Climate Change as a Health Determinant</w:t>
            </w:r>
            <w:r w:rsidRPr="00B67F60">
              <w:rPr>
                <w:rFonts w:ascii="Arial" w:hAnsi="Arial" w:cs="Arial"/>
                <w:sz w:val="22"/>
                <w:szCs w:val="22"/>
              </w:rPr>
              <w:tab/>
            </w:r>
            <w:r w:rsidRPr="00B67F60">
              <w:rPr>
                <w:rFonts w:ascii="Arial" w:hAnsi="Arial" w:cs="Arial"/>
                <w:sz w:val="22"/>
                <w:szCs w:val="22"/>
              </w:rPr>
              <w:fldChar w:fldCharType="begin"/>
            </w:r>
            <w:r w:rsidRPr="00B67F60">
              <w:rPr>
                <w:rFonts w:ascii="Arial" w:hAnsi="Arial" w:cs="Arial"/>
                <w:sz w:val="22"/>
                <w:szCs w:val="22"/>
              </w:rPr>
              <w:instrText>PAGEREF _Toc69044135 \h</w:instrText>
            </w:r>
            <w:r w:rsidRPr="00B67F60">
              <w:rPr>
                <w:rFonts w:ascii="Arial" w:hAnsi="Arial" w:cs="Arial"/>
                <w:sz w:val="22"/>
                <w:szCs w:val="22"/>
              </w:rPr>
            </w:r>
            <w:r w:rsidRPr="00B67F60">
              <w:rPr>
                <w:rFonts w:ascii="Arial" w:hAnsi="Arial" w:cs="Arial"/>
                <w:sz w:val="22"/>
                <w:szCs w:val="22"/>
              </w:rPr>
              <w:fldChar w:fldCharType="separate"/>
            </w:r>
            <w:r w:rsidRPr="00B67F60">
              <w:rPr>
                <w:rStyle w:val="Hyperlink"/>
                <w:rFonts w:ascii="Arial" w:hAnsi="Arial" w:cs="Arial"/>
                <w:sz w:val="22"/>
                <w:szCs w:val="22"/>
              </w:rPr>
              <w:t>7</w:t>
            </w:r>
            <w:r w:rsidRPr="00B67F60">
              <w:rPr>
                <w:rFonts w:ascii="Arial" w:hAnsi="Arial" w:cs="Arial"/>
                <w:sz w:val="22"/>
                <w:szCs w:val="22"/>
              </w:rPr>
              <w:fldChar w:fldCharType="end"/>
            </w:r>
          </w:hyperlink>
        </w:p>
        <w:p w14:paraId="1DD8101D" w14:textId="6F62E938" w:rsidR="55D1B75F" w:rsidRPr="00B67F60" w:rsidRDefault="55D1B75F" w:rsidP="55D1B75F">
          <w:pPr>
            <w:pStyle w:val="TOC2"/>
            <w:tabs>
              <w:tab w:val="right" w:leader="dot" w:pos="9015"/>
            </w:tabs>
            <w:rPr>
              <w:rStyle w:val="Hyperlink"/>
              <w:rFonts w:ascii="Arial" w:hAnsi="Arial" w:cs="Arial"/>
              <w:sz w:val="22"/>
              <w:szCs w:val="22"/>
            </w:rPr>
          </w:pPr>
          <w:hyperlink w:anchor="_Toc572145074">
            <w:r w:rsidRPr="00B67F60">
              <w:rPr>
                <w:rStyle w:val="Hyperlink"/>
                <w:rFonts w:ascii="Arial" w:hAnsi="Arial" w:cs="Arial"/>
                <w:sz w:val="22"/>
                <w:szCs w:val="22"/>
              </w:rPr>
              <w:t>Global Governance and Structural Constraints</w:t>
            </w:r>
            <w:r w:rsidRPr="00B67F60">
              <w:rPr>
                <w:rFonts w:ascii="Arial" w:hAnsi="Arial" w:cs="Arial"/>
                <w:sz w:val="22"/>
                <w:szCs w:val="22"/>
              </w:rPr>
              <w:tab/>
            </w:r>
            <w:r w:rsidRPr="00B67F60">
              <w:rPr>
                <w:rFonts w:ascii="Arial" w:hAnsi="Arial" w:cs="Arial"/>
                <w:sz w:val="22"/>
                <w:szCs w:val="22"/>
              </w:rPr>
              <w:fldChar w:fldCharType="begin"/>
            </w:r>
            <w:r w:rsidRPr="00B67F60">
              <w:rPr>
                <w:rFonts w:ascii="Arial" w:hAnsi="Arial" w:cs="Arial"/>
                <w:sz w:val="22"/>
                <w:szCs w:val="22"/>
              </w:rPr>
              <w:instrText>PAGEREF _Toc572145074 \h</w:instrText>
            </w:r>
            <w:r w:rsidRPr="00B67F60">
              <w:rPr>
                <w:rFonts w:ascii="Arial" w:hAnsi="Arial" w:cs="Arial"/>
                <w:sz w:val="22"/>
                <w:szCs w:val="22"/>
              </w:rPr>
            </w:r>
            <w:r w:rsidRPr="00B67F60">
              <w:rPr>
                <w:rFonts w:ascii="Arial" w:hAnsi="Arial" w:cs="Arial"/>
                <w:sz w:val="22"/>
                <w:szCs w:val="22"/>
              </w:rPr>
              <w:fldChar w:fldCharType="separate"/>
            </w:r>
            <w:r w:rsidRPr="00B67F60">
              <w:rPr>
                <w:rStyle w:val="Hyperlink"/>
                <w:rFonts w:ascii="Arial" w:hAnsi="Arial" w:cs="Arial"/>
                <w:sz w:val="22"/>
                <w:szCs w:val="22"/>
              </w:rPr>
              <w:t>7</w:t>
            </w:r>
            <w:r w:rsidRPr="00B67F60">
              <w:rPr>
                <w:rFonts w:ascii="Arial" w:hAnsi="Arial" w:cs="Arial"/>
                <w:sz w:val="22"/>
                <w:szCs w:val="22"/>
              </w:rPr>
              <w:fldChar w:fldCharType="end"/>
            </w:r>
          </w:hyperlink>
        </w:p>
        <w:p w14:paraId="2E1013FF" w14:textId="3553B073" w:rsidR="55D1B75F" w:rsidRPr="00B67F60" w:rsidRDefault="55D1B75F" w:rsidP="55D1B75F">
          <w:pPr>
            <w:pStyle w:val="TOC2"/>
            <w:tabs>
              <w:tab w:val="right" w:leader="dot" w:pos="9015"/>
            </w:tabs>
            <w:rPr>
              <w:rStyle w:val="Hyperlink"/>
              <w:rFonts w:ascii="Arial" w:hAnsi="Arial" w:cs="Arial"/>
              <w:sz w:val="22"/>
              <w:szCs w:val="22"/>
            </w:rPr>
          </w:pPr>
          <w:hyperlink w:anchor="_Toc247372792">
            <w:r w:rsidRPr="00B67F60">
              <w:rPr>
                <w:rStyle w:val="Hyperlink"/>
                <w:rFonts w:ascii="Arial" w:hAnsi="Arial" w:cs="Arial"/>
                <w:sz w:val="22"/>
                <w:szCs w:val="22"/>
              </w:rPr>
              <w:t>National Context: England</w:t>
            </w:r>
            <w:r w:rsidRPr="00B67F60">
              <w:rPr>
                <w:rFonts w:ascii="Arial" w:hAnsi="Arial" w:cs="Arial"/>
                <w:sz w:val="22"/>
                <w:szCs w:val="22"/>
              </w:rPr>
              <w:tab/>
            </w:r>
            <w:r w:rsidRPr="00B67F60">
              <w:rPr>
                <w:rFonts w:ascii="Arial" w:hAnsi="Arial" w:cs="Arial"/>
                <w:sz w:val="22"/>
                <w:szCs w:val="22"/>
              </w:rPr>
              <w:fldChar w:fldCharType="begin"/>
            </w:r>
            <w:r w:rsidRPr="00B67F60">
              <w:rPr>
                <w:rFonts w:ascii="Arial" w:hAnsi="Arial" w:cs="Arial"/>
                <w:sz w:val="22"/>
                <w:szCs w:val="22"/>
              </w:rPr>
              <w:instrText>PAGEREF _Toc247372792 \h</w:instrText>
            </w:r>
            <w:r w:rsidRPr="00B67F60">
              <w:rPr>
                <w:rFonts w:ascii="Arial" w:hAnsi="Arial" w:cs="Arial"/>
                <w:sz w:val="22"/>
                <w:szCs w:val="22"/>
              </w:rPr>
            </w:r>
            <w:r w:rsidRPr="00B67F60">
              <w:rPr>
                <w:rFonts w:ascii="Arial" w:hAnsi="Arial" w:cs="Arial"/>
                <w:sz w:val="22"/>
                <w:szCs w:val="22"/>
              </w:rPr>
              <w:fldChar w:fldCharType="separate"/>
            </w:r>
            <w:r w:rsidRPr="00B67F60">
              <w:rPr>
                <w:rStyle w:val="Hyperlink"/>
                <w:rFonts w:ascii="Arial" w:hAnsi="Arial" w:cs="Arial"/>
                <w:sz w:val="22"/>
                <w:szCs w:val="22"/>
              </w:rPr>
              <w:t>7</w:t>
            </w:r>
            <w:r w:rsidRPr="00B67F60">
              <w:rPr>
                <w:rFonts w:ascii="Arial" w:hAnsi="Arial" w:cs="Arial"/>
                <w:sz w:val="22"/>
                <w:szCs w:val="22"/>
              </w:rPr>
              <w:fldChar w:fldCharType="end"/>
            </w:r>
          </w:hyperlink>
        </w:p>
        <w:p w14:paraId="52C7ADC6" w14:textId="5A83089F" w:rsidR="55D1B75F" w:rsidRPr="00B67F60" w:rsidRDefault="55D1B75F" w:rsidP="55D1B75F">
          <w:pPr>
            <w:pStyle w:val="TOC2"/>
            <w:tabs>
              <w:tab w:val="right" w:leader="dot" w:pos="9015"/>
            </w:tabs>
            <w:rPr>
              <w:rStyle w:val="Hyperlink"/>
              <w:rFonts w:ascii="Arial" w:hAnsi="Arial" w:cs="Arial"/>
              <w:sz w:val="22"/>
              <w:szCs w:val="22"/>
            </w:rPr>
          </w:pPr>
          <w:hyperlink w:anchor="_Toc1277123402">
            <w:r w:rsidRPr="00B67F60">
              <w:rPr>
                <w:rStyle w:val="Hyperlink"/>
                <w:rFonts w:ascii="Arial" w:hAnsi="Arial" w:cs="Arial"/>
                <w:sz w:val="22"/>
                <w:szCs w:val="22"/>
              </w:rPr>
              <w:t>Local Climate Action in England</w:t>
            </w:r>
            <w:r w:rsidRPr="00B67F60">
              <w:rPr>
                <w:rFonts w:ascii="Arial" w:hAnsi="Arial" w:cs="Arial"/>
                <w:sz w:val="22"/>
                <w:szCs w:val="22"/>
              </w:rPr>
              <w:tab/>
            </w:r>
            <w:r w:rsidRPr="00B67F60">
              <w:rPr>
                <w:rFonts w:ascii="Arial" w:hAnsi="Arial" w:cs="Arial"/>
                <w:sz w:val="22"/>
                <w:szCs w:val="22"/>
              </w:rPr>
              <w:fldChar w:fldCharType="begin"/>
            </w:r>
            <w:r w:rsidRPr="00B67F60">
              <w:rPr>
                <w:rFonts w:ascii="Arial" w:hAnsi="Arial" w:cs="Arial"/>
                <w:sz w:val="22"/>
                <w:szCs w:val="22"/>
              </w:rPr>
              <w:instrText>PAGEREF _Toc1277123402 \h</w:instrText>
            </w:r>
            <w:r w:rsidRPr="00B67F60">
              <w:rPr>
                <w:rFonts w:ascii="Arial" w:hAnsi="Arial" w:cs="Arial"/>
                <w:sz w:val="22"/>
                <w:szCs w:val="22"/>
              </w:rPr>
            </w:r>
            <w:r w:rsidRPr="00B67F60">
              <w:rPr>
                <w:rFonts w:ascii="Arial" w:hAnsi="Arial" w:cs="Arial"/>
                <w:sz w:val="22"/>
                <w:szCs w:val="22"/>
              </w:rPr>
              <w:fldChar w:fldCharType="separate"/>
            </w:r>
            <w:r w:rsidRPr="00B67F60">
              <w:rPr>
                <w:rStyle w:val="Hyperlink"/>
                <w:rFonts w:ascii="Arial" w:hAnsi="Arial" w:cs="Arial"/>
                <w:sz w:val="22"/>
                <w:szCs w:val="22"/>
              </w:rPr>
              <w:t>8</w:t>
            </w:r>
            <w:r w:rsidRPr="00B67F60">
              <w:rPr>
                <w:rFonts w:ascii="Arial" w:hAnsi="Arial" w:cs="Arial"/>
                <w:sz w:val="22"/>
                <w:szCs w:val="22"/>
              </w:rPr>
              <w:fldChar w:fldCharType="end"/>
            </w:r>
          </w:hyperlink>
        </w:p>
        <w:p w14:paraId="5F3163C4" w14:textId="3218D815" w:rsidR="55D1B75F" w:rsidRPr="00B67F60" w:rsidRDefault="55D1B75F" w:rsidP="55D1B75F">
          <w:pPr>
            <w:pStyle w:val="TOC2"/>
            <w:tabs>
              <w:tab w:val="right" w:leader="dot" w:pos="9015"/>
            </w:tabs>
            <w:rPr>
              <w:rStyle w:val="Hyperlink"/>
              <w:rFonts w:ascii="Arial" w:hAnsi="Arial" w:cs="Arial"/>
              <w:sz w:val="22"/>
              <w:szCs w:val="22"/>
            </w:rPr>
          </w:pPr>
          <w:hyperlink w:anchor="_Toc1294386147">
            <w:r w:rsidRPr="00B67F60">
              <w:rPr>
                <w:rStyle w:val="Hyperlink"/>
                <w:rFonts w:ascii="Arial" w:hAnsi="Arial" w:cs="Arial"/>
                <w:sz w:val="22"/>
                <w:szCs w:val="22"/>
              </w:rPr>
              <w:t>Interconnection Between SDG 3 and SDG 13</w:t>
            </w:r>
            <w:r w:rsidRPr="00B67F60">
              <w:rPr>
                <w:rFonts w:ascii="Arial" w:hAnsi="Arial" w:cs="Arial"/>
                <w:sz w:val="22"/>
                <w:szCs w:val="22"/>
              </w:rPr>
              <w:tab/>
            </w:r>
            <w:r w:rsidRPr="00B67F60">
              <w:rPr>
                <w:rFonts w:ascii="Arial" w:hAnsi="Arial" w:cs="Arial"/>
                <w:sz w:val="22"/>
                <w:szCs w:val="22"/>
              </w:rPr>
              <w:fldChar w:fldCharType="begin"/>
            </w:r>
            <w:r w:rsidRPr="00B67F60">
              <w:rPr>
                <w:rFonts w:ascii="Arial" w:hAnsi="Arial" w:cs="Arial"/>
                <w:sz w:val="22"/>
                <w:szCs w:val="22"/>
              </w:rPr>
              <w:instrText>PAGEREF _Toc1294386147 \h</w:instrText>
            </w:r>
            <w:r w:rsidRPr="00B67F60">
              <w:rPr>
                <w:rFonts w:ascii="Arial" w:hAnsi="Arial" w:cs="Arial"/>
                <w:sz w:val="22"/>
                <w:szCs w:val="22"/>
              </w:rPr>
            </w:r>
            <w:r w:rsidRPr="00B67F60">
              <w:rPr>
                <w:rFonts w:ascii="Arial" w:hAnsi="Arial" w:cs="Arial"/>
                <w:sz w:val="22"/>
                <w:szCs w:val="22"/>
              </w:rPr>
              <w:fldChar w:fldCharType="separate"/>
            </w:r>
            <w:r w:rsidRPr="00B67F60">
              <w:rPr>
                <w:rStyle w:val="Hyperlink"/>
                <w:rFonts w:ascii="Arial" w:hAnsi="Arial" w:cs="Arial"/>
                <w:sz w:val="22"/>
                <w:szCs w:val="22"/>
              </w:rPr>
              <w:t>8</w:t>
            </w:r>
            <w:r w:rsidRPr="00B67F60">
              <w:rPr>
                <w:rFonts w:ascii="Arial" w:hAnsi="Arial" w:cs="Arial"/>
                <w:sz w:val="22"/>
                <w:szCs w:val="22"/>
              </w:rPr>
              <w:fldChar w:fldCharType="end"/>
            </w:r>
          </w:hyperlink>
        </w:p>
        <w:p w14:paraId="0741BE89" w14:textId="5CD3254A" w:rsidR="55D1B75F" w:rsidRPr="00B67F60" w:rsidRDefault="55D1B75F" w:rsidP="55D1B75F">
          <w:pPr>
            <w:pStyle w:val="TOC2"/>
            <w:tabs>
              <w:tab w:val="right" w:leader="dot" w:pos="9015"/>
            </w:tabs>
            <w:rPr>
              <w:rStyle w:val="Hyperlink"/>
              <w:rFonts w:ascii="Arial" w:hAnsi="Arial" w:cs="Arial"/>
              <w:sz w:val="22"/>
              <w:szCs w:val="22"/>
            </w:rPr>
          </w:pPr>
          <w:hyperlink w:anchor="_Toc759009638">
            <w:r w:rsidRPr="00B67F60">
              <w:rPr>
                <w:rStyle w:val="Hyperlink"/>
                <w:rFonts w:ascii="Arial" w:hAnsi="Arial" w:cs="Arial"/>
                <w:sz w:val="22"/>
                <w:szCs w:val="22"/>
              </w:rPr>
              <w:t>Structural and Economic Tensions</w:t>
            </w:r>
            <w:r w:rsidRPr="00B67F60">
              <w:rPr>
                <w:rFonts w:ascii="Arial" w:hAnsi="Arial" w:cs="Arial"/>
                <w:sz w:val="22"/>
                <w:szCs w:val="22"/>
              </w:rPr>
              <w:tab/>
            </w:r>
            <w:r w:rsidRPr="00B67F60">
              <w:rPr>
                <w:rFonts w:ascii="Arial" w:hAnsi="Arial" w:cs="Arial"/>
                <w:sz w:val="22"/>
                <w:szCs w:val="22"/>
              </w:rPr>
              <w:fldChar w:fldCharType="begin"/>
            </w:r>
            <w:r w:rsidRPr="00B67F60">
              <w:rPr>
                <w:rFonts w:ascii="Arial" w:hAnsi="Arial" w:cs="Arial"/>
                <w:sz w:val="22"/>
                <w:szCs w:val="22"/>
              </w:rPr>
              <w:instrText>PAGEREF _Toc759009638 \h</w:instrText>
            </w:r>
            <w:r w:rsidRPr="00B67F60">
              <w:rPr>
                <w:rFonts w:ascii="Arial" w:hAnsi="Arial" w:cs="Arial"/>
                <w:sz w:val="22"/>
                <w:szCs w:val="22"/>
              </w:rPr>
            </w:r>
            <w:r w:rsidRPr="00B67F60">
              <w:rPr>
                <w:rFonts w:ascii="Arial" w:hAnsi="Arial" w:cs="Arial"/>
                <w:sz w:val="22"/>
                <w:szCs w:val="22"/>
              </w:rPr>
              <w:fldChar w:fldCharType="separate"/>
            </w:r>
            <w:r w:rsidRPr="00B67F60">
              <w:rPr>
                <w:rStyle w:val="Hyperlink"/>
                <w:rFonts w:ascii="Arial" w:hAnsi="Arial" w:cs="Arial"/>
                <w:sz w:val="22"/>
                <w:szCs w:val="22"/>
              </w:rPr>
              <w:t>9</w:t>
            </w:r>
            <w:r w:rsidRPr="00B67F60">
              <w:rPr>
                <w:rFonts w:ascii="Arial" w:hAnsi="Arial" w:cs="Arial"/>
                <w:sz w:val="22"/>
                <w:szCs w:val="22"/>
              </w:rPr>
              <w:fldChar w:fldCharType="end"/>
            </w:r>
          </w:hyperlink>
        </w:p>
        <w:p w14:paraId="122C8529" w14:textId="48F7DA0D" w:rsidR="55D1B75F" w:rsidRPr="00B67F60" w:rsidRDefault="55D1B75F" w:rsidP="55D1B75F">
          <w:pPr>
            <w:pStyle w:val="TOC1"/>
            <w:tabs>
              <w:tab w:val="right" w:leader="dot" w:pos="9015"/>
            </w:tabs>
            <w:rPr>
              <w:rStyle w:val="Hyperlink"/>
              <w:rFonts w:ascii="Arial" w:hAnsi="Arial" w:cs="Arial"/>
              <w:sz w:val="22"/>
              <w:szCs w:val="22"/>
            </w:rPr>
          </w:pPr>
          <w:hyperlink w:anchor="_Toc1377758269">
            <w:r w:rsidRPr="00B67F60">
              <w:rPr>
                <w:rStyle w:val="Hyperlink"/>
                <w:rFonts w:ascii="Arial" w:hAnsi="Arial" w:cs="Arial"/>
                <w:sz w:val="22"/>
                <w:szCs w:val="22"/>
              </w:rPr>
              <w:t>Conclusion</w:t>
            </w:r>
            <w:r w:rsidRPr="00B67F60">
              <w:rPr>
                <w:rFonts w:ascii="Arial" w:hAnsi="Arial" w:cs="Arial"/>
                <w:sz w:val="22"/>
                <w:szCs w:val="22"/>
              </w:rPr>
              <w:tab/>
            </w:r>
            <w:r w:rsidRPr="00B67F60">
              <w:rPr>
                <w:rFonts w:ascii="Arial" w:hAnsi="Arial" w:cs="Arial"/>
                <w:sz w:val="22"/>
                <w:szCs w:val="22"/>
              </w:rPr>
              <w:fldChar w:fldCharType="begin"/>
            </w:r>
            <w:r w:rsidRPr="00B67F60">
              <w:rPr>
                <w:rFonts w:ascii="Arial" w:hAnsi="Arial" w:cs="Arial"/>
                <w:sz w:val="22"/>
                <w:szCs w:val="22"/>
              </w:rPr>
              <w:instrText>PAGEREF _Toc1377758269 \h</w:instrText>
            </w:r>
            <w:r w:rsidRPr="00B67F60">
              <w:rPr>
                <w:rFonts w:ascii="Arial" w:hAnsi="Arial" w:cs="Arial"/>
                <w:sz w:val="22"/>
                <w:szCs w:val="22"/>
              </w:rPr>
            </w:r>
            <w:r w:rsidRPr="00B67F60">
              <w:rPr>
                <w:rFonts w:ascii="Arial" w:hAnsi="Arial" w:cs="Arial"/>
                <w:sz w:val="22"/>
                <w:szCs w:val="22"/>
              </w:rPr>
              <w:fldChar w:fldCharType="separate"/>
            </w:r>
            <w:r w:rsidRPr="00B67F60">
              <w:rPr>
                <w:rStyle w:val="Hyperlink"/>
                <w:rFonts w:ascii="Arial" w:hAnsi="Arial" w:cs="Arial"/>
                <w:sz w:val="22"/>
                <w:szCs w:val="22"/>
              </w:rPr>
              <w:t>10</w:t>
            </w:r>
            <w:r w:rsidRPr="00B67F60">
              <w:rPr>
                <w:rFonts w:ascii="Arial" w:hAnsi="Arial" w:cs="Arial"/>
                <w:sz w:val="22"/>
                <w:szCs w:val="22"/>
              </w:rPr>
              <w:fldChar w:fldCharType="end"/>
            </w:r>
          </w:hyperlink>
        </w:p>
        <w:p w14:paraId="3F345DA0" w14:textId="2551F105" w:rsidR="55D1B75F" w:rsidRPr="00B67F60" w:rsidRDefault="55D1B75F" w:rsidP="55D1B75F">
          <w:pPr>
            <w:pStyle w:val="TOC1"/>
            <w:tabs>
              <w:tab w:val="right" w:leader="dot" w:pos="9015"/>
            </w:tabs>
            <w:rPr>
              <w:rStyle w:val="Hyperlink"/>
              <w:rFonts w:ascii="Arial" w:hAnsi="Arial" w:cs="Arial"/>
              <w:sz w:val="22"/>
              <w:szCs w:val="22"/>
            </w:rPr>
          </w:pPr>
          <w:hyperlink w:anchor="_Toc957072334">
            <w:r w:rsidRPr="00B67F60">
              <w:rPr>
                <w:rStyle w:val="Hyperlink"/>
                <w:rFonts w:ascii="Arial" w:hAnsi="Arial" w:cs="Arial"/>
                <w:sz w:val="22"/>
                <w:szCs w:val="22"/>
              </w:rPr>
              <w:t>References</w:t>
            </w:r>
            <w:r w:rsidRPr="00B67F60">
              <w:rPr>
                <w:rFonts w:ascii="Arial" w:hAnsi="Arial" w:cs="Arial"/>
                <w:sz w:val="22"/>
                <w:szCs w:val="22"/>
              </w:rPr>
              <w:tab/>
            </w:r>
            <w:r w:rsidRPr="00B67F60">
              <w:rPr>
                <w:rFonts w:ascii="Arial" w:hAnsi="Arial" w:cs="Arial"/>
                <w:sz w:val="22"/>
                <w:szCs w:val="22"/>
              </w:rPr>
              <w:fldChar w:fldCharType="begin"/>
            </w:r>
            <w:r w:rsidRPr="00B67F60">
              <w:rPr>
                <w:rFonts w:ascii="Arial" w:hAnsi="Arial" w:cs="Arial"/>
                <w:sz w:val="22"/>
                <w:szCs w:val="22"/>
              </w:rPr>
              <w:instrText>PAGEREF _Toc957072334 \h</w:instrText>
            </w:r>
            <w:r w:rsidRPr="00B67F60">
              <w:rPr>
                <w:rFonts w:ascii="Arial" w:hAnsi="Arial" w:cs="Arial"/>
                <w:sz w:val="22"/>
                <w:szCs w:val="22"/>
              </w:rPr>
            </w:r>
            <w:r w:rsidRPr="00B67F60">
              <w:rPr>
                <w:rFonts w:ascii="Arial" w:hAnsi="Arial" w:cs="Arial"/>
                <w:sz w:val="22"/>
                <w:szCs w:val="22"/>
              </w:rPr>
              <w:fldChar w:fldCharType="separate"/>
            </w:r>
            <w:r w:rsidRPr="00B67F60">
              <w:rPr>
                <w:rStyle w:val="Hyperlink"/>
                <w:rFonts w:ascii="Arial" w:hAnsi="Arial" w:cs="Arial"/>
                <w:sz w:val="22"/>
                <w:szCs w:val="22"/>
              </w:rPr>
              <w:t>10</w:t>
            </w:r>
            <w:r w:rsidRPr="00B67F60">
              <w:rPr>
                <w:rFonts w:ascii="Arial" w:hAnsi="Arial" w:cs="Arial"/>
                <w:sz w:val="22"/>
                <w:szCs w:val="22"/>
              </w:rPr>
              <w:fldChar w:fldCharType="end"/>
            </w:r>
          </w:hyperlink>
          <w:r w:rsidRPr="00B67F60">
            <w:rPr>
              <w:rFonts w:ascii="Arial" w:hAnsi="Arial" w:cs="Arial"/>
              <w:sz w:val="22"/>
              <w:szCs w:val="22"/>
            </w:rPr>
            <w:fldChar w:fldCharType="end"/>
          </w:r>
        </w:p>
      </w:sdtContent>
    </w:sdt>
    <w:p w14:paraId="73D1D841" w14:textId="3AEBEB11" w:rsidR="55D1B75F" w:rsidRPr="00B67F60" w:rsidRDefault="55D1B75F" w:rsidP="55D1B75F">
      <w:pPr>
        <w:rPr>
          <w:rFonts w:ascii="Arial" w:hAnsi="Arial" w:cs="Arial"/>
          <w:sz w:val="22"/>
          <w:szCs w:val="22"/>
        </w:rPr>
      </w:pPr>
    </w:p>
    <w:p w14:paraId="2CF9E940" w14:textId="5CF417E1" w:rsidR="55D1B75F" w:rsidRPr="00B67F60" w:rsidRDefault="55D1B75F">
      <w:pPr>
        <w:rPr>
          <w:rFonts w:ascii="Arial" w:hAnsi="Arial" w:cs="Arial"/>
          <w:sz w:val="22"/>
          <w:szCs w:val="22"/>
        </w:rPr>
      </w:pPr>
      <w:r w:rsidRPr="00B67F60">
        <w:rPr>
          <w:rFonts w:ascii="Arial" w:hAnsi="Arial" w:cs="Arial"/>
          <w:sz w:val="22"/>
          <w:szCs w:val="22"/>
        </w:rPr>
        <w:br w:type="page"/>
      </w:r>
    </w:p>
    <w:p w14:paraId="13B80A7F" w14:textId="20637262" w:rsidR="55D1B75F" w:rsidRPr="00B67F60" w:rsidRDefault="55D1B75F" w:rsidP="55D1B75F">
      <w:pPr>
        <w:rPr>
          <w:rFonts w:ascii="Arial" w:hAnsi="Arial" w:cs="Arial"/>
        </w:rPr>
      </w:pPr>
    </w:p>
    <w:p w14:paraId="028DA8FC" w14:textId="30F28352" w:rsidR="00F45065" w:rsidRPr="00B67F60" w:rsidRDefault="574B7537" w:rsidP="00B67F60">
      <w:pPr>
        <w:pStyle w:val="Heading1"/>
        <w:spacing w:line="360" w:lineRule="auto"/>
        <w:rPr>
          <w:rFonts w:ascii="Arial" w:eastAsiaTheme="minorEastAsia" w:hAnsi="Arial" w:cs="Arial"/>
          <w:b/>
          <w:bCs/>
          <w:color w:val="auto"/>
          <w:sz w:val="22"/>
          <w:szCs w:val="22"/>
        </w:rPr>
      </w:pPr>
      <w:bookmarkStart w:id="0" w:name="_Toc2126017163"/>
      <w:r w:rsidRPr="00B67F60">
        <w:rPr>
          <w:rFonts w:ascii="Arial" w:eastAsiaTheme="minorEastAsia" w:hAnsi="Arial" w:cs="Arial"/>
          <w:b/>
          <w:bCs/>
          <w:color w:val="auto"/>
          <w:sz w:val="22"/>
          <w:szCs w:val="22"/>
        </w:rPr>
        <w:t>Introduction</w:t>
      </w:r>
      <w:bookmarkEnd w:id="0"/>
    </w:p>
    <w:p w14:paraId="4EBBCD23" w14:textId="7B143BB0" w:rsidR="49853D7C" w:rsidRPr="00B67F60" w:rsidRDefault="49853D7C"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The United Nations Sustainable Development Goals (SDGs), introduced in 2015 through the 2030 Agenda for Sustainable Development, provide a global framework for addressing major social, environmental and economic challenges (United Nations, 2015). Among these, SDG 3, Good Health and </w:t>
      </w:r>
      <w:r w:rsidR="00B67F60" w:rsidRPr="00B67F60">
        <w:rPr>
          <w:rFonts w:ascii="Arial" w:eastAsia="Arial" w:hAnsi="Arial" w:cs="Arial"/>
          <w:sz w:val="22"/>
          <w:szCs w:val="22"/>
        </w:rPr>
        <w:t>Well-being</w:t>
      </w:r>
      <w:r w:rsidRPr="00B67F60">
        <w:rPr>
          <w:rFonts w:ascii="Arial" w:eastAsia="Arial" w:hAnsi="Arial" w:cs="Arial"/>
          <w:sz w:val="22"/>
          <w:szCs w:val="22"/>
        </w:rPr>
        <w:t xml:space="preserve">, aims to ensure healthy lives and promote </w:t>
      </w:r>
      <w:r w:rsidR="00B67F60" w:rsidRPr="00B67F60">
        <w:rPr>
          <w:rFonts w:ascii="Arial" w:eastAsia="Arial" w:hAnsi="Arial" w:cs="Arial"/>
          <w:sz w:val="22"/>
          <w:szCs w:val="22"/>
        </w:rPr>
        <w:t>well-being</w:t>
      </w:r>
      <w:r w:rsidRPr="00B67F60">
        <w:rPr>
          <w:rFonts w:ascii="Arial" w:eastAsia="Arial" w:hAnsi="Arial" w:cs="Arial"/>
          <w:sz w:val="22"/>
          <w:szCs w:val="22"/>
        </w:rPr>
        <w:t xml:space="preserve"> for people of all ages. SDG 13, Climate Action, calls for urgent action to address climate change and its impacts. Although presented as separate goals, they are closely interconnected.</w:t>
      </w:r>
    </w:p>
    <w:p w14:paraId="2E43BC0E" w14:textId="10ECCE48" w:rsidR="49853D7C" w:rsidRPr="00B67F60" w:rsidRDefault="49853D7C"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Climate change has significant implications for public health. Rising temperatures, extreme weather events and environmental degradation influence the spread of disease, food security and air quality, while also contributing to negative mental health outcomes. These impacts often disproportionately affect vulnerable populations, reinforcing existing health inequalities (IPCC, 2022; WHO, 2023a).</w:t>
      </w:r>
    </w:p>
    <w:p w14:paraId="6A8698A8" w14:textId="26C94B3A" w:rsidR="49853D7C" w:rsidRPr="00B67F60" w:rsidRDefault="49853D7C"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This report critically examines the relationship between SDG 3 and SDG 13 and their implications for health and </w:t>
      </w:r>
      <w:r w:rsidR="00B67F60" w:rsidRPr="00B67F60">
        <w:rPr>
          <w:rFonts w:ascii="Arial" w:eastAsia="Arial" w:hAnsi="Arial" w:cs="Arial"/>
          <w:sz w:val="22"/>
          <w:szCs w:val="22"/>
        </w:rPr>
        <w:t>well-being</w:t>
      </w:r>
      <w:r w:rsidRPr="00B67F60">
        <w:rPr>
          <w:rFonts w:ascii="Arial" w:eastAsia="Arial" w:hAnsi="Arial" w:cs="Arial"/>
          <w:sz w:val="22"/>
          <w:szCs w:val="22"/>
        </w:rPr>
        <w:t xml:space="preserve"> at global, national (England) and local levels. It evaluates policy responses through the Social Determinants of Health framework, the Health Belief Model (Rosenstock, 1974) and Social Cognitive Theory (Bandura, 1986). The report argues that although ambitious frameworks exist, progress remains limited by structural inequalities, economic priorities and inconsistent political commitment.</w:t>
      </w:r>
    </w:p>
    <w:p w14:paraId="5FED1CC5" w14:textId="1CE35200" w:rsidR="55D1B75F" w:rsidRPr="00B67F60" w:rsidRDefault="55D1B75F" w:rsidP="00B67F60">
      <w:pPr>
        <w:spacing w:before="240" w:after="240" w:line="360" w:lineRule="auto"/>
        <w:rPr>
          <w:rFonts w:ascii="Arial" w:hAnsi="Arial" w:cs="Arial"/>
          <w:sz w:val="22"/>
          <w:szCs w:val="22"/>
        </w:rPr>
      </w:pPr>
    </w:p>
    <w:p w14:paraId="09169CB3" w14:textId="52752989" w:rsidR="55D1B75F" w:rsidRPr="00B67F60" w:rsidRDefault="55D1B75F" w:rsidP="00B67F60">
      <w:pPr>
        <w:spacing w:before="240" w:after="240" w:line="360" w:lineRule="auto"/>
        <w:rPr>
          <w:rFonts w:ascii="Arial" w:eastAsia="Arial" w:hAnsi="Arial" w:cs="Arial"/>
          <w:color w:val="000000" w:themeColor="text1"/>
          <w:sz w:val="22"/>
          <w:szCs w:val="22"/>
        </w:rPr>
      </w:pPr>
    </w:p>
    <w:p w14:paraId="458E8836" w14:textId="5AE28AB6" w:rsidR="00F45065" w:rsidRPr="00B67F60" w:rsidRDefault="00F45065" w:rsidP="00B67F60">
      <w:pPr>
        <w:spacing w:before="240" w:after="240" w:line="360" w:lineRule="auto"/>
        <w:rPr>
          <w:rFonts w:ascii="Arial" w:eastAsia="Arial" w:hAnsi="Arial" w:cs="Arial"/>
          <w:color w:val="000000" w:themeColor="text1"/>
          <w:sz w:val="22"/>
          <w:szCs w:val="22"/>
        </w:rPr>
      </w:pPr>
    </w:p>
    <w:p w14:paraId="627F0264" w14:textId="77777777" w:rsidR="005F06F1" w:rsidRPr="00B67F60" w:rsidRDefault="005F06F1" w:rsidP="4A11E466">
      <w:pPr>
        <w:spacing w:before="240" w:after="240" w:line="360" w:lineRule="auto"/>
        <w:rPr>
          <w:rFonts w:ascii="Arial" w:eastAsia="Arial" w:hAnsi="Arial" w:cs="Arial"/>
          <w:color w:val="000000" w:themeColor="text1"/>
          <w:sz w:val="22"/>
          <w:szCs w:val="22"/>
        </w:rPr>
      </w:pPr>
    </w:p>
    <w:p w14:paraId="31039251" w14:textId="77777777" w:rsidR="005F06F1" w:rsidRPr="00B67F60" w:rsidRDefault="005F06F1" w:rsidP="4A11E466">
      <w:pPr>
        <w:spacing w:before="240" w:after="240" w:line="360" w:lineRule="auto"/>
        <w:rPr>
          <w:rFonts w:ascii="Arial" w:eastAsia="Arial" w:hAnsi="Arial" w:cs="Arial"/>
          <w:color w:val="000000" w:themeColor="text1"/>
          <w:sz w:val="22"/>
          <w:szCs w:val="22"/>
        </w:rPr>
      </w:pPr>
    </w:p>
    <w:p w14:paraId="4F17CB1A" w14:textId="799A9C91" w:rsidR="00F45065" w:rsidRPr="00B67F60" w:rsidRDefault="00F45065" w:rsidP="55D1B75F">
      <w:pPr>
        <w:spacing w:before="240" w:after="240" w:line="360" w:lineRule="auto"/>
        <w:rPr>
          <w:rFonts w:ascii="Arial" w:eastAsia="Arial" w:hAnsi="Arial" w:cs="Arial"/>
          <w:color w:val="000000" w:themeColor="text1"/>
          <w:sz w:val="22"/>
          <w:szCs w:val="22"/>
        </w:rPr>
      </w:pPr>
    </w:p>
    <w:p w14:paraId="1EA8B86D" w14:textId="5936E36F" w:rsidR="00F45065" w:rsidRPr="00B67F60" w:rsidRDefault="574B7537" w:rsidP="00B67F60">
      <w:pPr>
        <w:pStyle w:val="Heading1"/>
        <w:spacing w:line="360" w:lineRule="auto"/>
        <w:rPr>
          <w:rFonts w:ascii="Arial" w:eastAsiaTheme="minorEastAsia" w:hAnsi="Arial" w:cs="Arial"/>
          <w:b/>
          <w:bCs/>
          <w:color w:val="auto"/>
          <w:sz w:val="22"/>
          <w:szCs w:val="22"/>
        </w:rPr>
      </w:pPr>
      <w:bookmarkStart w:id="1" w:name="_Toc1959009248"/>
      <w:r w:rsidRPr="00B67F60">
        <w:rPr>
          <w:rFonts w:ascii="Arial" w:eastAsiaTheme="minorEastAsia" w:hAnsi="Arial" w:cs="Arial"/>
          <w:b/>
          <w:bCs/>
          <w:color w:val="auto"/>
          <w:sz w:val="22"/>
          <w:szCs w:val="22"/>
        </w:rPr>
        <w:lastRenderedPageBreak/>
        <w:t xml:space="preserve">Section 1: SDG 3 – Promoting Good Health and </w:t>
      </w:r>
      <w:bookmarkEnd w:id="1"/>
      <w:r w:rsidR="005F06F1" w:rsidRPr="00B67F60">
        <w:rPr>
          <w:rFonts w:ascii="Arial" w:eastAsiaTheme="minorEastAsia" w:hAnsi="Arial" w:cs="Arial"/>
          <w:b/>
          <w:bCs/>
          <w:color w:val="auto"/>
          <w:sz w:val="22"/>
          <w:szCs w:val="22"/>
        </w:rPr>
        <w:t>Well-being</w:t>
      </w:r>
    </w:p>
    <w:p w14:paraId="5CF4EC76" w14:textId="77956FCC" w:rsidR="00F45065" w:rsidRPr="00B67F60" w:rsidRDefault="574B7537" w:rsidP="00B67F60">
      <w:pPr>
        <w:pStyle w:val="Heading2"/>
        <w:spacing w:before="299" w:after="299" w:line="360" w:lineRule="auto"/>
        <w:rPr>
          <w:rFonts w:ascii="Arial" w:eastAsia="Arial" w:hAnsi="Arial" w:cs="Arial"/>
          <w:b/>
          <w:bCs/>
          <w:color w:val="000000" w:themeColor="text1"/>
          <w:sz w:val="22"/>
          <w:szCs w:val="22"/>
        </w:rPr>
      </w:pPr>
      <w:bookmarkStart w:id="2" w:name="_Toc450044442"/>
      <w:r w:rsidRPr="00B67F60">
        <w:rPr>
          <w:rFonts w:ascii="Arial" w:eastAsia="Arial" w:hAnsi="Arial" w:cs="Arial"/>
          <w:b/>
          <w:bCs/>
          <w:color w:val="000000" w:themeColor="text1"/>
          <w:sz w:val="22"/>
          <w:szCs w:val="22"/>
        </w:rPr>
        <w:t>International Context and Systemic Barriers</w:t>
      </w:r>
      <w:bookmarkEnd w:id="2"/>
    </w:p>
    <w:p w14:paraId="2B688F24" w14:textId="14FAA9F5" w:rsidR="551A6F72" w:rsidRPr="00B67F60" w:rsidRDefault="551A6F72"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SDG 3 aims to reduce maternal and child mortality, tackle communicable and non-communicable diseases, promote mental health and strengthen health systems through Universal Health Coverage (UHC) (United Nations, 2015). Global life expectancy increased between 2000 and 2019; however, progress has slowed </w:t>
      </w:r>
      <w:r w:rsidR="4DEBF801" w:rsidRPr="00B67F60">
        <w:rPr>
          <w:rFonts w:ascii="Arial" w:eastAsia="Arial" w:hAnsi="Arial" w:cs="Arial"/>
          <w:sz w:val="22"/>
          <w:szCs w:val="22"/>
        </w:rPr>
        <w:t>and, in some regions,</w:t>
      </w:r>
      <w:r w:rsidRPr="00B67F60">
        <w:rPr>
          <w:rFonts w:ascii="Arial" w:eastAsia="Arial" w:hAnsi="Arial" w:cs="Arial"/>
          <w:sz w:val="22"/>
          <w:szCs w:val="22"/>
        </w:rPr>
        <w:t xml:space="preserve"> reversed following the COVID-19 pandemic (WHO, 2023b). These trends exposed vulnerabilities within many health systems.</w:t>
      </w:r>
    </w:p>
    <w:p w14:paraId="2673AAB1" w14:textId="02A00DCD" w:rsidR="551A6F72" w:rsidRPr="00B67F60" w:rsidRDefault="551A6F72"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The World Health Organi</w:t>
      </w:r>
      <w:r w:rsidR="789C3FD1" w:rsidRPr="00B67F60">
        <w:rPr>
          <w:rFonts w:ascii="Arial" w:eastAsia="Arial" w:hAnsi="Arial" w:cs="Arial"/>
          <w:sz w:val="22"/>
          <w:szCs w:val="22"/>
        </w:rPr>
        <w:t>s</w:t>
      </w:r>
      <w:r w:rsidRPr="00B67F60">
        <w:rPr>
          <w:rFonts w:ascii="Arial" w:eastAsia="Arial" w:hAnsi="Arial" w:cs="Arial"/>
          <w:sz w:val="22"/>
          <w:szCs w:val="22"/>
        </w:rPr>
        <w:t xml:space="preserve">ation promotes UHC as a strategy to ensure access to essential healthcare without financial hardship (WHO, 2023a). Despite this, almost half of the global population still lacks access to basic health services (World Bank, 2022). Many low-income countries rely heavily on external donor funding, which can lead to fragmented services and limit long-term sustainability (Labonté and Gagnon, 2019). This dependency also reflects </w:t>
      </w:r>
      <w:r w:rsidR="005F06F1" w:rsidRPr="00B67F60">
        <w:rPr>
          <w:rFonts w:ascii="Arial" w:eastAsia="Arial" w:hAnsi="Arial" w:cs="Arial"/>
          <w:sz w:val="22"/>
          <w:szCs w:val="22"/>
        </w:rPr>
        <w:t xml:space="preserve">broader power imbalances in global health governance, </w:t>
      </w:r>
      <w:r w:rsidR="00B67F60" w:rsidRPr="00B67F60">
        <w:rPr>
          <w:rFonts w:ascii="Arial" w:eastAsia="Arial" w:hAnsi="Arial" w:cs="Arial"/>
          <w:sz w:val="22"/>
          <w:szCs w:val="22"/>
        </w:rPr>
        <w:t xml:space="preserve">in which funding priorities may align with donor interests rather than with </w:t>
      </w:r>
      <w:r w:rsidRPr="00B67F60">
        <w:rPr>
          <w:rFonts w:ascii="Arial" w:eastAsia="Arial" w:hAnsi="Arial" w:cs="Arial"/>
          <w:sz w:val="22"/>
          <w:szCs w:val="22"/>
        </w:rPr>
        <w:t>local needs.</w:t>
      </w:r>
    </w:p>
    <w:p w14:paraId="43118765" w14:textId="38BF9F33" w:rsidR="551A6F72" w:rsidRPr="00B67F60" w:rsidRDefault="551A6F72"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Another limitation lies in how SDG progress is measured. Monitoring frameworks often prioritise biomedical indicators such as mortality and disease prevalence. While important, these indicators can overlook broader determinants of health</w:t>
      </w:r>
      <w:r w:rsidR="005F06F1" w:rsidRPr="00B67F60">
        <w:rPr>
          <w:rFonts w:ascii="Arial" w:eastAsia="Arial" w:hAnsi="Arial" w:cs="Arial"/>
          <w:sz w:val="22"/>
          <w:szCs w:val="22"/>
        </w:rPr>
        <w:t>,</w:t>
      </w:r>
      <w:r w:rsidRPr="00B67F60">
        <w:rPr>
          <w:rFonts w:ascii="Arial" w:eastAsia="Arial" w:hAnsi="Arial" w:cs="Arial"/>
          <w:sz w:val="22"/>
          <w:szCs w:val="22"/>
        </w:rPr>
        <w:t xml:space="preserve"> including housing, income and education. Marmot et al. (2020) argue that health inequalities arise from unequal distributions of power, money and resources. Without addressing these structural determinants, expanding healthcare provision alone may not significantly reduce inequality.</w:t>
      </w:r>
    </w:p>
    <w:p w14:paraId="43324B73" w14:textId="7EEBCF8F" w:rsidR="551A6F72" w:rsidRPr="00B67F60" w:rsidRDefault="551A6F72"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The unequal distribution of COVID-19 vaccines illustrated these structural challenges. High-income countries secured early </w:t>
      </w:r>
      <w:r w:rsidR="005F06F1" w:rsidRPr="00B67F60">
        <w:rPr>
          <w:rFonts w:ascii="Arial" w:eastAsia="Arial" w:hAnsi="Arial" w:cs="Arial"/>
          <w:sz w:val="22"/>
          <w:szCs w:val="22"/>
        </w:rPr>
        <w:t>access to vaccines</w:t>
      </w:r>
      <w:r w:rsidRPr="00B67F60">
        <w:rPr>
          <w:rFonts w:ascii="Arial" w:eastAsia="Arial" w:hAnsi="Arial" w:cs="Arial"/>
          <w:sz w:val="22"/>
          <w:szCs w:val="22"/>
        </w:rPr>
        <w:t xml:space="preserve"> while many lower-income nations experienced significant delays (UNDP, 2022). This disparity revealed tensions between the universal ambitions of SDG 3 and the realities of global political and economic systems.</w:t>
      </w:r>
    </w:p>
    <w:p w14:paraId="428EC432" w14:textId="5FBDFAC3" w:rsidR="551A6F72" w:rsidRPr="00B67F60" w:rsidRDefault="551A6F72"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Debates around the political economy of global health also highlight how diplomacy, trade interests and geopolitical influence shape health initiatives (Labonté and Gagnon, 2019). As a result, donor-funded programmes may reflect strategic priorities rather than national needs. These dynamics challenge the principle of universality central to SDG 3.</w:t>
      </w:r>
    </w:p>
    <w:p w14:paraId="26017CB8" w14:textId="4298E7EC" w:rsidR="551A6F72" w:rsidRPr="00B67F60" w:rsidRDefault="551A6F72"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Furthermore, the strong emphasis on measurable targets can encourage short-term interventions rather than structural reform. Although reductions in mortality are vital indicators, they do not fully capture </w:t>
      </w:r>
      <w:r w:rsidR="005F06F1" w:rsidRPr="00B67F60">
        <w:rPr>
          <w:rFonts w:ascii="Arial" w:eastAsia="Arial" w:hAnsi="Arial" w:cs="Arial"/>
          <w:sz w:val="22"/>
          <w:szCs w:val="22"/>
        </w:rPr>
        <w:t xml:space="preserve">the </w:t>
      </w:r>
      <w:r w:rsidRPr="00B67F60">
        <w:rPr>
          <w:rFonts w:ascii="Arial" w:eastAsia="Arial" w:hAnsi="Arial" w:cs="Arial"/>
          <w:sz w:val="22"/>
          <w:szCs w:val="22"/>
        </w:rPr>
        <w:t>lived experiences of inequality. Achieving SDG 3</w:t>
      </w:r>
      <w:r w:rsidR="00B67F60" w:rsidRPr="00B67F60">
        <w:rPr>
          <w:rFonts w:ascii="Arial" w:eastAsia="Arial" w:hAnsi="Arial" w:cs="Arial"/>
          <w:sz w:val="22"/>
          <w:szCs w:val="22"/>
        </w:rPr>
        <w:t>,</w:t>
      </w:r>
      <w:r w:rsidRPr="00B67F60">
        <w:rPr>
          <w:rFonts w:ascii="Arial" w:eastAsia="Arial" w:hAnsi="Arial" w:cs="Arial"/>
          <w:sz w:val="22"/>
          <w:szCs w:val="22"/>
        </w:rPr>
        <w:t xml:space="preserve"> </w:t>
      </w:r>
      <w:r w:rsidRPr="00B67F60">
        <w:rPr>
          <w:rFonts w:ascii="Arial" w:eastAsia="Arial" w:hAnsi="Arial" w:cs="Arial"/>
          <w:sz w:val="22"/>
          <w:szCs w:val="22"/>
        </w:rPr>
        <w:lastRenderedPageBreak/>
        <w:t>therefore</w:t>
      </w:r>
      <w:r w:rsidR="005F06F1" w:rsidRPr="00B67F60">
        <w:rPr>
          <w:rFonts w:ascii="Arial" w:eastAsia="Arial" w:hAnsi="Arial" w:cs="Arial"/>
          <w:sz w:val="22"/>
          <w:szCs w:val="22"/>
        </w:rPr>
        <w:t>,</w:t>
      </w:r>
      <w:r w:rsidRPr="00B67F60">
        <w:rPr>
          <w:rFonts w:ascii="Arial" w:eastAsia="Arial" w:hAnsi="Arial" w:cs="Arial"/>
          <w:sz w:val="22"/>
          <w:szCs w:val="22"/>
        </w:rPr>
        <w:t xml:space="preserve"> requires sustained political commitment that extends beyond healthcare provision to broader social policy reform.</w:t>
      </w:r>
    </w:p>
    <w:p w14:paraId="36D4E8FF" w14:textId="5EB700B4" w:rsidR="00F45065" w:rsidRPr="00B67F60" w:rsidRDefault="574B7537" w:rsidP="00B67F60">
      <w:pPr>
        <w:pStyle w:val="Heading2"/>
        <w:spacing w:before="299" w:after="299" w:line="360" w:lineRule="auto"/>
        <w:rPr>
          <w:rFonts w:ascii="Arial" w:eastAsia="Arial" w:hAnsi="Arial" w:cs="Arial"/>
          <w:b/>
          <w:bCs/>
          <w:color w:val="000000" w:themeColor="text1"/>
          <w:sz w:val="22"/>
          <w:szCs w:val="22"/>
        </w:rPr>
      </w:pPr>
      <w:bookmarkStart w:id="3" w:name="_Toc801850434"/>
      <w:r w:rsidRPr="00B67F60">
        <w:rPr>
          <w:rFonts w:ascii="Arial" w:eastAsia="Arial" w:hAnsi="Arial" w:cs="Arial"/>
          <w:b/>
          <w:bCs/>
          <w:color w:val="000000" w:themeColor="text1"/>
          <w:sz w:val="22"/>
          <w:szCs w:val="22"/>
        </w:rPr>
        <w:t>Behavioural Theory and Policy Uptake</w:t>
      </w:r>
      <w:bookmarkEnd w:id="3"/>
    </w:p>
    <w:p w14:paraId="5C71A7EE" w14:textId="1021A1EA" w:rsidR="6BAFE96F" w:rsidRPr="00B67F60" w:rsidRDefault="6BAFE96F" w:rsidP="00B67F60">
      <w:pPr>
        <w:spacing w:before="240" w:after="240" w:line="360" w:lineRule="auto"/>
        <w:rPr>
          <w:rFonts w:ascii="Arial" w:hAnsi="Arial" w:cs="Arial"/>
          <w:sz w:val="22"/>
          <w:szCs w:val="22"/>
        </w:rPr>
      </w:pPr>
      <w:r w:rsidRPr="00B67F60">
        <w:rPr>
          <w:rFonts w:ascii="Arial" w:hAnsi="Arial" w:cs="Arial"/>
          <w:sz w:val="22"/>
          <w:szCs w:val="22"/>
        </w:rPr>
        <w:t>Health policies often assume that increasing service availability will automatically improve health outcomes. However, behavioural theories suggest that access alone does not guarantee engagement. The Health Belief Model proposes that individuals participate in health interventions based on perceived risk, perceived severity, perceived benefits and perceived barriers (Rosenstock, 1974). Vaccine hesitancy during the COVID-19 pandemic demonstrated how mistrust, misinformation and risk perception influence uptake.</w:t>
      </w:r>
    </w:p>
    <w:p w14:paraId="376C6757" w14:textId="61BD8032" w:rsidR="6BAFE96F" w:rsidRPr="00B67F60" w:rsidRDefault="6BAFE96F" w:rsidP="00B67F60">
      <w:pPr>
        <w:spacing w:before="240" w:after="240" w:line="360" w:lineRule="auto"/>
        <w:rPr>
          <w:rFonts w:ascii="Arial" w:hAnsi="Arial" w:cs="Arial"/>
          <w:sz w:val="22"/>
          <w:szCs w:val="22"/>
        </w:rPr>
      </w:pPr>
      <w:r w:rsidRPr="00B67F60">
        <w:rPr>
          <w:rFonts w:ascii="Arial" w:hAnsi="Arial" w:cs="Arial"/>
          <w:sz w:val="22"/>
          <w:szCs w:val="22"/>
        </w:rPr>
        <w:t>Social Cognitive Theory emphasises the interaction between individual behaviour, social norms and environmental conditions (Bandura, 1986). Behaviour is shaped not only by personal beliefs but also by social influences and the surrounding environment. Concepts such as self-efficacy and collective efficacy highlight the importance of supportive environments in enabling health-promoting behaviours.</w:t>
      </w:r>
    </w:p>
    <w:p w14:paraId="05A4B172" w14:textId="2F33F0D6" w:rsidR="6BAFE96F" w:rsidRPr="00B67F60" w:rsidRDefault="6BAFE96F" w:rsidP="00B67F60">
      <w:pPr>
        <w:spacing w:before="240" w:after="240" w:line="360" w:lineRule="auto"/>
        <w:rPr>
          <w:rFonts w:ascii="Arial" w:eastAsia="Arial" w:hAnsi="Arial" w:cs="Arial"/>
          <w:sz w:val="22"/>
          <w:szCs w:val="22"/>
        </w:rPr>
      </w:pPr>
      <w:r w:rsidRPr="00B67F60">
        <w:rPr>
          <w:rFonts w:ascii="Arial" w:hAnsi="Arial" w:cs="Arial"/>
          <w:sz w:val="22"/>
          <w:szCs w:val="22"/>
        </w:rPr>
        <w:t xml:space="preserve">Despite their value, behavioural models have limitations. They focus largely on individual decision-making while giving less attention to structural inequalities. For example, encouraging healthy eating may have </w:t>
      </w:r>
      <w:r w:rsidR="005F06F1" w:rsidRPr="00B67F60">
        <w:rPr>
          <w:rFonts w:ascii="Arial" w:hAnsi="Arial" w:cs="Arial"/>
          <w:sz w:val="22"/>
          <w:szCs w:val="22"/>
        </w:rPr>
        <w:t xml:space="preserve">a </w:t>
      </w:r>
      <w:r w:rsidRPr="00B67F60">
        <w:rPr>
          <w:rFonts w:ascii="Arial" w:hAnsi="Arial" w:cs="Arial"/>
          <w:sz w:val="22"/>
          <w:szCs w:val="22"/>
        </w:rPr>
        <w:t>limited impact in communities where affordable</w:t>
      </w:r>
      <w:r w:rsidR="005F06F1" w:rsidRPr="00B67F60">
        <w:rPr>
          <w:rFonts w:ascii="Arial" w:hAnsi="Arial" w:cs="Arial"/>
          <w:sz w:val="22"/>
          <w:szCs w:val="22"/>
        </w:rPr>
        <w:t>,</w:t>
      </w:r>
      <w:r w:rsidRPr="00B67F60">
        <w:rPr>
          <w:rFonts w:ascii="Arial" w:hAnsi="Arial" w:cs="Arial"/>
          <w:sz w:val="22"/>
          <w:szCs w:val="22"/>
        </w:rPr>
        <w:t xml:space="preserve"> nutritious food is inaccessible or where financial insecurity influences daily choices. In these contexts, behaviour-focused interventions risk framing health outcomes as individual responsibility rather than recognising broader socio-economic constraints. Overreliance on such approaches may therefore reinforce existing inequalities.</w:t>
      </w:r>
    </w:p>
    <w:p w14:paraId="116FF937" w14:textId="66EF0F8C" w:rsidR="00F45065" w:rsidRPr="00B67F60" w:rsidRDefault="574B7537" w:rsidP="00B67F60">
      <w:pPr>
        <w:pStyle w:val="Heading2"/>
        <w:spacing w:before="299" w:after="299" w:line="360" w:lineRule="auto"/>
        <w:rPr>
          <w:rFonts w:ascii="Arial" w:eastAsia="Arial" w:hAnsi="Arial" w:cs="Arial"/>
          <w:b/>
          <w:bCs/>
          <w:color w:val="000000" w:themeColor="text1"/>
          <w:sz w:val="22"/>
          <w:szCs w:val="22"/>
        </w:rPr>
      </w:pPr>
      <w:bookmarkStart w:id="4" w:name="_Toc1838819224"/>
      <w:r w:rsidRPr="00B67F60">
        <w:rPr>
          <w:rFonts w:ascii="Arial" w:eastAsia="Arial" w:hAnsi="Arial" w:cs="Arial"/>
          <w:b/>
          <w:bCs/>
          <w:color w:val="000000" w:themeColor="text1"/>
          <w:sz w:val="22"/>
          <w:szCs w:val="22"/>
        </w:rPr>
        <w:t>National Context: England</w:t>
      </w:r>
      <w:bookmarkEnd w:id="4"/>
    </w:p>
    <w:p w14:paraId="5FB81BAC" w14:textId="413358BC" w:rsidR="189D5CAA" w:rsidRPr="00B67F60" w:rsidRDefault="189D5CAA"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In England, SDG 3 priorities are reflected in the NHS Long Term Plan (NHS England, 2019), which emphasises prevention, early diagnosis and the development of Integrated Care Systems. Expanding mental health services and strengthening community-based care align with preventative ambitions.</w:t>
      </w:r>
    </w:p>
    <w:p w14:paraId="7D53979C" w14:textId="45DC142A" w:rsidR="005F06F1" w:rsidRPr="00B67F60" w:rsidRDefault="005F06F1"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Health disparities in England have increased despite these policy objectives. According to the Marmot Review (2020), child poverty has increased as life expectancy improvements have stopped, especially in impoverished areas. Public health services have been damaged by austerity-related cuts to local authority financing (Marmot et al., 2020). These patterns draw attention to conflicts between the goals of health policy and more general socioeconomic policy choices.</w:t>
      </w:r>
    </w:p>
    <w:p w14:paraId="285FCAF6" w14:textId="52CCC192" w:rsidR="189D5CAA" w:rsidRPr="00B67F60" w:rsidRDefault="189D5CAA"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lastRenderedPageBreak/>
        <w:t>The Major Conditions Strategy (Department of Health and Social Care, 2023) aims to improve coordination of care for chronic diseases. Although integration may improve efficiency, critics argue that the strategy insufficiently addresses underlying determinants such as housing insecurity and unstable employment (The King’s Fund, 2023). Without structural investment, integrated care may prioritise illness management rather than prevention.</w:t>
      </w:r>
    </w:p>
    <w:p w14:paraId="221715E1" w14:textId="50FC6624" w:rsidR="189D5CAA" w:rsidRPr="00B67F60" w:rsidRDefault="189D5CAA"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Some policies attempt to address health through environmental change. The Soft Drinks Industry Levy, for example, encourages manufacturers to reduce sugar content. This approach reflects principles from Social Cognitive Theory by altering environmental conditions that shape behaviour. However, inequalities in access to affordable healthy food continue to limit the policy’s overall impact.</w:t>
      </w:r>
    </w:p>
    <w:p w14:paraId="36670A22" w14:textId="7337587A" w:rsidR="00F45065" w:rsidRPr="00B67F60" w:rsidRDefault="574B7537" w:rsidP="00B67F60">
      <w:pPr>
        <w:pStyle w:val="Heading2"/>
        <w:spacing w:before="299" w:after="299" w:line="360" w:lineRule="auto"/>
        <w:rPr>
          <w:rFonts w:ascii="Arial" w:eastAsia="Arial" w:hAnsi="Arial" w:cs="Arial"/>
          <w:b/>
          <w:bCs/>
          <w:color w:val="000000" w:themeColor="text1"/>
          <w:sz w:val="22"/>
          <w:szCs w:val="22"/>
        </w:rPr>
      </w:pPr>
      <w:bookmarkStart w:id="5" w:name="_Toc1025393236"/>
      <w:r w:rsidRPr="00B67F60">
        <w:rPr>
          <w:rFonts w:ascii="Arial" w:eastAsia="Arial" w:hAnsi="Arial" w:cs="Arial"/>
          <w:b/>
          <w:bCs/>
          <w:color w:val="000000" w:themeColor="text1"/>
          <w:sz w:val="22"/>
          <w:szCs w:val="22"/>
        </w:rPr>
        <w:t>Local Implementation in England</w:t>
      </w:r>
      <w:bookmarkEnd w:id="5"/>
    </w:p>
    <w:p w14:paraId="191496C6" w14:textId="11B538F9" w:rsidR="00F45065" w:rsidRPr="00B67F60" w:rsidRDefault="49541F18"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Local authorities play a central role in delivering public health services, including smoking cessation programmes, sexual health provision and wellbeing initiatives. Social prescribing connects individuals to community-based support such as exercise groups or social activities (NHS England, 2022). Evidence suggests that these initiatives may improve </w:t>
      </w:r>
      <w:r w:rsidR="005F06F1" w:rsidRPr="00B67F60">
        <w:rPr>
          <w:rFonts w:ascii="Arial" w:eastAsia="Arial" w:hAnsi="Arial" w:cs="Arial"/>
          <w:sz w:val="22"/>
          <w:szCs w:val="22"/>
        </w:rPr>
        <w:t>well-being</w:t>
      </w:r>
      <w:r w:rsidRPr="00B67F60">
        <w:rPr>
          <w:rFonts w:ascii="Arial" w:eastAsia="Arial" w:hAnsi="Arial" w:cs="Arial"/>
          <w:sz w:val="22"/>
          <w:szCs w:val="22"/>
        </w:rPr>
        <w:t xml:space="preserve"> and reduce pressure on GP services (Bickerdike et al., 2017), although evaluation methods vary.</w:t>
      </w:r>
    </w:p>
    <w:p w14:paraId="7A0C5E02" w14:textId="1B1F04D9" w:rsidR="00F45065" w:rsidRPr="00B67F60" w:rsidRDefault="49541F18"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However, reductions in public health funding have constrained local capacity (The Health Foundation, 2022). Preventative approaches require long-term investment, yet local budgets remain under pressure. Integrated Care Systems aim to strengthen collaboration between health services and local authorities, but their effectiveness will depend on sustained funding and strong partnerships.</w:t>
      </w:r>
    </w:p>
    <w:p w14:paraId="44501CD9" w14:textId="78226B9F" w:rsidR="00F45065" w:rsidRPr="00B67F60" w:rsidRDefault="574B7537" w:rsidP="00B67F60">
      <w:pPr>
        <w:pStyle w:val="Heading2"/>
        <w:spacing w:before="240" w:after="240" w:line="360" w:lineRule="auto"/>
        <w:rPr>
          <w:rFonts w:ascii="Arial" w:eastAsia="Arial" w:hAnsi="Arial" w:cs="Arial"/>
          <w:b/>
          <w:bCs/>
          <w:color w:val="000000" w:themeColor="text1"/>
          <w:sz w:val="22"/>
          <w:szCs w:val="22"/>
        </w:rPr>
      </w:pPr>
      <w:bookmarkStart w:id="6" w:name="_Toc358811056"/>
      <w:r w:rsidRPr="00B67F60">
        <w:rPr>
          <w:rFonts w:ascii="Arial" w:eastAsia="Arial" w:hAnsi="Arial" w:cs="Arial"/>
          <w:b/>
          <w:bCs/>
          <w:color w:val="000000" w:themeColor="text1"/>
          <w:sz w:val="22"/>
          <w:szCs w:val="22"/>
        </w:rPr>
        <w:t>Recommendations for SDG 3</w:t>
      </w:r>
      <w:bookmarkEnd w:id="6"/>
    </w:p>
    <w:p w14:paraId="66CA6C95" w14:textId="38E99540" w:rsidR="77870BF1" w:rsidRPr="00B67F60" w:rsidRDefault="77870BF1"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Progress towards SDG 3 requires stronger adoption of a Health in All Policies approach, ensuring that housing, education and employment policies contribute to improved health outcomes (Marmot et al., 2020). Addressing social determinants is essential for reducing health inequalities.</w:t>
      </w:r>
    </w:p>
    <w:p w14:paraId="5AC416AD" w14:textId="731E47EA" w:rsidR="77870BF1" w:rsidRPr="00B67F60" w:rsidRDefault="77870BF1"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Stable long-term funding for public health is also necessary to support preventative strategies. Short-term funding cycles often undermine programmes designed to produce long-term improvements.</w:t>
      </w:r>
    </w:p>
    <w:p w14:paraId="529E63F5" w14:textId="41D86CD2" w:rsidR="55D1B75F" w:rsidRPr="00B67F60" w:rsidRDefault="77870BF1"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lastRenderedPageBreak/>
        <w:t>Community involvement in health initiatives can further strengthen policy effectiveness. Co-production approaches may improve trust and engagement while enhancing collective efficacy, as highlighted in Social Cognitive Theory.</w:t>
      </w:r>
    </w:p>
    <w:p w14:paraId="720841B3" w14:textId="6B439C6C" w:rsidR="00F45065" w:rsidRPr="00B67F60" w:rsidRDefault="574B7537" w:rsidP="00B67F60">
      <w:pPr>
        <w:pStyle w:val="Heading1"/>
        <w:spacing w:before="322" w:after="322" w:line="360" w:lineRule="auto"/>
        <w:rPr>
          <w:rFonts w:ascii="Arial" w:eastAsia="Arial" w:hAnsi="Arial" w:cs="Arial"/>
          <w:b/>
          <w:bCs/>
          <w:color w:val="000000" w:themeColor="text1"/>
          <w:sz w:val="22"/>
          <w:szCs w:val="22"/>
        </w:rPr>
      </w:pPr>
      <w:bookmarkStart w:id="7" w:name="_Toc504505223"/>
      <w:r w:rsidRPr="00B67F60">
        <w:rPr>
          <w:rFonts w:ascii="Arial" w:eastAsia="Arial" w:hAnsi="Arial" w:cs="Arial"/>
          <w:b/>
          <w:bCs/>
          <w:color w:val="000000" w:themeColor="text1"/>
          <w:sz w:val="22"/>
          <w:szCs w:val="22"/>
        </w:rPr>
        <w:t>Section 2: SDG 13 – Climate Action</w:t>
      </w:r>
      <w:bookmarkEnd w:id="7"/>
    </w:p>
    <w:p w14:paraId="15CBB008" w14:textId="3834A636" w:rsidR="00F45065" w:rsidRPr="00B67F60" w:rsidRDefault="574B7537" w:rsidP="00B67F60">
      <w:pPr>
        <w:pStyle w:val="Heading2"/>
        <w:spacing w:before="299" w:after="299" w:line="360" w:lineRule="auto"/>
        <w:rPr>
          <w:rFonts w:ascii="Arial" w:eastAsia="Arial" w:hAnsi="Arial" w:cs="Arial"/>
          <w:b/>
          <w:bCs/>
          <w:color w:val="000000" w:themeColor="text1"/>
          <w:sz w:val="22"/>
          <w:szCs w:val="22"/>
        </w:rPr>
      </w:pPr>
      <w:bookmarkStart w:id="8" w:name="_Toc69044135"/>
      <w:r w:rsidRPr="00B67F60">
        <w:rPr>
          <w:rFonts w:ascii="Arial" w:eastAsia="Arial" w:hAnsi="Arial" w:cs="Arial"/>
          <w:b/>
          <w:bCs/>
          <w:color w:val="000000" w:themeColor="text1"/>
          <w:sz w:val="22"/>
          <w:szCs w:val="22"/>
        </w:rPr>
        <w:t>Climate Change as a Health Determinant</w:t>
      </w:r>
      <w:bookmarkEnd w:id="8"/>
    </w:p>
    <w:p w14:paraId="612C446B" w14:textId="02DA3C39" w:rsidR="5286C479" w:rsidRPr="00B67F60" w:rsidRDefault="5286C479"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SDG 13 calls for urgent action to address climate change and its impacts (United Nations, 2015). Rising temperatures, extreme weather and environmental disruption pose direct threats to human health (IPCC, 2022). Indirect effects include air pollution, food insecurity and climate-related anxiety (WHO, 2023a). The Lancet Countdown (2023) identifies climate change as one of the greatest health challenges of the century.</w:t>
      </w:r>
    </w:p>
    <w:p w14:paraId="3C416750" w14:textId="3375A539" w:rsidR="500D1B0E" w:rsidRPr="00B67F60" w:rsidRDefault="5286C479"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These impacts are not evenly distributed. Older adults, low-income populations and those living in urban areas often experience greater exposure to environmental risks. Climate change</w:t>
      </w:r>
      <w:r w:rsidR="005F06F1" w:rsidRPr="00B67F60">
        <w:rPr>
          <w:rFonts w:ascii="Arial" w:eastAsia="Arial" w:hAnsi="Arial" w:cs="Arial"/>
          <w:sz w:val="22"/>
          <w:szCs w:val="22"/>
        </w:rPr>
        <w:t>,</w:t>
      </w:r>
      <w:r w:rsidRPr="00B67F60">
        <w:rPr>
          <w:rFonts w:ascii="Arial" w:eastAsia="Arial" w:hAnsi="Arial" w:cs="Arial"/>
          <w:sz w:val="22"/>
          <w:szCs w:val="22"/>
        </w:rPr>
        <w:t xml:space="preserve"> therefore</w:t>
      </w:r>
      <w:r w:rsidR="005F06F1" w:rsidRPr="00B67F60">
        <w:rPr>
          <w:rFonts w:ascii="Arial" w:eastAsia="Arial" w:hAnsi="Arial" w:cs="Arial"/>
          <w:sz w:val="22"/>
          <w:szCs w:val="22"/>
        </w:rPr>
        <w:t>,</w:t>
      </w:r>
      <w:r w:rsidRPr="00B67F60">
        <w:rPr>
          <w:rFonts w:ascii="Arial" w:eastAsia="Arial" w:hAnsi="Arial" w:cs="Arial"/>
          <w:sz w:val="22"/>
          <w:szCs w:val="22"/>
        </w:rPr>
        <w:t xml:space="preserve"> intensifies existing health inequalities.</w:t>
      </w:r>
    </w:p>
    <w:p w14:paraId="47F2B857" w14:textId="0A69826F" w:rsidR="00F45065" w:rsidRPr="00B67F60" w:rsidRDefault="574B7537" w:rsidP="00B67F60">
      <w:pPr>
        <w:pStyle w:val="Heading2"/>
        <w:spacing w:before="299" w:after="299" w:line="360" w:lineRule="auto"/>
        <w:rPr>
          <w:rFonts w:ascii="Arial" w:eastAsia="Arial" w:hAnsi="Arial" w:cs="Arial"/>
          <w:b/>
          <w:bCs/>
          <w:color w:val="000000" w:themeColor="text1"/>
          <w:sz w:val="22"/>
          <w:szCs w:val="22"/>
        </w:rPr>
      </w:pPr>
      <w:bookmarkStart w:id="9" w:name="_Toc572145074"/>
      <w:r w:rsidRPr="00B67F60">
        <w:rPr>
          <w:rFonts w:ascii="Arial" w:eastAsia="Arial" w:hAnsi="Arial" w:cs="Arial"/>
          <w:b/>
          <w:bCs/>
          <w:color w:val="000000" w:themeColor="text1"/>
          <w:sz w:val="22"/>
          <w:szCs w:val="22"/>
        </w:rPr>
        <w:t>Global Governance and Structural Constraints</w:t>
      </w:r>
      <w:bookmarkEnd w:id="9"/>
    </w:p>
    <w:p w14:paraId="1A9998C7" w14:textId="14C92E00" w:rsidR="792726F3" w:rsidRPr="00B67F60" w:rsidRDefault="792726F3"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The Paris Agreement commits nations to limiting global warming to well below 2°C (UNFCCC, 2015). However, current national commitments remain insufficient to meet this target (IPCC, 2022). Adaptation funding for lower-income countries is also inadequate, perpetuating global inequalities (UNEP, 2023).</w:t>
      </w:r>
    </w:p>
    <w:p w14:paraId="617F6719" w14:textId="1630B7D8" w:rsidR="00F45065" w:rsidRPr="00B67F60" w:rsidRDefault="792726F3"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Mitigation policies </w:t>
      </w:r>
      <w:r w:rsidR="00B67F60" w:rsidRPr="00B67F60">
        <w:rPr>
          <w:rFonts w:ascii="Arial" w:eastAsia="Arial" w:hAnsi="Arial" w:cs="Arial"/>
          <w:sz w:val="22"/>
          <w:szCs w:val="22"/>
        </w:rPr>
        <w:t xml:space="preserve">often face resistance due to the </w:t>
      </w:r>
      <w:r w:rsidRPr="00B67F60">
        <w:rPr>
          <w:rFonts w:ascii="Arial" w:eastAsia="Arial" w:hAnsi="Arial" w:cs="Arial"/>
          <w:sz w:val="22"/>
          <w:szCs w:val="22"/>
        </w:rPr>
        <w:t>economic reliance on fossil fuels. Governments often prioritise short-term economic growth over long-term sustainability. While campaigns encouraging individual behavioural change are common, systemic transformation of energy, transport and housing infrastructure is essential.</w:t>
      </w:r>
    </w:p>
    <w:p w14:paraId="7644E3FE" w14:textId="4458200B" w:rsidR="00F45065" w:rsidRPr="00B67F60" w:rsidRDefault="574B7537" w:rsidP="00B67F60">
      <w:pPr>
        <w:pStyle w:val="Heading2"/>
        <w:spacing w:before="299" w:after="299" w:line="360" w:lineRule="auto"/>
        <w:rPr>
          <w:rFonts w:ascii="Arial" w:eastAsia="Arial" w:hAnsi="Arial" w:cs="Arial"/>
          <w:b/>
          <w:bCs/>
          <w:color w:val="000000" w:themeColor="text1"/>
          <w:sz w:val="22"/>
          <w:szCs w:val="22"/>
        </w:rPr>
      </w:pPr>
      <w:bookmarkStart w:id="10" w:name="_Toc247372792"/>
      <w:r w:rsidRPr="00B67F60">
        <w:rPr>
          <w:rFonts w:ascii="Arial" w:eastAsia="Arial" w:hAnsi="Arial" w:cs="Arial"/>
          <w:b/>
          <w:bCs/>
          <w:color w:val="000000" w:themeColor="text1"/>
          <w:sz w:val="22"/>
          <w:szCs w:val="22"/>
        </w:rPr>
        <w:t>National Context: England</w:t>
      </w:r>
      <w:bookmarkEnd w:id="10"/>
    </w:p>
    <w:p w14:paraId="6CC6D789" w14:textId="1C93E81C" w:rsidR="00F45065" w:rsidRPr="00B67F60" w:rsidRDefault="75F34FA4" w:rsidP="00B67F60">
      <w:pPr>
        <w:spacing w:before="240" w:after="240" w:line="360" w:lineRule="auto"/>
        <w:rPr>
          <w:rFonts w:ascii="Arial" w:eastAsia="Arial" w:hAnsi="Arial" w:cs="Arial"/>
          <w:color w:val="000000" w:themeColor="text1"/>
          <w:sz w:val="22"/>
          <w:szCs w:val="22"/>
        </w:rPr>
      </w:pPr>
      <w:r w:rsidRPr="00B67F60">
        <w:rPr>
          <w:rFonts w:ascii="Arial" w:eastAsia="Arial" w:hAnsi="Arial" w:cs="Arial"/>
          <w:color w:val="000000" w:themeColor="text1"/>
          <w:sz w:val="22"/>
          <w:szCs w:val="22"/>
        </w:rPr>
        <w:t>The Climate Change Act (2008; amended 2019) legally commits the UK to achieving net-zero emissions by 2050. However, the Climate Change Committee (2023) reports insufficient progress in areas such as home insulation and low-carbon transport.</w:t>
      </w:r>
    </w:p>
    <w:p w14:paraId="270378FB" w14:textId="3ACFD759" w:rsidR="00F45065" w:rsidRPr="00B67F60" w:rsidRDefault="75F34FA4" w:rsidP="00B67F60">
      <w:pPr>
        <w:spacing w:before="240" w:after="240" w:line="360" w:lineRule="auto"/>
        <w:rPr>
          <w:rFonts w:ascii="Arial" w:eastAsia="Arial" w:hAnsi="Arial" w:cs="Arial"/>
          <w:color w:val="000000" w:themeColor="text1"/>
          <w:sz w:val="22"/>
          <w:szCs w:val="22"/>
        </w:rPr>
      </w:pPr>
      <w:r w:rsidRPr="00B67F60">
        <w:rPr>
          <w:rFonts w:ascii="Arial" w:eastAsia="Arial" w:hAnsi="Arial" w:cs="Arial"/>
          <w:color w:val="000000" w:themeColor="text1"/>
          <w:sz w:val="22"/>
          <w:szCs w:val="22"/>
        </w:rPr>
        <w:t xml:space="preserve">There is a persistent policy tension between mitigation and adaptation strategies. While adaptation measures such as heatwave planning address immediate risks, mitigation policies aimed at reducing emissions often face political resistance due to economic </w:t>
      </w:r>
      <w:r w:rsidRPr="00B67F60">
        <w:rPr>
          <w:rFonts w:ascii="Arial" w:eastAsia="Arial" w:hAnsi="Arial" w:cs="Arial"/>
          <w:color w:val="000000" w:themeColor="text1"/>
          <w:sz w:val="22"/>
          <w:szCs w:val="22"/>
        </w:rPr>
        <w:lastRenderedPageBreak/>
        <w:t>concerns. Delays in implementing energy efficiency programmes and inconsistent incentives for low-carbon transport demonstrate how climate commitments can be diluted by short-term fiscal priorities (Climate Change Committee, 2023). This reveals a structural contradiction: long-term public health protection requires immediate economic investment, yet political cycles often favour short-term gains.</w:t>
      </w:r>
    </w:p>
    <w:p w14:paraId="7023044A" w14:textId="79B5A5EE" w:rsidR="00F45065" w:rsidRPr="00B67F60" w:rsidRDefault="75F34FA4" w:rsidP="00B67F60">
      <w:pPr>
        <w:spacing w:before="240" w:after="240" w:line="360" w:lineRule="auto"/>
        <w:rPr>
          <w:rFonts w:ascii="Arial" w:eastAsia="Arial" w:hAnsi="Arial" w:cs="Arial"/>
          <w:color w:val="000000" w:themeColor="text1"/>
          <w:sz w:val="22"/>
          <w:szCs w:val="22"/>
        </w:rPr>
      </w:pPr>
      <w:r w:rsidRPr="00B67F60">
        <w:rPr>
          <w:rFonts w:ascii="Arial" w:eastAsia="Arial" w:hAnsi="Arial" w:cs="Arial"/>
          <w:color w:val="000000" w:themeColor="text1"/>
          <w:sz w:val="22"/>
          <w:szCs w:val="22"/>
        </w:rPr>
        <w:t>Moreover, framing climate change as an individual responsibility through encouragement to reduce energy use or change transport habits may obscure the significant role of corporate emissions and infrastructure design. From a Social Cognitive Theory perspective, behaviour is strongly shaped by environmental context (Bandura, 1986). Without structural transformation of transport systems and housing stock, individual behavioural change will remain limited in impact.</w:t>
      </w:r>
    </w:p>
    <w:p w14:paraId="1F9D4ECD" w14:textId="37643403" w:rsidR="00F45065" w:rsidRPr="00B67F60" w:rsidRDefault="574B7537" w:rsidP="00B67F60">
      <w:pPr>
        <w:spacing w:before="240" w:after="240" w:line="360" w:lineRule="auto"/>
        <w:rPr>
          <w:rFonts w:ascii="Arial" w:eastAsia="Arial" w:hAnsi="Arial" w:cs="Arial"/>
          <w:color w:val="000000" w:themeColor="text1"/>
          <w:sz w:val="22"/>
          <w:szCs w:val="22"/>
        </w:rPr>
      </w:pPr>
      <w:r w:rsidRPr="00B67F60">
        <w:rPr>
          <w:rFonts w:ascii="Arial" w:eastAsia="Arial" w:hAnsi="Arial" w:cs="Arial"/>
          <w:color w:val="000000" w:themeColor="text1"/>
          <w:sz w:val="22"/>
          <w:szCs w:val="22"/>
        </w:rPr>
        <w:t xml:space="preserve">Air pollution remains a leading contributor to cardiovascular and respiratory disease (WHO, 2023). Exposure is disproportionately higher in deprived communities, reinforcing the intersection between environmental and social inequality. Climate mitigation </w:t>
      </w:r>
      <w:r w:rsidR="151004FB" w:rsidRPr="00B67F60">
        <w:rPr>
          <w:rFonts w:ascii="Arial" w:eastAsia="Arial" w:hAnsi="Arial" w:cs="Arial"/>
          <w:color w:val="000000" w:themeColor="text1"/>
          <w:sz w:val="22"/>
          <w:szCs w:val="22"/>
        </w:rPr>
        <w:t>policies,</w:t>
      </w:r>
      <w:r w:rsidRPr="00B67F60">
        <w:rPr>
          <w:rFonts w:ascii="Arial" w:eastAsia="Arial" w:hAnsi="Arial" w:cs="Arial"/>
          <w:color w:val="000000" w:themeColor="text1"/>
          <w:sz w:val="22"/>
          <w:szCs w:val="22"/>
        </w:rPr>
        <w:t xml:space="preserve"> therefore</w:t>
      </w:r>
      <w:r w:rsidR="3B49A503" w:rsidRPr="00B67F60">
        <w:rPr>
          <w:rFonts w:ascii="Arial" w:eastAsia="Arial" w:hAnsi="Arial" w:cs="Arial"/>
          <w:color w:val="000000" w:themeColor="text1"/>
          <w:sz w:val="22"/>
          <w:szCs w:val="22"/>
        </w:rPr>
        <w:t>,</w:t>
      </w:r>
      <w:r w:rsidRPr="00B67F60">
        <w:rPr>
          <w:rFonts w:ascii="Arial" w:eastAsia="Arial" w:hAnsi="Arial" w:cs="Arial"/>
          <w:color w:val="000000" w:themeColor="text1"/>
          <w:sz w:val="22"/>
          <w:szCs w:val="22"/>
        </w:rPr>
        <w:t xml:space="preserve"> offer substantial co-benefits for SDG 3.</w:t>
      </w:r>
    </w:p>
    <w:p w14:paraId="29B614DD" w14:textId="498B6BA3" w:rsidR="00F45065" w:rsidRPr="00B67F60" w:rsidRDefault="574B7537" w:rsidP="00B67F60">
      <w:pPr>
        <w:pStyle w:val="Heading2"/>
        <w:spacing w:before="299" w:after="299" w:line="360" w:lineRule="auto"/>
        <w:rPr>
          <w:rFonts w:ascii="Arial" w:eastAsia="Arial" w:hAnsi="Arial" w:cs="Arial"/>
          <w:b/>
          <w:bCs/>
          <w:color w:val="000000" w:themeColor="text1"/>
          <w:sz w:val="22"/>
          <w:szCs w:val="22"/>
        </w:rPr>
      </w:pPr>
      <w:bookmarkStart w:id="11" w:name="_Toc1277123402"/>
      <w:r w:rsidRPr="00B67F60">
        <w:rPr>
          <w:rFonts w:ascii="Arial" w:eastAsia="Arial" w:hAnsi="Arial" w:cs="Arial"/>
          <w:b/>
          <w:bCs/>
          <w:color w:val="000000" w:themeColor="text1"/>
          <w:sz w:val="22"/>
          <w:szCs w:val="22"/>
        </w:rPr>
        <w:t>Local Climate Action in England</w:t>
      </w:r>
      <w:bookmarkEnd w:id="11"/>
    </w:p>
    <w:p w14:paraId="4F5F4B16" w14:textId="0BF728C7" w:rsidR="00F45065" w:rsidRPr="00B67F60" w:rsidRDefault="75F34FA4" w:rsidP="00B67F60">
      <w:pPr>
        <w:spacing w:before="240" w:after="240" w:line="360" w:lineRule="auto"/>
        <w:rPr>
          <w:rFonts w:ascii="Arial" w:eastAsia="Arial" w:hAnsi="Arial" w:cs="Arial"/>
          <w:color w:val="000000" w:themeColor="text1"/>
          <w:sz w:val="22"/>
          <w:szCs w:val="22"/>
        </w:rPr>
      </w:pPr>
      <w:r w:rsidRPr="00B67F60">
        <w:rPr>
          <w:rFonts w:ascii="Arial" w:eastAsia="Arial" w:hAnsi="Arial" w:cs="Arial"/>
          <w:color w:val="000000" w:themeColor="text1"/>
          <w:sz w:val="22"/>
          <w:szCs w:val="22"/>
        </w:rPr>
        <w:t>Local authorities have declared climate emergencies and implemented active travel initiatives, green infrastructure projects and housing retrofitting programmes. Urban green space improves mental well</w:t>
      </w:r>
      <w:r w:rsidR="20DE69C9" w:rsidRPr="00B67F60">
        <w:rPr>
          <w:rFonts w:ascii="Arial" w:eastAsia="Arial" w:hAnsi="Arial" w:cs="Arial"/>
          <w:color w:val="000000" w:themeColor="text1"/>
          <w:sz w:val="22"/>
          <w:szCs w:val="22"/>
        </w:rPr>
        <w:t>-</w:t>
      </w:r>
      <w:r w:rsidRPr="00B67F60">
        <w:rPr>
          <w:rFonts w:ascii="Arial" w:eastAsia="Arial" w:hAnsi="Arial" w:cs="Arial"/>
          <w:color w:val="000000" w:themeColor="text1"/>
          <w:sz w:val="22"/>
          <w:szCs w:val="22"/>
        </w:rPr>
        <w:t>being and reduces heat exposure (WHO, 2016). Active travel promotes physical activity while reducing emissions.</w:t>
      </w:r>
    </w:p>
    <w:p w14:paraId="7CDB9CBF" w14:textId="14523308" w:rsidR="00F45065" w:rsidRPr="00B67F60" w:rsidRDefault="574B7537" w:rsidP="00B67F60">
      <w:pPr>
        <w:spacing w:before="240" w:after="240" w:line="360" w:lineRule="auto"/>
        <w:rPr>
          <w:rFonts w:ascii="Arial" w:eastAsia="Arial" w:hAnsi="Arial" w:cs="Arial"/>
          <w:color w:val="000000" w:themeColor="text1"/>
          <w:sz w:val="22"/>
          <w:szCs w:val="22"/>
        </w:rPr>
      </w:pPr>
      <w:r w:rsidRPr="00B67F60">
        <w:rPr>
          <w:rFonts w:ascii="Arial" w:eastAsia="Arial" w:hAnsi="Arial" w:cs="Arial"/>
          <w:color w:val="000000" w:themeColor="text1"/>
          <w:sz w:val="22"/>
          <w:szCs w:val="22"/>
        </w:rPr>
        <w:t>However, resource disparities mean wealthier councils are better positioned to implement ambitious strategies, perpetuating regional inequality.</w:t>
      </w:r>
    </w:p>
    <w:p w14:paraId="482607D1" w14:textId="04E2CEA0" w:rsidR="00F45065" w:rsidRPr="00B67F60" w:rsidRDefault="574B7537" w:rsidP="00B67F60">
      <w:pPr>
        <w:pStyle w:val="Heading2"/>
        <w:spacing w:before="299" w:after="299" w:line="360" w:lineRule="auto"/>
        <w:rPr>
          <w:rFonts w:ascii="Arial" w:eastAsia="Arial" w:hAnsi="Arial" w:cs="Arial"/>
          <w:b/>
          <w:bCs/>
          <w:color w:val="000000" w:themeColor="text1"/>
          <w:sz w:val="22"/>
          <w:szCs w:val="22"/>
        </w:rPr>
      </w:pPr>
      <w:bookmarkStart w:id="12" w:name="_Toc1294386147"/>
      <w:r w:rsidRPr="00B67F60">
        <w:rPr>
          <w:rFonts w:ascii="Arial" w:eastAsia="Arial" w:hAnsi="Arial" w:cs="Arial"/>
          <w:b/>
          <w:bCs/>
          <w:color w:val="000000" w:themeColor="text1"/>
          <w:sz w:val="22"/>
          <w:szCs w:val="22"/>
        </w:rPr>
        <w:t>Interconnection Between SDG 3 and SDG 13</w:t>
      </w:r>
      <w:bookmarkEnd w:id="12"/>
    </w:p>
    <w:p w14:paraId="4E9E592E" w14:textId="49F94AF9" w:rsidR="00F45065" w:rsidRPr="00B67F60" w:rsidRDefault="75F34FA4" w:rsidP="00B67F60">
      <w:pPr>
        <w:spacing w:before="240" w:after="240" w:line="360" w:lineRule="auto"/>
        <w:rPr>
          <w:rFonts w:ascii="Arial" w:eastAsia="Arial" w:hAnsi="Arial" w:cs="Arial"/>
          <w:color w:val="000000" w:themeColor="text1"/>
          <w:sz w:val="22"/>
          <w:szCs w:val="22"/>
        </w:rPr>
      </w:pPr>
      <w:r w:rsidRPr="00B67F60">
        <w:rPr>
          <w:rFonts w:ascii="Arial" w:eastAsia="Arial" w:hAnsi="Arial" w:cs="Arial"/>
          <w:color w:val="000000" w:themeColor="text1"/>
          <w:sz w:val="22"/>
          <w:szCs w:val="22"/>
        </w:rPr>
        <w:t>The interrelationship between SDG 3 and SDG 13 extends beyond air pollution to encompass mental health impacts. Climate-related events such as flooding, extreme heat and displacement contribute to anxiety, stress and community disruption (WHO, 2023). In England, exposure to flooding has been associated with increased symptoms of depression and post-traumatic stress among affected populations. These impacts are rarely integrated into mainstream health planning, yet they demonstrate how environmental instability directly affects psychological well</w:t>
      </w:r>
      <w:r w:rsidR="70703BDA" w:rsidRPr="00B67F60">
        <w:rPr>
          <w:rFonts w:ascii="Arial" w:eastAsia="Arial" w:hAnsi="Arial" w:cs="Arial"/>
          <w:color w:val="000000" w:themeColor="text1"/>
          <w:sz w:val="22"/>
          <w:szCs w:val="22"/>
        </w:rPr>
        <w:t>-</w:t>
      </w:r>
      <w:r w:rsidRPr="00B67F60">
        <w:rPr>
          <w:rFonts w:ascii="Arial" w:eastAsia="Arial" w:hAnsi="Arial" w:cs="Arial"/>
          <w:color w:val="000000" w:themeColor="text1"/>
          <w:sz w:val="22"/>
          <w:szCs w:val="22"/>
        </w:rPr>
        <w:t>being and reinforces existing inequalities.</w:t>
      </w:r>
    </w:p>
    <w:p w14:paraId="00313072" w14:textId="606442D7" w:rsidR="00F45065" w:rsidRPr="00B67F60" w:rsidRDefault="75F34FA4" w:rsidP="00B67F60">
      <w:pPr>
        <w:spacing w:before="240" w:after="240" w:line="360" w:lineRule="auto"/>
        <w:rPr>
          <w:rFonts w:ascii="Arial" w:eastAsia="Arial" w:hAnsi="Arial" w:cs="Arial"/>
          <w:color w:val="000000" w:themeColor="text1"/>
          <w:sz w:val="22"/>
          <w:szCs w:val="22"/>
        </w:rPr>
      </w:pPr>
      <w:r w:rsidRPr="00B67F60">
        <w:rPr>
          <w:rFonts w:ascii="Arial" w:eastAsia="Arial" w:hAnsi="Arial" w:cs="Arial"/>
          <w:color w:val="000000" w:themeColor="text1"/>
          <w:sz w:val="22"/>
          <w:szCs w:val="22"/>
        </w:rPr>
        <w:lastRenderedPageBreak/>
        <w:t>Additionally, policies that encourage urban greening and active travel deliver multiple co-benefits. Expanding cycling infrastructure reduces emissions while increasing physical activity, thereby lowering the prevalence of non-communicable diseases. Policies promoting low-emission transport and reduced fossil fuel combustion simultaneously lower cardiovascular disease risk while mitigating emissions (WHO, 2023</w:t>
      </w:r>
      <w:r w:rsidR="005F06F1" w:rsidRPr="00B67F60">
        <w:rPr>
          <w:rFonts w:ascii="Arial" w:eastAsia="Arial" w:hAnsi="Arial" w:cs="Arial"/>
          <w:color w:val="000000" w:themeColor="text1"/>
          <w:sz w:val="22"/>
          <w:szCs w:val="22"/>
        </w:rPr>
        <w:t>a</w:t>
      </w:r>
      <w:r w:rsidRPr="00B67F60">
        <w:rPr>
          <w:rFonts w:ascii="Arial" w:eastAsia="Arial" w:hAnsi="Arial" w:cs="Arial"/>
          <w:color w:val="000000" w:themeColor="text1"/>
          <w:sz w:val="22"/>
          <w:szCs w:val="22"/>
        </w:rPr>
        <w:t>). Integrating health framing into climate policy may enhance public engagement, as perceived susceptibility increases when risks are understood as immediate health threats (Rosenstock, 1974). Coordinated governance across sectors is therefore essential.</w:t>
      </w:r>
    </w:p>
    <w:p w14:paraId="1233FF7D" w14:textId="3EFF3E18" w:rsidR="00F45065" w:rsidRPr="00B67F60" w:rsidRDefault="574B7537" w:rsidP="00B67F60">
      <w:pPr>
        <w:pStyle w:val="Heading2"/>
        <w:spacing w:before="299" w:after="299" w:line="360" w:lineRule="auto"/>
        <w:rPr>
          <w:rFonts w:ascii="Arial" w:eastAsia="Arial" w:hAnsi="Arial" w:cs="Arial"/>
          <w:b/>
          <w:bCs/>
          <w:color w:val="000000" w:themeColor="text1"/>
          <w:sz w:val="22"/>
          <w:szCs w:val="22"/>
        </w:rPr>
      </w:pPr>
      <w:bookmarkStart w:id="13" w:name="_Toc759009638"/>
      <w:r w:rsidRPr="00B67F60">
        <w:rPr>
          <w:rFonts w:ascii="Arial" w:eastAsia="Arial" w:hAnsi="Arial" w:cs="Arial"/>
          <w:b/>
          <w:bCs/>
          <w:color w:val="000000" w:themeColor="text1"/>
          <w:sz w:val="22"/>
          <w:szCs w:val="22"/>
        </w:rPr>
        <w:t>Structural and Economic Tensions</w:t>
      </w:r>
      <w:bookmarkEnd w:id="13"/>
    </w:p>
    <w:p w14:paraId="1F5D4951" w14:textId="10F3BE37" w:rsidR="00F45065" w:rsidRPr="00B67F60" w:rsidRDefault="75F34FA4" w:rsidP="00B67F60">
      <w:pPr>
        <w:spacing w:before="240" w:after="240" w:line="360" w:lineRule="auto"/>
        <w:rPr>
          <w:rFonts w:ascii="Arial" w:eastAsia="Arial" w:hAnsi="Arial" w:cs="Arial"/>
          <w:color w:val="000000" w:themeColor="text1"/>
          <w:sz w:val="22"/>
          <w:szCs w:val="22"/>
        </w:rPr>
      </w:pPr>
      <w:r w:rsidRPr="00B67F60">
        <w:rPr>
          <w:rFonts w:ascii="Arial" w:eastAsia="Arial" w:hAnsi="Arial" w:cs="Arial"/>
          <w:color w:val="000000" w:themeColor="text1"/>
          <w:sz w:val="22"/>
          <w:szCs w:val="22"/>
        </w:rPr>
        <w:t>Both SDG 3 and SDG 13 require sustained public investment. Economic systems prioritising short-term growth often constrain long-term sustainability. Austerity weakened public health infrastructure (Marmot et al., 2020), while fossil fuel dependency slows climate transition.</w:t>
      </w:r>
    </w:p>
    <w:p w14:paraId="6B457A44" w14:textId="129B312E" w:rsidR="00F45065" w:rsidRPr="00B67F60" w:rsidRDefault="75F34FA4" w:rsidP="00B67F60">
      <w:pPr>
        <w:spacing w:before="240" w:after="240" w:line="360" w:lineRule="auto"/>
        <w:rPr>
          <w:rFonts w:eastAsia="Arial" w:cstheme="minorHAnsi"/>
          <w:color w:val="000000" w:themeColor="text1"/>
          <w:sz w:val="22"/>
          <w:szCs w:val="22"/>
        </w:rPr>
      </w:pPr>
      <w:r w:rsidRPr="00B67F60">
        <w:rPr>
          <w:rFonts w:ascii="Arial" w:eastAsia="Arial" w:hAnsi="Arial" w:cs="Arial"/>
          <w:color w:val="000000" w:themeColor="text1"/>
          <w:sz w:val="22"/>
          <w:szCs w:val="22"/>
        </w:rPr>
        <w:t>Behavioural models illuminate individual agency but cannot substitute for structural reform. Without accessible public transport, affordable housing upgrades and equitable urban planning, behavioural change remains limited. Achieving meaningful progress requires systemic transformation alongside behavioural interventions.</w:t>
      </w:r>
    </w:p>
    <w:p w14:paraId="1B2BD416" w14:textId="74A3E3FA" w:rsidR="00F45065" w:rsidRPr="00B67F60" w:rsidRDefault="00F45065" w:rsidP="00B67F60">
      <w:pPr>
        <w:spacing w:line="360" w:lineRule="auto"/>
        <w:rPr>
          <w:rFonts w:cstheme="minorHAnsi"/>
          <w:color w:val="000000" w:themeColor="text1"/>
          <w:sz w:val="22"/>
          <w:szCs w:val="22"/>
        </w:rPr>
      </w:pPr>
    </w:p>
    <w:p w14:paraId="61615BA7" w14:textId="46A11597" w:rsidR="55D1B75F" w:rsidRPr="00B67F60" w:rsidRDefault="55D1B75F" w:rsidP="00B67F60">
      <w:pPr>
        <w:spacing w:line="360" w:lineRule="auto"/>
        <w:rPr>
          <w:rFonts w:cstheme="minorHAnsi"/>
          <w:color w:val="000000" w:themeColor="text1"/>
          <w:sz w:val="22"/>
          <w:szCs w:val="22"/>
        </w:rPr>
      </w:pPr>
    </w:p>
    <w:p w14:paraId="370ED15F" w14:textId="26C69606" w:rsidR="55D1B75F" w:rsidRPr="00B67F60" w:rsidRDefault="55D1B75F" w:rsidP="00B67F60">
      <w:pPr>
        <w:spacing w:line="360" w:lineRule="auto"/>
        <w:rPr>
          <w:rFonts w:cstheme="minorHAnsi"/>
          <w:color w:val="000000" w:themeColor="text1"/>
          <w:sz w:val="22"/>
          <w:szCs w:val="22"/>
        </w:rPr>
      </w:pPr>
    </w:p>
    <w:p w14:paraId="7DE3BF74" w14:textId="58AC1A20" w:rsidR="55D1B75F" w:rsidRPr="00B67F60" w:rsidRDefault="55D1B75F" w:rsidP="00B67F60">
      <w:pPr>
        <w:spacing w:line="360" w:lineRule="auto"/>
        <w:rPr>
          <w:rFonts w:cstheme="minorHAnsi"/>
          <w:color w:val="000000" w:themeColor="text1"/>
          <w:sz w:val="22"/>
          <w:szCs w:val="22"/>
        </w:rPr>
      </w:pPr>
    </w:p>
    <w:p w14:paraId="3CB91267" w14:textId="412E278E" w:rsidR="55D1B75F" w:rsidRPr="00B67F60" w:rsidRDefault="55D1B75F" w:rsidP="00B67F60">
      <w:pPr>
        <w:spacing w:line="360" w:lineRule="auto"/>
        <w:rPr>
          <w:rFonts w:cstheme="minorHAnsi"/>
          <w:color w:val="000000" w:themeColor="text1"/>
          <w:sz w:val="22"/>
          <w:szCs w:val="22"/>
        </w:rPr>
      </w:pPr>
    </w:p>
    <w:p w14:paraId="179A6C1E" w14:textId="6107A9C8" w:rsidR="55D1B75F" w:rsidRPr="00B67F60" w:rsidRDefault="55D1B75F" w:rsidP="00B67F60">
      <w:pPr>
        <w:spacing w:line="360" w:lineRule="auto"/>
        <w:rPr>
          <w:rFonts w:cstheme="minorHAnsi"/>
          <w:color w:val="000000" w:themeColor="text1"/>
          <w:sz w:val="22"/>
          <w:szCs w:val="22"/>
        </w:rPr>
      </w:pPr>
    </w:p>
    <w:p w14:paraId="2DB5448B" w14:textId="5F1BE6E5" w:rsidR="55D1B75F" w:rsidRPr="00B67F60" w:rsidRDefault="55D1B75F" w:rsidP="00B67F60">
      <w:pPr>
        <w:spacing w:line="360" w:lineRule="auto"/>
        <w:rPr>
          <w:rFonts w:cstheme="minorHAnsi"/>
          <w:color w:val="000000" w:themeColor="text1"/>
          <w:sz w:val="22"/>
          <w:szCs w:val="22"/>
        </w:rPr>
      </w:pPr>
    </w:p>
    <w:p w14:paraId="2C2087F1" w14:textId="6EE911B6" w:rsidR="55D1B75F" w:rsidRPr="00B67F60" w:rsidRDefault="55D1B75F" w:rsidP="00B67F60">
      <w:pPr>
        <w:spacing w:line="360" w:lineRule="auto"/>
        <w:rPr>
          <w:rFonts w:cstheme="minorHAnsi"/>
          <w:color w:val="000000" w:themeColor="text1"/>
          <w:sz w:val="22"/>
          <w:szCs w:val="22"/>
        </w:rPr>
      </w:pPr>
    </w:p>
    <w:p w14:paraId="71BD699F" w14:textId="080DEBF4" w:rsidR="55D1B75F" w:rsidRPr="00B67F60" w:rsidRDefault="55D1B75F" w:rsidP="00B67F60">
      <w:pPr>
        <w:spacing w:line="360" w:lineRule="auto"/>
        <w:rPr>
          <w:rFonts w:cstheme="minorHAnsi"/>
          <w:color w:val="000000" w:themeColor="text1"/>
          <w:sz w:val="22"/>
          <w:szCs w:val="22"/>
        </w:rPr>
      </w:pPr>
    </w:p>
    <w:p w14:paraId="6772C22F" w14:textId="6D449ABE" w:rsidR="55D1B75F" w:rsidRPr="00B67F60" w:rsidRDefault="55D1B75F" w:rsidP="00B67F60">
      <w:pPr>
        <w:spacing w:line="360" w:lineRule="auto"/>
        <w:rPr>
          <w:rFonts w:cstheme="minorHAnsi"/>
          <w:color w:val="000000" w:themeColor="text1"/>
          <w:sz w:val="22"/>
          <w:szCs w:val="22"/>
        </w:rPr>
      </w:pPr>
    </w:p>
    <w:p w14:paraId="4928C0D4" w14:textId="1B1A637A" w:rsidR="55D1B75F" w:rsidRPr="00B67F60" w:rsidRDefault="55D1B75F" w:rsidP="00B67F60">
      <w:pPr>
        <w:spacing w:line="360" w:lineRule="auto"/>
        <w:rPr>
          <w:rFonts w:cstheme="minorHAnsi"/>
          <w:color w:val="000000" w:themeColor="text1"/>
          <w:sz w:val="22"/>
          <w:szCs w:val="22"/>
        </w:rPr>
      </w:pPr>
    </w:p>
    <w:p w14:paraId="4A469ECE" w14:textId="0ADC9ECB" w:rsidR="55D1B75F" w:rsidRPr="00B67F60" w:rsidRDefault="55D1B75F" w:rsidP="00B67F60">
      <w:pPr>
        <w:spacing w:line="360" w:lineRule="auto"/>
        <w:rPr>
          <w:rFonts w:cstheme="minorHAnsi"/>
          <w:color w:val="000000" w:themeColor="text1"/>
          <w:sz w:val="22"/>
          <w:szCs w:val="22"/>
        </w:rPr>
      </w:pPr>
    </w:p>
    <w:p w14:paraId="0767C1CA" w14:textId="085D715C" w:rsidR="55D1B75F" w:rsidRPr="00B67F60" w:rsidRDefault="55D1B75F" w:rsidP="00B67F60">
      <w:pPr>
        <w:spacing w:line="360" w:lineRule="auto"/>
        <w:rPr>
          <w:rFonts w:cstheme="minorHAnsi"/>
          <w:color w:val="000000" w:themeColor="text1"/>
          <w:sz w:val="22"/>
          <w:szCs w:val="22"/>
        </w:rPr>
      </w:pPr>
    </w:p>
    <w:p w14:paraId="71E12637" w14:textId="7A542869" w:rsidR="00F45065" w:rsidRPr="00B67F60" w:rsidRDefault="574B7537" w:rsidP="00B67F60">
      <w:pPr>
        <w:pStyle w:val="Heading1"/>
        <w:spacing w:line="360" w:lineRule="auto"/>
        <w:rPr>
          <w:rFonts w:ascii="Arial" w:eastAsiaTheme="minorEastAsia" w:hAnsi="Arial" w:cs="Arial"/>
          <w:b/>
          <w:bCs/>
          <w:color w:val="auto"/>
          <w:sz w:val="22"/>
          <w:szCs w:val="22"/>
        </w:rPr>
      </w:pPr>
      <w:bookmarkStart w:id="14" w:name="_Toc1377758269"/>
      <w:r w:rsidRPr="00B67F60">
        <w:rPr>
          <w:rFonts w:ascii="Arial" w:eastAsiaTheme="minorEastAsia" w:hAnsi="Arial" w:cs="Arial"/>
          <w:b/>
          <w:bCs/>
          <w:color w:val="auto"/>
          <w:sz w:val="22"/>
          <w:szCs w:val="22"/>
        </w:rPr>
        <w:lastRenderedPageBreak/>
        <w:t>Conclusion</w:t>
      </w:r>
      <w:bookmarkEnd w:id="14"/>
    </w:p>
    <w:p w14:paraId="067C7BA2" w14:textId="43168CD1" w:rsidR="00F45065" w:rsidRPr="00B67F60" w:rsidRDefault="75F34FA4" w:rsidP="00B67F60">
      <w:pPr>
        <w:spacing w:before="240" w:after="240" w:line="360" w:lineRule="auto"/>
        <w:rPr>
          <w:rFonts w:ascii="Arial" w:eastAsia="Arial" w:hAnsi="Arial" w:cs="Arial"/>
          <w:color w:val="000000" w:themeColor="text1"/>
          <w:sz w:val="22"/>
          <w:szCs w:val="22"/>
        </w:rPr>
      </w:pPr>
      <w:r w:rsidRPr="00B67F60">
        <w:rPr>
          <w:rFonts w:ascii="Arial" w:eastAsia="Arial" w:hAnsi="Arial" w:cs="Arial"/>
          <w:color w:val="000000" w:themeColor="text1"/>
          <w:sz w:val="22"/>
          <w:szCs w:val="22"/>
        </w:rPr>
        <w:t>SDG 3 and SDG 13 are fundamentally interconnected. Climate change increasingly shapes health outcomes, while climate mitigation offers substantial public health co-benefits. Although ambitious frameworks exist at global and national levels, implementation gaps persist due to structural inequality, funding instability and competing economic priorities.</w:t>
      </w:r>
    </w:p>
    <w:p w14:paraId="5872FFE2" w14:textId="49F7C1D1" w:rsidR="00F45065" w:rsidRPr="00B67F60" w:rsidRDefault="75F34FA4" w:rsidP="00B67F60">
      <w:pPr>
        <w:spacing w:before="240" w:after="240" w:line="360" w:lineRule="auto"/>
        <w:rPr>
          <w:rFonts w:ascii="Arial" w:eastAsia="Arial" w:hAnsi="Arial" w:cs="Arial"/>
          <w:color w:val="000000" w:themeColor="text1"/>
          <w:sz w:val="22"/>
          <w:szCs w:val="22"/>
        </w:rPr>
      </w:pPr>
      <w:r w:rsidRPr="00B67F60">
        <w:rPr>
          <w:rFonts w:ascii="Arial" w:eastAsia="Arial" w:hAnsi="Arial" w:cs="Arial"/>
          <w:color w:val="000000" w:themeColor="text1"/>
          <w:sz w:val="22"/>
          <w:szCs w:val="22"/>
        </w:rPr>
        <w:t>In England, preventative healthcare reforms and climate legislation signal commitment; however, widening inequalities and uneven decarbonisation progress reveal ongoing challenges. Advancing SDG 3 and SDG 13 requires more than incremental reform. It demands systemic alignment between health, environmental and economic policy, alongside sustained political commitment to equity. Structural determinants</w:t>
      </w:r>
      <w:r w:rsidR="5850F24E" w:rsidRPr="00B67F60">
        <w:rPr>
          <w:rFonts w:ascii="Arial" w:eastAsia="Arial" w:hAnsi="Arial" w:cs="Arial"/>
          <w:color w:val="000000" w:themeColor="text1"/>
          <w:sz w:val="22"/>
          <w:szCs w:val="22"/>
        </w:rPr>
        <w:t xml:space="preserve"> </w:t>
      </w:r>
      <w:r w:rsidRPr="00B67F60">
        <w:rPr>
          <w:rFonts w:ascii="Arial" w:eastAsia="Arial" w:hAnsi="Arial" w:cs="Arial"/>
          <w:color w:val="000000" w:themeColor="text1"/>
          <w:sz w:val="22"/>
          <w:szCs w:val="22"/>
        </w:rPr>
        <w:t>such as income inequality, housing quality and environmental exposure</w:t>
      </w:r>
      <w:r w:rsidR="06FB4827" w:rsidRPr="00B67F60">
        <w:rPr>
          <w:rFonts w:ascii="Arial" w:eastAsia="Arial" w:hAnsi="Arial" w:cs="Arial"/>
          <w:color w:val="000000" w:themeColor="text1"/>
          <w:sz w:val="22"/>
          <w:szCs w:val="22"/>
        </w:rPr>
        <w:t xml:space="preserve"> </w:t>
      </w:r>
      <w:r w:rsidRPr="00B67F60">
        <w:rPr>
          <w:rFonts w:ascii="Arial" w:eastAsia="Arial" w:hAnsi="Arial" w:cs="Arial"/>
          <w:color w:val="000000" w:themeColor="text1"/>
          <w:sz w:val="22"/>
          <w:szCs w:val="22"/>
        </w:rPr>
        <w:t>must be addressed concurrently rather than treated as peripheral concerns. While behavioural change models offer valuable insight into individual and community engagement, they cannot substitute for infrastructural investment and redistribution. The SDGs provide a powerful normative framework, but their transformative potential depends upon long-term financial commitment, cross-sector collaboration and genuine political will.</w:t>
      </w:r>
    </w:p>
    <w:p w14:paraId="40389305" w14:textId="6075FDC4" w:rsidR="00F45065" w:rsidRPr="00B67F60" w:rsidRDefault="00F45065" w:rsidP="00B67F60">
      <w:pPr>
        <w:spacing w:before="240" w:after="240" w:line="360" w:lineRule="auto"/>
        <w:rPr>
          <w:rFonts w:eastAsia="Arial" w:cstheme="minorHAnsi"/>
          <w:color w:val="000000" w:themeColor="text1"/>
          <w:sz w:val="22"/>
          <w:szCs w:val="22"/>
        </w:rPr>
      </w:pPr>
    </w:p>
    <w:p w14:paraId="0E82D11B" w14:textId="695AF67E" w:rsidR="00F45065" w:rsidRPr="00B67F60" w:rsidRDefault="00F45065" w:rsidP="00B67F60">
      <w:pPr>
        <w:spacing w:line="360" w:lineRule="auto"/>
        <w:rPr>
          <w:rFonts w:cstheme="minorHAnsi"/>
          <w:sz w:val="22"/>
          <w:szCs w:val="22"/>
        </w:rPr>
      </w:pPr>
    </w:p>
    <w:p w14:paraId="5E5787A5" w14:textId="29BB819E" w:rsidR="00F45065" w:rsidRPr="00B67F60" w:rsidRDefault="00F45065" w:rsidP="00B67F60">
      <w:pPr>
        <w:spacing w:line="360" w:lineRule="auto"/>
        <w:rPr>
          <w:rFonts w:cstheme="minorHAnsi"/>
          <w:sz w:val="22"/>
          <w:szCs w:val="22"/>
        </w:rPr>
      </w:pPr>
    </w:p>
    <w:p w14:paraId="197F80E3" w14:textId="65CDD20F" w:rsidR="55D1B75F" w:rsidRPr="00B67F60" w:rsidRDefault="55D1B75F" w:rsidP="00B67F60">
      <w:pPr>
        <w:spacing w:line="360" w:lineRule="auto"/>
        <w:rPr>
          <w:rFonts w:ascii="Arial" w:hAnsi="Arial" w:cs="Arial"/>
          <w:sz w:val="22"/>
          <w:szCs w:val="22"/>
        </w:rPr>
      </w:pPr>
      <w:r w:rsidRPr="00B67F60">
        <w:rPr>
          <w:rFonts w:ascii="Arial" w:hAnsi="Arial" w:cs="Arial"/>
          <w:sz w:val="22"/>
          <w:szCs w:val="22"/>
        </w:rPr>
        <w:br w:type="page"/>
      </w:r>
    </w:p>
    <w:p w14:paraId="01768B8C" w14:textId="22D5890F" w:rsidR="150EFFC0" w:rsidRPr="00B67F60" w:rsidRDefault="150EFFC0" w:rsidP="00B67F60">
      <w:pPr>
        <w:pStyle w:val="Heading3"/>
        <w:spacing w:before="281" w:after="281" w:line="360" w:lineRule="auto"/>
        <w:rPr>
          <w:rFonts w:ascii="Arial" w:eastAsia="Arial" w:hAnsi="Arial" w:cs="Arial"/>
          <w:b/>
          <w:bCs/>
          <w:color w:val="000000" w:themeColor="text1"/>
          <w:sz w:val="22"/>
          <w:szCs w:val="22"/>
        </w:rPr>
      </w:pPr>
      <w:r w:rsidRPr="00B67F60">
        <w:rPr>
          <w:rFonts w:ascii="Arial" w:eastAsia="Arial" w:hAnsi="Arial" w:cs="Arial"/>
          <w:b/>
          <w:bCs/>
          <w:color w:val="000000" w:themeColor="text1"/>
          <w:sz w:val="22"/>
          <w:szCs w:val="22"/>
        </w:rPr>
        <w:lastRenderedPageBreak/>
        <w:t>References</w:t>
      </w:r>
    </w:p>
    <w:p w14:paraId="441E71D9" w14:textId="2B6D3EBE"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Bandura, A. (1986) </w:t>
      </w:r>
      <w:r w:rsidRPr="00B67F60">
        <w:rPr>
          <w:rFonts w:ascii="Arial" w:eastAsia="Arial" w:hAnsi="Arial" w:cs="Arial"/>
          <w:i/>
          <w:iCs/>
          <w:sz w:val="22"/>
          <w:szCs w:val="22"/>
        </w:rPr>
        <w:t>Social foundations of thought and action: A social cognitive theory</w:t>
      </w:r>
      <w:r w:rsidRPr="00B67F60">
        <w:rPr>
          <w:rFonts w:ascii="Arial" w:eastAsia="Arial" w:hAnsi="Arial" w:cs="Arial"/>
          <w:sz w:val="22"/>
          <w:szCs w:val="22"/>
        </w:rPr>
        <w:t>. Englewood Cliffs, NJ: Prentice-Hall.</w:t>
      </w:r>
    </w:p>
    <w:p w14:paraId="37CF2E56" w14:textId="030C9275"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Bickerdike, L., Booth, A., Wilson, P., Farley, K. and Wright, K. (2017) ‘Social prescribing: less rhetoric and more reality. A systematic review of the evidence’, </w:t>
      </w:r>
      <w:r w:rsidRPr="00B67F60">
        <w:rPr>
          <w:rFonts w:ascii="Arial" w:eastAsia="Arial" w:hAnsi="Arial" w:cs="Arial"/>
          <w:i/>
          <w:iCs/>
          <w:sz w:val="22"/>
          <w:szCs w:val="22"/>
        </w:rPr>
        <w:t>BMJ Open</w:t>
      </w:r>
      <w:r w:rsidRPr="00B67F60">
        <w:rPr>
          <w:rFonts w:ascii="Arial" w:eastAsia="Arial" w:hAnsi="Arial" w:cs="Arial"/>
          <w:sz w:val="22"/>
          <w:szCs w:val="22"/>
        </w:rPr>
        <w:t>, 7(4), e013384.</w:t>
      </w:r>
    </w:p>
    <w:p w14:paraId="5E8E3F0D" w14:textId="59213DF0"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Climate Change Committee (2023) </w:t>
      </w:r>
      <w:r w:rsidRPr="00B67F60">
        <w:rPr>
          <w:rFonts w:ascii="Arial" w:eastAsia="Arial" w:hAnsi="Arial" w:cs="Arial"/>
          <w:i/>
          <w:iCs/>
          <w:sz w:val="22"/>
          <w:szCs w:val="22"/>
        </w:rPr>
        <w:t>Progress in reducing UK emissions: 2023 report to Parliament</w:t>
      </w:r>
      <w:r w:rsidRPr="00B67F60">
        <w:rPr>
          <w:rFonts w:ascii="Arial" w:eastAsia="Arial" w:hAnsi="Arial" w:cs="Arial"/>
          <w:sz w:val="22"/>
          <w:szCs w:val="22"/>
        </w:rPr>
        <w:t>. London: Climate Change Committee.</w:t>
      </w:r>
    </w:p>
    <w:p w14:paraId="4988B511" w14:textId="1B5CF384"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Department of Health and Social Care (2023) </w:t>
      </w:r>
      <w:r w:rsidRPr="00B67F60">
        <w:rPr>
          <w:rFonts w:ascii="Arial" w:eastAsia="Arial" w:hAnsi="Arial" w:cs="Arial"/>
          <w:i/>
          <w:iCs/>
          <w:sz w:val="22"/>
          <w:szCs w:val="22"/>
        </w:rPr>
        <w:t>Major conditions strategy: case for change and our strategic framework</w:t>
      </w:r>
      <w:r w:rsidRPr="00B67F60">
        <w:rPr>
          <w:rFonts w:ascii="Arial" w:eastAsia="Arial" w:hAnsi="Arial" w:cs="Arial"/>
          <w:sz w:val="22"/>
          <w:szCs w:val="22"/>
        </w:rPr>
        <w:t>. London: DHSC.</w:t>
      </w:r>
    </w:p>
    <w:p w14:paraId="0ECE0A37" w14:textId="210A1934"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IPCC (2022) </w:t>
      </w:r>
      <w:r w:rsidRPr="00B67F60">
        <w:rPr>
          <w:rFonts w:ascii="Arial" w:eastAsia="Arial" w:hAnsi="Arial" w:cs="Arial"/>
          <w:i/>
          <w:iCs/>
          <w:sz w:val="22"/>
          <w:szCs w:val="22"/>
        </w:rPr>
        <w:t>Climate change 2022: impacts, adaptation and vulnerability</w:t>
      </w:r>
      <w:r w:rsidRPr="00B67F60">
        <w:rPr>
          <w:rFonts w:ascii="Arial" w:eastAsia="Arial" w:hAnsi="Arial" w:cs="Arial"/>
          <w:sz w:val="22"/>
          <w:szCs w:val="22"/>
        </w:rPr>
        <w:t>. Cambridge: Cambridge University Press.</w:t>
      </w:r>
    </w:p>
    <w:p w14:paraId="421A7DB3" w14:textId="2F35DED8"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Labonté, R. and Gagnon, M.L. (2019) ‘Framing health and foreign policy: lessons for global health diplomacy’, </w:t>
      </w:r>
      <w:r w:rsidRPr="00B67F60">
        <w:rPr>
          <w:rFonts w:ascii="Arial" w:eastAsia="Arial" w:hAnsi="Arial" w:cs="Arial"/>
          <w:i/>
          <w:iCs/>
          <w:sz w:val="22"/>
          <w:szCs w:val="22"/>
        </w:rPr>
        <w:t>Globalization and Health</w:t>
      </w:r>
      <w:r w:rsidRPr="00B67F60">
        <w:rPr>
          <w:rFonts w:ascii="Arial" w:eastAsia="Arial" w:hAnsi="Arial" w:cs="Arial"/>
          <w:sz w:val="22"/>
          <w:szCs w:val="22"/>
        </w:rPr>
        <w:t>, 15(1), pp. 1–12.</w:t>
      </w:r>
    </w:p>
    <w:p w14:paraId="7CAF5482" w14:textId="7AD4340C"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Marmot, M., Allen, J., Boyce, T., Goldblatt, P. and Morrison, J. (2020) </w:t>
      </w:r>
      <w:r w:rsidRPr="00B67F60">
        <w:rPr>
          <w:rFonts w:ascii="Arial" w:eastAsia="Arial" w:hAnsi="Arial" w:cs="Arial"/>
          <w:i/>
          <w:iCs/>
          <w:sz w:val="22"/>
          <w:szCs w:val="22"/>
        </w:rPr>
        <w:t xml:space="preserve">Health equity in England: </w:t>
      </w:r>
      <w:proofErr w:type="gramStart"/>
      <w:r w:rsidRPr="00B67F60">
        <w:rPr>
          <w:rFonts w:ascii="Arial" w:eastAsia="Arial" w:hAnsi="Arial" w:cs="Arial"/>
          <w:i/>
          <w:iCs/>
          <w:sz w:val="22"/>
          <w:szCs w:val="22"/>
        </w:rPr>
        <w:t>the</w:t>
      </w:r>
      <w:proofErr w:type="gramEnd"/>
      <w:r w:rsidRPr="00B67F60">
        <w:rPr>
          <w:rFonts w:ascii="Arial" w:eastAsia="Arial" w:hAnsi="Arial" w:cs="Arial"/>
          <w:i/>
          <w:iCs/>
          <w:sz w:val="22"/>
          <w:szCs w:val="22"/>
        </w:rPr>
        <w:t xml:space="preserve"> Marmot review 10 years on</w:t>
      </w:r>
      <w:r w:rsidRPr="00B67F60">
        <w:rPr>
          <w:rFonts w:ascii="Arial" w:eastAsia="Arial" w:hAnsi="Arial" w:cs="Arial"/>
          <w:sz w:val="22"/>
          <w:szCs w:val="22"/>
        </w:rPr>
        <w:t>. London: Institute of Health Equity.</w:t>
      </w:r>
    </w:p>
    <w:p w14:paraId="4AC21B4F" w14:textId="20B2659D"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NHS England (2019) </w:t>
      </w:r>
      <w:r w:rsidRPr="00B67F60">
        <w:rPr>
          <w:rFonts w:ascii="Arial" w:eastAsia="Arial" w:hAnsi="Arial" w:cs="Arial"/>
          <w:i/>
          <w:iCs/>
          <w:sz w:val="22"/>
          <w:szCs w:val="22"/>
        </w:rPr>
        <w:t>The NHS long term plan</w:t>
      </w:r>
      <w:r w:rsidRPr="00B67F60">
        <w:rPr>
          <w:rFonts w:ascii="Arial" w:eastAsia="Arial" w:hAnsi="Arial" w:cs="Arial"/>
          <w:sz w:val="22"/>
          <w:szCs w:val="22"/>
        </w:rPr>
        <w:t>. London: NHS England.</w:t>
      </w:r>
    </w:p>
    <w:p w14:paraId="6A9BEF16" w14:textId="425FC2B9"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NHS England (2022) </w:t>
      </w:r>
      <w:r w:rsidRPr="00B67F60">
        <w:rPr>
          <w:rFonts w:ascii="Arial" w:eastAsia="Arial" w:hAnsi="Arial" w:cs="Arial"/>
          <w:i/>
          <w:iCs/>
          <w:sz w:val="22"/>
          <w:szCs w:val="22"/>
        </w:rPr>
        <w:t>Social prescribing and community-based support: summary guide</w:t>
      </w:r>
      <w:r w:rsidRPr="00B67F60">
        <w:rPr>
          <w:rFonts w:ascii="Arial" w:eastAsia="Arial" w:hAnsi="Arial" w:cs="Arial"/>
          <w:sz w:val="22"/>
          <w:szCs w:val="22"/>
        </w:rPr>
        <w:t>. London: NHS England.</w:t>
      </w:r>
    </w:p>
    <w:p w14:paraId="1C105886" w14:textId="129E5D0C" w:rsidR="55D1B75F"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Rosenstock, I.M. (1974) ‘Historical origins of the health belief model’, </w:t>
      </w:r>
      <w:r w:rsidRPr="00B67F60">
        <w:rPr>
          <w:rFonts w:ascii="Arial" w:eastAsia="Arial" w:hAnsi="Arial" w:cs="Arial"/>
          <w:i/>
          <w:iCs/>
          <w:sz w:val="22"/>
          <w:szCs w:val="22"/>
        </w:rPr>
        <w:t xml:space="preserve">Health Education </w:t>
      </w:r>
      <w:r w:rsidR="1001A0EA" w:rsidRPr="00B67F60">
        <w:rPr>
          <w:rFonts w:ascii="Arial" w:eastAsia="Arial" w:hAnsi="Arial" w:cs="Arial"/>
          <w:i/>
          <w:iCs/>
          <w:sz w:val="22"/>
          <w:szCs w:val="22"/>
        </w:rPr>
        <w:t>Monographs</w:t>
      </w:r>
      <w:r w:rsidR="1001A0EA" w:rsidRPr="00B67F60">
        <w:rPr>
          <w:rFonts w:ascii="Arial" w:eastAsia="Arial" w:hAnsi="Arial" w:cs="Arial"/>
          <w:sz w:val="22"/>
          <w:szCs w:val="22"/>
        </w:rPr>
        <w:t>, 2(4), pp. 328–335.</w:t>
      </w:r>
    </w:p>
    <w:p w14:paraId="4856F1BC" w14:textId="7A678F28"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The Health Foundation (2022) </w:t>
      </w:r>
      <w:r w:rsidRPr="00B67F60">
        <w:rPr>
          <w:rFonts w:ascii="Arial" w:eastAsia="Arial" w:hAnsi="Arial" w:cs="Arial"/>
          <w:i/>
          <w:iCs/>
          <w:sz w:val="22"/>
          <w:szCs w:val="22"/>
        </w:rPr>
        <w:t>Public health grant: what it is and why it matters</w:t>
      </w:r>
      <w:r w:rsidRPr="00B67F60">
        <w:rPr>
          <w:rFonts w:ascii="Arial" w:eastAsia="Arial" w:hAnsi="Arial" w:cs="Arial"/>
          <w:sz w:val="22"/>
          <w:szCs w:val="22"/>
        </w:rPr>
        <w:t>. London: The Health Foundation.</w:t>
      </w:r>
    </w:p>
    <w:p w14:paraId="36F8F79D" w14:textId="5347B009"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The King’s Fund (2023) </w:t>
      </w:r>
      <w:r w:rsidRPr="00B67F60">
        <w:rPr>
          <w:rFonts w:ascii="Arial" w:eastAsia="Arial" w:hAnsi="Arial" w:cs="Arial"/>
          <w:i/>
          <w:iCs/>
          <w:sz w:val="22"/>
          <w:szCs w:val="22"/>
        </w:rPr>
        <w:t>The major conditions strategy: what does it mean for the NHS?</w:t>
      </w:r>
      <w:r w:rsidRPr="00B67F60">
        <w:rPr>
          <w:rFonts w:ascii="Arial" w:eastAsia="Arial" w:hAnsi="Arial" w:cs="Arial"/>
          <w:sz w:val="22"/>
          <w:szCs w:val="22"/>
        </w:rPr>
        <w:t xml:space="preserve"> London: The King’s Fund.</w:t>
      </w:r>
    </w:p>
    <w:p w14:paraId="11BAED7F" w14:textId="140DD7FB"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UNDP (2022) </w:t>
      </w:r>
      <w:r w:rsidRPr="00B67F60">
        <w:rPr>
          <w:rFonts w:ascii="Arial" w:eastAsia="Arial" w:hAnsi="Arial" w:cs="Arial"/>
          <w:i/>
          <w:iCs/>
          <w:sz w:val="22"/>
          <w:szCs w:val="22"/>
        </w:rPr>
        <w:t>Global dashboard for vaccine equity</w:t>
      </w:r>
      <w:r w:rsidRPr="00B67F60">
        <w:rPr>
          <w:rFonts w:ascii="Arial" w:eastAsia="Arial" w:hAnsi="Arial" w:cs="Arial"/>
          <w:sz w:val="22"/>
          <w:szCs w:val="22"/>
        </w:rPr>
        <w:t>. New York: United Nations Development Programme.</w:t>
      </w:r>
    </w:p>
    <w:p w14:paraId="3B4AC9B2" w14:textId="3A18705E"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UNEP (2023) </w:t>
      </w:r>
      <w:r w:rsidRPr="00B67F60">
        <w:rPr>
          <w:rFonts w:ascii="Arial" w:eastAsia="Arial" w:hAnsi="Arial" w:cs="Arial"/>
          <w:i/>
          <w:iCs/>
          <w:sz w:val="22"/>
          <w:szCs w:val="22"/>
        </w:rPr>
        <w:t>Adaptation gap report 2023</w:t>
      </w:r>
      <w:r w:rsidRPr="00B67F60">
        <w:rPr>
          <w:rFonts w:ascii="Arial" w:eastAsia="Arial" w:hAnsi="Arial" w:cs="Arial"/>
          <w:sz w:val="22"/>
          <w:szCs w:val="22"/>
        </w:rPr>
        <w:t>. Nairobi: United Nations Environment Programme.</w:t>
      </w:r>
    </w:p>
    <w:p w14:paraId="7CD1E5A8" w14:textId="61CD1E87"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lastRenderedPageBreak/>
        <w:t xml:space="preserve">UNFCCC (2015) </w:t>
      </w:r>
      <w:r w:rsidRPr="00B67F60">
        <w:rPr>
          <w:rFonts w:ascii="Arial" w:eastAsia="Arial" w:hAnsi="Arial" w:cs="Arial"/>
          <w:i/>
          <w:iCs/>
          <w:sz w:val="22"/>
          <w:szCs w:val="22"/>
        </w:rPr>
        <w:t>Paris agreement</w:t>
      </w:r>
      <w:r w:rsidRPr="00B67F60">
        <w:rPr>
          <w:rFonts w:ascii="Arial" w:eastAsia="Arial" w:hAnsi="Arial" w:cs="Arial"/>
          <w:sz w:val="22"/>
          <w:szCs w:val="22"/>
        </w:rPr>
        <w:t>. Bonn: United Nations Framework Convention on Climate Change.</w:t>
      </w:r>
    </w:p>
    <w:p w14:paraId="7048D489" w14:textId="6F40EF66"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United Nations (2015)</w:t>
      </w:r>
      <w:r w:rsidR="004E6A4B">
        <w:rPr>
          <w:rFonts w:ascii="Arial" w:eastAsia="Arial" w:hAnsi="Arial" w:cs="Arial"/>
          <w:sz w:val="22"/>
          <w:szCs w:val="22"/>
        </w:rPr>
        <w:t>.</w:t>
      </w:r>
      <w:r w:rsidRPr="00B67F60">
        <w:rPr>
          <w:rFonts w:ascii="Arial" w:eastAsia="Arial" w:hAnsi="Arial" w:cs="Arial"/>
          <w:sz w:val="22"/>
          <w:szCs w:val="22"/>
        </w:rPr>
        <w:t xml:space="preserve"> </w:t>
      </w:r>
      <w:r w:rsidRPr="00B67F60">
        <w:rPr>
          <w:rFonts w:ascii="Arial" w:eastAsia="Arial" w:hAnsi="Arial" w:cs="Arial"/>
          <w:i/>
          <w:iCs/>
          <w:sz w:val="22"/>
          <w:szCs w:val="22"/>
        </w:rPr>
        <w:t>Transforming our world: the 2030 agenda for sustainable development</w:t>
      </w:r>
      <w:r w:rsidRPr="00B67F60">
        <w:rPr>
          <w:rFonts w:ascii="Arial" w:eastAsia="Arial" w:hAnsi="Arial" w:cs="Arial"/>
          <w:sz w:val="22"/>
          <w:szCs w:val="22"/>
        </w:rPr>
        <w:t>. New York: United Nations.</w:t>
      </w:r>
    </w:p>
    <w:p w14:paraId="18E37882" w14:textId="61C96BBE"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WHO (2016) </w:t>
      </w:r>
      <w:r w:rsidRPr="00B67F60">
        <w:rPr>
          <w:rFonts w:ascii="Arial" w:eastAsia="Arial" w:hAnsi="Arial" w:cs="Arial"/>
          <w:i/>
          <w:iCs/>
          <w:sz w:val="22"/>
          <w:szCs w:val="22"/>
        </w:rPr>
        <w:t>Urban green spaces and health: a review of evidence</w:t>
      </w:r>
      <w:r w:rsidRPr="00B67F60">
        <w:rPr>
          <w:rFonts w:ascii="Arial" w:eastAsia="Arial" w:hAnsi="Arial" w:cs="Arial"/>
          <w:sz w:val="22"/>
          <w:szCs w:val="22"/>
        </w:rPr>
        <w:t xml:space="preserve">. Copenhagen: World Health </w:t>
      </w:r>
      <w:r w:rsidR="004E6A4B">
        <w:rPr>
          <w:rFonts w:ascii="Arial" w:eastAsia="Arial" w:hAnsi="Arial" w:cs="Arial"/>
          <w:sz w:val="22"/>
          <w:szCs w:val="22"/>
        </w:rPr>
        <w:t>Organisation</w:t>
      </w:r>
      <w:r w:rsidRPr="00B67F60">
        <w:rPr>
          <w:rFonts w:ascii="Arial" w:eastAsia="Arial" w:hAnsi="Arial" w:cs="Arial"/>
          <w:sz w:val="22"/>
          <w:szCs w:val="22"/>
        </w:rPr>
        <w:t xml:space="preserve"> Regional Office for Europe.</w:t>
      </w:r>
    </w:p>
    <w:p w14:paraId="091EBB0B" w14:textId="234CFF9E"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WHO (2023a) </w:t>
      </w:r>
      <w:r w:rsidRPr="00B67F60">
        <w:rPr>
          <w:rFonts w:ascii="Arial" w:eastAsia="Arial" w:hAnsi="Arial" w:cs="Arial"/>
          <w:i/>
          <w:iCs/>
          <w:sz w:val="22"/>
          <w:szCs w:val="22"/>
        </w:rPr>
        <w:t>Climate change and health</w:t>
      </w:r>
      <w:r w:rsidRPr="00B67F60">
        <w:rPr>
          <w:rFonts w:ascii="Arial" w:eastAsia="Arial" w:hAnsi="Arial" w:cs="Arial"/>
          <w:sz w:val="22"/>
          <w:szCs w:val="22"/>
        </w:rPr>
        <w:t xml:space="preserve">. Geneva: World Health </w:t>
      </w:r>
      <w:r w:rsidR="004E6A4B">
        <w:rPr>
          <w:rFonts w:ascii="Arial" w:eastAsia="Arial" w:hAnsi="Arial" w:cs="Arial"/>
          <w:sz w:val="22"/>
          <w:szCs w:val="22"/>
        </w:rPr>
        <w:t>Organisation</w:t>
      </w:r>
      <w:r w:rsidRPr="00B67F60">
        <w:rPr>
          <w:rFonts w:ascii="Arial" w:eastAsia="Arial" w:hAnsi="Arial" w:cs="Arial"/>
          <w:sz w:val="22"/>
          <w:szCs w:val="22"/>
        </w:rPr>
        <w:t>.</w:t>
      </w:r>
    </w:p>
    <w:p w14:paraId="4072CFD2" w14:textId="2F9CB658"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WHO (2023b) </w:t>
      </w:r>
      <w:r w:rsidRPr="00B67F60">
        <w:rPr>
          <w:rFonts w:ascii="Arial" w:eastAsia="Arial" w:hAnsi="Arial" w:cs="Arial"/>
          <w:i/>
          <w:iCs/>
          <w:sz w:val="22"/>
          <w:szCs w:val="22"/>
        </w:rPr>
        <w:t>World health statistics 2023: monitoring health for the SDGs</w:t>
      </w:r>
      <w:r w:rsidRPr="00B67F60">
        <w:rPr>
          <w:rFonts w:ascii="Arial" w:eastAsia="Arial" w:hAnsi="Arial" w:cs="Arial"/>
          <w:sz w:val="22"/>
          <w:szCs w:val="22"/>
        </w:rPr>
        <w:t xml:space="preserve">. Geneva: World Health </w:t>
      </w:r>
      <w:r w:rsidR="004E6A4B">
        <w:rPr>
          <w:rFonts w:ascii="Arial" w:eastAsia="Arial" w:hAnsi="Arial" w:cs="Arial"/>
          <w:sz w:val="22"/>
          <w:szCs w:val="22"/>
        </w:rPr>
        <w:t>Organisation</w:t>
      </w:r>
      <w:r w:rsidRPr="00B67F60">
        <w:rPr>
          <w:rFonts w:ascii="Arial" w:eastAsia="Arial" w:hAnsi="Arial" w:cs="Arial"/>
          <w:sz w:val="22"/>
          <w:szCs w:val="22"/>
        </w:rPr>
        <w:t>.</w:t>
      </w:r>
    </w:p>
    <w:p w14:paraId="25A2AF7F" w14:textId="1D2BD0AE" w:rsidR="150EFFC0" w:rsidRPr="00B67F60" w:rsidRDefault="150EFFC0" w:rsidP="00B67F60">
      <w:pPr>
        <w:spacing w:before="240" w:after="240" w:line="360" w:lineRule="auto"/>
        <w:rPr>
          <w:rFonts w:ascii="Arial" w:eastAsia="Arial" w:hAnsi="Arial" w:cs="Arial"/>
          <w:sz w:val="22"/>
          <w:szCs w:val="22"/>
        </w:rPr>
      </w:pPr>
      <w:r w:rsidRPr="00B67F60">
        <w:rPr>
          <w:rFonts w:ascii="Arial" w:eastAsia="Arial" w:hAnsi="Arial" w:cs="Arial"/>
          <w:sz w:val="22"/>
          <w:szCs w:val="22"/>
        </w:rPr>
        <w:t xml:space="preserve">World Bank (2022) </w:t>
      </w:r>
      <w:r w:rsidRPr="00B67F60">
        <w:rPr>
          <w:rFonts w:ascii="Arial" w:eastAsia="Arial" w:hAnsi="Arial" w:cs="Arial"/>
          <w:i/>
          <w:iCs/>
          <w:sz w:val="22"/>
          <w:szCs w:val="22"/>
        </w:rPr>
        <w:t>Tracking universal health coverage: 2022 global monitoring report</w:t>
      </w:r>
      <w:r w:rsidRPr="00B67F60">
        <w:rPr>
          <w:rFonts w:ascii="Arial" w:eastAsia="Arial" w:hAnsi="Arial" w:cs="Arial"/>
          <w:sz w:val="22"/>
          <w:szCs w:val="22"/>
        </w:rPr>
        <w:t>. Washington, DC: World Bank.</w:t>
      </w:r>
    </w:p>
    <w:sectPr w:rsidR="150EFFC0" w:rsidRPr="00B67F60">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08DA1A" w14:textId="77777777" w:rsidR="0005044D" w:rsidRDefault="0005044D">
      <w:pPr>
        <w:spacing w:after="0" w:line="240" w:lineRule="auto"/>
      </w:pPr>
      <w:r>
        <w:separator/>
      </w:r>
    </w:p>
  </w:endnote>
  <w:endnote w:type="continuationSeparator" w:id="0">
    <w:p w14:paraId="50405795" w14:textId="77777777" w:rsidR="0005044D" w:rsidRDefault="000504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5D1B75F" w14:paraId="1502B8A3" w14:textId="77777777" w:rsidTr="55D1B75F">
      <w:trPr>
        <w:trHeight w:val="300"/>
      </w:trPr>
      <w:tc>
        <w:tcPr>
          <w:tcW w:w="3005" w:type="dxa"/>
        </w:tcPr>
        <w:p w14:paraId="6186A95C" w14:textId="0963D78B" w:rsidR="55D1B75F" w:rsidRDefault="55D1B75F" w:rsidP="55D1B75F">
          <w:pPr>
            <w:pStyle w:val="Header"/>
            <w:ind w:left="-115"/>
          </w:pPr>
          <w:r>
            <w:fldChar w:fldCharType="begin"/>
          </w:r>
          <w:r>
            <w:instrText>PAGE</w:instrText>
          </w:r>
          <w:r>
            <w:fldChar w:fldCharType="separate"/>
          </w:r>
          <w:r w:rsidR="005F06F1">
            <w:rPr>
              <w:noProof/>
            </w:rPr>
            <w:t>1</w:t>
          </w:r>
          <w:r>
            <w:fldChar w:fldCharType="end"/>
          </w:r>
        </w:p>
      </w:tc>
      <w:tc>
        <w:tcPr>
          <w:tcW w:w="3005" w:type="dxa"/>
        </w:tcPr>
        <w:p w14:paraId="0ED3CAFD" w14:textId="64BB62B1" w:rsidR="55D1B75F" w:rsidRDefault="55D1B75F" w:rsidP="55D1B75F">
          <w:pPr>
            <w:pStyle w:val="Header"/>
            <w:jc w:val="center"/>
          </w:pPr>
        </w:p>
      </w:tc>
      <w:tc>
        <w:tcPr>
          <w:tcW w:w="3005" w:type="dxa"/>
        </w:tcPr>
        <w:p w14:paraId="25B195A8" w14:textId="43F9116F" w:rsidR="55D1B75F" w:rsidRDefault="55D1B75F" w:rsidP="55D1B75F">
          <w:pPr>
            <w:pStyle w:val="Header"/>
            <w:ind w:right="-115"/>
            <w:jc w:val="right"/>
          </w:pPr>
        </w:p>
      </w:tc>
    </w:tr>
  </w:tbl>
  <w:p w14:paraId="6AFC5D09" w14:textId="5140CF5A" w:rsidR="55D1B75F" w:rsidRDefault="55D1B75F" w:rsidP="55D1B7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96C1BD" w14:textId="77777777" w:rsidR="0005044D" w:rsidRDefault="0005044D">
      <w:pPr>
        <w:spacing w:after="0" w:line="240" w:lineRule="auto"/>
      </w:pPr>
      <w:r>
        <w:separator/>
      </w:r>
    </w:p>
  </w:footnote>
  <w:footnote w:type="continuationSeparator" w:id="0">
    <w:p w14:paraId="2C4C3B9A" w14:textId="77777777" w:rsidR="0005044D" w:rsidRDefault="000504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5D1B75F" w14:paraId="49AC231B" w14:textId="77777777" w:rsidTr="55D1B75F">
      <w:trPr>
        <w:trHeight w:val="300"/>
      </w:trPr>
      <w:tc>
        <w:tcPr>
          <w:tcW w:w="3005" w:type="dxa"/>
        </w:tcPr>
        <w:p w14:paraId="7287A289" w14:textId="4F92866D" w:rsidR="55D1B75F" w:rsidRDefault="55D1B75F" w:rsidP="55D1B75F">
          <w:pPr>
            <w:pStyle w:val="Header"/>
            <w:ind w:left="-115"/>
          </w:pPr>
        </w:p>
      </w:tc>
      <w:tc>
        <w:tcPr>
          <w:tcW w:w="3005" w:type="dxa"/>
        </w:tcPr>
        <w:p w14:paraId="72F044B3" w14:textId="07307102" w:rsidR="55D1B75F" w:rsidRDefault="55D1B75F" w:rsidP="55D1B75F">
          <w:pPr>
            <w:pStyle w:val="Header"/>
            <w:jc w:val="center"/>
          </w:pPr>
        </w:p>
      </w:tc>
      <w:tc>
        <w:tcPr>
          <w:tcW w:w="3005" w:type="dxa"/>
        </w:tcPr>
        <w:p w14:paraId="7DD42850" w14:textId="21E14916" w:rsidR="55D1B75F" w:rsidRDefault="55D1B75F" w:rsidP="55D1B75F">
          <w:pPr>
            <w:pStyle w:val="Header"/>
            <w:ind w:right="-115"/>
            <w:jc w:val="right"/>
          </w:pPr>
        </w:p>
      </w:tc>
    </w:tr>
  </w:tbl>
  <w:p w14:paraId="7C9FECA2" w14:textId="395A12DC" w:rsidR="55D1B75F" w:rsidRDefault="55D1B75F" w:rsidP="55D1B7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44C545"/>
    <w:rsid w:val="0005044D"/>
    <w:rsid w:val="004E6A4B"/>
    <w:rsid w:val="005F06F1"/>
    <w:rsid w:val="00946002"/>
    <w:rsid w:val="00B67F60"/>
    <w:rsid w:val="00C04571"/>
    <w:rsid w:val="00C24A4B"/>
    <w:rsid w:val="00EA3F87"/>
    <w:rsid w:val="00F45065"/>
    <w:rsid w:val="00F551AC"/>
    <w:rsid w:val="046AED0E"/>
    <w:rsid w:val="063CD5C1"/>
    <w:rsid w:val="06A65932"/>
    <w:rsid w:val="06FB4827"/>
    <w:rsid w:val="0B44A50B"/>
    <w:rsid w:val="0E4D737E"/>
    <w:rsid w:val="0ED5B13D"/>
    <w:rsid w:val="0F578876"/>
    <w:rsid w:val="1001A0EA"/>
    <w:rsid w:val="112E2800"/>
    <w:rsid w:val="150EFFC0"/>
    <w:rsid w:val="151004FB"/>
    <w:rsid w:val="1819676A"/>
    <w:rsid w:val="189D5CAA"/>
    <w:rsid w:val="18B48657"/>
    <w:rsid w:val="1BBED060"/>
    <w:rsid w:val="1C284D62"/>
    <w:rsid w:val="1CA2E2C8"/>
    <w:rsid w:val="1D1A300C"/>
    <w:rsid w:val="1DB6BE61"/>
    <w:rsid w:val="20D071C6"/>
    <w:rsid w:val="20D7DB16"/>
    <w:rsid w:val="20DE69C9"/>
    <w:rsid w:val="20FE9926"/>
    <w:rsid w:val="219DE9B4"/>
    <w:rsid w:val="2244C545"/>
    <w:rsid w:val="26BD96B2"/>
    <w:rsid w:val="27BF5770"/>
    <w:rsid w:val="28205F46"/>
    <w:rsid w:val="2A74B505"/>
    <w:rsid w:val="2A7C69B8"/>
    <w:rsid w:val="2B938AAE"/>
    <w:rsid w:val="2C74656F"/>
    <w:rsid w:val="2D0D1BDD"/>
    <w:rsid w:val="2E306831"/>
    <w:rsid w:val="2EF043F9"/>
    <w:rsid w:val="2F6DECF4"/>
    <w:rsid w:val="3823DB8E"/>
    <w:rsid w:val="389339CA"/>
    <w:rsid w:val="393AC70B"/>
    <w:rsid w:val="3B3B0F7C"/>
    <w:rsid w:val="3B49A503"/>
    <w:rsid w:val="3FD9D9B8"/>
    <w:rsid w:val="411C08C8"/>
    <w:rsid w:val="41B1D438"/>
    <w:rsid w:val="4387FBF0"/>
    <w:rsid w:val="45184C17"/>
    <w:rsid w:val="4620C6E9"/>
    <w:rsid w:val="48AC1516"/>
    <w:rsid w:val="49541F18"/>
    <w:rsid w:val="49853D7C"/>
    <w:rsid w:val="4A11E466"/>
    <w:rsid w:val="4AC7F842"/>
    <w:rsid w:val="4BB0A5AD"/>
    <w:rsid w:val="4DEBF801"/>
    <w:rsid w:val="4E315A80"/>
    <w:rsid w:val="4E92267E"/>
    <w:rsid w:val="500D1B0E"/>
    <w:rsid w:val="50D7FE35"/>
    <w:rsid w:val="5286C479"/>
    <w:rsid w:val="551A6F72"/>
    <w:rsid w:val="55457B77"/>
    <w:rsid w:val="55D1B75F"/>
    <w:rsid w:val="574B7537"/>
    <w:rsid w:val="5850F24E"/>
    <w:rsid w:val="59A31A10"/>
    <w:rsid w:val="5A74318A"/>
    <w:rsid w:val="5AE5FC1E"/>
    <w:rsid w:val="5C75B2A6"/>
    <w:rsid w:val="5EE2AC73"/>
    <w:rsid w:val="5F86738D"/>
    <w:rsid w:val="64BDB27A"/>
    <w:rsid w:val="66D27E0E"/>
    <w:rsid w:val="68620C7E"/>
    <w:rsid w:val="687CD532"/>
    <w:rsid w:val="688DEC35"/>
    <w:rsid w:val="69FB7CAF"/>
    <w:rsid w:val="6B2CC54C"/>
    <w:rsid w:val="6BAFE96F"/>
    <w:rsid w:val="70703BDA"/>
    <w:rsid w:val="735B73AC"/>
    <w:rsid w:val="75F34FA4"/>
    <w:rsid w:val="763A3199"/>
    <w:rsid w:val="77674E97"/>
    <w:rsid w:val="77738272"/>
    <w:rsid w:val="77870BF1"/>
    <w:rsid w:val="789C3FD1"/>
    <w:rsid w:val="792726F3"/>
    <w:rsid w:val="7A690125"/>
    <w:rsid w:val="7AC4F792"/>
    <w:rsid w:val="7B41316F"/>
    <w:rsid w:val="7D9D9797"/>
    <w:rsid w:val="7EF760C4"/>
    <w:rsid w:val="7F2D7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4C545"/>
  <w15:chartTrackingRefBased/>
  <w15:docId w15:val="{0CAB93B2-2A9B-4045-87C1-8544CC29F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A11E4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A11E4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55D1B75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55D1B75F"/>
    <w:pPr>
      <w:tabs>
        <w:tab w:val="center" w:pos="4680"/>
        <w:tab w:val="right" w:pos="9360"/>
      </w:tabs>
      <w:spacing w:after="0" w:line="240" w:lineRule="auto"/>
    </w:pPr>
  </w:style>
  <w:style w:type="paragraph" w:styleId="Footer">
    <w:name w:val="footer"/>
    <w:basedOn w:val="Normal"/>
    <w:uiPriority w:val="99"/>
    <w:unhideWhenUsed/>
    <w:rsid w:val="55D1B75F"/>
    <w:pPr>
      <w:tabs>
        <w:tab w:val="center" w:pos="4680"/>
        <w:tab w:val="right" w:pos="9360"/>
      </w:tabs>
      <w:spacing w:after="0" w:line="240" w:lineRule="auto"/>
    </w:pPr>
  </w:style>
  <w:style w:type="character" w:styleId="Hyperlink">
    <w:name w:val="Hyperlink"/>
    <w:basedOn w:val="DefaultParagraphFont"/>
    <w:uiPriority w:val="99"/>
    <w:unhideWhenUsed/>
    <w:rsid w:val="55D1B75F"/>
    <w:rPr>
      <w:color w:val="467886"/>
      <w:u w:val="single"/>
    </w:rPr>
  </w:style>
  <w:style w:type="paragraph" w:styleId="TOC1">
    <w:name w:val="toc 1"/>
    <w:basedOn w:val="Normal"/>
    <w:next w:val="Normal"/>
    <w:uiPriority w:val="39"/>
    <w:unhideWhenUsed/>
    <w:rsid w:val="55D1B75F"/>
    <w:pPr>
      <w:spacing w:after="100"/>
    </w:pPr>
  </w:style>
  <w:style w:type="paragraph" w:styleId="TOC2">
    <w:name w:val="toc 2"/>
    <w:basedOn w:val="Normal"/>
    <w:next w:val="Normal"/>
    <w:uiPriority w:val="39"/>
    <w:unhideWhenUsed/>
    <w:rsid w:val="55D1B75F"/>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12</Pages>
  <Words>2975</Words>
  <Characters>16963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Dilara Begum (2017884)</dc:creator>
  <cp:keywords/>
  <dc:description/>
  <cp:lastModifiedBy>Dilara Begum (2017884)</cp:lastModifiedBy>
  <cp:revision>6</cp:revision>
  <dcterms:created xsi:type="dcterms:W3CDTF">2026-02-17T23:25:00Z</dcterms:created>
  <dcterms:modified xsi:type="dcterms:W3CDTF">2026-03-20T00:33:00Z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aa095aa8-91c0-479a-a692-cf533a0cd923</vt:lpwstr>
  </property>
</Properties>
</file>