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TextBody"/>
        <w:jc w:val="center"/>
        <w:rPr>
          <w:b w:val="false"/>
          <w:b w:val="false"/>
          <w:bCs w:val="false"/>
          <w:sz w:val="36"/>
          <w:szCs w:val="36"/>
          <w:u w:val="none"/>
        </w:rPr>
      </w:pPr>
      <w:r>
        <w:rPr>
          <w:b w:val="false"/>
          <w:bCs w:val="false"/>
          <w:sz w:val="36"/>
          <w:szCs w:val="36"/>
          <w:u w:val="none"/>
        </w:rPr>
        <w:t xml:space="preserve">Managing People </w:t>
      </w:r>
    </w:p>
    <w:p>
      <w:pPr>
        <w:pStyle w:val="TextBody"/>
        <w:jc w:val="center"/>
        <w:rPr>
          <w:b w:val="false"/>
          <w:b w:val="false"/>
          <w:bCs w:val="false"/>
          <w:sz w:val="32"/>
          <w:szCs w:val="32"/>
          <w:u w:val="none"/>
        </w:rPr>
      </w:pPr>
      <w:r>
        <w:rPr>
          <w:b w:val="false"/>
          <w:bCs w:val="false"/>
          <w:sz w:val="32"/>
          <w:szCs w:val="32"/>
          <w:u w:val="none"/>
        </w:rPr>
        <w:t>Assessment 1</w:t>
      </w:r>
    </w:p>
    <w:p>
      <w:pPr>
        <w:pStyle w:val="TextBody"/>
        <w:jc w:val="center"/>
        <w:rPr>
          <w:b w:val="false"/>
          <w:b w:val="false"/>
          <w:bCs w:val="false"/>
          <w:sz w:val="32"/>
          <w:szCs w:val="32"/>
          <w:u w:val="none"/>
        </w:rPr>
      </w:pPr>
      <w:r>
        <w:drawing>
          <wp:anchor behindDoc="0" distT="0" distB="0" distL="0" distR="0" simplePos="0" locked="0" layoutInCell="0" allowOverlap="1" relativeHeight="20">
            <wp:simplePos x="0" y="0"/>
            <wp:positionH relativeFrom="column">
              <wp:posOffset>2276475</wp:posOffset>
            </wp:positionH>
            <wp:positionV relativeFrom="paragraph">
              <wp:posOffset>4749165</wp:posOffset>
            </wp:positionV>
            <wp:extent cx="1466850" cy="611505"/>
            <wp:effectExtent l="0" t="0" r="0" b="0"/>
            <wp:wrapSquare wrapText="largest"/>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66850" cy="611505"/>
                    </a:xfrm>
                    <a:prstGeom prst="rect">
                      <a:avLst/>
                    </a:prstGeom>
                  </pic:spPr>
                </pic:pic>
              </a:graphicData>
            </a:graphic>
          </wp:anchor>
        </w:drawing>
      </w:r>
      <w:r>
        <w:rPr>
          <w:rFonts w:cs="Times New Roman"/>
          <w:b w:val="false"/>
          <w:bCs w:val="false"/>
          <w:i w:val="false"/>
          <w:color w:val="333333"/>
          <w:sz w:val="32"/>
          <w:szCs w:val="32"/>
          <w:u w:val="none"/>
          <w:shd w:fill="FFFFFF" w:val="clear"/>
        </w:rPr>
        <w:t>(LCBB5004)</w:t>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sz w:val="28"/>
          <w:szCs w:val="28"/>
        </w:rPr>
      </w:r>
    </w:p>
    <w:p>
      <w:pPr>
        <w:pStyle w:val="TextBody"/>
        <w:tabs>
          <w:tab w:val="clear" w:pos="720"/>
          <w:tab w:val="left" w:pos="5076" w:leader="none"/>
        </w:tabs>
        <w:jc w:val="left"/>
        <w:rPr>
          <w:b w:val="false"/>
          <w:b w:val="false"/>
          <w:sz w:val="28"/>
          <w:szCs w:val="28"/>
        </w:rPr>
      </w:pPr>
      <w:r>
        <w:rPr>
          <w:b w:val="false"/>
          <w:bCs w:val="false"/>
          <w:sz w:val="28"/>
          <w:szCs w:val="28"/>
          <w:u w:val="none"/>
        </w:rPr>
        <w:t xml:space="preserve">Mladen Dinev                               </w:t>
      </w:r>
      <w:r>
        <w:rPr>
          <w:b w:val="false"/>
          <w:bCs w:val="false"/>
          <w:i w:val="false"/>
          <w:iCs w:val="false"/>
          <w:strike w:val="false"/>
          <w:dstrike w:val="false"/>
          <w:sz w:val="28"/>
          <w:szCs w:val="28"/>
          <w:u w:val="none"/>
        </w:rPr>
        <w:t xml:space="preserve">                                               Nishi Ramsurrun </w:t>
      </w:r>
    </w:p>
    <w:p>
      <w:pPr>
        <w:pStyle w:val="TextBody"/>
        <w:jc w:val="left"/>
        <w:rPr>
          <w:b w:val="false"/>
          <w:b w:val="false"/>
          <w:bCs w:val="false"/>
          <w:sz w:val="28"/>
          <w:szCs w:val="28"/>
          <w:u w:val="none"/>
        </w:rPr>
      </w:pPr>
      <w:r>
        <w:rPr>
          <w:b w:val="false"/>
          <w:bCs w:val="false"/>
          <w:sz w:val="28"/>
          <w:szCs w:val="28"/>
          <w:u w:val="none"/>
        </w:rPr>
        <w:t xml:space="preserve">(2022657)                                                                                     </w:t>
      </w:r>
      <w:r>
        <w:rPr>
          <w:rFonts w:eastAsia="Calibri" w:cs="Times New Roman"/>
          <w:b w:val="false"/>
          <w:bCs w:val="false"/>
          <w:color w:val="000000"/>
          <w:sz w:val="28"/>
          <w:szCs w:val="28"/>
          <w:u w:val="none"/>
          <w:lang w:val="en-GB" w:bidi="ar-SA"/>
        </w:rPr>
        <w:t>06</w:t>
      </w:r>
      <w:r>
        <w:rPr>
          <w:b w:val="false"/>
          <w:bCs w:val="false"/>
          <w:sz w:val="28"/>
          <w:szCs w:val="28"/>
          <w:u w:val="none"/>
        </w:rPr>
        <w:t>/</w:t>
      </w:r>
      <w:r>
        <w:rPr>
          <w:rFonts w:eastAsia="Calibri" w:cs="Times New Roman"/>
          <w:b w:val="false"/>
          <w:bCs w:val="false"/>
          <w:color w:val="000000"/>
          <w:sz w:val="28"/>
          <w:szCs w:val="28"/>
          <w:u w:val="none"/>
          <w:lang w:val="en-GB" w:bidi="ar-SA"/>
        </w:rPr>
        <w:t>05</w:t>
      </w:r>
      <w:r>
        <w:rPr>
          <w:b w:val="false"/>
          <w:bCs w:val="false"/>
          <w:sz w:val="28"/>
          <w:szCs w:val="28"/>
          <w:u w:val="none"/>
        </w:rPr>
        <w:t xml:space="preserve">/2022                                                                                  </w:t>
      </w:r>
    </w:p>
    <w:p>
      <w:pPr>
        <w:pStyle w:val="TextBody"/>
        <w:widowControl/>
        <w:ind w:left="0" w:right="0" w:hanging="0"/>
        <w:jc w:val="center"/>
        <w:rPr>
          <w:rFonts w:ascii="mr-eaves-modern;sans-serif" w:hAnsi="mr-eaves-modern;sans-serif" w:eastAsia="Calibri" w:cs="Times New Roman"/>
          <w:b w:val="false"/>
          <w:b w:val="false"/>
          <w:bCs w:val="false"/>
          <w:i w:val="false"/>
          <w:i w:val="false"/>
          <w:caps w:val="false"/>
          <w:smallCaps w:val="false"/>
          <w:color w:val="222222"/>
          <w:spacing w:val="0"/>
          <w:sz w:val="28"/>
          <w:szCs w:val="28"/>
          <w:u w:val="none"/>
          <w:lang w:val="en-GB" w:bidi="ar-SA"/>
        </w:rPr>
      </w:pPr>
      <w:r>
        <w:rPr>
          <w:rFonts w:eastAsia="Calibri" w:cs="Times New Roman" w:ascii="mr-eaves-modern;sans-serif" w:hAnsi="mr-eaves-modern;sans-serif"/>
          <w:b w:val="false"/>
          <w:bCs w:val="false"/>
          <w:i w:val="false"/>
          <w:caps w:val="false"/>
          <w:smallCaps w:val="false"/>
          <w:color w:val="222222"/>
          <w:spacing w:val="0"/>
          <w:sz w:val="28"/>
          <w:szCs w:val="28"/>
          <w:u w:val="none"/>
          <w:lang w:val="en-GB" w:bidi="ar-SA"/>
        </w:rPr>
      </w:r>
    </w:p>
    <w:p>
      <w:pPr>
        <w:pStyle w:val="Normal"/>
        <w:jc w:val="center"/>
        <w:rPr>
          <w:rFonts w:cs="Times New Roman"/>
        </w:rPr>
      </w:pPr>
      <w:r>
        <w:rPr>
          <w:rFonts w:cs="Times New Roman"/>
        </w:rPr>
      </w:r>
    </w:p>
    <w:p>
      <w:pPr>
        <w:pStyle w:val="Normal"/>
        <w:tabs>
          <w:tab w:val="clear" w:pos="720"/>
          <w:tab w:val="left" w:pos="7422" w:leader="none"/>
        </w:tabs>
        <w:jc w:val="left"/>
        <w:rPr>
          <w:rFonts w:cs="Times New Roman"/>
        </w:rPr>
      </w:pPr>
      <w:r>
        <w:rPr>
          <w:rFonts w:cs="Times New Roman"/>
        </w:rPr>
        <w:tab/>
      </w:r>
    </w:p>
    <w:p>
      <w:pPr>
        <w:pStyle w:val="Normal"/>
        <w:jc w:val="center"/>
        <w:rPr>
          <w:rFonts w:cs="Times New Roman"/>
        </w:rPr>
      </w:pPr>
      <w:r>
        <w:rPr>
          <w:rFonts w:cs="Times New Roman"/>
        </w:rPr>
      </w:r>
    </w:p>
    <w:p>
      <w:pPr>
        <w:pStyle w:val="Normal"/>
        <w:spacing w:lineRule="auto" w:line="360"/>
        <w:jc w:val="center"/>
        <w:rPr>
          <w:rFonts w:cs="Times New Roman"/>
        </w:rPr>
      </w:pPr>
      <w:r>
        <w:rPr>
          <w:rFonts w:cs="Times New Roman"/>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rPr>
      </w:pPr>
      <w:r>
        <w:rPr>
          <w:rFonts w:cs="Arial" w:ascii="Arial" w:hAnsi="Arial"/>
          <w:sz w:val="22"/>
        </w:rPr>
      </w:r>
    </w:p>
    <w:p>
      <w:pPr>
        <w:pStyle w:val="Normal"/>
        <w:spacing w:lineRule="auto" w:line="360"/>
        <w:rPr>
          <w:rFonts w:ascii="Arial" w:hAnsi="Arial" w:cs="Arial"/>
          <w:sz w:val="22"/>
          <w:shd w:fill="FFFFFF" w:val="clear"/>
        </w:rPr>
      </w:pPr>
      <w:r>
        <w:rPr>
          <w:rFonts w:cs="Arial" w:ascii="Arial" w:hAnsi="Arial"/>
          <w:sz w:val="22"/>
          <w:shd w:fill="FFFFFF" w:val="clear"/>
        </w:rPr>
      </w:r>
    </w:p>
    <w:sdt>
      <w:sdtPr>
        <w:docPartObj>
          <w:docPartGallery w:val="Table of Contents"/>
          <w:docPartUnique w:val="true"/>
        </w:docPartObj>
      </w:sdtPr>
      <w:sdtContent>
        <w:p>
          <w:pPr>
            <w:pStyle w:val="TOCHeading"/>
            <w:spacing w:lineRule="auto" w:line="360"/>
            <w:jc w:val="center"/>
            <w:rPr>
              <w:rFonts w:ascii="Arial" w:hAnsi="Arial" w:cs="Arial"/>
              <w:b/>
              <w:b/>
              <w:sz w:val="22"/>
              <w:szCs w:val="22"/>
            </w:rPr>
          </w:pPr>
          <w:r>
            <w:rPr>
              <w:rFonts w:cs="Arial" w:ascii="Arial" w:hAnsi="Arial"/>
              <w:b/>
              <w:sz w:val="22"/>
              <w:szCs w:val="22"/>
            </w:rPr>
            <w:t>Table of Contents</w:t>
          </w:r>
        </w:p>
        <w:p>
          <w:pPr>
            <w:pStyle w:val="Contents1"/>
            <w:tabs>
              <w:tab w:val="clear" w:pos="720"/>
              <w:tab w:val="right" w:pos="9016" w:leader="dot"/>
            </w:tabs>
            <w:spacing w:lineRule="auto" w:line="360"/>
            <w:rPr>
              <w:rFonts w:ascii="Arial" w:hAnsi="Arial" w:eastAsia="" w:cs="Arial" w:eastAsiaTheme="minorEastAsia"/>
              <w:sz w:val="22"/>
              <w:lang w:eastAsia="en-GB"/>
            </w:rPr>
          </w:pPr>
          <w:r>
            <w:fldChar w:fldCharType="begin"/>
          </w:r>
          <w:r>
            <w:rPr>
              <w:webHidden/>
              <w:rStyle w:val="IndexLink"/>
              <w:sz w:val="22"/>
              <w:shd w:fill="FFFFFF" w:val="clear"/>
              <w:vanish w:val="false"/>
              <w:rFonts w:cs="Arial" w:ascii="Arial" w:hAnsi="Arial"/>
            </w:rPr>
            <w:instrText> TOC \z \o "1-3" \u \h</w:instrText>
          </w:r>
          <w:r>
            <w:rPr>
              <w:webHidden/>
              <w:rStyle w:val="IndexLink"/>
              <w:sz w:val="22"/>
              <w:shd w:fill="FFFFFF" w:val="clear"/>
              <w:vanish w:val="false"/>
              <w:rFonts w:cs="Arial" w:ascii="Arial" w:hAnsi="Arial"/>
            </w:rPr>
            <w:fldChar w:fldCharType="separate"/>
          </w:r>
          <w:hyperlink w:anchor="_Toc102061213">
            <w:r>
              <w:rPr>
                <w:webHidden/>
                <w:rStyle w:val="IndexLink"/>
                <w:rFonts w:cs="Arial" w:ascii="Arial" w:hAnsi="Arial"/>
                <w:vanish w:val="false"/>
                <w:sz w:val="22"/>
                <w:shd w:fill="FFFFFF" w:val="clear"/>
              </w:rPr>
              <w:t>Introduction</w:t>
            </w:r>
            <w:r>
              <w:rPr>
                <w:webHidden/>
              </w:rPr>
              <w:fldChar w:fldCharType="begin"/>
            </w:r>
            <w:r>
              <w:rPr>
                <w:webHidden/>
              </w:rPr>
              <w:instrText>PAGEREF _Toc102061213 \h</w:instrText>
            </w:r>
            <w:r>
              <w:rPr>
                <w:webHidden/>
              </w:rPr>
              <w:fldChar w:fldCharType="separate"/>
            </w:r>
            <w:r>
              <w:rPr>
                <w:rStyle w:val="IndexLink"/>
                <w:rFonts w:cs="Arial" w:ascii="Arial" w:hAnsi="Arial"/>
                <w:vanish w:val="false"/>
                <w:sz w:val="22"/>
              </w:rPr>
              <w:tab/>
              <w:t>1</w:t>
            </w:r>
            <w:r>
              <w:rPr>
                <w:webHidden/>
              </w:rPr>
              <w:fldChar w:fldCharType="end"/>
            </w:r>
          </w:hyperlink>
        </w:p>
        <w:p>
          <w:pPr>
            <w:pStyle w:val="Contents1"/>
            <w:tabs>
              <w:tab w:val="clear" w:pos="720"/>
              <w:tab w:val="right" w:pos="9016" w:leader="dot"/>
            </w:tabs>
            <w:spacing w:lineRule="auto" w:line="360"/>
            <w:rPr>
              <w:rFonts w:ascii="Arial" w:hAnsi="Arial" w:eastAsia="" w:cs="Arial" w:eastAsiaTheme="minorEastAsia"/>
              <w:sz w:val="22"/>
              <w:lang w:eastAsia="en-GB"/>
            </w:rPr>
          </w:pPr>
          <w:hyperlink w:anchor="_Toc102061214">
            <w:r>
              <w:rPr>
                <w:webHidden/>
                <w:rStyle w:val="IndexLink"/>
                <w:rFonts w:cs="Arial" w:ascii="Arial" w:hAnsi="Arial"/>
                <w:vanish w:val="false"/>
                <w:sz w:val="22"/>
                <w:shd w:fill="FFFFFF" w:val="clear"/>
              </w:rPr>
              <w:t>Discussion</w:t>
            </w:r>
            <w:r>
              <w:rPr>
                <w:webHidden/>
              </w:rPr>
              <w:fldChar w:fldCharType="begin"/>
            </w:r>
            <w:r>
              <w:rPr>
                <w:webHidden/>
              </w:rPr>
              <w:instrText>PAGEREF _Toc102061214 \h</w:instrText>
            </w:r>
            <w:r>
              <w:rPr>
                <w:webHidden/>
              </w:rPr>
              <w:fldChar w:fldCharType="separate"/>
            </w:r>
            <w:r>
              <w:rPr>
                <w:rStyle w:val="IndexLink"/>
                <w:rFonts w:cs="Arial" w:ascii="Arial" w:hAnsi="Arial"/>
                <w:vanish w:val="false"/>
                <w:sz w:val="22"/>
              </w:rPr>
              <w:tab/>
              <w:t>2</w:t>
            </w:r>
            <w:r>
              <w:rPr>
                <w:webHidden/>
              </w:rPr>
              <w:fldChar w:fldCharType="end"/>
            </w:r>
          </w:hyperlink>
        </w:p>
        <w:p>
          <w:pPr>
            <w:pStyle w:val="Contents2"/>
            <w:tabs>
              <w:tab w:val="clear" w:pos="720"/>
              <w:tab w:val="right" w:pos="9016" w:leader="dot"/>
            </w:tabs>
            <w:spacing w:lineRule="auto" w:line="360"/>
            <w:rPr>
              <w:rFonts w:ascii="Arial" w:hAnsi="Arial" w:eastAsia="" w:cs="Arial" w:eastAsiaTheme="minorEastAsia"/>
              <w:sz w:val="22"/>
              <w:lang w:eastAsia="en-GB"/>
            </w:rPr>
          </w:pPr>
          <w:hyperlink w:anchor="_Toc102061215">
            <w:r>
              <w:rPr>
                <w:webHidden/>
                <w:rStyle w:val="IndexLink"/>
                <w:rFonts w:cs="Arial" w:ascii="Arial" w:hAnsi="Arial"/>
                <w:vanish w:val="false"/>
                <w:sz w:val="22"/>
                <w:shd w:fill="FFFFFF" w:val="clear"/>
              </w:rPr>
              <w:t>Favour of flexible working system</w:t>
            </w:r>
            <w:r>
              <w:rPr>
                <w:webHidden/>
              </w:rPr>
              <w:fldChar w:fldCharType="begin"/>
            </w:r>
            <w:r>
              <w:rPr>
                <w:webHidden/>
              </w:rPr>
              <w:instrText>PAGEREF _Toc102061215 \h</w:instrText>
            </w:r>
            <w:r>
              <w:rPr>
                <w:webHidden/>
              </w:rPr>
              <w:fldChar w:fldCharType="separate"/>
            </w:r>
            <w:r>
              <w:rPr>
                <w:rStyle w:val="IndexLink"/>
                <w:rFonts w:cs="Arial" w:ascii="Arial" w:hAnsi="Arial"/>
                <w:vanish w:val="false"/>
                <w:sz w:val="22"/>
              </w:rPr>
              <w:tab/>
              <w:t>2</w:t>
            </w:r>
            <w:r>
              <w:rPr>
                <w:webHidden/>
              </w:rPr>
              <w:fldChar w:fldCharType="end"/>
            </w:r>
          </w:hyperlink>
        </w:p>
        <w:p>
          <w:pPr>
            <w:pStyle w:val="Contents2"/>
            <w:tabs>
              <w:tab w:val="clear" w:pos="720"/>
              <w:tab w:val="right" w:pos="9016" w:leader="dot"/>
            </w:tabs>
            <w:spacing w:lineRule="auto" w:line="360"/>
            <w:rPr>
              <w:rFonts w:ascii="Arial" w:hAnsi="Arial" w:eastAsia="" w:cs="Arial" w:eastAsiaTheme="minorEastAsia"/>
              <w:sz w:val="22"/>
              <w:lang w:eastAsia="en-GB"/>
            </w:rPr>
          </w:pPr>
          <w:hyperlink w:anchor="_Toc102061216">
            <w:r>
              <w:rPr>
                <w:webHidden/>
                <w:rStyle w:val="IndexLink"/>
                <w:rFonts w:cs="Arial" w:ascii="Arial" w:hAnsi="Arial"/>
                <w:vanish w:val="false"/>
                <w:sz w:val="22"/>
                <w:shd w:fill="FFFFFF" w:val="clear"/>
              </w:rPr>
              <w:t>Role of HR for promotion of diversity and inclusion</w:t>
            </w:r>
            <w:r>
              <w:rPr>
                <w:webHidden/>
              </w:rPr>
              <w:fldChar w:fldCharType="begin"/>
            </w:r>
            <w:r>
              <w:rPr>
                <w:webHidden/>
              </w:rPr>
              <w:instrText>PAGEREF _Toc102061216 \h</w:instrText>
            </w:r>
            <w:r>
              <w:rPr>
                <w:webHidden/>
              </w:rPr>
              <w:fldChar w:fldCharType="separate"/>
            </w:r>
            <w:r>
              <w:rPr>
                <w:rStyle w:val="IndexLink"/>
                <w:rFonts w:cs="Arial" w:ascii="Arial" w:hAnsi="Arial"/>
                <w:vanish w:val="false"/>
                <w:sz w:val="22"/>
              </w:rPr>
              <w:tab/>
              <w:t>3</w:t>
            </w:r>
            <w:r>
              <w:rPr>
                <w:webHidden/>
              </w:rPr>
              <w:fldChar w:fldCharType="end"/>
            </w:r>
          </w:hyperlink>
        </w:p>
        <w:p>
          <w:pPr>
            <w:pStyle w:val="Contents2"/>
            <w:tabs>
              <w:tab w:val="clear" w:pos="720"/>
              <w:tab w:val="right" w:pos="9016" w:leader="dot"/>
            </w:tabs>
            <w:spacing w:lineRule="auto" w:line="360"/>
            <w:rPr>
              <w:rFonts w:ascii="Arial" w:hAnsi="Arial" w:eastAsia="" w:cs="Arial" w:eastAsiaTheme="minorEastAsia"/>
              <w:sz w:val="22"/>
              <w:lang w:eastAsia="en-GB"/>
            </w:rPr>
          </w:pPr>
          <w:hyperlink w:anchor="_Toc102061217">
            <w:r>
              <w:rPr>
                <w:webHidden/>
                <w:rStyle w:val="IndexLink"/>
                <w:rFonts w:cs="Arial" w:ascii="Arial" w:hAnsi="Arial"/>
                <w:vanish w:val="false"/>
                <w:sz w:val="22"/>
                <w:shd w:fill="FFFFFF" w:val="clear"/>
              </w:rPr>
              <w:t>Against of flexible working system</w:t>
            </w:r>
            <w:r>
              <w:rPr>
                <w:webHidden/>
              </w:rPr>
              <w:fldChar w:fldCharType="begin"/>
            </w:r>
            <w:r>
              <w:rPr>
                <w:webHidden/>
              </w:rPr>
              <w:instrText>PAGEREF _Toc102061217 \h</w:instrText>
            </w:r>
            <w:r>
              <w:rPr>
                <w:webHidden/>
              </w:rPr>
              <w:fldChar w:fldCharType="separate"/>
            </w:r>
            <w:r>
              <w:rPr>
                <w:rStyle w:val="IndexLink"/>
                <w:rFonts w:cs="Arial" w:ascii="Arial" w:hAnsi="Arial"/>
                <w:vanish w:val="false"/>
                <w:sz w:val="22"/>
              </w:rPr>
              <w:tab/>
              <w:t>4</w:t>
            </w:r>
            <w:r>
              <w:rPr>
                <w:webHidden/>
              </w:rPr>
              <w:fldChar w:fldCharType="end"/>
            </w:r>
          </w:hyperlink>
        </w:p>
        <w:p>
          <w:pPr>
            <w:pStyle w:val="Contents2"/>
            <w:tabs>
              <w:tab w:val="clear" w:pos="720"/>
              <w:tab w:val="right" w:pos="9016" w:leader="dot"/>
            </w:tabs>
            <w:spacing w:lineRule="auto" w:line="360"/>
            <w:rPr>
              <w:rFonts w:ascii="Arial" w:hAnsi="Arial" w:eastAsia="" w:cs="Arial" w:eastAsiaTheme="minorEastAsia"/>
              <w:sz w:val="22"/>
              <w:lang w:eastAsia="en-GB"/>
            </w:rPr>
          </w:pPr>
          <w:hyperlink w:anchor="_Toc102061218">
            <w:r>
              <w:rPr>
                <w:webHidden/>
                <w:rStyle w:val="IndexLink"/>
                <w:rFonts w:cs="Arial" w:ascii="Arial" w:hAnsi="Arial"/>
                <w:vanish w:val="false"/>
                <w:sz w:val="22"/>
                <w:shd w:fill="FFFFFF" w:val="clear"/>
              </w:rPr>
              <w:t>Role of HR to address inequality concerns</w:t>
            </w:r>
            <w:r>
              <w:rPr>
                <w:webHidden/>
              </w:rPr>
              <w:fldChar w:fldCharType="begin"/>
            </w:r>
            <w:r>
              <w:rPr>
                <w:webHidden/>
              </w:rPr>
              <w:instrText>PAGEREF _Toc102061218 \h</w:instrText>
            </w:r>
            <w:r>
              <w:rPr>
                <w:webHidden/>
              </w:rPr>
              <w:fldChar w:fldCharType="separate"/>
            </w:r>
            <w:r>
              <w:rPr>
                <w:rStyle w:val="IndexLink"/>
                <w:rFonts w:cs="Arial" w:ascii="Arial" w:hAnsi="Arial"/>
                <w:vanish w:val="false"/>
                <w:sz w:val="22"/>
              </w:rPr>
              <w:tab/>
              <w:t>4</w:t>
            </w:r>
            <w:r>
              <w:rPr>
                <w:webHidden/>
              </w:rPr>
              <w:fldChar w:fldCharType="end"/>
            </w:r>
          </w:hyperlink>
        </w:p>
        <w:p>
          <w:pPr>
            <w:pStyle w:val="Contents1"/>
            <w:tabs>
              <w:tab w:val="clear" w:pos="720"/>
              <w:tab w:val="right" w:pos="9016" w:leader="dot"/>
            </w:tabs>
            <w:spacing w:lineRule="auto" w:line="360"/>
            <w:rPr>
              <w:rFonts w:ascii="Arial" w:hAnsi="Arial" w:eastAsia="" w:cs="Arial" w:eastAsiaTheme="minorEastAsia"/>
              <w:sz w:val="22"/>
              <w:lang w:eastAsia="en-GB"/>
            </w:rPr>
          </w:pPr>
          <w:hyperlink w:anchor="_Toc102061219">
            <w:r>
              <w:rPr>
                <w:webHidden/>
                <w:rStyle w:val="IndexLink"/>
                <w:rFonts w:cs="Arial" w:ascii="Arial" w:hAnsi="Arial"/>
                <w:vanish w:val="false"/>
                <w:sz w:val="22"/>
                <w:shd w:fill="FFFFFF" w:val="clear"/>
              </w:rPr>
              <w:t>Conclusion</w:t>
            </w:r>
            <w:r>
              <w:rPr>
                <w:webHidden/>
              </w:rPr>
              <w:fldChar w:fldCharType="begin"/>
            </w:r>
            <w:r>
              <w:rPr>
                <w:webHidden/>
              </w:rPr>
              <w:instrText>PAGEREF _Toc102061219 \h</w:instrText>
            </w:r>
            <w:r>
              <w:rPr>
                <w:webHidden/>
              </w:rPr>
              <w:fldChar w:fldCharType="separate"/>
            </w:r>
            <w:r>
              <w:rPr>
                <w:rStyle w:val="IndexLink"/>
                <w:rFonts w:cs="Arial" w:ascii="Arial" w:hAnsi="Arial"/>
                <w:vanish w:val="false"/>
                <w:sz w:val="22"/>
              </w:rPr>
              <w:tab/>
              <w:t>5</w:t>
            </w:r>
            <w:r>
              <w:rPr>
                <w:webHidden/>
              </w:rPr>
              <w:fldChar w:fldCharType="end"/>
            </w:r>
          </w:hyperlink>
        </w:p>
        <w:p>
          <w:pPr>
            <w:pStyle w:val="Normal"/>
            <w:spacing w:lineRule="auto" w:line="360"/>
            <w:rPr>
              <w:rFonts w:ascii="Arial" w:hAnsi="Arial" w:cs="Arial"/>
              <w:sz w:val="22"/>
            </w:rPr>
          </w:pPr>
          <w:r>
            <w:rPr>
              <w:rFonts w:cs="Arial" w:ascii="Arial" w:hAnsi="Arial"/>
              <w:sz w:val="22"/>
            </w:rPr>
          </w:r>
          <w:r>
            <w:rPr>
              <w:sz w:val="22"/>
              <w:rFonts w:cs="Arial" w:ascii="Arial" w:hAnsi="Arial"/>
            </w:rPr>
            <w:fldChar w:fldCharType="end"/>
          </w:r>
        </w:p>
      </w:sdtContent>
    </w:sdt>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Heading1"/>
        <w:spacing w:lineRule="auto" w:line="360"/>
        <w:rPr>
          <w:rFonts w:ascii="Arial" w:hAnsi="Arial" w:cs="Arial"/>
          <w:sz w:val="22"/>
          <w:szCs w:val="22"/>
          <w:shd w:fill="FFFFFF" w:val="clear"/>
        </w:rPr>
      </w:pPr>
      <w:bookmarkStart w:id="0" w:name="_Toc102061213"/>
      <w:r>
        <w:rPr>
          <w:rFonts w:cs="Arial" w:ascii="Arial" w:hAnsi="Arial"/>
          <w:sz w:val="22"/>
          <w:szCs w:val="22"/>
          <w:shd w:fill="FFFFFF" w:val="clear"/>
        </w:rPr>
        <w:t>Introduction</w:t>
      </w:r>
      <w:bookmarkEnd w:id="0"/>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In this report on managing people, the aim is to critical present an understanding of the current business environment that the personnel profession works in and analysis the management of the resourcing within an organisation which is influenced by external and internal factors. As per the survey of ACAS, it was analysed that about half of the employers within the United Kingdom are expecting an increase within the demands for the flexible form of working from the employees after the covid-19 pandemic is over. ACAS has commissioned YouGov in order to ask the United Kingdom based businesses about the changes to their working practices that are expected once the covid-19 pandemic is over as compared to the situation before the pandemic (Kelliher and De Menezes 2019).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As per the pole, it has been found that about 55% of the employers are expecting an overall increase in their employees working from home or from remotely during a certain part of the week and nearly 49% of the employers are expecting an overall increase within their employees working from home or from remotely for the entire week. As being appointed within the role of Human Resource manager for the retail organisation, Tesco PLC., which employs thousands of staff members at different locations, they are now to consider or adopt flexible working practices as soon as possible (Yu, Burke and Raad 2019).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Therefore this report will evaluate the potential impact of the flexible working system by addressing a case in favour of the flexible working with respect to diversity and inclusion in the workplace as well as analysis of the human resource rules while promoting inclusion and diversity through the flexible working system as well as making a case against the flexible working system with regards to the inequality at work as well as analysing the human resource role when it comes to addressing such concerns of inequality which might arise from the flexible working system (Hörning, Gerhard and Michailow 2018).</w:t>
      </w:r>
    </w:p>
    <w:p>
      <w:pPr>
        <w:pStyle w:val="Heading1"/>
        <w:spacing w:lineRule="auto" w:line="360"/>
        <w:rPr>
          <w:rFonts w:ascii="Arial" w:hAnsi="Arial" w:cs="Arial"/>
          <w:sz w:val="22"/>
          <w:szCs w:val="22"/>
          <w:shd w:fill="FFFFFF" w:val="clear"/>
        </w:rPr>
      </w:pPr>
      <w:bookmarkStart w:id="1" w:name="_Toc102061214"/>
      <w:r>
        <w:rPr>
          <w:rFonts w:cs="Arial" w:ascii="Arial" w:hAnsi="Arial"/>
          <w:sz w:val="22"/>
          <w:szCs w:val="22"/>
          <w:shd w:fill="FFFFFF" w:val="clear"/>
        </w:rPr>
        <w:t>Discussion</w:t>
      </w:r>
      <w:bookmarkEnd w:id="1"/>
      <w:r>
        <w:rPr>
          <w:rFonts w:cs="Arial" w:ascii="Arial" w:hAnsi="Arial"/>
          <w:sz w:val="22"/>
          <w:szCs w:val="22"/>
          <w:shd w:fill="FFFFFF" w:val="clear"/>
        </w:rPr>
        <w:t xml:space="preserve"> </w:t>
      </w:r>
    </w:p>
    <w:p>
      <w:pPr>
        <w:pStyle w:val="Heading2"/>
        <w:spacing w:lineRule="auto" w:line="360"/>
        <w:rPr>
          <w:rFonts w:ascii="Arial" w:hAnsi="Arial" w:cs="Arial"/>
          <w:sz w:val="22"/>
          <w:szCs w:val="22"/>
          <w:shd w:fill="FFFFFF" w:val="clear"/>
        </w:rPr>
      </w:pPr>
      <w:bookmarkStart w:id="2" w:name="_Toc102061215"/>
      <w:r>
        <w:rPr>
          <w:rFonts w:cs="Arial" w:ascii="Arial" w:hAnsi="Arial"/>
          <w:sz w:val="22"/>
          <w:szCs w:val="22"/>
          <w:shd w:fill="FFFFFF" w:val="clear"/>
        </w:rPr>
        <w:t>Favour of flexible working system</w:t>
      </w:r>
      <w:bookmarkEnd w:id="2"/>
      <w:r>
        <w:rPr>
          <w:rFonts w:cs="Arial" w:ascii="Arial" w:hAnsi="Arial"/>
          <w:sz w:val="22"/>
          <w:szCs w:val="22"/>
          <w:shd w:fill="FFFFFF" w:val="clear"/>
        </w:rPr>
        <w:t xml:space="preserve">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A flexitime system is referred to just job design which is offered to the employees to become highly flexible within the workplace by providing them the certain flexibility when it comes to starting and finishing their work at the times which suits the employees’ family responsibilities, transport arrangement and so on. Such a flexible working flexible working system needs to bring factors such as diversity and inclusion within the Tesco Plc. because diversity and inclusion are two of the important organisation policies or programs where an equitable employer has the capability to outpace their competitors with respect to the unique perspective, needs and potential of all of their team members, which earns the employers’ workplace with high trust and commitment from the employees (Sirait and Zellatifanny 2020).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Flexible work system can enable higher diversity as well as inclusive teams as the traditional means of working which is 9 to 5 is becoming obsolete and it has become essential to provide the employees in order to work from their homes’ comfort or by establishing working four days a week instead of five. Through this employees remain satisfied because they can perform effective saving of money for commuting and for the organisation the same can provide competitive advantage. As per the study of International Workplace Group, more than 84% of the businesses in Australia have utilised such a flexible working system in order to improve their talent retention strategy and more than 88% of the respondents in Mexico have this believe that the flexible work system can support the business for employing a higher diverse and vast range of workers and productivity can be achieve throughout the board (Vasconcelos, Furtado and Pinheiro 2015).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It is witnessed that when business organisation follows a flexible work system, they has the ability to maximise their options of reaping several advantages of developing a diverse employees’ pool as well as support every individual to be heard, seen as well as valued. Flexible work system can help the business to appoint such new employees who belongs from a diverse background, and even though the same can be threatening for the business, it can include fresh perspectives to the team and organisation. It is always not possible to gather talent within a certain geographical distance of the business organisation, therefore, such flexible working system enables room for further diversity and inclusion. Flexible work arrangements provides a vast pool of applications which supports the employees in order to feel more heard and seen and therefore included (De Menezes and Kelliher 2017).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The work and life balance has become a major need of the applicants, especially for the recent generations and parents, adults who are opting for further education as well as the employees who does not have to spend hours on commuting to the workplace. By providing flexible work arrangement, the organisation can acknowledge the individual needs of the employees by providing value to their work and life balance concern which generates inclusiveness thinking which helps in attracting the candidates towards the employer. As per the survey conducted by IWG, 80% of the survey participants’ stated that, 80% of the candidates while making decision between two employers, prefer the one which is offering flexible work system and they have an expectation relating to the potential employer being open minded as well as inclusive (Mathis et al. 2016). </w:t>
      </w:r>
    </w:p>
    <w:p>
      <w:pPr>
        <w:pStyle w:val="Heading2"/>
        <w:spacing w:lineRule="auto" w:line="360"/>
        <w:rPr>
          <w:rFonts w:ascii="Arial" w:hAnsi="Arial" w:cs="Arial"/>
          <w:sz w:val="22"/>
          <w:szCs w:val="22"/>
          <w:shd w:fill="FFFFFF" w:val="clear"/>
        </w:rPr>
      </w:pPr>
      <w:bookmarkStart w:id="3" w:name="_Toc102061216"/>
      <w:r>
        <w:rPr>
          <w:rFonts w:cs="Arial" w:ascii="Arial" w:hAnsi="Arial"/>
          <w:sz w:val="22"/>
          <w:szCs w:val="22"/>
          <w:shd w:fill="FFFFFF" w:val="clear"/>
        </w:rPr>
        <w:t>Role of HR for promotion of diversity and inclusion</w:t>
      </w:r>
      <w:bookmarkEnd w:id="3"/>
      <w:r>
        <w:rPr>
          <w:rFonts w:cs="Arial" w:ascii="Arial" w:hAnsi="Arial"/>
          <w:sz w:val="22"/>
          <w:szCs w:val="22"/>
          <w:shd w:fill="FFFFFF" w:val="clear"/>
        </w:rPr>
        <w:t xml:space="preserve">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The role of human resource is crucial when it comes to the promotion of diversity as well as inclusive through the flexible work system because adopting diversity, equity and inclusion strategy within the organisation is an essential and sensitive step where human resource department needs to actively participate in. The Human Resource leaders are presently dealing with large-scale and enormous complexities of COVID-19 as well as the hybrid workplace. There are certain factors such as structural racism, loss of jobs, and increase in gig works, barriers for rewarding employment as well as gender, age, immigration and disability status which in a combined manner has contributed towards a collective shift in the attitudes for the work during the COVID-19 pandemic. The human resource department generally check the flexibility within the working location as well as schedule job opportunities to the wider pool of the individuals with health issues or physical disabilities, whether chronic and temporary (Bratton et al. 2021).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To these employees, human resource leaders can provide flexible work system and a large range of the virtual collaboration tools which will increase their accessibility to the other team or organisational members. Human resource leaders need to consider whether it is absolutely essential to work from office, as they can appoint employees who are located in a remote area in any part of the world because it will help to meet the diversity goal as well as will help in expanding the new customer base by having such employees under their wing who are well-versed in local languages and can work during different time zones (Stone, Cox and Gavin 2020).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Human Resource leaders can offer higher level jobs with several benefits which will require less than forty hours per week along with options of job sharing a scheduling of the work hours. This will enable the employees to conduct career progression within the career path as well as retain the elements of the personal life. The human resource leader are considered to be the implementer of the flexible work system, which further results in diversity and inclusiveness through development of policies. Even though there are no standard policies, two of the factors namely, telecommuting and flexible work impacts the employees who are remotely working and the leaders of human resource department can further customise the system through initiating creativity in order to develop policies which are highly suitable for them (Stewart and Brown 2019).</w:t>
      </w:r>
    </w:p>
    <w:p>
      <w:pPr>
        <w:pStyle w:val="Heading2"/>
        <w:spacing w:lineRule="auto" w:line="360"/>
        <w:rPr>
          <w:rFonts w:ascii="Arial" w:hAnsi="Arial" w:cs="Arial"/>
          <w:sz w:val="22"/>
          <w:szCs w:val="22"/>
          <w:shd w:fill="FFFFFF" w:val="clear"/>
        </w:rPr>
      </w:pPr>
      <w:bookmarkStart w:id="4" w:name="_Toc102061217"/>
      <w:r>
        <w:rPr>
          <w:rFonts w:cs="Arial" w:ascii="Arial" w:hAnsi="Arial"/>
          <w:sz w:val="22"/>
          <w:szCs w:val="22"/>
          <w:shd w:fill="FFFFFF" w:val="clear"/>
        </w:rPr>
        <w:t>Against of flexible working system</w:t>
      </w:r>
      <w:bookmarkEnd w:id="4"/>
      <w:r>
        <w:rPr>
          <w:rFonts w:cs="Arial" w:ascii="Arial" w:hAnsi="Arial"/>
          <w:sz w:val="22"/>
          <w:szCs w:val="22"/>
          <w:shd w:fill="FFFFFF" w:val="clear"/>
        </w:rPr>
        <w:t xml:space="preserve">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Even though flexible working system is highly advantageous, it also contributed towards inequality within the workplace. Flexible work system has become one of the popular norms, especially during the COVID-19 pandemic, although it results the employees to work for a much longer period and harder, while handling their personal lives (DeCenzo, Robbins and Verhulst 2016). It is seen that flexible work system can impact the well-being of the employees as well as the gender equality which is hampered through such a system, rather than providing a holistic work and life balance. The freedom to control where and when the work, enables them to work for a longer period within the present work and life balance culture where the working hours goes beyond the contracted time, which is also considered as the ideal productive workers (Noe 2017).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There are even norms surrounding gender roles as well as intensive parenting culture generally pushes the women to be exploit themselves at the home as with work, they are required to spend addition time to housework and childcare. Generally flexible work system consist of work from home which many employees deem to be ideal, although, some of the time the same can be difficult for the employees’ family member to understand such a system of working from home, as along with official work, the employees have to perform other tasks at home. This blurs the work and life balance because while working from home, it becomes difficult for the management to maintain the clear delineation between the work and home as employees can easily slip other tasks during the working hours and such a mind-set can delay the official work (Armstrong and Taylor 2020).</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 Inequality within the workplace occurs when different employees work at different hours which becomes a major challenge for the employer, leaders and other colleagues and contacts are being made during even when the contract time or shift hours are over for the completion of certain jobs. One of the major inequality at workplace is gender inequality which further increases when there is flexible work system as during remote working there remains a gap within the communication and during such a time such discrimination on the basis of gender increases such as the job roles are limited to certain specific roles. Further, due to flexible working system, the employees can be isolated from the social gathering and networking prospect (Pucik, Evans and Björkman 2017).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It might occur that during the morning period of the official hours, the employees who are opting to work during that time are provided with huge amount of tasks which they have to perform in a rush, on the other hand, the employees who prefer to work at night, does not have to bear the morning work load or responsibilities and might perform in a relaxed manner or might procrastinate during official hours. Such a system might result in inequality of work distribution and responsibilities, which might impact the employees’ morale, productivity and performance (Stone et al. 2015). </w:t>
      </w:r>
    </w:p>
    <w:p>
      <w:pPr>
        <w:pStyle w:val="Heading2"/>
        <w:spacing w:lineRule="auto" w:line="360"/>
        <w:rPr>
          <w:rFonts w:ascii="Arial" w:hAnsi="Arial" w:cs="Arial"/>
          <w:sz w:val="22"/>
          <w:szCs w:val="22"/>
          <w:shd w:fill="FFFFFF" w:val="clear"/>
        </w:rPr>
      </w:pPr>
      <w:bookmarkStart w:id="5" w:name="_Toc102061218"/>
      <w:r>
        <w:rPr>
          <w:rFonts w:cs="Arial" w:ascii="Arial" w:hAnsi="Arial"/>
          <w:sz w:val="22"/>
          <w:szCs w:val="22"/>
          <w:shd w:fill="FFFFFF" w:val="clear"/>
        </w:rPr>
        <w:t>Role of HR to address inequality concerns</w:t>
      </w:r>
      <w:bookmarkEnd w:id="5"/>
      <w:r>
        <w:rPr>
          <w:rFonts w:cs="Arial" w:ascii="Arial" w:hAnsi="Arial"/>
          <w:sz w:val="22"/>
          <w:szCs w:val="22"/>
          <w:shd w:fill="FFFFFF" w:val="clear"/>
        </w:rPr>
        <w:t xml:space="preserve">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In order to tackle the inequality at work due to the flexible working system the role of the human resource department is to address the concerns related to the same which is generated from the flexible working system. Even though there are several benefits associated with flexible work system, there are several disadvantages as well such as blurring of the work and life balance, unequal distribution of work and pressure as well as chances of mismanagement. For the mitigation of these challenges, human resource managers needs to put consideration by undertaking the negotiations as well as present concerns as well. Human resource managers are required to adapt to the flexible working system in order to implement the same throughout the organisation (Pattanayak 2020).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They perform a crucial role when it comes to raising awareness among the employees of their employee right to make required for flexible working patterns as well as the benefits derived from the same. They are required to work in an active manner with the line managers, especially if they consider the flexible pattern of work in a negative sense. In case there are no barriers to flexible work system, their role is to educate the senior members of the organisation on the advantages for adopting such a system and the improvement which can be witnessed in performance and productivity. Human resource managers are responsible for making sure that the entire process is complied with the legislation and flexible work system can be implemented through equal and non-discriminative manner. One of the major challenge which they face is relating to conflicting requests or the accusation for biasness towards certain team or employee (Brewster et al. 2016).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 xml:space="preserve">It is the role of the human resource manager to ensure that each request for flexible working is taken into consideration and are dealt in a consistent and fair manner and on the basis of the decision making process can be conducted as well. After providing flexible working facilities, the line managers will require support to learn the manner of supervising in a different manner and through virtual communication means (Nankervis et al. 2019). The line manager’s performance within the flexible team will require to be monitored as well as to make sure that employees are being treated in a fair and equal manner. Another critical aspect for the human resource managers to include training and development practices within the flexible work pattern in order to provide the employees with a higher reward or benefits, for this information and careful management by the human resource management needs to be make sure for the employees to be treated in a fair manner (Wilton 2016). </w:t>
      </w:r>
    </w:p>
    <w:p>
      <w:pPr>
        <w:pStyle w:val="Normal"/>
        <w:tabs>
          <w:tab w:val="clear" w:pos="720"/>
          <w:tab w:val="left" w:pos="1296" w:leader="none"/>
        </w:tabs>
        <w:spacing w:lineRule="auto" w:line="360"/>
        <w:rPr>
          <w:rFonts w:ascii="Arial" w:hAnsi="Arial" w:cs="Arial"/>
          <w:sz w:val="22"/>
          <w:shd w:fill="FFFFFF" w:val="clear"/>
        </w:rPr>
      </w:pPr>
      <w:r>
        <w:rPr>
          <w:rFonts w:cs="Arial" w:ascii="Arial" w:hAnsi="Arial"/>
          <w:sz w:val="22"/>
          <w:shd w:fill="FFFFFF" w:val="clear"/>
        </w:rPr>
        <w:tab/>
        <w:t>There are certain human resource related strategies which the business organisation can adopt in order to mitigate the challenges related to the flexible working arrangement. The human resource department need to develop policies for work from home, telecommuting and remote working stating the interests of the employees along with the organisational interests. They can provide arrangement such as Employers pay where the additional cost related to internet and phone bills can be paid by the employers for the employees when they are working from home or remote area. The human resource managers need to emphasise on the employees’ performance based on the output they are providing rather than the hours because performance optimisation hold much value compared to number of hours spent for the work in a day. Along with that they can emphasise on preparation of reward and recognition strategy and fostering collaboration among the teams and departments for social engagement (Marchington et al. 2016).</w:t>
      </w:r>
    </w:p>
    <w:p>
      <w:pPr>
        <w:pStyle w:val="Heading1"/>
        <w:spacing w:lineRule="auto" w:line="360"/>
        <w:rPr>
          <w:rFonts w:ascii="Arial" w:hAnsi="Arial" w:cs="Arial"/>
          <w:sz w:val="22"/>
          <w:szCs w:val="22"/>
          <w:shd w:fill="FFFFFF" w:val="clear"/>
        </w:rPr>
      </w:pPr>
      <w:bookmarkStart w:id="6" w:name="_Toc102061219"/>
      <w:r>
        <w:rPr>
          <w:rFonts w:cs="Arial" w:ascii="Arial" w:hAnsi="Arial"/>
          <w:sz w:val="22"/>
          <w:szCs w:val="22"/>
          <w:shd w:fill="FFFFFF" w:val="clear"/>
        </w:rPr>
        <w:t>Conclusion</w:t>
      </w:r>
      <w:bookmarkEnd w:id="6"/>
      <w:r>
        <w:rPr>
          <w:rFonts w:cs="Arial" w:ascii="Arial" w:hAnsi="Arial"/>
          <w:sz w:val="22"/>
          <w:szCs w:val="22"/>
          <w:shd w:fill="FFFFFF" w:val="clear"/>
        </w:rPr>
        <w:t xml:space="preserve"> </w:t>
      </w:r>
    </w:p>
    <w:p>
      <w:pPr>
        <w:pStyle w:val="Normal"/>
        <w:spacing w:lineRule="auto" w:line="360"/>
        <w:rPr>
          <w:rFonts w:ascii="Arial" w:hAnsi="Arial" w:cs="Arial"/>
          <w:sz w:val="22"/>
          <w:shd w:fill="FFFFFF" w:val="clear"/>
        </w:rPr>
      </w:pPr>
      <w:r>
        <w:rPr>
          <w:rFonts w:cs="Arial" w:ascii="Arial" w:hAnsi="Arial"/>
          <w:sz w:val="22"/>
          <w:shd w:fill="FFFFFF" w:val="clear"/>
        </w:rPr>
        <w:tab/>
        <w:t xml:space="preserve">Therefore, in order to conclude this report on managing people, a report has been presented to Tesco Plc.’s line manager by evaluating the potential impact of the flexible working, where a case is provided in favour and against such system. Along with that the role of Human Resource department has been discussed in order to state their contribution in promotion of diversity as well as inclusion through flexible working as well as addressing the concerns relating to the inequality of work which might generate due to flexible work system. </w:t>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sz w:val="22"/>
          <w:shd w:fill="FFFFFF" w:val="clear"/>
        </w:rPr>
      </w:pPr>
      <w:r>
        <w:rPr>
          <w:rFonts w:cs="Arial" w:ascii="Arial" w:hAnsi="Arial"/>
          <w:sz w:val="22"/>
          <w:shd w:fill="FFFFFF" w:val="clear"/>
        </w:rPr>
      </w:r>
    </w:p>
    <w:p>
      <w:pPr>
        <w:pStyle w:val="Normal"/>
        <w:spacing w:lineRule="auto" w:line="360"/>
        <w:rPr>
          <w:rFonts w:ascii="Arial" w:hAnsi="Arial" w:cs="Arial"/>
          <w:b/>
          <w:b/>
          <w:bCs/>
          <w:sz w:val="22"/>
          <w:shd w:fill="FFFFFF" w:val="clear"/>
        </w:rPr>
      </w:pPr>
      <w:r>
        <w:rPr>
          <w:rFonts w:cs="Arial" w:ascii="Arial" w:hAnsi="Arial"/>
          <w:b/>
          <w:bCs/>
          <w:sz w:val="22"/>
          <w:shd w:fill="FFFFFF" w:val="clear"/>
        </w:rPr>
        <w:t>References</w:t>
      </w:r>
    </w:p>
    <w:p>
      <w:pPr>
        <w:pStyle w:val="Normal"/>
        <w:spacing w:lineRule="auto" w:line="360"/>
        <w:rPr>
          <w:rFonts w:ascii="Arial" w:hAnsi="Arial" w:cs="Arial"/>
          <w:sz w:val="22"/>
          <w:shd w:fill="FFFFFF" w:val="clear"/>
        </w:rPr>
      </w:pPr>
      <w:r>
        <w:rPr>
          <w:rFonts w:cs="Arial" w:ascii="Arial" w:hAnsi="Arial"/>
          <w:sz w:val="22"/>
          <w:shd w:fill="FFFFFF" w:val="clear"/>
        </w:rPr>
        <w:t>Armstrong, M. and Taylor, S., 2020. </w:t>
      </w:r>
      <w:r>
        <w:rPr>
          <w:rFonts w:cs="Arial" w:ascii="Arial" w:hAnsi="Arial"/>
          <w:i/>
          <w:iCs/>
          <w:sz w:val="22"/>
          <w:shd w:fill="FFFFFF" w:val="clear"/>
        </w:rPr>
        <w:t>Armstrong's handbook of human resource management practice</w:t>
      </w:r>
      <w:r>
        <w:rPr>
          <w:rFonts w:cs="Arial" w:ascii="Arial" w:hAnsi="Arial"/>
          <w:sz w:val="22"/>
          <w:shd w:fill="FFFFFF" w:val="clear"/>
        </w:rPr>
        <w:t>. Kogan Page Publishers.</w:t>
      </w:r>
    </w:p>
    <w:p>
      <w:pPr>
        <w:pStyle w:val="Normal"/>
        <w:spacing w:lineRule="auto" w:line="360"/>
        <w:rPr>
          <w:rFonts w:ascii="Arial" w:hAnsi="Arial" w:cs="Arial"/>
          <w:sz w:val="22"/>
          <w:shd w:fill="FFFFFF" w:val="clear"/>
        </w:rPr>
      </w:pPr>
      <w:r>
        <w:rPr>
          <w:rFonts w:cs="Arial" w:ascii="Arial" w:hAnsi="Arial"/>
          <w:sz w:val="22"/>
          <w:shd w:fill="FFFFFF" w:val="clear"/>
        </w:rPr>
        <w:t>Bratton, J., Gold, J., Bratton, A. and Steele, L., 2021. </w:t>
      </w:r>
      <w:r>
        <w:rPr>
          <w:rFonts w:cs="Arial" w:ascii="Arial" w:hAnsi="Arial"/>
          <w:i/>
          <w:iCs/>
          <w:sz w:val="22"/>
          <w:shd w:fill="FFFFFF" w:val="clear"/>
        </w:rPr>
        <w:t>Human resource management</w:t>
      </w:r>
      <w:r>
        <w:rPr>
          <w:rFonts w:cs="Arial" w:ascii="Arial" w:hAnsi="Arial"/>
          <w:sz w:val="22"/>
          <w:shd w:fill="FFFFFF" w:val="clear"/>
        </w:rPr>
        <w:t>. Bloomsbury Publishing.</w:t>
      </w:r>
    </w:p>
    <w:p>
      <w:pPr>
        <w:pStyle w:val="Normal"/>
        <w:spacing w:lineRule="auto" w:line="360"/>
        <w:rPr>
          <w:rFonts w:ascii="Arial" w:hAnsi="Arial" w:cs="Arial"/>
          <w:sz w:val="22"/>
          <w:shd w:fill="FFFFFF" w:val="clear"/>
        </w:rPr>
      </w:pPr>
      <w:r>
        <w:rPr>
          <w:rFonts w:cs="Arial" w:ascii="Arial" w:hAnsi="Arial"/>
          <w:sz w:val="22"/>
          <w:shd w:fill="FFFFFF" w:val="clear"/>
        </w:rPr>
        <w:t>Brewster, C., Houldsworth, E., Sparrow, P. and Vernon, G., 2016. </w:t>
      </w:r>
      <w:r>
        <w:rPr>
          <w:rFonts w:cs="Arial" w:ascii="Arial" w:hAnsi="Arial"/>
          <w:i/>
          <w:iCs/>
          <w:sz w:val="22"/>
          <w:shd w:fill="FFFFFF" w:val="clear"/>
        </w:rPr>
        <w:t>International human resource management</w:t>
      </w:r>
      <w:r>
        <w:rPr>
          <w:rFonts w:cs="Arial" w:ascii="Arial" w:hAnsi="Arial"/>
          <w:sz w:val="22"/>
          <w:shd w:fill="FFFFFF" w:val="clear"/>
        </w:rPr>
        <w:t>. Kogan Page Publishers.</w:t>
      </w:r>
    </w:p>
    <w:p>
      <w:pPr>
        <w:pStyle w:val="Normal"/>
        <w:spacing w:lineRule="auto" w:line="360"/>
        <w:rPr>
          <w:rFonts w:ascii="Arial" w:hAnsi="Arial" w:cs="Arial"/>
          <w:sz w:val="22"/>
          <w:shd w:fill="FFFFFF" w:val="clear"/>
        </w:rPr>
      </w:pPr>
      <w:r>
        <w:rPr>
          <w:rFonts w:cs="Arial" w:ascii="Arial" w:hAnsi="Arial"/>
          <w:sz w:val="22"/>
          <w:shd w:fill="FFFFFF" w:val="clear"/>
        </w:rPr>
        <w:t>De Menezes, L.M. and Kelliher, C., 2017. Flexible working, individual performance, and employee attitudes: Comparing formal and informal arrangements. </w:t>
      </w:r>
      <w:r>
        <w:rPr>
          <w:rFonts w:cs="Arial" w:ascii="Arial" w:hAnsi="Arial"/>
          <w:i/>
          <w:iCs/>
          <w:sz w:val="22"/>
          <w:shd w:fill="FFFFFF" w:val="clear"/>
        </w:rPr>
        <w:t>Human Resource Management</w:t>
      </w:r>
      <w:r>
        <w:rPr>
          <w:rFonts w:cs="Arial" w:ascii="Arial" w:hAnsi="Arial"/>
          <w:sz w:val="22"/>
          <w:shd w:fill="FFFFFF" w:val="clear"/>
        </w:rPr>
        <w:t>, </w:t>
      </w:r>
      <w:r>
        <w:rPr>
          <w:rFonts w:cs="Arial" w:ascii="Arial" w:hAnsi="Arial"/>
          <w:i/>
          <w:iCs/>
          <w:sz w:val="22"/>
          <w:shd w:fill="FFFFFF" w:val="clear"/>
        </w:rPr>
        <w:t>56</w:t>
      </w:r>
      <w:r>
        <w:rPr>
          <w:rFonts w:cs="Arial" w:ascii="Arial" w:hAnsi="Arial"/>
          <w:sz w:val="22"/>
          <w:shd w:fill="FFFFFF" w:val="clear"/>
        </w:rPr>
        <w:t>(6), pp.1051-1070.</w:t>
      </w:r>
    </w:p>
    <w:p>
      <w:pPr>
        <w:pStyle w:val="Normal"/>
        <w:spacing w:lineRule="auto" w:line="360"/>
        <w:rPr>
          <w:rFonts w:ascii="Arial" w:hAnsi="Arial" w:cs="Arial"/>
          <w:sz w:val="22"/>
          <w:shd w:fill="FFFFFF" w:val="clear"/>
        </w:rPr>
      </w:pPr>
      <w:r>
        <w:rPr>
          <w:rFonts w:cs="Arial" w:ascii="Arial" w:hAnsi="Arial"/>
          <w:sz w:val="22"/>
          <w:shd w:fill="FFFFFF" w:val="clear"/>
        </w:rPr>
        <w:t>DeCenzo, D.A., Robbins, S.P. and Verhulst, S.L., 2016. </w:t>
      </w:r>
      <w:r>
        <w:rPr>
          <w:rFonts w:cs="Arial" w:ascii="Arial" w:hAnsi="Arial"/>
          <w:i/>
          <w:iCs/>
          <w:sz w:val="22"/>
          <w:shd w:fill="FFFFFF" w:val="clear"/>
        </w:rPr>
        <w:t>Fundamentals of human resource management</w:t>
      </w:r>
      <w:r>
        <w:rPr>
          <w:rFonts w:cs="Arial" w:ascii="Arial" w:hAnsi="Arial"/>
          <w:sz w:val="22"/>
          <w:shd w:fill="FFFFFF" w:val="clear"/>
        </w:rPr>
        <w:t>. John Wiley &amp;</w:t>
      </w:r>
      <w:bookmarkStart w:id="7" w:name="_GoBack"/>
      <w:bookmarkEnd w:id="7"/>
      <w:r>
        <w:rPr>
          <w:rFonts w:cs="Arial" w:ascii="Arial" w:hAnsi="Arial"/>
          <w:sz w:val="22"/>
          <w:shd w:fill="FFFFFF" w:val="clear"/>
        </w:rPr>
        <w:t xml:space="preserve"> Sons.</w:t>
      </w:r>
    </w:p>
    <w:p>
      <w:pPr>
        <w:pStyle w:val="Normal"/>
        <w:spacing w:lineRule="auto" w:line="360"/>
        <w:rPr>
          <w:rFonts w:ascii="Arial" w:hAnsi="Arial" w:cs="Arial"/>
          <w:sz w:val="22"/>
          <w:shd w:fill="FFFFFF" w:val="clear"/>
        </w:rPr>
      </w:pPr>
      <w:r>
        <w:rPr>
          <w:rFonts w:cs="Arial" w:ascii="Arial" w:hAnsi="Arial"/>
          <w:sz w:val="22"/>
          <w:shd w:fill="FFFFFF" w:val="clear"/>
        </w:rPr>
        <w:t>Hörning, K.H., Gerhard, A. and Michailow, M., 2018. </w:t>
      </w:r>
      <w:r>
        <w:rPr>
          <w:rFonts w:cs="Arial" w:ascii="Arial" w:hAnsi="Arial"/>
          <w:i/>
          <w:iCs/>
          <w:sz w:val="22"/>
          <w:shd w:fill="FFFFFF" w:val="clear"/>
        </w:rPr>
        <w:t>Time pioneers: Flexible working time and new lifestyles</w:t>
      </w:r>
      <w:r>
        <w:rPr>
          <w:rFonts w:cs="Arial" w:ascii="Arial" w:hAnsi="Arial"/>
          <w:sz w:val="22"/>
          <w:shd w:fill="FFFFFF" w:val="clear"/>
        </w:rPr>
        <w:t>. John Wiley &amp; Sons.</w:t>
      </w:r>
    </w:p>
    <w:p>
      <w:pPr>
        <w:pStyle w:val="Normal"/>
        <w:spacing w:lineRule="auto" w:line="360"/>
        <w:rPr>
          <w:rFonts w:ascii="Arial" w:hAnsi="Arial" w:cs="Arial"/>
          <w:sz w:val="22"/>
          <w:shd w:fill="FFFFFF" w:val="clear"/>
        </w:rPr>
      </w:pPr>
      <w:r>
        <w:rPr>
          <w:rFonts w:cs="Arial" w:ascii="Arial" w:hAnsi="Arial"/>
          <w:sz w:val="22"/>
          <w:shd w:fill="FFFFFF" w:val="clear"/>
        </w:rPr>
        <w:t>Kelliher, C. and De Menezes, L.M., 2019. Flexible working in organisations: A research overview.</w:t>
      </w:r>
    </w:p>
    <w:p>
      <w:pPr>
        <w:pStyle w:val="Normal"/>
        <w:spacing w:lineRule="auto" w:line="360"/>
        <w:rPr>
          <w:rFonts w:ascii="Arial" w:hAnsi="Arial" w:cs="Arial"/>
          <w:sz w:val="22"/>
          <w:shd w:fill="FFFFFF" w:val="clear"/>
        </w:rPr>
      </w:pPr>
      <w:r>
        <w:rPr>
          <w:rFonts w:cs="Arial" w:ascii="Arial" w:hAnsi="Arial"/>
          <w:sz w:val="22"/>
          <w:shd w:fill="FFFFFF" w:val="clear"/>
        </w:rPr>
        <w:t>Marchington, M., Wilkinson, A., Donnelly, R. and Kynighou, A., 2016. </w:t>
      </w:r>
      <w:r>
        <w:rPr>
          <w:rFonts w:cs="Arial" w:ascii="Arial" w:hAnsi="Arial"/>
          <w:i/>
          <w:iCs/>
          <w:sz w:val="22"/>
          <w:shd w:fill="FFFFFF" w:val="clear"/>
        </w:rPr>
        <w:t>Human resource management at work</w:t>
      </w:r>
      <w:r>
        <w:rPr>
          <w:rFonts w:cs="Arial" w:ascii="Arial" w:hAnsi="Arial"/>
          <w:sz w:val="22"/>
          <w:shd w:fill="FFFFFF" w:val="clear"/>
        </w:rPr>
        <w:t>. Kogan Page Publishers.</w:t>
      </w:r>
    </w:p>
    <w:p>
      <w:pPr>
        <w:pStyle w:val="Normal"/>
        <w:spacing w:lineRule="auto" w:line="360"/>
        <w:rPr>
          <w:rFonts w:ascii="Arial" w:hAnsi="Arial" w:cs="Arial"/>
          <w:sz w:val="22"/>
          <w:shd w:fill="FFFFFF" w:val="clear"/>
        </w:rPr>
      </w:pPr>
      <w:r>
        <w:rPr>
          <w:rFonts w:cs="Arial" w:ascii="Arial" w:hAnsi="Arial"/>
          <w:sz w:val="22"/>
          <w:shd w:fill="FFFFFF" w:val="clear"/>
        </w:rPr>
        <w:t>Mathis, R.L., Jackson, J.H., Valentine, S.R. and Meglich, P., 2016. </w:t>
      </w:r>
      <w:r>
        <w:rPr>
          <w:rFonts w:cs="Arial" w:ascii="Arial" w:hAnsi="Arial"/>
          <w:i/>
          <w:iCs/>
          <w:sz w:val="22"/>
          <w:shd w:fill="FFFFFF" w:val="clear"/>
        </w:rPr>
        <w:t>Human resource management</w:t>
      </w:r>
      <w:r>
        <w:rPr>
          <w:rFonts w:cs="Arial" w:ascii="Arial" w:hAnsi="Arial"/>
          <w:sz w:val="22"/>
          <w:shd w:fill="FFFFFF" w:val="clear"/>
        </w:rPr>
        <w:t>. Cengage Learning.</w:t>
      </w:r>
    </w:p>
    <w:p>
      <w:pPr>
        <w:pStyle w:val="Normal"/>
        <w:spacing w:lineRule="auto" w:line="360"/>
        <w:rPr>
          <w:rFonts w:ascii="Arial" w:hAnsi="Arial" w:cs="Arial"/>
          <w:sz w:val="22"/>
          <w:shd w:fill="FFFFFF" w:val="clear"/>
        </w:rPr>
      </w:pPr>
      <w:r>
        <w:rPr>
          <w:rFonts w:cs="Arial" w:ascii="Arial" w:hAnsi="Arial"/>
          <w:sz w:val="22"/>
          <w:shd w:fill="FFFFFF" w:val="clear"/>
        </w:rPr>
        <w:t>Nankervis, A., Baird, M., Coffey, J. and Shields, J., 2019. </w:t>
      </w:r>
      <w:r>
        <w:rPr>
          <w:rFonts w:cs="Arial" w:ascii="Arial" w:hAnsi="Arial"/>
          <w:i/>
          <w:iCs/>
          <w:sz w:val="22"/>
          <w:shd w:fill="FFFFFF" w:val="clear"/>
        </w:rPr>
        <w:t>Human resource management</w:t>
      </w:r>
      <w:r>
        <w:rPr>
          <w:rFonts w:cs="Arial" w:ascii="Arial" w:hAnsi="Arial"/>
          <w:sz w:val="22"/>
          <w:shd w:fill="FFFFFF" w:val="clear"/>
        </w:rPr>
        <w:t>. Cengage AU.</w:t>
      </w:r>
    </w:p>
    <w:p>
      <w:pPr>
        <w:pStyle w:val="Normal"/>
        <w:spacing w:lineRule="auto" w:line="360"/>
        <w:rPr>
          <w:rFonts w:ascii="Arial" w:hAnsi="Arial" w:cs="Arial"/>
          <w:sz w:val="22"/>
          <w:shd w:fill="FFFFFF" w:val="clear"/>
        </w:rPr>
      </w:pPr>
      <w:r>
        <w:rPr>
          <w:rFonts w:cs="Arial" w:ascii="Arial" w:hAnsi="Arial"/>
          <w:sz w:val="22"/>
          <w:shd w:fill="FFFFFF" w:val="clear"/>
        </w:rPr>
        <w:t>Noe, R.A., 2017. </w:t>
      </w:r>
      <w:r>
        <w:rPr>
          <w:rFonts w:cs="Arial" w:ascii="Arial" w:hAnsi="Arial"/>
          <w:i/>
          <w:iCs/>
          <w:sz w:val="22"/>
          <w:shd w:fill="FFFFFF" w:val="clear"/>
        </w:rPr>
        <w:t>Fundamentals of human resource management</w:t>
      </w:r>
      <w:r>
        <w:rPr>
          <w:rFonts w:cs="Arial" w:ascii="Arial" w:hAnsi="Arial"/>
          <w:sz w:val="22"/>
          <w:shd w:fill="FFFFFF" w:val="clear"/>
        </w:rPr>
        <w:t>. Boston, Mass. McGraw-Hill.</w:t>
      </w:r>
    </w:p>
    <w:p>
      <w:pPr>
        <w:pStyle w:val="Normal"/>
        <w:spacing w:lineRule="auto" w:line="360"/>
        <w:rPr>
          <w:rFonts w:ascii="Arial" w:hAnsi="Arial" w:cs="Arial"/>
          <w:sz w:val="22"/>
          <w:shd w:fill="FFFFFF" w:val="clear"/>
        </w:rPr>
      </w:pPr>
      <w:r>
        <w:rPr>
          <w:rFonts w:cs="Arial" w:ascii="Arial" w:hAnsi="Arial"/>
          <w:sz w:val="22"/>
          <w:shd w:fill="FFFFFF" w:val="clear"/>
        </w:rPr>
        <w:t>Pattanayak, B., 2020. </w:t>
      </w:r>
      <w:r>
        <w:rPr>
          <w:rFonts w:cs="Arial" w:ascii="Arial" w:hAnsi="Arial"/>
          <w:i/>
          <w:iCs/>
          <w:sz w:val="22"/>
          <w:shd w:fill="FFFFFF" w:val="clear"/>
        </w:rPr>
        <w:t>Human resource management</w:t>
      </w:r>
      <w:r>
        <w:rPr>
          <w:rFonts w:cs="Arial" w:ascii="Arial" w:hAnsi="Arial"/>
          <w:sz w:val="22"/>
          <w:shd w:fill="FFFFFF" w:val="clear"/>
        </w:rPr>
        <w:t>. PHI Learning Pvt. Ltd..</w:t>
      </w:r>
    </w:p>
    <w:p>
      <w:pPr>
        <w:pStyle w:val="Normal"/>
        <w:spacing w:lineRule="auto" w:line="360"/>
        <w:rPr>
          <w:rFonts w:ascii="Arial" w:hAnsi="Arial" w:cs="Arial"/>
          <w:sz w:val="22"/>
          <w:shd w:fill="FFFFFF" w:val="clear"/>
        </w:rPr>
      </w:pPr>
      <w:r>
        <w:rPr>
          <w:rFonts w:cs="Arial" w:ascii="Arial" w:hAnsi="Arial"/>
          <w:sz w:val="22"/>
          <w:shd w:fill="FFFFFF" w:val="clear"/>
        </w:rPr>
        <w:t>Pucik, V., Evans, P. and Björkman, I., 2017. </w:t>
      </w:r>
      <w:r>
        <w:rPr>
          <w:rFonts w:cs="Arial" w:ascii="Arial" w:hAnsi="Arial"/>
          <w:i/>
          <w:iCs/>
          <w:sz w:val="22"/>
          <w:shd w:fill="FFFFFF" w:val="clear"/>
        </w:rPr>
        <w:t>The global challenge: International human resource management</w:t>
      </w:r>
      <w:r>
        <w:rPr>
          <w:rFonts w:cs="Arial" w:ascii="Arial" w:hAnsi="Arial"/>
          <w:sz w:val="22"/>
          <w:shd w:fill="FFFFFF" w:val="clear"/>
        </w:rPr>
        <w:t>.</w:t>
      </w:r>
    </w:p>
    <w:p>
      <w:pPr>
        <w:pStyle w:val="Normal"/>
        <w:spacing w:lineRule="auto" w:line="360"/>
        <w:rPr>
          <w:rFonts w:ascii="Arial" w:hAnsi="Arial" w:cs="Arial"/>
          <w:sz w:val="22"/>
          <w:shd w:fill="FFFFFF" w:val="clear"/>
        </w:rPr>
      </w:pPr>
      <w:r>
        <w:rPr>
          <w:rFonts w:cs="Arial" w:ascii="Arial" w:hAnsi="Arial"/>
          <w:sz w:val="22"/>
          <w:shd w:fill="FFFFFF" w:val="clear"/>
        </w:rPr>
        <w:t>Sirait, E.R.E. and Zellatifanny, C.M., 2020, October. An empirical study: computer-mediated communication and collaboration among government employees during flexible working arrangements. In </w:t>
      </w:r>
      <w:r>
        <w:rPr>
          <w:rFonts w:cs="Arial" w:ascii="Arial" w:hAnsi="Arial"/>
          <w:i/>
          <w:iCs/>
          <w:sz w:val="22"/>
          <w:shd w:fill="FFFFFF" w:val="clear"/>
        </w:rPr>
        <w:t>2020 International Conference on Information Technology Systems and Innovation (ICITSI)</w:t>
      </w:r>
      <w:r>
        <w:rPr>
          <w:rFonts w:cs="Arial" w:ascii="Arial" w:hAnsi="Arial"/>
          <w:sz w:val="22"/>
          <w:shd w:fill="FFFFFF" w:val="clear"/>
        </w:rPr>
        <w:t> (pp. 95-100). IEEE.</w:t>
      </w:r>
    </w:p>
    <w:p>
      <w:pPr>
        <w:pStyle w:val="Normal"/>
        <w:spacing w:lineRule="auto" w:line="360"/>
        <w:rPr>
          <w:rFonts w:ascii="Arial" w:hAnsi="Arial" w:cs="Arial"/>
          <w:sz w:val="22"/>
          <w:shd w:fill="FFFFFF" w:val="clear"/>
        </w:rPr>
      </w:pPr>
      <w:r>
        <w:rPr>
          <w:rFonts w:cs="Arial" w:ascii="Arial" w:hAnsi="Arial"/>
          <w:sz w:val="22"/>
          <w:shd w:fill="FFFFFF" w:val="clear"/>
        </w:rPr>
        <w:t>Stewart, G.L. and Brown, K.G., 2019. </w:t>
      </w:r>
      <w:r>
        <w:rPr>
          <w:rFonts w:cs="Arial" w:ascii="Arial" w:hAnsi="Arial"/>
          <w:i/>
          <w:iCs/>
          <w:sz w:val="22"/>
          <w:shd w:fill="FFFFFF" w:val="clear"/>
        </w:rPr>
        <w:t>Human resource management</w:t>
      </w:r>
      <w:r>
        <w:rPr>
          <w:rFonts w:cs="Arial" w:ascii="Arial" w:hAnsi="Arial"/>
          <w:sz w:val="22"/>
          <w:shd w:fill="FFFFFF" w:val="clear"/>
        </w:rPr>
        <w:t>. John Wiley &amp; Sons.</w:t>
      </w:r>
    </w:p>
    <w:p>
      <w:pPr>
        <w:pStyle w:val="Normal"/>
        <w:spacing w:lineRule="auto" w:line="360"/>
        <w:rPr>
          <w:rFonts w:ascii="Arial" w:hAnsi="Arial" w:cs="Arial"/>
          <w:sz w:val="22"/>
          <w:shd w:fill="FFFFFF" w:val="clear"/>
        </w:rPr>
      </w:pPr>
      <w:r>
        <w:rPr>
          <w:rFonts w:cs="Arial" w:ascii="Arial" w:hAnsi="Arial"/>
          <w:sz w:val="22"/>
          <w:shd w:fill="FFFFFF" w:val="clear"/>
        </w:rPr>
        <w:t>Stone, D.L., Deadrick, D.L., Lukaszewski, K.M. and Johnson, R., 2015. The influence of technology on the future of human resource management. </w:t>
      </w:r>
      <w:r>
        <w:rPr>
          <w:rFonts w:cs="Arial" w:ascii="Arial" w:hAnsi="Arial"/>
          <w:i/>
          <w:iCs/>
          <w:sz w:val="22"/>
          <w:shd w:fill="FFFFFF" w:val="clear"/>
        </w:rPr>
        <w:t>Human resource management review</w:t>
      </w:r>
      <w:r>
        <w:rPr>
          <w:rFonts w:cs="Arial" w:ascii="Arial" w:hAnsi="Arial"/>
          <w:sz w:val="22"/>
          <w:shd w:fill="FFFFFF" w:val="clear"/>
        </w:rPr>
        <w:t>, </w:t>
      </w:r>
      <w:r>
        <w:rPr>
          <w:rFonts w:cs="Arial" w:ascii="Arial" w:hAnsi="Arial"/>
          <w:i/>
          <w:iCs/>
          <w:sz w:val="22"/>
          <w:shd w:fill="FFFFFF" w:val="clear"/>
        </w:rPr>
        <w:t>25</w:t>
      </w:r>
      <w:r>
        <w:rPr>
          <w:rFonts w:cs="Arial" w:ascii="Arial" w:hAnsi="Arial"/>
          <w:sz w:val="22"/>
          <w:shd w:fill="FFFFFF" w:val="clear"/>
        </w:rPr>
        <w:t>(2), pp.216-231.</w:t>
      </w:r>
    </w:p>
    <w:p>
      <w:pPr>
        <w:pStyle w:val="Normal"/>
        <w:spacing w:lineRule="auto" w:line="360"/>
        <w:rPr>
          <w:rFonts w:ascii="Arial" w:hAnsi="Arial" w:cs="Arial"/>
          <w:sz w:val="22"/>
          <w:shd w:fill="FFFFFF" w:val="clear"/>
        </w:rPr>
      </w:pPr>
      <w:r>
        <w:rPr>
          <w:rFonts w:cs="Arial" w:ascii="Arial" w:hAnsi="Arial"/>
          <w:sz w:val="22"/>
          <w:shd w:fill="FFFFFF" w:val="clear"/>
        </w:rPr>
        <w:t>Stone, R.J., Cox, A. and Gavin, M., 2020. </w:t>
      </w:r>
      <w:r>
        <w:rPr>
          <w:rFonts w:cs="Arial" w:ascii="Arial" w:hAnsi="Arial"/>
          <w:i/>
          <w:iCs/>
          <w:sz w:val="22"/>
          <w:shd w:fill="FFFFFF" w:val="clear"/>
        </w:rPr>
        <w:t>Human resource management</w:t>
      </w:r>
      <w:r>
        <w:rPr>
          <w:rFonts w:cs="Arial" w:ascii="Arial" w:hAnsi="Arial"/>
          <w:sz w:val="22"/>
          <w:shd w:fill="FFFFFF" w:val="clear"/>
        </w:rPr>
        <w:t>. John Wiley &amp; Sons.</w:t>
      </w:r>
    </w:p>
    <w:p>
      <w:pPr>
        <w:pStyle w:val="Normal"/>
        <w:spacing w:lineRule="auto" w:line="360"/>
        <w:rPr>
          <w:rFonts w:ascii="Arial" w:hAnsi="Arial" w:cs="Arial"/>
          <w:sz w:val="22"/>
          <w:shd w:fill="FFFFFF" w:val="clear"/>
        </w:rPr>
      </w:pPr>
      <w:r>
        <w:rPr>
          <w:rFonts w:cs="Arial" w:ascii="Arial" w:hAnsi="Arial"/>
          <w:sz w:val="22"/>
          <w:shd w:fill="FFFFFF" w:val="clear"/>
        </w:rPr>
        <w:t>Vasconcelos, P., Furtado, E. and Pinheiro, P.R., 2015. An approach of multidisciplinary criteria for modeling alternatives of flexible working. </w:t>
      </w:r>
      <w:r>
        <w:rPr>
          <w:rFonts w:cs="Arial" w:ascii="Arial" w:hAnsi="Arial"/>
          <w:i/>
          <w:iCs/>
          <w:sz w:val="22"/>
          <w:shd w:fill="FFFFFF" w:val="clear"/>
        </w:rPr>
        <w:t>Computers in human behavior</w:t>
      </w:r>
      <w:r>
        <w:rPr>
          <w:rFonts w:cs="Arial" w:ascii="Arial" w:hAnsi="Arial"/>
          <w:sz w:val="22"/>
          <w:shd w:fill="FFFFFF" w:val="clear"/>
        </w:rPr>
        <w:t>, </w:t>
      </w:r>
      <w:r>
        <w:rPr>
          <w:rFonts w:cs="Arial" w:ascii="Arial" w:hAnsi="Arial"/>
          <w:i/>
          <w:iCs/>
          <w:sz w:val="22"/>
          <w:shd w:fill="FFFFFF" w:val="clear"/>
        </w:rPr>
        <w:t>51</w:t>
      </w:r>
      <w:r>
        <w:rPr>
          <w:rFonts w:cs="Arial" w:ascii="Arial" w:hAnsi="Arial"/>
          <w:sz w:val="22"/>
          <w:shd w:fill="FFFFFF" w:val="clear"/>
        </w:rPr>
        <w:t>, pp.1054-1060.</w:t>
      </w:r>
    </w:p>
    <w:p>
      <w:pPr>
        <w:pStyle w:val="Normal"/>
        <w:spacing w:lineRule="auto" w:line="360"/>
        <w:rPr>
          <w:rFonts w:ascii="Arial" w:hAnsi="Arial" w:cs="Arial"/>
          <w:sz w:val="22"/>
          <w:shd w:fill="FFFFFF" w:val="clear"/>
        </w:rPr>
      </w:pPr>
      <w:r>
        <w:rPr>
          <w:rFonts w:cs="Arial" w:ascii="Arial" w:hAnsi="Arial"/>
          <w:sz w:val="22"/>
          <w:shd w:fill="FFFFFF" w:val="clear"/>
        </w:rPr>
        <w:t>Wilton, N., 2016. </w:t>
      </w:r>
      <w:r>
        <w:rPr>
          <w:rFonts w:cs="Arial" w:ascii="Arial" w:hAnsi="Arial"/>
          <w:i/>
          <w:iCs/>
          <w:sz w:val="22"/>
          <w:shd w:fill="FFFFFF" w:val="clear"/>
        </w:rPr>
        <w:t>An introduction to human resource management</w:t>
      </w:r>
      <w:r>
        <w:rPr>
          <w:rFonts w:cs="Arial" w:ascii="Arial" w:hAnsi="Arial"/>
          <w:sz w:val="22"/>
          <w:shd w:fill="FFFFFF" w:val="clear"/>
        </w:rPr>
        <w:t>. Sage.</w:t>
      </w:r>
    </w:p>
    <w:p>
      <w:pPr>
        <w:pStyle w:val="Normal"/>
        <w:spacing w:lineRule="auto" w:line="360" w:before="0" w:after="160"/>
        <w:rPr>
          <w:rFonts w:ascii="Arial" w:hAnsi="Arial" w:cs="Arial"/>
          <w:sz w:val="22"/>
          <w:shd w:fill="FFFFFF" w:val="clear"/>
        </w:rPr>
      </w:pPr>
      <w:r>
        <w:rPr>
          <w:rFonts w:cs="Arial" w:ascii="Arial" w:hAnsi="Arial"/>
          <w:sz w:val="22"/>
          <w:shd w:fill="FFFFFF" w:val="clear"/>
        </w:rPr>
        <w:t>Yu, R., Burke, M. and Raad, N., 2019. Exploring impact of future flexible working model evolution on urban environment, economy and planning. </w:t>
      </w:r>
      <w:r>
        <w:rPr>
          <w:rFonts w:cs="Arial" w:ascii="Arial" w:hAnsi="Arial"/>
          <w:i/>
          <w:iCs/>
          <w:sz w:val="22"/>
          <w:shd w:fill="FFFFFF" w:val="clear"/>
        </w:rPr>
        <w:t>Journal of Urban Management</w:t>
      </w:r>
      <w:r>
        <w:rPr>
          <w:rFonts w:cs="Arial" w:ascii="Arial" w:hAnsi="Arial"/>
          <w:sz w:val="22"/>
          <w:shd w:fill="FFFFFF" w:val="clear"/>
        </w:rPr>
        <w:t>, </w:t>
      </w:r>
      <w:r>
        <w:rPr>
          <w:rFonts w:cs="Arial" w:ascii="Arial" w:hAnsi="Arial"/>
          <w:i/>
          <w:iCs/>
          <w:sz w:val="22"/>
          <w:shd w:fill="FFFFFF" w:val="clear"/>
        </w:rPr>
        <w:t>8</w:t>
      </w:r>
      <w:r>
        <w:rPr>
          <w:rFonts w:cs="Arial" w:ascii="Arial" w:hAnsi="Arial"/>
          <w:sz w:val="22"/>
          <w:shd w:fill="FFFFFF" w:val="clear"/>
        </w:rPr>
        <w:t>(3), pp.447-457.</w:t>
      </w:r>
    </w:p>
    <w:sectPr>
      <w:headerReference w:type="default" r:id="rId3"/>
      <w:headerReference w:type="first" r:id="rId4"/>
      <w:type w:val="nextPage"/>
      <w:pgSz w:w="11906" w:h="16838"/>
      <w:pgMar w:left="1440" w:right="1440" w:header="708" w:top="1440" w:footer="0" w:bottom="1440" w:gutter="0"/>
      <w:pgNumType w:start="0"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 w:name="Calibri Light">
    <w:charset w:val="00"/>
    <w:family w:val="roman"/>
    <w:pitch w:val="variable"/>
  </w:font>
  <w:font w:name="Arial">
    <w:charset w:val="00"/>
    <w:family w:val="roman"/>
    <w:pitch w:val="variable"/>
  </w:font>
  <w:font w:name="mr-eaves-modern">
    <w:altName w:val="sans-serif"/>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mc:AlternateContent>
        <mc:Choice Requires="wps">
          <w:drawing>
            <wp:anchor behindDoc="1" distT="0" distB="0" distL="0" distR="0" simplePos="0" locked="0" layoutInCell="0" allowOverlap="1" relativeHeight="10" wp14:anchorId="51BE6E5B">
              <wp:simplePos x="0" y="0"/>
              <wp:positionH relativeFrom="page">
                <wp:align>right</wp:align>
              </wp:positionH>
              <wp:positionV relativeFrom="topMargin">
                <wp:align>center</wp:align>
              </wp:positionV>
              <wp:extent cx="914400" cy="174625"/>
              <wp:effectExtent l="0" t="0" r="0" b="635"/>
              <wp:wrapNone/>
              <wp:docPr id="2" name="Text Box 221"/>
              <a:graphic xmlns:a="http://schemas.openxmlformats.org/drawingml/2006/main">
                <a:graphicData uri="http://schemas.microsoft.com/office/word/2010/wordprocessingShape">
                  <wps:wsp>
                    <wps:cNvSpPr/>
                    <wps:spPr>
                      <a:xfrm>
                        <a:off x="0" y="0"/>
                        <a:ext cx="913680" cy="173880"/>
                      </a:xfrm>
                      <a:prstGeom prst="rect">
                        <a:avLst/>
                      </a:prstGeom>
                      <a:solidFill>
                        <a:schemeClr val="accent6">
                          <a:lumMod val="60000"/>
                          <a:lumOff val="40000"/>
                        </a:schemeClr>
                      </a:solidFill>
                      <a:ln w="0">
                        <a:noFill/>
                      </a:ln>
                    </wps:spPr>
                    <wps:style>
                      <a:lnRef idx="0"/>
                      <a:fillRef idx="0"/>
                      <a:effectRef idx="0"/>
                      <a:fontRef idx="minor"/>
                    </wps:style>
                    <wps:txbx>
                      <w:txbxContent>
                        <w:p>
                          <w:pPr>
                            <w:pStyle w:val="FrameContents"/>
                            <w:spacing w:lineRule="auto" w:line="240" w:before="0" w:after="0"/>
                            <w:rPr>
                              <w:color w:val="FFFFFF" w:themeColor="background1"/>
                            </w:rPr>
                          </w:pPr>
                          <w:r>
                            <w:rPr>
                              <w:color w:val="000000"/>
                            </w:rPr>
                            <w:fldChar w:fldCharType="begin"/>
                          </w:r>
                          <w:r>
                            <w:rPr>
                              <w:color w:val="000000"/>
                            </w:rPr>
                            <w:instrText> PAGE </w:instrText>
                          </w:r>
                          <w:r>
                            <w:rPr>
                              <w:color w:val="000000"/>
                            </w:rPr>
                            <w:fldChar w:fldCharType="separate"/>
                          </w:r>
                          <w:r>
                            <w:rPr>
                              <w:color w:val="000000"/>
                            </w:rPr>
                            <w:t>9</w:t>
                          </w:r>
                          <w:r>
                            <w:rPr>
                              <w:color w:val="000000"/>
                            </w:rPr>
                            <w:fldChar w:fldCharType="end"/>
                          </w:r>
                        </w:p>
                      </w:txbxContent>
                    </wps:txbx>
                    <wps:bodyPr tIns="0" bIns="0" anchor="ctr" upright="1">
                      <a:spAutoFit/>
                    </wps:bodyPr>
                  </wps:wsp>
                </a:graphicData>
              </a:graphic>
              <wp14:sizeRelH relativeFrom="rightMargin">
                <wp14:pctWidth>100000</wp14:pctWidth>
              </wp14:sizeRelH>
            </wp:anchor>
          </w:drawing>
        </mc:Choice>
        <mc:Fallback>
          <w:pict>
            <v:rect id="shape_0" ID="Text Box 221" path="m0,0l-2147483645,0l-2147483645,-2147483646l0,-2147483646xe" fillcolor="#a9d18e" stroked="f" style="position:absolute;margin-left:523.3pt;margin-top:29.15pt;width:71.9pt;height:13.65pt;mso-wrap-style:square;v-text-anchor:middle;mso-position-horizontal:right;mso-position-horizontal-relative:page;mso-position-vertical:center" wp14:anchorId="51BE6E5B">
              <v:fill o:detectmouseclick="t" type="solid" color2="#562e71"/>
              <v:stroke color="#3465a4" joinstyle="round" endcap="flat"/>
              <v:textbox>
                <w:txbxContent>
                  <w:p>
                    <w:pPr>
                      <w:pStyle w:val="FrameContents"/>
                      <w:spacing w:lineRule="auto" w:line="240" w:before="0" w:after="0"/>
                      <w:rPr>
                        <w:color w:val="FFFFFF" w:themeColor="background1"/>
                      </w:rPr>
                    </w:pPr>
                    <w:r>
                      <w:rPr>
                        <w:color w:val="000000"/>
                      </w:rPr>
                      <w:fldChar w:fldCharType="begin"/>
                    </w:r>
                    <w:r>
                      <w:rPr>
                        <w:color w:val="000000"/>
                      </w:rPr>
                      <w:instrText> PAGE </w:instrText>
                    </w:r>
                    <w:r>
                      <w:rPr>
                        <w:color w:val="000000"/>
                      </w:rPr>
                      <w:fldChar w:fldCharType="separate"/>
                    </w:r>
                    <w:r>
                      <w:rPr>
                        <w:color w:val="000000"/>
                      </w:rPr>
                      <w:t>9</w:t>
                    </w:r>
                    <w:r>
                      <w:rPr>
                        <w:color w:val="000000"/>
                      </w:rPr>
                      <w:fldChar w:fldCharType="end"/>
                    </w:r>
                  </w:p>
                </w:txbxContent>
              </v:textbox>
              <w10:wrap type="none"/>
            </v:rect>
          </w:pict>
        </mc:Fallback>
      </mc:AlternateContent>
      <mc:AlternateContent>
        <mc:Choice Requires="wps">
          <w:drawing>
            <wp:anchor behindDoc="1" distT="0" distB="0" distL="0" distR="0" simplePos="0" locked="0" layoutInCell="0" allowOverlap="1" relativeHeight="19" wp14:anchorId="7759F972">
              <wp:simplePos x="0" y="0"/>
              <wp:positionH relativeFrom="margin">
                <wp:align>left</wp:align>
              </wp:positionH>
              <wp:positionV relativeFrom="topMargin">
                <wp:align>center</wp:align>
              </wp:positionV>
              <wp:extent cx="5942330" cy="160020"/>
              <wp:effectExtent l="0" t="0" r="0" b="635"/>
              <wp:wrapNone/>
              <wp:docPr id="4" name="Text Box 220"/>
              <a:graphic xmlns:a="http://schemas.openxmlformats.org/drawingml/2006/main">
                <a:graphicData uri="http://schemas.microsoft.com/office/word/2010/wordprocessingShape">
                  <wps:wsp>
                    <wps:cNvSpPr/>
                    <wps:spPr>
                      <a:xfrm>
                        <a:off x="0" y="0"/>
                        <a:ext cx="5941800" cy="159480"/>
                      </a:xfrm>
                      <a:prstGeom prst="rect">
                        <a:avLst/>
                      </a:prstGeom>
                      <a:noFill/>
                      <a:ln w="0">
                        <a:noFill/>
                      </a:ln>
                    </wps:spPr>
                    <wps:style>
                      <a:lnRef idx="0"/>
                      <a:fillRef idx="0"/>
                      <a:effectRef idx="0"/>
                      <a:fontRef idx="minor"/>
                    </wps:style>
                    <wps:txbx>
                      <w:txbxContent>
                        <w:p>
                          <w:pPr>
                            <w:pStyle w:val="FrameContents"/>
                            <w:spacing w:lineRule="auto" w:line="240" w:before="0" w:after="0"/>
                            <w:rPr>
                              <w:color w:val="000000"/>
                            </w:rPr>
                          </w:pPr>
                          <w:r>
                            <w:rPr>
                              <w:rFonts w:cs="Arial" w:ascii="Arial" w:hAnsi="Arial"/>
                              <w:color w:val="000000"/>
                              <w:sz w:val="22"/>
                            </w:rPr>
                            <w:t>MANAGING</w:t>
                          </w:r>
                          <w:r>
                            <w:rPr>
                              <w:color w:val="000000"/>
                            </w:rPr>
                            <w:t xml:space="preserve"> </w:t>
                          </w:r>
                          <w:r>
                            <w:rPr>
                              <w:rFonts w:cs="Arial" w:ascii="Arial" w:hAnsi="Arial"/>
                              <w:color w:val="000000"/>
                              <w:sz w:val="22"/>
                            </w:rPr>
                            <w:t>PEOPLE.</w:t>
                          </w:r>
                        </w:p>
                      </w:txbxContent>
                    </wps:txbx>
                    <wps:bodyPr tIns="0" bIns="0" anchor="ctr" upright="1">
                      <a:spAutoFit/>
                    </wps:bodyPr>
                  </wps:wsp>
                </a:graphicData>
              </a:graphic>
              <wp14:sizeRelH relativeFrom="margin">
                <wp14:pctWidth>100000</wp14:pctWidth>
              </wp14:sizeRelH>
            </wp:anchor>
          </w:drawing>
        </mc:Choice>
        <mc:Fallback>
          <w:pict>
            <v:rect id="shape_0" ID="Text Box 220" path="m0,0l-2147483645,0l-2147483645,-2147483646l0,-2147483646xe" stroked="f" style="position:absolute;margin-left:0pt;margin-top:29.7pt;width:467.8pt;height:12.5pt;mso-wrap-style:square;v-text-anchor:middle;mso-position-horizontal:left;mso-position-horizontal-relative:margin;mso-position-vertical:center" wp14:anchorId="7759F972">
              <v:fill o:detectmouseclick="t" on="false"/>
              <v:stroke color="#3465a4" joinstyle="round" endcap="flat"/>
              <v:textbox>
                <w:txbxContent>
                  <w:p>
                    <w:pPr>
                      <w:pStyle w:val="FrameContents"/>
                      <w:spacing w:lineRule="auto" w:line="240" w:before="0" w:after="0"/>
                      <w:rPr>
                        <w:color w:val="000000"/>
                      </w:rPr>
                    </w:pPr>
                    <w:r>
                      <w:rPr>
                        <w:rFonts w:cs="Arial" w:ascii="Arial" w:hAnsi="Arial"/>
                        <w:color w:val="000000"/>
                        <w:sz w:val="22"/>
                      </w:rPr>
                      <w:t>MANAGING</w:t>
                    </w:r>
                    <w:r>
                      <w:rPr>
                        <w:color w:val="000000"/>
                      </w:rPr>
                      <w:t xml:space="preserve"> </w:t>
                    </w:r>
                    <w:r>
                      <w:rPr>
                        <w:rFonts w:cs="Arial" w:ascii="Arial" w:hAnsi="Arial"/>
                        <w:color w:val="000000"/>
                        <w:sz w:val="22"/>
                      </w:rPr>
                      <w:t>PEOPLE.</w:t>
                    </w:r>
                  </w:p>
                </w:txbxContent>
              </v:textbox>
              <w10:wrap type="none"/>
            </v:rect>
          </w:pict>
        </mc:Fallback>
      </mc:AlternateContent>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rFonts w:ascii="Arial" w:hAnsi="Arial" w:cs="Arial"/>
        <w:sz w:val="22"/>
      </w:rPr>
    </w:pPr>
    <w:r>
      <w:rPr>
        <w:rFonts w:cs="Arial" w:ascii="Arial" w:hAnsi="Arial"/>
        <w:sz w:val="22"/>
      </w:rPr>
    </w:r>
  </w:p>
</w:hdr>
</file>

<file path=word/settings.xml><?xml version="1.0" encoding="utf-8"?>
<w:settings xmlns:w="http://schemas.openxmlformats.org/wordprocessingml/2006/main">
  <w:zoom w:percent="11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IN"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dd2978"/>
    <w:pPr>
      <w:widowControl/>
      <w:suppressAutoHyphens w:val="true"/>
      <w:bidi w:val="0"/>
      <w:spacing w:lineRule="auto" w:line="480" w:before="0" w:after="160"/>
      <w:jc w:val="both"/>
    </w:pPr>
    <w:rPr>
      <w:rFonts w:ascii="Times New Roman" w:hAnsi="Times New Roman" w:eastAsia="Calibri" w:cs="" w:cstheme="minorBidi" w:eastAsiaTheme="minorHAnsi"/>
      <w:color w:val="auto"/>
      <w:kern w:val="0"/>
      <w:sz w:val="24"/>
      <w:szCs w:val="22"/>
      <w:lang w:val="en-GB" w:eastAsia="en-US" w:bidi="ar-SA"/>
    </w:rPr>
  </w:style>
  <w:style w:type="paragraph" w:styleId="Heading1">
    <w:name w:val="Heading 1"/>
    <w:basedOn w:val="Normal"/>
    <w:next w:val="Normal"/>
    <w:link w:val="Heading1Char"/>
    <w:uiPriority w:val="9"/>
    <w:qFormat/>
    <w:rsid w:val="00602e91"/>
    <w:pPr>
      <w:keepNext w:val="true"/>
      <w:keepLines/>
      <w:spacing w:before="240" w:after="0"/>
      <w:outlineLvl w:val="0"/>
    </w:pPr>
    <w:rPr>
      <w:rFonts w:eastAsia="" w:cs="" w:cstheme="majorBidi" w:eastAsiaTheme="majorEastAsia"/>
      <w:b/>
      <w:sz w:val="28"/>
      <w:szCs w:val="32"/>
    </w:rPr>
  </w:style>
  <w:style w:type="paragraph" w:styleId="Heading2">
    <w:name w:val="Heading 2"/>
    <w:basedOn w:val="Normal"/>
    <w:next w:val="Normal"/>
    <w:link w:val="Heading2Char"/>
    <w:uiPriority w:val="9"/>
    <w:unhideWhenUsed/>
    <w:qFormat/>
    <w:rsid w:val="00950b0d"/>
    <w:pPr>
      <w:keepNext w:val="true"/>
      <w:keepLines/>
      <w:spacing w:before="40" w:after="0"/>
      <w:jc w:val="left"/>
      <w:outlineLvl w:val="1"/>
    </w:pPr>
    <w:rPr>
      <w:rFonts w:eastAsia="" w:cs="" w:cstheme="majorBidi" w:eastAsiaTheme="majorEastAsia"/>
      <w:b/>
      <w:sz w:val="26"/>
      <w:szCs w:val="26"/>
    </w:rPr>
  </w:style>
  <w:style w:type="paragraph" w:styleId="Heading3">
    <w:name w:val="Heading 3"/>
    <w:basedOn w:val="Normal"/>
    <w:next w:val="Normal"/>
    <w:link w:val="Heading3Char"/>
    <w:uiPriority w:val="9"/>
    <w:unhideWhenUsed/>
    <w:qFormat/>
    <w:rsid w:val="00950b0d"/>
    <w:pPr>
      <w:keepNext w:val="true"/>
      <w:keepLines/>
      <w:spacing w:before="40" w:after="0"/>
      <w:jc w:val="left"/>
      <w:outlineLvl w:val="2"/>
    </w:pPr>
    <w:rPr>
      <w:rFonts w:eastAsia="" w:cs="" w:cstheme="majorBidi" w:eastAsiaTheme="majorEastAsia"/>
      <w:b/>
      <w:szCs w:val="24"/>
    </w:rPr>
  </w:style>
  <w:style w:type="paragraph" w:styleId="Heading4">
    <w:name w:val="Heading 4"/>
    <w:basedOn w:val="Normal"/>
    <w:next w:val="Normal"/>
    <w:link w:val="Heading4Char"/>
    <w:uiPriority w:val="9"/>
    <w:unhideWhenUsed/>
    <w:qFormat/>
    <w:rsid w:val="001b6e7e"/>
    <w:pPr>
      <w:keepNext w:val="true"/>
      <w:keepLines/>
      <w:spacing w:before="40" w:after="0"/>
      <w:jc w:val="left"/>
      <w:outlineLvl w:val="3"/>
    </w:pPr>
    <w:rPr>
      <w:rFonts w:eastAsia="" w:cs="" w:cstheme="majorBidi" w:eastAsiaTheme="majorEastAsia"/>
      <w:b/>
      <w:iCs/>
    </w:rPr>
  </w:style>
  <w:style w:type="character" w:styleId="DefaultParagraphFont" w:default="1">
    <w:name w:val="Default Paragraph Font"/>
    <w:uiPriority w:val="1"/>
    <w:semiHidden/>
    <w:unhideWhenUsed/>
    <w:qFormat/>
    <w:rPr/>
  </w:style>
  <w:style w:type="character" w:styleId="Heading1Char" w:customStyle="1">
    <w:name w:val="Heading 1 Char"/>
    <w:basedOn w:val="DefaultParagraphFont"/>
    <w:link w:val="Heading1"/>
    <w:uiPriority w:val="9"/>
    <w:qFormat/>
    <w:rsid w:val="00602e91"/>
    <w:rPr>
      <w:rFonts w:ascii="Times New Roman" w:hAnsi="Times New Roman" w:eastAsia="" w:cs="" w:cstheme="majorBidi" w:eastAsiaTheme="majorEastAsia"/>
      <w:b/>
      <w:sz w:val="28"/>
      <w:szCs w:val="32"/>
    </w:rPr>
  </w:style>
  <w:style w:type="character" w:styleId="Heading2Char" w:customStyle="1">
    <w:name w:val="Heading 2 Char"/>
    <w:basedOn w:val="DefaultParagraphFont"/>
    <w:link w:val="Heading2"/>
    <w:uiPriority w:val="9"/>
    <w:qFormat/>
    <w:rsid w:val="00950b0d"/>
    <w:rPr>
      <w:rFonts w:ascii="Times New Roman" w:hAnsi="Times New Roman" w:eastAsia="" w:cs="" w:cstheme="majorBidi" w:eastAsiaTheme="majorEastAsia"/>
      <w:b/>
      <w:sz w:val="26"/>
      <w:szCs w:val="26"/>
    </w:rPr>
  </w:style>
  <w:style w:type="character" w:styleId="HeaderChar" w:customStyle="1">
    <w:name w:val="Header Char"/>
    <w:basedOn w:val="DefaultParagraphFont"/>
    <w:link w:val="Header"/>
    <w:uiPriority w:val="99"/>
    <w:qFormat/>
    <w:rsid w:val="00926065"/>
    <w:rPr>
      <w:rFonts w:ascii="Times New Roman" w:hAnsi="Times New Roman"/>
      <w:sz w:val="24"/>
    </w:rPr>
  </w:style>
  <w:style w:type="character" w:styleId="FooterChar" w:customStyle="1">
    <w:name w:val="Footer Char"/>
    <w:basedOn w:val="DefaultParagraphFont"/>
    <w:link w:val="Footer"/>
    <w:uiPriority w:val="99"/>
    <w:qFormat/>
    <w:rsid w:val="00926065"/>
    <w:rPr>
      <w:rFonts w:ascii="Times New Roman" w:hAnsi="Times New Roman"/>
      <w:sz w:val="24"/>
    </w:rPr>
  </w:style>
  <w:style w:type="character" w:styleId="InternetLink">
    <w:name w:val="Hyperlink"/>
    <w:basedOn w:val="DefaultParagraphFont"/>
    <w:uiPriority w:val="99"/>
    <w:unhideWhenUsed/>
    <w:rsid w:val="00855c62"/>
    <w:rPr>
      <w:color w:val="0563C1" w:themeColor="hyperlink"/>
      <w:u w:val="single"/>
    </w:rPr>
  </w:style>
  <w:style w:type="character" w:styleId="Heading3Char" w:customStyle="1">
    <w:name w:val="Heading 3 Char"/>
    <w:basedOn w:val="DefaultParagraphFont"/>
    <w:link w:val="Heading3"/>
    <w:uiPriority w:val="9"/>
    <w:qFormat/>
    <w:rsid w:val="00950b0d"/>
    <w:rPr>
      <w:rFonts w:ascii="Times New Roman" w:hAnsi="Times New Roman" w:eastAsia="" w:cs="" w:cstheme="majorBidi" w:eastAsiaTheme="majorEastAsia"/>
      <w:b/>
      <w:sz w:val="24"/>
      <w:szCs w:val="24"/>
    </w:rPr>
  </w:style>
  <w:style w:type="character" w:styleId="Selectable" w:customStyle="1">
    <w:name w:val="selectable"/>
    <w:basedOn w:val="DefaultParagraphFont"/>
    <w:qFormat/>
    <w:rsid w:val="00f1281d"/>
    <w:rPr/>
  </w:style>
  <w:style w:type="character" w:styleId="Heading4Char" w:customStyle="1">
    <w:name w:val="Heading 4 Char"/>
    <w:basedOn w:val="DefaultParagraphFont"/>
    <w:link w:val="Heading4"/>
    <w:uiPriority w:val="9"/>
    <w:qFormat/>
    <w:rsid w:val="001b6e7e"/>
    <w:rPr>
      <w:rFonts w:ascii="Times New Roman" w:hAnsi="Times New Roman" w:eastAsia="" w:cs="" w:cstheme="majorBidi" w:eastAsiaTheme="majorEastAsia"/>
      <w:b/>
      <w:iCs/>
      <w:sz w:val="24"/>
    </w:rPr>
  </w:style>
  <w:style w:type="character" w:styleId="IndexLink">
    <w:name w:val="Index Link"/>
    <w:qFormat/>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HeaderandFooter">
    <w:name w:val="Header and Footer"/>
    <w:basedOn w:val="Normal"/>
    <w:qFormat/>
    <w:pPr/>
    <w:rPr/>
  </w:style>
  <w:style w:type="paragraph" w:styleId="Header">
    <w:name w:val="Header"/>
    <w:basedOn w:val="Normal"/>
    <w:link w:val="HeaderChar"/>
    <w:uiPriority w:val="99"/>
    <w:unhideWhenUsed/>
    <w:rsid w:val="00926065"/>
    <w:pPr>
      <w:tabs>
        <w:tab w:val="clear" w:pos="720"/>
        <w:tab w:val="center" w:pos="4513" w:leader="none"/>
        <w:tab w:val="right" w:pos="9026" w:leader="none"/>
      </w:tabs>
      <w:spacing w:lineRule="auto" w:line="240" w:before="0" w:after="0"/>
    </w:pPr>
    <w:rPr/>
  </w:style>
  <w:style w:type="paragraph" w:styleId="Footer">
    <w:name w:val="Footer"/>
    <w:basedOn w:val="Normal"/>
    <w:link w:val="FooterChar"/>
    <w:uiPriority w:val="99"/>
    <w:unhideWhenUsed/>
    <w:rsid w:val="00926065"/>
    <w:pPr>
      <w:tabs>
        <w:tab w:val="clear" w:pos="720"/>
        <w:tab w:val="center" w:pos="4513" w:leader="none"/>
        <w:tab w:val="right" w:pos="9026" w:leader="none"/>
      </w:tabs>
      <w:spacing w:lineRule="auto" w:line="240" w:before="0" w:after="0"/>
    </w:pPr>
    <w:rPr/>
  </w:style>
  <w:style w:type="paragraph" w:styleId="TOCHeading">
    <w:name w:val="TOC Heading"/>
    <w:basedOn w:val="Heading1"/>
    <w:next w:val="Normal"/>
    <w:uiPriority w:val="39"/>
    <w:unhideWhenUsed/>
    <w:qFormat/>
    <w:rsid w:val="00e66a8a"/>
    <w:pPr>
      <w:spacing w:lineRule="auto" w:line="259"/>
      <w:jc w:val="left"/>
    </w:pPr>
    <w:rPr>
      <w:rFonts w:ascii="Calibri Light" w:hAnsi="Calibri Light" w:asciiTheme="majorHAnsi" w:hAnsiTheme="majorHAnsi"/>
      <w:b w:val="false"/>
      <w:sz w:val="32"/>
      <w:lang w:val="en-US"/>
    </w:rPr>
  </w:style>
  <w:style w:type="paragraph" w:styleId="Contents1">
    <w:name w:val="TOC 1"/>
    <w:basedOn w:val="Normal"/>
    <w:next w:val="Normal"/>
    <w:autoRedefine/>
    <w:uiPriority w:val="39"/>
    <w:unhideWhenUsed/>
    <w:rsid w:val="00855c62"/>
    <w:pPr>
      <w:spacing w:before="0" w:after="100"/>
    </w:pPr>
    <w:rPr/>
  </w:style>
  <w:style w:type="paragraph" w:styleId="Contents2">
    <w:name w:val="TOC 2"/>
    <w:basedOn w:val="Normal"/>
    <w:next w:val="Normal"/>
    <w:autoRedefine/>
    <w:uiPriority w:val="39"/>
    <w:unhideWhenUsed/>
    <w:rsid w:val="00950b0d"/>
    <w:pPr>
      <w:spacing w:before="0" w:after="100"/>
      <w:ind w:left="240" w:hanging="0"/>
    </w:pPr>
    <w:rPr/>
  </w:style>
  <w:style w:type="paragraph" w:styleId="Contents3">
    <w:name w:val="TOC 3"/>
    <w:basedOn w:val="Normal"/>
    <w:next w:val="Normal"/>
    <w:autoRedefine/>
    <w:uiPriority w:val="39"/>
    <w:unhideWhenUsed/>
    <w:rsid w:val="00950b0d"/>
    <w:pPr>
      <w:spacing w:before="0" w:after="100"/>
      <w:ind w:left="480" w:hanging="0"/>
    </w:pPr>
    <w:rPr/>
  </w:style>
  <w:style w:type="paragraph" w:styleId="ListParagraph">
    <w:name w:val="List Paragraph"/>
    <w:basedOn w:val="Normal"/>
    <w:uiPriority w:val="34"/>
    <w:qFormat/>
    <w:rsid w:val="002b03b4"/>
    <w:pPr>
      <w:spacing w:before="0" w:after="160"/>
      <w:ind w:left="720" w:hanging="0"/>
      <w:contextualSpacing/>
    </w:pPr>
    <w:rPr>
      <w:color w:val="000000" w:themeColor="text1"/>
    </w:rPr>
  </w:style>
  <w:style w:type="paragraph" w:styleId="Contents4">
    <w:name w:val="TOC 4"/>
    <w:basedOn w:val="Normal"/>
    <w:next w:val="Normal"/>
    <w:autoRedefine/>
    <w:uiPriority w:val="39"/>
    <w:unhideWhenUsed/>
    <w:rsid w:val="001b6e7e"/>
    <w:pPr>
      <w:spacing w:before="0" w:after="100"/>
      <w:ind w:left="720" w:hanging="0"/>
    </w:pPr>
    <w:rPr/>
  </w:style>
  <w:style w:type="paragraph" w:styleId="FrameContents">
    <w:name w:val="Frame Contents"/>
    <w:basedOn w:val="Normal"/>
    <w:qFormat/>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Relationship Id="rId8" Type="http://schemas.openxmlformats.org/officeDocument/2006/relationships/customXml" Target="../customXml/item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557108-F59B-4101-BF99-07CA95DF8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Application>LibreOffice/7.1.2.2$Windows_X86_64 LibreOffice_project/8a45595d069ef5570103caea1b71cc9d82b2aae4</Application>
  <AppVersion>15.0000</AppVersion>
  <Pages>10</Pages>
  <Words>2919</Words>
  <Characters>15634</Characters>
  <CharactersWithSpaces>18778</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2022-04-28T08:21:00Z</dcterms:created>
  <dc:creator>Soheli Chakraborti</dc:creator>
  <dc:description/>
  <dc:language>en-US</dc:language>
  <cp:lastModifiedBy/>
  <dcterms:modified xsi:type="dcterms:W3CDTF">2022-05-06T14:43:49Z</dcterms:modified>
  <cp:revision>6</cp:revision>
  <dc:subject/>
  <dc:title/>
</cp:coreProperties>
</file>

<file path=docProps/custom.xml><?xml version="1.0" encoding="utf-8"?>
<Properties xmlns="http://schemas.openxmlformats.org/officeDocument/2006/custom-properties" xmlns:vt="http://schemas.openxmlformats.org/officeDocument/2006/docPropsVTypes"/>
</file>