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18FD63" w14:textId="7DED72D8" w:rsidR="003B67FE" w:rsidRDefault="00E167EA" w:rsidP="003B67FE">
      <w:bookmarkStart w:id="0" w:name="_GoBack"/>
      <w:bookmarkEnd w:id="0"/>
      <w:r>
        <w:t xml:space="preserve">Community care can be defined as care provided for by professional health workers in an individual’s home or community that in turn improves the dignity and independence and that reduces the negative impact currently being observed in hospital </w:t>
      </w:r>
      <w:r>
        <w:t>services (Baldwin, 2017).</w:t>
      </w:r>
    </w:p>
    <w:p w14:paraId="7F19492F" w14:textId="018D19D3" w:rsidR="00130145" w:rsidRDefault="00E167EA" w:rsidP="00130145">
      <w:r>
        <w:t>In March 2001, the then chancellor of the exchequer Gordon Brown requested Derek Wanless a former chief executive of NatWest bank to review the long-term direction of the National Health Service (NHS). In 2002, a paper published b</w:t>
      </w:r>
      <w:r>
        <w:t>y Derek Wanless highlighted the problems faced by the NHS in the United Kingdom (UK) and suggested areas to be considered to improve the fragility of our health service. Within the report, Wanless documented the need to secure a long-term solution that hel</w:t>
      </w:r>
      <w:r>
        <w:t xml:space="preserve">ps to promote a healthier nation, with cost-effective public health strategies, regular assessment and evaluation of treatments being offered and provided (Wanless, 2002). This report could be considered as the original document to note an urgent need for </w:t>
      </w:r>
      <w:r>
        <w:t xml:space="preserve">reform in the NHS. However, the report was met by some criticism as it did not discuss the efficiency of current NHS resources despite recognising that it was a </w:t>
      </w:r>
      <w:r w:rsidR="0003667A">
        <w:t>considerable aspect</w:t>
      </w:r>
      <w:r>
        <w:t>. It also failed to address the implication for consumer demand for free cho</w:t>
      </w:r>
      <w:r>
        <w:t>ice of who provides our care and where it is to be delivered, whilst it may seem insignificant in theory it is co</w:t>
      </w:r>
      <w:r w:rsidR="0003667A">
        <w:t>mparable</w:t>
      </w:r>
      <w:r>
        <w:t xml:space="preserve"> when considering the labour required to deliver our healthcare</w:t>
      </w:r>
      <w:r w:rsidR="003F086E">
        <w:t xml:space="preserve"> (Ham, 2007 and Moore, 2002)</w:t>
      </w:r>
      <w:r>
        <w:t>. Nonetheless, Wanless successfully acknowle</w:t>
      </w:r>
      <w:r>
        <w:t>dged the parameters of the uncertainty of our future, the urgency to act and the understanding of continuity and administration of quality care is more cost-effective long term (Klein,</w:t>
      </w:r>
      <w:r w:rsidR="00F1795C">
        <w:t xml:space="preserve"> </w:t>
      </w:r>
      <w:r>
        <w:t>2001). Furthermore, due to the topic of the paper, and lack of desire t</w:t>
      </w:r>
      <w:r>
        <w:t>o be drawn into a political state, Wanless triggered a crucial debate that demanded discussion and attention (Harrison and McDonald, 2007).</w:t>
      </w:r>
      <w:r w:rsidR="00576C0C">
        <w:t xml:space="preserve"> </w:t>
      </w:r>
      <w:r>
        <w:t>It took another 11 years until a paper published by the Bevan commission on prudent healthcare documented similar fi</w:t>
      </w:r>
      <w:r>
        <w:t>ndings and agreed that there will be inevitable increasing demand on the NHS due to population growth and asserted the imperative need to meet the health needs of people in Wales, one that "prevents ill health and preserves and supports all aspects of well</w:t>
      </w:r>
      <w:r>
        <w:t>being, in which everyone has a responsibility" (Aylward, Phillips and Howson, 2013). Prudent healthcare can be defined as a healthcare system that is personal to the patient that promotes a healthier lifestyle and wellbeing and one that avoids waste and ha</w:t>
      </w:r>
      <w:r>
        <w:t xml:space="preserve">rm (Rix and Marrin, 2015). </w:t>
      </w:r>
    </w:p>
    <w:p w14:paraId="1EAD9C75" w14:textId="52EE6975" w:rsidR="00340A66" w:rsidRDefault="00E167EA" w:rsidP="002451FB">
      <w:r>
        <w:t xml:space="preserve">The NHS is mainly funded through general taxation, National Insurance contributions and patient charges such as for prescriptions and dental treatment, however, in a recent report published by </w:t>
      </w:r>
      <w:r>
        <w:rPr>
          <w:rFonts w:cstheme="minorHAnsi"/>
          <w:color w:val="000000"/>
          <w:shd w:val="clear" w:color="auto" w:fill="FFFFFF"/>
        </w:rPr>
        <w:t>UK Government (2019), of the 54 mil</w:t>
      </w:r>
      <w:r>
        <w:rPr>
          <w:rFonts w:cstheme="minorHAnsi"/>
          <w:color w:val="000000"/>
          <w:shd w:val="clear" w:color="auto" w:fill="FFFFFF"/>
        </w:rPr>
        <w:t>lion adults living in the UK, 43 per cent do not earn enough to pay income tax.</w:t>
      </w:r>
      <w:r>
        <w:rPr>
          <w:rFonts w:ascii="Arial" w:hAnsi="Arial" w:cs="Arial"/>
          <w:color w:val="000000"/>
          <w:sz w:val="20"/>
          <w:szCs w:val="20"/>
          <w:shd w:val="clear" w:color="auto" w:fill="FFFFFF"/>
        </w:rPr>
        <w:t xml:space="preserve"> </w:t>
      </w:r>
      <w:r>
        <w:t>Emphasising further challenges to funding when relying on the taxpayer’s money and implying that increasing the amount of public money into the system is widely accepted as not</w:t>
      </w:r>
      <w:r>
        <w:t xml:space="preserve"> reliant enough to restore performance whilst transforming services to deliver better care. Prudent healthcare is often criticised for being about saving money </w:t>
      </w:r>
      <w:r w:rsidR="008D4E2D">
        <w:t xml:space="preserve">(Puyol, 2018) </w:t>
      </w:r>
      <w:r>
        <w:t xml:space="preserve">however, whilst adopting prudent healthcare principles should </w:t>
      </w:r>
      <w:r w:rsidR="008D4E2D">
        <w:t>provide value for</w:t>
      </w:r>
      <w:r>
        <w:t xml:space="preserve"> mo</w:t>
      </w:r>
      <w:r>
        <w:t>ney, the principles are based on creating a better experience for patients, one where patients can make informed decisions about the care they receive, the promotion of healthier lifestyles takes priority, and responsibility is accountable</w:t>
      </w:r>
      <w:r w:rsidR="00C86682">
        <w:t xml:space="preserve"> (Crane and Noon, 2019)</w:t>
      </w:r>
      <w:r>
        <w:t xml:space="preserve">. When these principles are accepted and fully implemented prudent healthcare will </w:t>
      </w:r>
      <w:r w:rsidR="00C86682">
        <w:t>promote</w:t>
      </w:r>
      <w:r>
        <w:t xml:space="preserve"> a sustainable service long term.</w:t>
      </w:r>
      <w:r w:rsidR="00576C0C">
        <w:t xml:space="preserve"> Current figures, a</w:t>
      </w:r>
      <w:r w:rsidR="00C86682">
        <w:t>ccording to a report published b</w:t>
      </w:r>
      <w:r w:rsidR="00576C0C">
        <w:t>y Click on Wales (2019), m</w:t>
      </w:r>
      <w:r w:rsidR="00C86682">
        <w:t>ore than 19 million individuals connect with primary care services in the NHS Wales each year that are provided by GP's. The new approach to providing care has been documented as being a result of the feedback received and the changes that have been implemented are a result that has been requested by patients to allied primary care professionals, specifically the desire to have easier access to specialist care providers</w:t>
      </w:r>
      <w:r w:rsidR="00B5737F">
        <w:t xml:space="preserve"> (Haas et al, 2016 and Knapp et al, 2018)</w:t>
      </w:r>
      <w:r w:rsidR="00C86682">
        <w:t>. This implies that patients are requesting more time and cost-effective way of being treated</w:t>
      </w:r>
      <w:r w:rsidR="003A7EAA">
        <w:t xml:space="preserve"> not only for the NHS but also cost-effective for patients</w:t>
      </w:r>
      <w:r w:rsidR="00A72768">
        <w:t>, what is meant by this is reducing the time needed to take from working patients to attend appointments</w:t>
      </w:r>
      <w:r w:rsidR="00C86682">
        <w:t xml:space="preserve">. When hearing about changes within the NHS it is common </w:t>
      </w:r>
      <w:r w:rsidR="00C86682">
        <w:lastRenderedPageBreak/>
        <w:t>to hear the term streamlining and streamlining of services, it is one method that is being proactive in approaching the challenges of a growing and ageing population, the collaboration of various organisations to unite could be interpreted as a natural way forward. Streamlining services can be defined as simplifying techniques by eliminating avoidable actions to maximise outcomes and can be observed in the changes in GP surgeries</w:t>
      </w:r>
      <w:r w:rsidR="00031563">
        <w:t xml:space="preserve"> (Glorney et al, 2010)</w:t>
      </w:r>
      <w:r w:rsidR="00C86682">
        <w:t xml:space="preserve">. </w:t>
      </w:r>
      <w:r w:rsidR="00E634EE">
        <w:t>Alongside the simplifying of techniques, g</w:t>
      </w:r>
      <w:r w:rsidR="00C86682">
        <w:t>eneral practices have</w:t>
      </w:r>
      <w:r w:rsidR="00E634EE">
        <w:t xml:space="preserve"> also</w:t>
      </w:r>
      <w:r w:rsidR="00C86682">
        <w:t xml:space="preserve"> been forced to rethink new approaches in a bid to meet public demand and </w:t>
      </w:r>
      <w:r w:rsidR="00E634EE">
        <w:t xml:space="preserve">the </w:t>
      </w:r>
      <w:r w:rsidR="00C86682">
        <w:t>changing criteria of its patients to promote effective services and cost-effective practices in primary care sectors</w:t>
      </w:r>
      <w:r w:rsidR="00031563">
        <w:t xml:space="preserve"> Graby, Smallwood, Stark and MacConnell (2019) who continue,</w:t>
      </w:r>
      <w:r w:rsidR="00C86682">
        <w:t xml:space="preserve"> </w:t>
      </w:r>
      <w:r w:rsidR="00031563">
        <w:t>r</w:t>
      </w:r>
      <w:r w:rsidR="00C86682">
        <w:t xml:space="preserve">eferrals to access counsellors, physiotherapists, pharmacies and offering appointments to see a prescribing nurse will aim to reduce the workload of GP’s and on hospitals, but more positively provide the appropriate care for those patients </w:t>
      </w:r>
      <w:r w:rsidR="00031563">
        <w:t xml:space="preserve">a view supported by </w:t>
      </w:r>
      <w:r w:rsidR="00C86682">
        <w:t xml:space="preserve">Gulland </w:t>
      </w:r>
      <w:r w:rsidR="00031563">
        <w:t>(</w:t>
      </w:r>
      <w:r w:rsidR="00C86682">
        <w:t>2017).</w:t>
      </w:r>
      <w:r w:rsidR="00730A87">
        <w:t xml:space="preserve"> Having discuss</w:t>
      </w:r>
      <w:r w:rsidR="00F25419">
        <w:t>ed</w:t>
      </w:r>
      <w:r w:rsidR="00730A87">
        <w:t xml:space="preserve"> </w:t>
      </w:r>
      <w:r w:rsidR="00A72768">
        <w:t xml:space="preserve">some of </w:t>
      </w:r>
      <w:r w:rsidR="00F25419">
        <w:t>the reasons for the change in the NHS, the next part of this paper aims to examine one of the factored changes and</w:t>
      </w:r>
      <w:r w:rsidR="00730A87">
        <w:t xml:space="preserve"> the introduction of GP clusters. GP clusters are a grouping of between five and eight general practices working alongside other health and care professionals that aim to plan and provide a more person-centred service that will span a geographic area between 30 and 50 thousand patients</w:t>
      </w:r>
      <w:r w:rsidR="001A1C19">
        <w:t xml:space="preserve"> (Adekanmbi et al, 2018)</w:t>
      </w:r>
      <w:r w:rsidR="00730A87">
        <w:t xml:space="preserve">. To explore GP clusters in more detail, an action plan in Hywel Dda's second-largest GP cluster </w:t>
      </w:r>
      <w:r w:rsidR="00AB049A">
        <w:t xml:space="preserve">located </w:t>
      </w:r>
      <w:r w:rsidR="00730A87">
        <w:t xml:space="preserve">in Llanelli </w:t>
      </w:r>
      <w:r w:rsidR="00AB049A">
        <w:t>feature</w:t>
      </w:r>
      <w:r w:rsidR="00730A87">
        <w:t xml:space="preserve"> how change is being </w:t>
      </w:r>
      <w:r w:rsidR="00AB049A">
        <w:t>applied</w:t>
      </w:r>
      <w:r w:rsidR="00A72768">
        <w:t xml:space="preserve"> and the outcomes</w:t>
      </w:r>
      <w:r w:rsidR="00730A87">
        <w:t>. There are numerous action p</w:t>
      </w:r>
      <w:r w:rsidR="00AB049A">
        <w:t>oints</w:t>
      </w:r>
      <w:r w:rsidR="00730A87">
        <w:t xml:space="preserve"> within the report, this paper will discuss two aspects of those documented. The first action point required understanding the local health needs as priorities</w:t>
      </w:r>
      <w:r w:rsidR="00A72768">
        <w:t xml:space="preserve"> can be agreed as an essential first step</w:t>
      </w:r>
      <w:r w:rsidR="00730A87">
        <w:t xml:space="preserve">. This meant reviewing prominent areas needing additional support, it was </w:t>
      </w:r>
      <w:r w:rsidR="00C66744">
        <w:t xml:space="preserve">identified </w:t>
      </w:r>
      <w:r w:rsidR="00730A87">
        <w:t xml:space="preserve">that in Llanelli there </w:t>
      </w:r>
      <w:r w:rsidR="00AB049A">
        <w:t xml:space="preserve">is </w:t>
      </w:r>
      <w:r w:rsidR="00730A87">
        <w:t xml:space="preserve">a high prevalence of smoking and the action </w:t>
      </w:r>
      <w:r w:rsidR="00C66744">
        <w:t>agreed</w:t>
      </w:r>
      <w:r w:rsidR="00730A87">
        <w:t xml:space="preserve"> was to employ a health style advocate in each practice who could provide continued guidance and support to specific issues such as smoking with patients to help them reduce or quit smoking</w:t>
      </w:r>
      <w:r w:rsidR="00651F2A">
        <w:t xml:space="preserve"> and also reduce the duplicated GP appointments required as a result</w:t>
      </w:r>
      <w:r w:rsidR="00AB049A">
        <w:t xml:space="preserve"> (NHS Wales, 2016)</w:t>
      </w:r>
      <w:r w:rsidR="00730A87">
        <w:t>. Smoking is the most preventable cause of disease and death in the UK, Hunt et al (2018); Song, Elwell-Sutton and Naughton (2019)</w:t>
      </w:r>
      <w:r w:rsidR="00AB049A">
        <w:t xml:space="preserve">. </w:t>
      </w:r>
      <w:r w:rsidR="00730A87">
        <w:t>White, Skirrow, George and Memon (2018) agree</w:t>
      </w:r>
      <w:r w:rsidR="00AB049A">
        <w:t xml:space="preserve"> and further</w:t>
      </w:r>
      <w:r w:rsidR="00730A87">
        <w:t xml:space="preserve"> that preventative interventions are cost-effective </w:t>
      </w:r>
      <w:r w:rsidR="00AB049A">
        <w:t>with</w:t>
      </w:r>
      <w:r w:rsidR="00730A87">
        <w:t xml:space="preserve"> favourable results</w:t>
      </w:r>
      <w:r w:rsidR="00AB049A">
        <w:t xml:space="preserve"> being observed since the</w:t>
      </w:r>
      <w:r w:rsidR="00730A87">
        <w:t xml:space="preserve"> Stop Smoking Service began in 2001. Statistics from the Institute of Economic Affairs (2017) state that </w:t>
      </w:r>
      <w:r w:rsidR="00651F2A">
        <w:t>regardless of</w:t>
      </w:r>
      <w:r w:rsidR="00730A87">
        <w:t xml:space="preserve"> the cost of treating smoking-related illness and disease to be £3.6 billion a year, the government recover four times that in tax revenue, suggesting that smoking inadvertently creates much-needed funds towards the financially struggling health service. Ironically, a later review of the action </w:t>
      </w:r>
      <w:r w:rsidR="00AB049A">
        <w:t xml:space="preserve">plan </w:t>
      </w:r>
      <w:r w:rsidR="00730A87">
        <w:t xml:space="preserve">observed a further investment in funds to employ further lifestyle advocates in each surgery suggesting positive </w:t>
      </w:r>
      <w:r w:rsidR="00E634EE">
        <w:t>results</w:t>
      </w:r>
      <w:r w:rsidR="00730A87">
        <w:t>.</w:t>
      </w:r>
      <w:r w:rsidR="00E634EE">
        <w:t xml:space="preserve"> The second action plan this paper</w:t>
      </w:r>
      <w:r w:rsidR="00C66744">
        <w:t xml:space="preserve"> will</w:t>
      </w:r>
      <w:r w:rsidR="00E634EE">
        <w:t xml:space="preserve"> discuss after </w:t>
      </w:r>
      <w:r w:rsidR="00BE181B">
        <w:t xml:space="preserve">the Auditor General for Wales (2015) </w:t>
      </w:r>
      <w:r w:rsidR="00E634EE">
        <w:t xml:space="preserve">discovered that 38% of people struggle to arrange an appointment at a convenient time. Reasons given for this included, appointments not being available on the day required, difficulty getting through to make an appointment and long waiting times for appointments. </w:t>
      </w:r>
      <w:r w:rsidR="00BE181B">
        <w:t>Considering this, c</w:t>
      </w:r>
      <w:r w:rsidR="00E634EE">
        <w:t>ommunication and review were discussed as a required action</w:t>
      </w:r>
      <w:r w:rsidR="00BE181B">
        <w:t xml:space="preserve"> by the group</w:t>
      </w:r>
      <w:r w:rsidR="00E634EE">
        <w:t>, and partnering organisations were invited to future meetings to discuss pathways going forward. Despite discussion being opened, actions and results have yet to be</w:t>
      </w:r>
      <w:r w:rsidR="00BE181B">
        <w:t xml:space="preserve"> published but were due in September 2019</w:t>
      </w:r>
      <w:r w:rsidR="00E634EE">
        <w:t xml:space="preserve">. Baker (2018) and O'Dowd (2016) both agree the NHS is experiencing the worst performance against waiting times since targets were set and note along with limited appointment availability in GP surgeries, a majority of patients are waiting for more than four hours in A&amp;E departments, also a significantly high amount of patients are waiting over 18 weeks for essential non-urgent treatment since 2008. Findings within their reports imply more people are experiencing longer delays securing appointments as a result of more people requiring treatment than the NHS can provide. However, Dayan, Ward, Gardner and Kelly (2018) argue that whilst waiting times for appointments and treatment are an issue that requires addressing, they have similar conditions in other countries, supporting population growth and an increase in demand </w:t>
      </w:r>
      <w:r w:rsidR="00E634EE">
        <w:lastRenderedPageBreak/>
        <w:t xml:space="preserve">as a general consequence. </w:t>
      </w:r>
      <w:r w:rsidR="00961CC5">
        <w:t>Nonetheless</w:t>
      </w:r>
      <w:r w:rsidR="00F23763">
        <w:t xml:space="preserve">, </w:t>
      </w:r>
      <w:r w:rsidR="00651F2A">
        <w:t>even though</w:t>
      </w:r>
      <w:r w:rsidR="00134014">
        <w:t xml:space="preserve"> </w:t>
      </w:r>
      <w:r w:rsidR="00F23763">
        <w:t>the joining of multiple GP practices within a set geographic area not intend</w:t>
      </w:r>
      <w:r w:rsidR="00134014">
        <w:t>ing</w:t>
      </w:r>
      <w:r w:rsidR="00F23763">
        <w:t xml:space="preserve"> to solve NHS funding problems but creat</w:t>
      </w:r>
      <w:r w:rsidR="00134014">
        <w:t>e</w:t>
      </w:r>
      <w:r w:rsidR="00F23763">
        <w:t xml:space="preserve"> opportuni</w:t>
      </w:r>
      <w:r w:rsidR="00134014">
        <w:t>ties</w:t>
      </w:r>
      <w:r w:rsidR="00F23763">
        <w:t xml:space="preserve"> and potential to support practices collectively</w:t>
      </w:r>
      <w:r w:rsidR="00134014">
        <w:t>, reviews documented thus far do not observe the improvements promised</w:t>
      </w:r>
      <w:r w:rsidR="00F23763">
        <w:t xml:space="preserve">. </w:t>
      </w:r>
      <w:r w:rsidR="00134014">
        <w:t>Additionally</w:t>
      </w:r>
      <w:r w:rsidR="00F23763">
        <w:t>, the system identif</w:t>
      </w:r>
      <w:r w:rsidR="00134014">
        <w:t>ies</w:t>
      </w:r>
      <w:r w:rsidR="00F23763">
        <w:t xml:space="preserve"> drawbacks as further reading of the action plan reveals when </w:t>
      </w:r>
      <w:r w:rsidR="00961CC5">
        <w:t>a consensus cannot be attained</w:t>
      </w:r>
      <w:r w:rsidR="00F23763">
        <w:t xml:space="preserve"> resolutions can be difficult to find, in this instance the report identifies a desire to combine workloads when attempting to improve access to services in nursing and residential care settings that would reduce the duplication of numerous GP’s visiting the same settings, however, due to a failed </w:t>
      </w:r>
      <w:r w:rsidR="00961CC5">
        <w:t>agreement</w:t>
      </w:r>
      <w:r w:rsidR="00F23763">
        <w:t xml:space="preserve"> the action had </w:t>
      </w:r>
      <w:r w:rsidR="00961CC5">
        <w:t xml:space="preserve">to be </w:t>
      </w:r>
      <w:r w:rsidR="00F23763">
        <w:t>been withdrawn with no further comment at that time</w:t>
      </w:r>
      <w:r w:rsidR="00134014">
        <w:t>, resulting in continued poor efficiency of man-power and adding to the already stressed staff levels</w:t>
      </w:r>
      <w:r w:rsidR="00F23763">
        <w:t>. Kellner, Townsend and Wilkinson (2017) state</w:t>
      </w:r>
      <w:r w:rsidR="00961CC5">
        <w:t xml:space="preserve">; </w:t>
      </w:r>
      <w:r w:rsidR="00F23763">
        <w:t>these effects can be a consequence that individuals within organisations experience when surrounded by competitive and high-performance work systems, that can negate the values-based approach that many healthcare professionals are passionate about.</w:t>
      </w:r>
      <w:r w:rsidR="00961CC5">
        <w:t xml:space="preserve"> However, c</w:t>
      </w:r>
      <w:r w:rsidR="00F23763">
        <w:t>ollaborative partnerships</w:t>
      </w:r>
      <w:r w:rsidR="006E6158">
        <w:t xml:space="preserve"> overall</w:t>
      </w:r>
      <w:r w:rsidR="00F23763">
        <w:t xml:space="preserve"> aim to retain high-quality care, sharing expertise and support caseload management.</w:t>
      </w:r>
      <w:r w:rsidR="00961CC5">
        <w:t xml:space="preserve"> Allowing for a period of adjustment should be </w:t>
      </w:r>
      <w:r w:rsidR="00651F2A">
        <w:t>accepted</w:t>
      </w:r>
      <w:r w:rsidR="00961CC5">
        <w:t xml:space="preserve"> considering the relatively short period of time the cluster</w:t>
      </w:r>
      <w:r w:rsidR="0038724B">
        <w:t>s</w:t>
      </w:r>
      <w:r w:rsidR="00901F14">
        <w:t xml:space="preserve"> ha</w:t>
      </w:r>
      <w:r w:rsidR="006E6158">
        <w:t>ve</w:t>
      </w:r>
      <w:r w:rsidR="00961CC5">
        <w:t xml:space="preserve"> </w:t>
      </w:r>
      <w:r w:rsidR="00901F14">
        <w:t>been</w:t>
      </w:r>
      <w:r w:rsidR="006E6158">
        <w:t xml:space="preserve"> active</w:t>
      </w:r>
      <w:r w:rsidR="00901F14">
        <w:t xml:space="preserve"> with extra consideration given to all individuals</w:t>
      </w:r>
      <w:r w:rsidR="006E6158">
        <w:t xml:space="preserve"> affected</w:t>
      </w:r>
      <w:r w:rsidR="00901F14">
        <w:t xml:space="preserve"> within it, </w:t>
      </w:r>
      <w:r w:rsidR="006E6158">
        <w:t>including</w:t>
      </w:r>
      <w:r w:rsidR="00901F14">
        <w:t xml:space="preserve"> the patients that are also adjusting to the changes and will have an impact on the speed and efficacy of which the organisation establishes itself.</w:t>
      </w:r>
      <w:r w:rsidR="00F23763">
        <w:t xml:space="preserve"> </w:t>
      </w:r>
      <w:r w:rsidR="00901F14">
        <w:t>The</w:t>
      </w:r>
      <w:r w:rsidR="00F23763">
        <w:t xml:space="preserve"> patients of these clusters need to understand the</w:t>
      </w:r>
      <w:r w:rsidR="00901F14">
        <w:t xml:space="preserve"> reasons</w:t>
      </w:r>
      <w:r w:rsidR="00F23763">
        <w:t xml:space="preserve"> changes</w:t>
      </w:r>
      <w:r w:rsidR="00901F14">
        <w:t xml:space="preserve"> are</w:t>
      </w:r>
      <w:r w:rsidR="00F23763">
        <w:t xml:space="preserve"> being made as </w:t>
      </w:r>
      <w:r w:rsidR="00901F14">
        <w:t>part of the</w:t>
      </w:r>
      <w:r w:rsidR="00F23763">
        <w:t xml:space="preserve"> long-term strategy that </w:t>
      </w:r>
      <w:r w:rsidR="00901F14">
        <w:t>involves a</w:t>
      </w:r>
      <w:r w:rsidR="00F23763">
        <w:t xml:space="preserve"> focus on creating a healthier environment, for which more emphasis needs to be placed in education.</w:t>
      </w:r>
      <w:r w:rsidR="006E6158">
        <w:t xml:space="preserve"> Identifying the need for a </w:t>
      </w:r>
      <w:r w:rsidR="00D34932">
        <w:t>patient’s</w:t>
      </w:r>
      <w:r w:rsidR="006E6158">
        <w:t xml:space="preserve"> participation in the efficiency of any healthcare setting, it</w:t>
      </w:r>
      <w:r w:rsidR="00901F14">
        <w:t xml:space="preserve"> could be considered an ideal time to discuss patient activation and its important role when exploring changes in the NHS. "Patient activation" can be described as a patient's willingness and ability to seek information that will instil confidence to manage one's own health and healthcare (Hibbard, 2017). It is becoming more widely accepted that positive patient outcomes are most effective when managing their health and healthcare needs, therefore, more effort is required in encouraging patients to be present and active in the process</w:t>
      </w:r>
      <w:r w:rsidR="0038724B">
        <w:t>,</w:t>
      </w:r>
      <w:r w:rsidR="00901F14">
        <w:t xml:space="preserve"> Green and Hibbard (2012).  Green et al (2015), further, the importance of activated patients to be paramount, as they regulate the need for care and the results of care received. Of the studies conducted, whilst limitations have been identified; for example, the targeting of an individual to increase self-awareness may not provide sustainable results and sample sizes of studies conducted are often small</w:t>
      </w:r>
      <w:r w:rsidR="0038724B">
        <w:t xml:space="preserve">, </w:t>
      </w:r>
      <w:r w:rsidR="00901F14">
        <w:t>in general, the outcome of patient activation has shown long term improved health, outlook and lifestyle choices that are cost-effective and sustainable</w:t>
      </w:r>
      <w:r w:rsidR="00901F14">
        <w:rPr>
          <w:rFonts w:ascii="Arial" w:hAnsi="Arial" w:cs="Arial"/>
          <w:color w:val="333333"/>
          <w:shd w:val="clear" w:color="auto" w:fill="FFFFFF"/>
        </w:rPr>
        <w:t xml:space="preserve"> </w:t>
      </w:r>
      <w:r w:rsidR="00901F14">
        <w:t xml:space="preserve">(Reistroffer et al., 2017 and Hibbard, 2017) furthermore an activated patient is regarded </w:t>
      </w:r>
      <w:r w:rsidR="0038724B">
        <w:t xml:space="preserve">together with </w:t>
      </w:r>
      <w:r w:rsidR="00901F14">
        <w:t xml:space="preserve">lower health care costs (Davis, 2019). To </w:t>
      </w:r>
      <w:r w:rsidR="006D70E0">
        <w:t>discover</w:t>
      </w:r>
      <w:r w:rsidR="00901F14">
        <w:t xml:space="preserve"> whether patient activation is proving to be cost-effective, one needs to consider the characteristics of patients. Hibbard et al, (2017) suggest one way to improve efficacy is to identify the likelihood of patient participation and not only concentrate on the risk factor a patient may present. To maximise cost-effectiveness the ability to identify patients most inclined to respond to the intervention will increase outcomes. However, this could create a bias toward proactive clients and create a divide. Hibbard, Green and Overton (2013) discuss patients that are characterised as less activated to be accepted as having poor confidence levels that can be associated with mental health issues or as an effect of living with a pre-existing long term medical condition such as diabetes that affect their ability to manage tasks and are more likely to feel overwhelmed with any task requiring behavioural changes. Considering this factor when treating a less activated patient should help health care providers limit the amount of information</w:t>
      </w:r>
      <w:r w:rsidR="0038724B">
        <w:t xml:space="preserve"> being</w:t>
      </w:r>
      <w:r w:rsidR="00901F14">
        <w:t xml:space="preserve"> given at any one time and to provide extra support encouraging smaller steps towards the desired changes required, a view supported by Shively et al., (2013) and Wolever et al., (2010). It has been difficult to find </w:t>
      </w:r>
      <w:r w:rsidR="0038724B">
        <w:t>data</w:t>
      </w:r>
      <w:r w:rsidR="00901F14">
        <w:t xml:space="preserve"> supporting the exact figures for the effectiveness of patient activation, however</w:t>
      </w:r>
      <w:r w:rsidR="00A72768">
        <w:t xml:space="preserve"> as already discussed the</w:t>
      </w:r>
      <w:r w:rsidR="00901F14">
        <w:t xml:space="preserve"> studies conducted have all been positive in its outcomes for the </w:t>
      </w:r>
      <w:r w:rsidR="00901F14">
        <w:lastRenderedPageBreak/>
        <w:t>process</w:t>
      </w:r>
      <w:r w:rsidR="002451FB">
        <w:t xml:space="preserve"> </w:t>
      </w:r>
      <w:r w:rsidR="00A72768">
        <w:t xml:space="preserve">and would suggest further investment in </w:t>
      </w:r>
      <w:r w:rsidR="006E6158">
        <w:t xml:space="preserve">education as necessary. </w:t>
      </w:r>
      <w:r w:rsidR="006D70E0">
        <w:t>This being said</w:t>
      </w:r>
      <w:r w:rsidR="00F23763">
        <w:t>, funding is means-tested and whilst favourable results may be observed, without the relevant supporting data within any given time frame, funding is at risk of being withdrawn (Blake and Lloyd, 2019)</w:t>
      </w:r>
      <w:r w:rsidR="00FA0EAD">
        <w:t xml:space="preserve">, </w:t>
      </w:r>
      <w:r w:rsidR="006D70E0">
        <w:t>nevertheless</w:t>
      </w:r>
      <w:r w:rsidR="002451FB">
        <w:t xml:space="preserve"> to make the changes needed, providing health education should receive </w:t>
      </w:r>
      <w:r w:rsidR="006D70E0">
        <w:t>further</w:t>
      </w:r>
      <w:r w:rsidR="002451FB">
        <w:t xml:space="preserve"> </w:t>
      </w:r>
      <w:r w:rsidR="00FA0EAD">
        <w:t xml:space="preserve">attention, changing public perception will take time </w:t>
      </w:r>
      <w:r w:rsidR="006D70E0">
        <w:t>even though</w:t>
      </w:r>
      <w:r w:rsidR="00FA0EAD">
        <w:t xml:space="preserve"> at some point definitive actions by medical professional will need to be taken to reinforce public health guidelines</w:t>
      </w:r>
      <w:r w:rsidR="00F23763">
        <w:t>.</w:t>
      </w:r>
      <w:r w:rsidR="002451FB">
        <w:t xml:space="preserve"> </w:t>
      </w:r>
      <w:r w:rsidR="006D70E0">
        <w:t xml:space="preserve">To continue, next this paper will examine responsibility within the NHS. </w:t>
      </w:r>
      <w:r w:rsidR="002451FB">
        <w:t xml:space="preserve">An aspect of prudent health care has been to place responsibility back into the patient’s control. This means that, if a patient is experiencing a debilitating condition exacerbated by lifestyle choices but that can be reversed; support and education to change those lifestyle choices should be the first course of action before considering to treat a condition that is likely to never be rectified if the root issue is not being dealt with at the source. To explore one aspect of this further, according to mind.org (2013), depression is a </w:t>
      </w:r>
      <w:r w:rsidR="0006027D">
        <w:t xml:space="preserve">deeply complex </w:t>
      </w:r>
      <w:r w:rsidR="002451FB">
        <w:t>health concern affecting 1 in 4 people in the UK</w:t>
      </w:r>
      <w:r w:rsidR="002451FB" w:rsidRPr="00803C92">
        <w:t xml:space="preserve"> </w:t>
      </w:r>
      <w:r w:rsidR="002451FB" w:rsidRPr="00803C92">
        <w:rPr>
          <w:rFonts w:cstheme="minorHAnsi"/>
          <w:color w:val="000000"/>
          <w:shd w:val="clear" w:color="auto" w:fill="FFFFFF"/>
        </w:rPr>
        <w:t>(Ons.gov.uk, 2020)</w:t>
      </w:r>
      <w:r w:rsidR="002451FB">
        <w:rPr>
          <w:rFonts w:cstheme="minorHAnsi"/>
        </w:rPr>
        <w:t>. There ha</w:t>
      </w:r>
      <w:r w:rsidR="0006027D">
        <w:rPr>
          <w:rFonts w:cstheme="minorHAnsi"/>
        </w:rPr>
        <w:t>ve</w:t>
      </w:r>
      <w:r w:rsidR="002451FB">
        <w:rPr>
          <w:rFonts w:cstheme="minorHAnsi"/>
        </w:rPr>
        <w:t xml:space="preserve"> been links made between mental wellbeing and overall health affected by lifestyle choices and it is important to distinguish these factors to appropriately support a patient to ensure further complications through adverse side effects for prescription medication that is not required in the first place. Malhi, Lingford-Hughes and Young (2016), discuss this difficulty in their paper explaining the prescribing of antidepressants to a larger community of patients experiencing less severe depressive symptoms than those intended for some antidepressant use, has in some trials led to participants being more receptive to placebo treatment, meaning that the treatment is ineffective and thus the need for better, effective and person-centred treatments are required. Since the introduction of prudent healthcare</w:t>
      </w:r>
      <w:r w:rsidR="00D4160F">
        <w:rPr>
          <w:rFonts w:cstheme="minorHAnsi"/>
        </w:rPr>
        <w:t>,</w:t>
      </w:r>
      <w:r w:rsidR="002451FB">
        <w:rPr>
          <w:rFonts w:cstheme="minorHAnsi"/>
        </w:rPr>
        <w:t xml:space="preserve"> changes have been introduced. Where</w:t>
      </w:r>
      <w:r w:rsidR="0006027D">
        <w:rPr>
          <w:rFonts w:cstheme="minorHAnsi"/>
        </w:rPr>
        <w:t>as historically</w:t>
      </w:r>
      <w:r w:rsidR="00A30397">
        <w:rPr>
          <w:rFonts w:cstheme="minorHAnsi"/>
        </w:rPr>
        <w:t xml:space="preserve">, in place of the family doctor familiar with its patients and their circumstances, </w:t>
      </w:r>
      <w:r w:rsidR="002451FB">
        <w:t xml:space="preserve">the primary treatment for depression </w:t>
      </w:r>
      <w:r w:rsidR="0006027D">
        <w:t>was</w:t>
      </w:r>
      <w:r w:rsidR="002451FB">
        <w:t xml:space="preserve"> a course of antidepressants after an initial and brief consultation</w:t>
      </w:r>
      <w:r w:rsidR="00A30397">
        <w:t>.</w:t>
      </w:r>
      <w:r w:rsidR="00D4160F">
        <w:t xml:space="preserve"> </w:t>
      </w:r>
      <w:r w:rsidR="00A30397">
        <w:t>D</w:t>
      </w:r>
      <w:r w:rsidR="002451FB">
        <w:t xml:space="preserve">octors are now </w:t>
      </w:r>
      <w:r w:rsidR="00A30397">
        <w:t>required</w:t>
      </w:r>
      <w:r w:rsidR="0006027D">
        <w:t xml:space="preserve"> to </w:t>
      </w:r>
      <w:r w:rsidR="002451FB">
        <w:t xml:space="preserve">ask more </w:t>
      </w:r>
      <w:r w:rsidR="0006027D">
        <w:t xml:space="preserve">lifestyle </w:t>
      </w:r>
      <w:r w:rsidR="002451FB">
        <w:t>questions to understand possible causes for the depressive symptoms</w:t>
      </w:r>
      <w:r w:rsidR="0006027D">
        <w:t>, moving toward a person</w:t>
      </w:r>
      <w:r w:rsidR="00D4160F">
        <w:t>-</w:t>
      </w:r>
      <w:r w:rsidR="0006027D">
        <w:t>centred approach</w:t>
      </w:r>
      <w:r w:rsidR="00D4160F">
        <w:t>.</w:t>
      </w:r>
      <w:r w:rsidR="0006027D">
        <w:t xml:space="preserve"> </w:t>
      </w:r>
      <w:r w:rsidR="00D4160F">
        <w:t>A</w:t>
      </w:r>
      <w:r w:rsidR="0006027D">
        <w:t>long with</w:t>
      </w:r>
      <w:r w:rsidR="002451FB">
        <w:t xml:space="preserve"> suggesting lifestyle changes</w:t>
      </w:r>
      <w:r w:rsidR="0006027D">
        <w:t>,</w:t>
      </w:r>
      <w:r w:rsidR="002451FB">
        <w:t xml:space="preserve"> referral</w:t>
      </w:r>
      <w:r w:rsidR="0006027D">
        <w:t>s</w:t>
      </w:r>
      <w:r w:rsidR="002451FB">
        <w:t xml:space="preserve"> to </w:t>
      </w:r>
      <w:r w:rsidR="0006027D">
        <w:t>mental health support agencies such as counsellors and lifestyle advocates</w:t>
      </w:r>
      <w:r w:rsidR="002451FB">
        <w:t xml:space="preserve"> to combat these issues</w:t>
      </w:r>
      <w:r w:rsidR="0006027D">
        <w:t xml:space="preserve"> are being made</w:t>
      </w:r>
      <w:r w:rsidR="002451FB">
        <w:t>. Mental health is arguably the largest cause of disability in the UK</w:t>
      </w:r>
      <w:r w:rsidR="008559B6">
        <w:t>,</w:t>
      </w:r>
      <w:r w:rsidR="002451FB">
        <w:t xml:space="preserve"> contribut</w:t>
      </w:r>
      <w:r w:rsidR="008559B6">
        <w:t>ing</w:t>
      </w:r>
      <w:r w:rsidR="002451FB">
        <w:t xml:space="preserve"> to 22.8% of the total compared to 16.2% for cardiovascular-related diseases and 15.9% for Cancer-related illnesses</w:t>
      </w:r>
      <w:r w:rsidR="001600F2">
        <w:t>, Alun et al, (2017) who continue to state in t</w:t>
      </w:r>
      <w:r w:rsidR="002451FB">
        <w:t>he repor</w:t>
      </w:r>
      <w:r w:rsidR="001600F2">
        <w:t>t</w:t>
      </w:r>
      <w:r w:rsidR="002451FB">
        <w:t xml:space="preserve"> that in </w:t>
      </w:r>
      <w:r w:rsidR="0006027D">
        <w:t xml:space="preserve">Wales </w:t>
      </w:r>
      <w:r w:rsidR="002451FB">
        <w:t>alone</w:t>
      </w:r>
      <w:r w:rsidR="005C3C45">
        <w:t>,</w:t>
      </w:r>
      <w:r w:rsidR="002451FB">
        <w:t xml:space="preserve"> mental health illness costs </w:t>
      </w:r>
      <w:r w:rsidR="00AF69C1">
        <w:t>£7.2</w:t>
      </w:r>
      <w:r w:rsidR="002451FB">
        <w:t xml:space="preserve"> billion per annum that also takes into consideration the cost of loss of productivity and the use of NHS services.</w:t>
      </w:r>
      <w:r w:rsidR="00AF69C1">
        <w:t xml:space="preserve"> A</w:t>
      </w:r>
      <w:r w:rsidR="00D4160F">
        <w:t>dditionally,</w:t>
      </w:r>
      <w:r w:rsidR="001600F2">
        <w:t xml:space="preserve"> Evans et al (2019) state</w:t>
      </w:r>
      <w:r w:rsidR="00D4160F">
        <w:t xml:space="preserve"> a</w:t>
      </w:r>
      <w:r w:rsidR="00AF69C1">
        <w:t>pproximately 350 people die from suicide</w:t>
      </w:r>
      <w:r w:rsidR="001600F2">
        <w:t xml:space="preserve"> each year</w:t>
      </w:r>
      <w:r w:rsidR="00A30397">
        <w:t>.</w:t>
      </w:r>
      <w:r w:rsidR="00AF69C1">
        <w:t xml:space="preserve"> </w:t>
      </w:r>
      <w:r w:rsidR="00A30397">
        <w:t>T</w:t>
      </w:r>
      <w:r w:rsidR="00AF69C1">
        <w:t>o put into perspective that is three times the number killed in traffic accident</w:t>
      </w:r>
      <w:r w:rsidR="00D4160F">
        <w:t>s</w:t>
      </w:r>
      <w:r w:rsidR="001600F2">
        <w:t xml:space="preserve">. When considering the impact a person-centred approach and the correct signposting to third sector organisations could have on reducing the numbers of suicide and improve overall experiences </w:t>
      </w:r>
      <w:r w:rsidR="00A30397">
        <w:t xml:space="preserve">of </w:t>
      </w:r>
      <w:r w:rsidR="001600F2">
        <w:t>mental health</w:t>
      </w:r>
      <w:r w:rsidR="00A30397">
        <w:t xml:space="preserve"> conditions</w:t>
      </w:r>
      <w:r w:rsidR="001600F2">
        <w:t>, could be described as an action that will provide much-needed relief</w:t>
      </w:r>
      <w:r w:rsidR="00D34932">
        <w:t xml:space="preserve"> in </w:t>
      </w:r>
      <w:r w:rsidR="005C3C45">
        <w:t>va</w:t>
      </w:r>
      <w:r w:rsidR="00EA2B59">
        <w:t>r</w:t>
      </w:r>
      <w:r w:rsidR="005C3C45">
        <w:t>ious</w:t>
      </w:r>
      <w:r w:rsidR="00D34932">
        <w:t xml:space="preserve"> areas. What this means is, the improved handling of patients and swift referral times will instil confidence in patients. Appropriate and adequate diagnosis and treatment of mental health conditions will improve, as well as reduce the impact on repeated GP visits, understanding unhealthy lifestyle impacts and individual triggers can avoid illness and promote wellbeing and recovery times that will</w:t>
      </w:r>
      <w:r w:rsidR="00EA2B59">
        <w:t xml:space="preserve"> </w:t>
      </w:r>
      <w:r w:rsidR="00255DB0">
        <w:t>change</w:t>
      </w:r>
      <w:r w:rsidR="00EA2B59">
        <w:t xml:space="preserve"> </w:t>
      </w:r>
      <w:r w:rsidR="00D34932">
        <w:t>individuals</w:t>
      </w:r>
      <w:r w:rsidR="00373F32">
        <w:t>,</w:t>
      </w:r>
      <w:r w:rsidR="00D34932">
        <w:t xml:space="preserve"> their families and societal productivity that will also have an indirect </w:t>
      </w:r>
      <w:r w:rsidR="00EB734A">
        <w:t>effect</w:t>
      </w:r>
      <w:r w:rsidR="00D34932">
        <w:t xml:space="preserve"> on NHS budgets. </w:t>
      </w:r>
      <w:r w:rsidR="001927B0">
        <w:t>C</w:t>
      </w:r>
      <w:r w:rsidR="002A21EA">
        <w:t>ontinu</w:t>
      </w:r>
      <w:r w:rsidR="001927B0">
        <w:t>ing</w:t>
      </w:r>
      <w:r w:rsidR="002A21EA">
        <w:t xml:space="preserve"> to </w:t>
      </w:r>
      <w:r w:rsidR="001927B0">
        <w:t xml:space="preserve">explore and </w:t>
      </w:r>
      <w:r w:rsidR="002A21EA">
        <w:t>understand the imp</w:t>
      </w:r>
      <w:r w:rsidR="001927B0">
        <w:t xml:space="preserve">act </w:t>
      </w:r>
      <w:r w:rsidR="002A21EA">
        <w:t>of lifestyle choices, this paper will now examine if</w:t>
      </w:r>
      <w:r w:rsidR="00D74301">
        <w:t xml:space="preserve"> the</w:t>
      </w:r>
      <w:r w:rsidR="002A21EA">
        <w:t xml:space="preserve"> </w:t>
      </w:r>
      <w:r w:rsidR="00D74301">
        <w:t xml:space="preserve">new </w:t>
      </w:r>
      <w:r w:rsidR="002A21EA">
        <w:t>methods have been meeting targets set out by the Welsh Government. In 201</w:t>
      </w:r>
      <w:r w:rsidR="00373F32">
        <w:t>5</w:t>
      </w:r>
      <w:r w:rsidR="002A21EA">
        <w:t xml:space="preserve"> the Welsh Government published The Wellbeing of Future Generations Act,</w:t>
      </w:r>
      <w:r w:rsidR="007A3A8A">
        <w:t xml:space="preserve"> supporting </w:t>
      </w:r>
      <w:r w:rsidR="001927B0">
        <w:t>the prominence</w:t>
      </w:r>
      <w:r w:rsidR="00D74301">
        <w:t xml:space="preserve"> need for l</w:t>
      </w:r>
      <w:r w:rsidR="002451FB">
        <w:t>ifestyles c</w:t>
      </w:r>
      <w:r w:rsidR="00D74301">
        <w:t>hanges</w:t>
      </w:r>
      <w:r w:rsidR="002451FB">
        <w:t xml:space="preserve"> </w:t>
      </w:r>
      <w:r w:rsidR="00D74301">
        <w:t xml:space="preserve">if </w:t>
      </w:r>
      <w:r w:rsidR="002451FB">
        <w:t>an improvement in overall mental and physical wellbeing if it is to make a positive impact</w:t>
      </w:r>
      <w:r w:rsidR="001927B0">
        <w:t>. T</w:t>
      </w:r>
      <w:r w:rsidR="00D74301">
        <w:t>he act states everyone must unite working towards a common goal</w:t>
      </w:r>
      <w:r w:rsidR="007A3A8A">
        <w:t>, and in a ground</w:t>
      </w:r>
      <w:r w:rsidR="001927B0">
        <w:t>-</w:t>
      </w:r>
      <w:r w:rsidR="007A3A8A">
        <w:t xml:space="preserve">breaking move, legally bound organisations within Wales </w:t>
      </w:r>
      <w:r w:rsidR="001927B0">
        <w:t xml:space="preserve">to </w:t>
      </w:r>
      <w:r w:rsidR="007A3A8A">
        <w:t>adhere to the policy</w:t>
      </w:r>
      <w:r w:rsidR="002451FB">
        <w:t xml:space="preserve">. </w:t>
      </w:r>
      <w:r w:rsidR="007A3A8A">
        <w:t xml:space="preserve">With the act being it its infancy stages it can be acknowledged </w:t>
      </w:r>
      <w:r w:rsidR="006D70E0">
        <w:t xml:space="preserve">to experience </w:t>
      </w:r>
      <w:r w:rsidR="007A3A8A">
        <w:lastRenderedPageBreak/>
        <w:t>some problems along the way</w:t>
      </w:r>
      <w:r w:rsidR="006D70E0">
        <w:t>,</w:t>
      </w:r>
      <w:r w:rsidR="007A3A8A">
        <w:t xml:space="preserve"> however, lessons can </w:t>
      </w:r>
      <w:r w:rsidR="005C3C45">
        <w:t xml:space="preserve">be </w:t>
      </w:r>
      <w:r w:rsidR="007A3A8A">
        <w:t>learned</w:t>
      </w:r>
      <w:r w:rsidR="005C3C45">
        <w:t xml:space="preserve"> and as part of that process, i</w:t>
      </w:r>
      <w:r w:rsidR="007A3A8A">
        <w:t xml:space="preserve">t is vital to review progress and observe how public bodies are </w:t>
      </w:r>
      <w:r w:rsidR="005C3C45">
        <w:t>responding.</w:t>
      </w:r>
      <w:r w:rsidR="0088561F">
        <w:t xml:space="preserve"> Next, this paper will discuss one of the implemented changes.</w:t>
      </w:r>
      <w:r w:rsidR="001927B0">
        <w:t xml:space="preserve"> </w:t>
      </w:r>
      <w:r w:rsidR="0088561F">
        <w:t xml:space="preserve">According to a report by Holzinger (2016), </w:t>
      </w:r>
      <w:r w:rsidR="001927B0">
        <w:t>Torfaen</w:t>
      </w:r>
      <w:r w:rsidR="006D70E0">
        <w:t>’s</w:t>
      </w:r>
      <w:r w:rsidR="001927B0">
        <w:t xml:space="preserve"> </w:t>
      </w:r>
      <w:r w:rsidR="006D70E0">
        <w:t>answer to the</w:t>
      </w:r>
      <w:r w:rsidR="0088561F">
        <w:t xml:space="preserve"> Act</w:t>
      </w:r>
      <w:r w:rsidR="001927B0">
        <w:t xml:space="preserve"> </w:t>
      </w:r>
      <w:r w:rsidR="006D70E0">
        <w:t>was to</w:t>
      </w:r>
      <w:r w:rsidR="001927B0">
        <w:t xml:space="preserve"> introduc</w:t>
      </w:r>
      <w:r w:rsidR="006D70E0">
        <w:t>e</w:t>
      </w:r>
      <w:r w:rsidR="001927B0">
        <w:t xml:space="preserve"> social prescribing</w:t>
      </w:r>
      <w:r w:rsidR="0088561F">
        <w:t xml:space="preserve"> in its GP surgery</w:t>
      </w:r>
      <w:r w:rsidR="009B7B3C">
        <w:t xml:space="preserve">. Kimberlee (2015) describe social prescribing as referring patients to access support in the community from what is </w:t>
      </w:r>
      <w:r w:rsidR="006D2F8F">
        <w:t xml:space="preserve">also </w:t>
      </w:r>
      <w:r w:rsidR="009B7B3C">
        <w:t xml:space="preserve">known as the third sector. </w:t>
      </w:r>
      <w:r w:rsidR="006D2F8F">
        <w:t>In this approach, a patient can explore themselves in a holistic capacity where opportunities to understand aspects of their well</w:t>
      </w:r>
      <w:r w:rsidR="0088561F">
        <w:t>-</w:t>
      </w:r>
      <w:r w:rsidR="006D2F8F">
        <w:t xml:space="preserve">being that had not previously been </w:t>
      </w:r>
      <w:r w:rsidR="0035406F">
        <w:t>accessed but can improve quality of life.</w:t>
      </w:r>
      <w:r w:rsidR="006D2F8F">
        <w:t xml:space="preserve"> </w:t>
      </w:r>
      <w:r w:rsidR="0035406F">
        <w:t>T</w:t>
      </w:r>
      <w:r w:rsidR="006D2F8F">
        <w:t xml:space="preserve">he third sector is defined as </w:t>
      </w:r>
      <w:r w:rsidR="0035406F">
        <w:t xml:space="preserve">a range of non-profit organisations that neither belong to the private or public sector </w:t>
      </w:r>
      <w:r w:rsidR="00051BA1">
        <w:t>but</w:t>
      </w:r>
      <w:r w:rsidR="0035406F">
        <w:t xml:space="preserve"> include voluntary and community groups (Salamon and Sokolowski, 2016)</w:t>
      </w:r>
      <w:r w:rsidR="0069664F">
        <w:t>.</w:t>
      </w:r>
      <w:r w:rsidR="0035406F">
        <w:t xml:space="preserve"> </w:t>
      </w:r>
      <w:r w:rsidR="00051BA1">
        <w:t>In the report, Holzinger (2016) states s</w:t>
      </w:r>
      <w:r w:rsidR="0069664F">
        <w:t>ocial prescribing was set up within the GP surgeries</w:t>
      </w:r>
      <w:r w:rsidR="00051BA1">
        <w:t xml:space="preserve"> of Torfaen</w:t>
      </w:r>
      <w:r w:rsidR="0069664F">
        <w:t xml:space="preserve"> to encourage alternative options t</w:t>
      </w:r>
      <w:r w:rsidR="00051BA1">
        <w:t>han</w:t>
      </w:r>
      <w:r w:rsidR="0069664F">
        <w:t xml:space="preserve"> a medical intervention that aims to discover the underlying causes of ill health. Being prominent in it</w:t>
      </w:r>
      <w:r w:rsidR="00E23C50">
        <w:t>s</w:t>
      </w:r>
      <w:r w:rsidR="0069664F">
        <w:t xml:space="preserve"> </w:t>
      </w:r>
      <w:r w:rsidR="00051BA1">
        <w:t>location</w:t>
      </w:r>
      <w:r w:rsidR="0069664F">
        <w:t xml:space="preserve"> was </w:t>
      </w:r>
      <w:r w:rsidR="00051BA1">
        <w:t xml:space="preserve">consciously decided </w:t>
      </w:r>
      <w:r w:rsidR="0069664F">
        <w:t xml:space="preserve">to promote a trusting relationship with patients </w:t>
      </w:r>
      <w:r w:rsidR="00051BA1">
        <w:t>and reduce possible restrictions a</w:t>
      </w:r>
      <w:r w:rsidR="0069664F">
        <w:t>nd</w:t>
      </w:r>
      <w:r w:rsidR="00051BA1">
        <w:t xml:space="preserve"> create</w:t>
      </w:r>
      <w:r w:rsidR="0069664F">
        <w:t xml:space="preserve"> ease of access</w:t>
      </w:r>
      <w:r w:rsidR="00381C86">
        <w:t xml:space="preserve"> to third sector provisions</w:t>
      </w:r>
      <w:r w:rsidR="0069664F">
        <w:t xml:space="preserve">. </w:t>
      </w:r>
      <w:r w:rsidR="00051BA1">
        <w:t>The referral process has been simplified</w:t>
      </w:r>
      <w:r w:rsidR="0069664F">
        <w:t xml:space="preserve">, with anyone who is experiencing a negative impact on their </w:t>
      </w:r>
      <w:r w:rsidR="00051BA1">
        <w:t>mental and physical well-being</w:t>
      </w:r>
      <w:r w:rsidR="0069664F">
        <w:t xml:space="preserve"> and is a</w:t>
      </w:r>
      <w:r w:rsidR="00051BA1">
        <w:t>n</w:t>
      </w:r>
      <w:r w:rsidR="0069664F">
        <w:t xml:space="preserve"> </w:t>
      </w:r>
      <w:r w:rsidR="00051BA1">
        <w:t xml:space="preserve">existing </w:t>
      </w:r>
      <w:r w:rsidR="0069664F">
        <w:t>patient of the primary care setting can gain access to the services</w:t>
      </w:r>
      <w:r w:rsidR="00E23C50">
        <w:t xml:space="preserve">. So far those observed </w:t>
      </w:r>
      <w:r w:rsidR="003C0CCE">
        <w:t>utilising</w:t>
      </w:r>
      <w:r w:rsidR="00E23C50">
        <w:t xml:space="preserve"> the services are considered vulnerable with complex situations, </w:t>
      </w:r>
      <w:r w:rsidR="006D70E0">
        <w:t>nevertheless</w:t>
      </w:r>
      <w:r w:rsidR="00E23C50">
        <w:t>, the services accessed are proving beneficial.</w:t>
      </w:r>
      <w:r w:rsidR="006904CE">
        <w:t xml:space="preserve"> Thomson, Camic and Chatterjee (2015), discuss the additional relief that can be provided when exploring multiple factors and treating a person holistically, explaining when patients have presented with physical complaints but have additionally received psychological therapy an improvement of the physical symptom is so prominent that the savings on NHS physical care outweigh the cost of the psychological therapy and must not be overlooked, a view supported by Radhakrishnan et al,</w:t>
      </w:r>
      <w:r w:rsidR="006904CE">
        <w:rPr>
          <w:rFonts w:cstheme="minorHAnsi"/>
          <w:color w:val="222222"/>
          <w:shd w:val="clear" w:color="auto" w:fill="FFFFFF"/>
        </w:rPr>
        <w:t xml:space="preserve"> (2013). Social prescribing in the Llanelli area is utilising a time credits scheme where patients can have access to the gym and swimming facilities. Members of Links, a voluntary mental health charity has seen its members utilise the facilities and have positive results when used regularly, however, whilst encouraging patients to use the facilities made available to them, there has been no documentation on how this is maintained or supported within the Llanelli Cluster.</w:t>
      </w:r>
      <w:r w:rsidR="00E23C50">
        <w:t xml:space="preserve"> </w:t>
      </w:r>
      <w:r w:rsidR="0071179A">
        <w:t>Interestingly, Holzinger</w:t>
      </w:r>
      <w:r w:rsidR="006904CE">
        <w:t xml:space="preserve"> (2016)</w:t>
      </w:r>
      <w:r w:rsidR="0071179A">
        <w:t xml:space="preserve"> </w:t>
      </w:r>
      <w:r w:rsidR="006B6328">
        <w:t>discusses</w:t>
      </w:r>
      <w:r w:rsidR="0071179A">
        <w:t xml:space="preserve"> the emphasis to be not on results, but in engaging and embracing the mindset whilst </w:t>
      </w:r>
      <w:r w:rsidR="00E23C50">
        <w:t>being proactive in its approach to meet the criteria of the Act. Furthermore, when acknowledging the pioneering method that Wales is taking</w:t>
      </w:r>
      <w:r w:rsidR="008861AE">
        <w:t>,</w:t>
      </w:r>
      <w:r w:rsidR="00E23C50">
        <w:t xml:space="preserve"> a period of adjustment </w:t>
      </w:r>
      <w:r w:rsidR="008861AE">
        <w:t>has been widely accepted.</w:t>
      </w:r>
      <w:r w:rsidR="00E23C50">
        <w:t xml:space="preserve"> </w:t>
      </w:r>
      <w:r w:rsidR="008861AE">
        <w:t>Moreover, in a stance of</w:t>
      </w:r>
      <w:r w:rsidR="00E23C50">
        <w:t xml:space="preserve"> </w:t>
      </w:r>
      <w:r w:rsidR="008861AE">
        <w:t>commitment to the Act, commissioners continue to review and reflect how the changes are being accepted and implemented by organisations as a way of refining the system</w:t>
      </w:r>
      <w:r w:rsidR="006904CE">
        <w:t>, additionally</w:t>
      </w:r>
      <w:r w:rsidR="008861AE">
        <w:t xml:space="preserve">, it </w:t>
      </w:r>
      <w:r w:rsidR="00051BA1">
        <w:t>continuously</w:t>
      </w:r>
      <w:r w:rsidR="008861AE">
        <w:t xml:space="preserve"> encourages communication between organisations as a reminder of the Acts aims to unite everyone working towards a common goal.</w:t>
      </w:r>
      <w:r w:rsidR="004929BF">
        <w:t xml:space="preserve"> </w:t>
      </w:r>
      <w:bookmarkStart w:id="1" w:name="_Hlk30179372"/>
      <w:r w:rsidR="006B6328">
        <w:t>Turning now to explore the</w:t>
      </w:r>
      <w:r>
        <w:t xml:space="preserve"> effect</w:t>
      </w:r>
      <w:r w:rsidR="006B6328">
        <w:t>s</w:t>
      </w:r>
      <w:r>
        <w:t xml:space="preserve"> of utilising third sectors </w:t>
      </w:r>
      <w:r w:rsidR="006B6328">
        <w:t>as</w:t>
      </w:r>
      <w:r>
        <w:t xml:space="preserve"> the extent to which they must validate the work they do. To gain access to public funds, third sector organisations are subject to extensive scrutiny to justify their position within the community, illustrating value </w:t>
      </w:r>
      <w:r>
        <w:t>for money</w:t>
      </w:r>
      <w:r w:rsidR="00576C0C">
        <w:t xml:space="preserve"> and</w:t>
      </w:r>
      <w:r>
        <w:t xml:space="preserve"> community requirements</w:t>
      </w:r>
      <w:r w:rsidR="00DB2BCE">
        <w:t xml:space="preserve">. Third sector organisations are efficient in business management and deliver quality services. Often within, staff are passionate about the service they provide and are willing to work toward </w:t>
      </w:r>
      <w:r w:rsidR="006B6328">
        <w:t>a</w:t>
      </w:r>
      <w:r w:rsidR="00DB2BCE">
        <w:t xml:space="preserve"> common goal, that is now identified as a prominent objective in The Well-being of Future Generations Act. Third sector service users are a</w:t>
      </w:r>
      <w:r w:rsidR="006B6328">
        <w:t>lso a</w:t>
      </w:r>
      <w:r w:rsidR="00DB2BCE">
        <w:t xml:space="preserve"> dominant figure, without them the services would not exist and </w:t>
      </w:r>
      <w:r w:rsidR="00916662">
        <w:t>therefore it creates an appreciation for the service whilst collecting vital data for the government</w:t>
      </w:r>
      <w:r w:rsidR="00F222CD">
        <w:t>. Third sectors organisation</w:t>
      </w:r>
      <w:r w:rsidR="00331491">
        <w:t xml:space="preserve">s </w:t>
      </w:r>
      <w:r w:rsidR="00F222CD">
        <w:t xml:space="preserve">are all individual, with individual aims, goals, sets of values and approaches but they all share similar </w:t>
      </w:r>
      <w:r w:rsidR="00233EFF">
        <w:t>characteristics that appear to be adopted by areas within the NHS</w:t>
      </w:r>
      <w:r w:rsidR="00331491">
        <w:t xml:space="preserve"> that can be witnessed as a positive action (Seymore, 2019 and Gray and Jenkins 2017)</w:t>
      </w:r>
      <w:r w:rsidR="00233EFF">
        <w:t>. These</w:t>
      </w:r>
      <w:r w:rsidR="00331491">
        <w:t xml:space="preserve"> actions</w:t>
      </w:r>
      <w:r w:rsidR="00233EFF">
        <w:t xml:space="preserve"> are identifying</w:t>
      </w:r>
      <w:r w:rsidR="00BA4015">
        <w:t xml:space="preserve"> sector</w:t>
      </w:r>
      <w:r w:rsidR="00233EFF">
        <w:t xml:space="preserve"> aims, goals, encouraging staff to be passionate about working towards its shared </w:t>
      </w:r>
      <w:r w:rsidR="00233EFF">
        <w:lastRenderedPageBreak/>
        <w:t>goal</w:t>
      </w:r>
      <w:r w:rsidR="00BA4015">
        <w:t xml:space="preserve"> and </w:t>
      </w:r>
      <w:r w:rsidR="00233EFF">
        <w:t>produc</w:t>
      </w:r>
      <w:r w:rsidR="00BA4015">
        <w:t>ing</w:t>
      </w:r>
      <w:r w:rsidR="00233EFF">
        <w:t xml:space="preserve"> incentives, for example, student nurses assured positions within the NHS Wales upon qualification as a return on revenues and gaining value for money</w:t>
      </w:r>
      <w:r w:rsidR="00541397">
        <w:t>, Genders, (2017).</w:t>
      </w:r>
    </w:p>
    <w:p w14:paraId="3C2805ED" w14:textId="12849C44" w:rsidR="002451FB" w:rsidRDefault="00E167EA" w:rsidP="002451FB">
      <w:r>
        <w:t xml:space="preserve">Having explored </w:t>
      </w:r>
      <w:r w:rsidR="00472D9C">
        <w:t>several</w:t>
      </w:r>
      <w:r>
        <w:t xml:space="preserve"> changes within NHS</w:t>
      </w:r>
      <w:r w:rsidR="00472D9C">
        <w:t xml:space="preserve"> Wales, overall</w:t>
      </w:r>
      <w:r w:rsidR="008E05C4">
        <w:t xml:space="preserve">, </w:t>
      </w:r>
      <w:r w:rsidR="00472D9C">
        <w:t>even with the negative coverage depicted by the media</w:t>
      </w:r>
      <w:r w:rsidR="008E05C4">
        <w:t xml:space="preserve"> that has not been discussed</w:t>
      </w:r>
      <w:r w:rsidR="00472D9C">
        <w:t xml:space="preserve">, this paper has observed several positive outcomes. Accepting change will inevitably trigger </w:t>
      </w:r>
      <w:r w:rsidR="008E05C4">
        <w:t xml:space="preserve">a period of </w:t>
      </w:r>
      <w:r w:rsidR="00472D9C">
        <w:t>difficulty and will take time to resolve</w:t>
      </w:r>
      <w:r w:rsidR="008E05C4">
        <w:t xml:space="preserve">, however, </w:t>
      </w:r>
      <w:r w:rsidR="00472D9C">
        <w:t xml:space="preserve">NHS Wales is pioneering the way forward in </w:t>
      </w:r>
      <w:r w:rsidR="008E05C4">
        <w:t>creating policy and promoting a healthier nation in difficult conditions</w:t>
      </w:r>
      <w:r w:rsidR="00472D9C">
        <w:t>.</w:t>
      </w:r>
      <w:bookmarkEnd w:id="1"/>
      <w:r w:rsidR="008E05C4">
        <w:t xml:space="preserve"> W</w:t>
      </w:r>
      <w:r>
        <w:t>hilst the NHS is under unrelenting pressure it could be perceived as a by-product of</w:t>
      </w:r>
      <w:r>
        <w:t xml:space="preserve"> the success of the organisation that has made previously fatal conditions survivable</w:t>
      </w:r>
      <w:r w:rsidR="00223E8F">
        <w:t xml:space="preserve"> </w:t>
      </w:r>
      <w:r>
        <w:t xml:space="preserve">(Charlesworth and Bloor, 2018). </w:t>
      </w:r>
    </w:p>
    <w:p w14:paraId="66781921" w14:textId="77777777" w:rsidR="002451FB" w:rsidRDefault="002451FB" w:rsidP="002451FB"/>
    <w:p w14:paraId="55DFCA99" w14:textId="77777777" w:rsidR="002451FB" w:rsidRDefault="002451FB" w:rsidP="00F23763"/>
    <w:p w14:paraId="74BBF49D" w14:textId="77777777" w:rsidR="00F23763" w:rsidRDefault="00F23763" w:rsidP="00F23763"/>
    <w:p w14:paraId="251C9903" w14:textId="77777777" w:rsidR="00F23763" w:rsidRDefault="00F23763" w:rsidP="00E634EE"/>
    <w:p w14:paraId="373D45A1" w14:textId="44A5101F" w:rsidR="00414453" w:rsidRDefault="00414453" w:rsidP="00E634EE"/>
    <w:p w14:paraId="0B685EEA" w14:textId="3E0DEED4" w:rsidR="00414453" w:rsidRDefault="00414453" w:rsidP="00E634EE"/>
    <w:p w14:paraId="00D2A362" w14:textId="77777777" w:rsidR="00730A87" w:rsidRDefault="00730A87" w:rsidP="00610D4D"/>
    <w:p w14:paraId="55E44FFA" w14:textId="77777777" w:rsidR="00610D4D" w:rsidRDefault="00610D4D" w:rsidP="00610D4D"/>
    <w:p w14:paraId="1E2B1843" w14:textId="77777777" w:rsidR="00610D4D" w:rsidRDefault="00610D4D" w:rsidP="00130145"/>
    <w:p w14:paraId="13EE619A" w14:textId="77777777" w:rsidR="00130145" w:rsidRPr="00216CD8" w:rsidRDefault="00130145" w:rsidP="003B67FE"/>
    <w:p w14:paraId="3FC1C6F8" w14:textId="195BB3FE" w:rsidR="008C0553" w:rsidRDefault="008C0553"/>
    <w:p w14:paraId="6E14E3EC" w14:textId="3278CDF8" w:rsidR="003B67FE" w:rsidRDefault="003B67FE"/>
    <w:p w14:paraId="5F827909" w14:textId="2B6A3539" w:rsidR="003B67FE" w:rsidRDefault="003B67FE"/>
    <w:p w14:paraId="24889537" w14:textId="26D119BA" w:rsidR="003B67FE" w:rsidRDefault="003B67FE"/>
    <w:p w14:paraId="3ED4B7A2" w14:textId="01958B23" w:rsidR="003B67FE" w:rsidRDefault="003B67FE"/>
    <w:p w14:paraId="6107638D" w14:textId="73830E02" w:rsidR="003B67FE" w:rsidRDefault="003B67FE"/>
    <w:p w14:paraId="05BD5CB7" w14:textId="4C9A80DE" w:rsidR="003B67FE" w:rsidRDefault="003B67FE"/>
    <w:p w14:paraId="5E4E9AD0" w14:textId="0896196C" w:rsidR="003B67FE" w:rsidRDefault="003B67FE"/>
    <w:p w14:paraId="015A0161" w14:textId="74F3A21A" w:rsidR="003B67FE" w:rsidRDefault="003B67FE"/>
    <w:p w14:paraId="419EC4AB" w14:textId="02EBB7DB" w:rsidR="003B67FE" w:rsidRDefault="003B67FE"/>
    <w:p w14:paraId="27F8F6F8" w14:textId="15275A98" w:rsidR="003B67FE" w:rsidRDefault="003B67FE"/>
    <w:p w14:paraId="21CB432D" w14:textId="0DDCD38B" w:rsidR="003B67FE" w:rsidRDefault="003B67FE"/>
    <w:p w14:paraId="16D2797C" w14:textId="77777777" w:rsidR="003C1715" w:rsidRDefault="003C1715" w:rsidP="00C86682"/>
    <w:p w14:paraId="7852FDAD" w14:textId="28A32BC2" w:rsidR="003C1715" w:rsidRPr="003C1715" w:rsidRDefault="00E167EA" w:rsidP="00C86682">
      <w:pPr>
        <w:rPr>
          <w:rFonts w:cstheme="minorHAnsi"/>
          <w:color w:val="222222"/>
          <w:shd w:val="clear" w:color="auto" w:fill="FFFFFF"/>
        </w:rPr>
      </w:pPr>
      <w:r w:rsidRPr="003C1715">
        <w:rPr>
          <w:rFonts w:cstheme="minorHAnsi"/>
          <w:color w:val="222222"/>
          <w:shd w:val="clear" w:color="auto" w:fill="FFFFFF"/>
        </w:rPr>
        <w:lastRenderedPageBreak/>
        <w:t xml:space="preserve">Addis, S., Holland‐Hart, D., Edwards, A., Neal, R.D. and Wood, F., 2019. Implementing Prudent Healthcare in the NHS in Wales; what are the barriers and enablers for clinicians?. </w:t>
      </w:r>
      <w:r w:rsidRPr="003C1715">
        <w:rPr>
          <w:rFonts w:cstheme="minorHAnsi"/>
          <w:i/>
          <w:iCs/>
          <w:color w:val="222222"/>
        </w:rPr>
        <w:t>Journal of evaluation in clinical practice</w:t>
      </w:r>
      <w:r w:rsidRPr="003C1715">
        <w:rPr>
          <w:rFonts w:cstheme="minorHAnsi"/>
          <w:color w:val="222222"/>
          <w:shd w:val="clear" w:color="auto" w:fill="FFFFFF"/>
        </w:rPr>
        <w:t xml:space="preserve">, </w:t>
      </w:r>
      <w:r w:rsidRPr="003C1715">
        <w:rPr>
          <w:rFonts w:cstheme="minorHAnsi"/>
          <w:i/>
          <w:iCs/>
          <w:color w:val="222222"/>
        </w:rPr>
        <w:t>25</w:t>
      </w:r>
      <w:r w:rsidRPr="003C1715">
        <w:rPr>
          <w:rFonts w:cstheme="minorHAnsi"/>
          <w:color w:val="222222"/>
          <w:shd w:val="clear" w:color="auto" w:fill="FFFFFF"/>
        </w:rPr>
        <w:t>(1), pp.104-110.</w:t>
      </w:r>
    </w:p>
    <w:p w14:paraId="22DAD288" w14:textId="77777777" w:rsidR="003C1715" w:rsidRPr="003C1715" w:rsidRDefault="00E167EA" w:rsidP="00730A87">
      <w:pPr>
        <w:rPr>
          <w:rFonts w:cstheme="minorHAnsi"/>
          <w:color w:val="222222"/>
          <w:shd w:val="clear" w:color="auto" w:fill="FFFFFF"/>
        </w:rPr>
      </w:pPr>
      <w:r w:rsidRPr="003C1715">
        <w:rPr>
          <w:rFonts w:cstheme="minorHAnsi"/>
          <w:color w:val="222222"/>
          <w:shd w:val="clear" w:color="auto" w:fill="FFFFFF"/>
        </w:rPr>
        <w:t xml:space="preserve">Adekanmbi, V., </w:t>
      </w:r>
      <w:r w:rsidRPr="003C1715">
        <w:rPr>
          <w:rFonts w:cstheme="minorHAnsi"/>
          <w:color w:val="222222"/>
          <w:shd w:val="clear" w:color="auto" w:fill="FFFFFF"/>
        </w:rPr>
        <w:t>Smith, A., Farewll, D., Jones, H., Paranjothy, S., Routledge, P. and Francis, N., 2018. P24 Association between antibiotic prescribing and deprivation in wales: a multilevel analysis.</w:t>
      </w:r>
    </w:p>
    <w:p w14:paraId="3FCB6879" w14:textId="77777777" w:rsidR="003C1715" w:rsidRPr="003C1715" w:rsidRDefault="00E167EA" w:rsidP="00730A87">
      <w:pPr>
        <w:rPr>
          <w:rFonts w:cstheme="minorHAnsi"/>
          <w:color w:val="222222"/>
          <w:shd w:val="clear" w:color="auto" w:fill="FFFFFF"/>
        </w:rPr>
      </w:pPr>
      <w:r w:rsidRPr="003C1715">
        <w:rPr>
          <w:rFonts w:cstheme="minorHAnsi"/>
          <w:color w:val="222222"/>
          <w:shd w:val="clear" w:color="auto" w:fill="FFFFFF"/>
        </w:rPr>
        <w:t>Alun, T., Pearce, M., Wilson, C., Hails, E., Thomas, P., Dugmore, A., Ki</w:t>
      </w:r>
      <w:r w:rsidRPr="003C1715">
        <w:rPr>
          <w:rFonts w:cstheme="minorHAnsi"/>
          <w:color w:val="222222"/>
          <w:shd w:val="clear" w:color="auto" w:fill="FFFFFF"/>
        </w:rPr>
        <w:t xml:space="preserve">tt, F. and Celia, J., 2017. Hafal: A Prudent Healthcare Approach to User-Led Services in Wales. </w:t>
      </w:r>
      <w:r w:rsidRPr="003C1715">
        <w:rPr>
          <w:rFonts w:cstheme="minorHAnsi"/>
          <w:i/>
          <w:iCs/>
          <w:color w:val="222222"/>
        </w:rPr>
        <w:t>Journal of Recovery in Mental Health</w:t>
      </w:r>
      <w:r w:rsidRPr="003C1715">
        <w:rPr>
          <w:rFonts w:cstheme="minorHAnsi"/>
          <w:color w:val="222222"/>
          <w:shd w:val="clear" w:color="auto" w:fill="FFFFFF"/>
        </w:rPr>
        <w:t xml:space="preserve">, </w:t>
      </w:r>
      <w:r w:rsidRPr="003C1715">
        <w:rPr>
          <w:rFonts w:cstheme="minorHAnsi"/>
          <w:i/>
          <w:iCs/>
          <w:color w:val="222222"/>
        </w:rPr>
        <w:t>1</w:t>
      </w:r>
      <w:r w:rsidRPr="003C1715">
        <w:rPr>
          <w:rFonts w:cstheme="minorHAnsi"/>
          <w:color w:val="222222"/>
          <w:shd w:val="clear" w:color="auto" w:fill="FFFFFF"/>
        </w:rPr>
        <w:t>(1), pp.42-49.</w:t>
      </w:r>
    </w:p>
    <w:p w14:paraId="7973C537" w14:textId="77777777" w:rsidR="003C1715" w:rsidRPr="003C1715" w:rsidRDefault="00E167EA" w:rsidP="003C1715">
      <w:pPr>
        <w:rPr>
          <w:rFonts w:cstheme="minorHAnsi"/>
          <w:color w:val="000000"/>
          <w:shd w:val="clear" w:color="auto" w:fill="FFFFFF"/>
        </w:rPr>
      </w:pPr>
      <w:r w:rsidRPr="003C1715">
        <w:rPr>
          <w:rFonts w:cstheme="minorHAnsi"/>
          <w:color w:val="000000"/>
          <w:shd w:val="clear" w:color="auto" w:fill="FFFFFF"/>
        </w:rPr>
        <w:t xml:space="preserve">Assets.publishing.service.gov.uk. (2020). [online] Available at: </w:t>
      </w:r>
      <w:r w:rsidRPr="003C1715">
        <w:rPr>
          <w:rFonts w:cstheme="minorHAnsi"/>
          <w:color w:val="000000"/>
          <w:shd w:val="clear" w:color="auto" w:fill="FFFFFF"/>
        </w:rPr>
        <w:t>https://assets.publishing.service.gov.uk/government/uploads/system/uploads/attachment_data/file/812844/Income_Tax_Liabilities_Statistics_June_2019.pdf [Accessed 13 Jan. 2020].</w:t>
      </w:r>
    </w:p>
    <w:p w14:paraId="6961D852" w14:textId="77777777" w:rsidR="003C1715" w:rsidRPr="003C1715" w:rsidRDefault="00E167EA" w:rsidP="00730A87">
      <w:pPr>
        <w:rPr>
          <w:rFonts w:cstheme="minorHAnsi"/>
          <w:color w:val="000000"/>
          <w:shd w:val="clear" w:color="auto" w:fill="FFFFFF"/>
        </w:rPr>
      </w:pPr>
      <w:r w:rsidRPr="003C1715">
        <w:rPr>
          <w:rFonts w:cstheme="minorHAnsi"/>
          <w:color w:val="000000"/>
          <w:shd w:val="clear" w:color="auto" w:fill="FFFFFF"/>
        </w:rPr>
        <w:t xml:space="preserve">Auditor General for Wales (2015). </w:t>
      </w:r>
      <w:r w:rsidRPr="003C1715">
        <w:rPr>
          <w:rFonts w:cstheme="minorHAnsi"/>
          <w:i/>
          <w:iCs/>
          <w:color w:val="000000"/>
        </w:rPr>
        <w:t>NHS Waiting times for elective care in Wales</w:t>
      </w:r>
      <w:r w:rsidRPr="003C1715">
        <w:rPr>
          <w:rFonts w:cstheme="minorHAnsi"/>
          <w:color w:val="000000"/>
          <w:shd w:val="clear" w:color="auto" w:fill="FFFFFF"/>
        </w:rPr>
        <w:t xml:space="preserve">. </w:t>
      </w:r>
      <w:r w:rsidRPr="003C1715">
        <w:rPr>
          <w:rFonts w:cstheme="minorHAnsi"/>
          <w:color w:val="000000"/>
          <w:shd w:val="clear" w:color="auto" w:fill="FFFFFF"/>
        </w:rPr>
        <w:t>[online] Auditor General for Wales. Available at: http://www.wales.nhs.uk/sitesplus/documents/862/Attach9hNHSWaitingTimesforElectiveCareinWalesReport27.01.15.pdf [Accessed 1 Jan. 2020].</w:t>
      </w:r>
    </w:p>
    <w:p w14:paraId="69B4C00A" w14:textId="77777777" w:rsidR="003C1715" w:rsidRPr="003C1715" w:rsidRDefault="00E167EA">
      <w:pPr>
        <w:rPr>
          <w:rFonts w:cstheme="minorHAnsi"/>
          <w:color w:val="222222"/>
          <w:shd w:val="clear" w:color="auto" w:fill="FFFFFF"/>
        </w:rPr>
      </w:pPr>
      <w:r w:rsidRPr="003C1715">
        <w:rPr>
          <w:rFonts w:cstheme="minorHAnsi"/>
          <w:color w:val="222222"/>
          <w:shd w:val="clear" w:color="auto" w:fill="FFFFFF"/>
        </w:rPr>
        <w:t>Aylward, M., Phillips, C. and Howson, H., 2013. Simply Prudent Healthc</w:t>
      </w:r>
      <w:r w:rsidRPr="003C1715">
        <w:rPr>
          <w:rFonts w:cstheme="minorHAnsi"/>
          <w:color w:val="222222"/>
          <w:shd w:val="clear" w:color="auto" w:fill="FFFFFF"/>
        </w:rPr>
        <w:t xml:space="preserve">are–achieving better care and value for money in Wales–discussion paper. </w:t>
      </w:r>
      <w:r w:rsidRPr="003C1715">
        <w:rPr>
          <w:rFonts w:cstheme="minorHAnsi"/>
          <w:i/>
          <w:iCs/>
          <w:color w:val="222222"/>
        </w:rPr>
        <w:t>The Bevan Commission, Cardiff</w:t>
      </w:r>
      <w:r w:rsidRPr="003C1715">
        <w:rPr>
          <w:rFonts w:cstheme="minorHAnsi"/>
          <w:color w:val="222222"/>
          <w:shd w:val="clear" w:color="auto" w:fill="FFFFFF"/>
        </w:rPr>
        <w:t>.</w:t>
      </w:r>
    </w:p>
    <w:p w14:paraId="5638424F" w14:textId="77777777" w:rsidR="003C1715" w:rsidRPr="003C1715" w:rsidRDefault="00E167EA" w:rsidP="003C1715">
      <w:pPr>
        <w:rPr>
          <w:rFonts w:cstheme="minorHAnsi"/>
          <w:color w:val="222222"/>
          <w:shd w:val="clear" w:color="auto" w:fill="FFFFFF"/>
        </w:rPr>
      </w:pPr>
      <w:r w:rsidRPr="003C1715">
        <w:rPr>
          <w:rFonts w:cstheme="minorHAnsi"/>
          <w:color w:val="222222"/>
          <w:shd w:val="clear" w:color="auto" w:fill="FFFFFF"/>
        </w:rPr>
        <w:t>Baker, B.C., 2018. NHS key statistics.</w:t>
      </w:r>
    </w:p>
    <w:p w14:paraId="4754A225" w14:textId="77777777" w:rsidR="003C1715" w:rsidRPr="003C1715" w:rsidRDefault="00E167EA" w:rsidP="003C1715">
      <w:pPr>
        <w:rPr>
          <w:rFonts w:cstheme="minorHAnsi"/>
          <w:color w:val="222222"/>
          <w:shd w:val="clear" w:color="auto" w:fill="FFFFFF"/>
        </w:rPr>
      </w:pPr>
      <w:r w:rsidRPr="003C1715">
        <w:rPr>
          <w:rFonts w:cstheme="minorHAnsi"/>
          <w:color w:val="222222"/>
          <w:shd w:val="clear" w:color="auto" w:fill="FFFFFF"/>
        </w:rPr>
        <w:t xml:space="preserve">Baldwin, M., 2017. </w:t>
      </w:r>
      <w:r w:rsidRPr="003C1715">
        <w:rPr>
          <w:rFonts w:cstheme="minorHAnsi"/>
          <w:i/>
          <w:iCs/>
          <w:color w:val="222222"/>
        </w:rPr>
        <w:t>Care Management and Community Care: Social Work Discretion and the Construction of Policy: Soc</w:t>
      </w:r>
      <w:r w:rsidRPr="003C1715">
        <w:rPr>
          <w:rFonts w:cstheme="minorHAnsi"/>
          <w:i/>
          <w:iCs/>
          <w:color w:val="222222"/>
        </w:rPr>
        <w:t>ial Work Discretion and the Construction of Policy</w:t>
      </w:r>
      <w:r w:rsidRPr="003C1715">
        <w:rPr>
          <w:rFonts w:cstheme="minorHAnsi"/>
          <w:color w:val="222222"/>
          <w:shd w:val="clear" w:color="auto" w:fill="FFFFFF"/>
        </w:rPr>
        <w:t>. Routledge.</w:t>
      </w:r>
    </w:p>
    <w:p w14:paraId="14DD504B" w14:textId="77777777" w:rsidR="003C1715" w:rsidRPr="003C1715" w:rsidRDefault="00E167EA" w:rsidP="003C1715">
      <w:pPr>
        <w:rPr>
          <w:rFonts w:cstheme="minorHAnsi"/>
          <w:color w:val="222222"/>
          <w:shd w:val="clear" w:color="auto" w:fill="FFFFFF"/>
        </w:rPr>
      </w:pPr>
      <w:r w:rsidRPr="003C1715">
        <w:rPr>
          <w:rFonts w:cstheme="minorHAnsi"/>
          <w:color w:val="222222"/>
          <w:shd w:val="clear" w:color="auto" w:fill="FFFFFF"/>
        </w:rPr>
        <w:t>Blake, H. and Lloyd, S., 2019. Influencing organisational change in the NHS: lessons learned from workplace wellness initiatives in practice.</w:t>
      </w:r>
    </w:p>
    <w:p w14:paraId="095E017A" w14:textId="77777777" w:rsidR="003C1715" w:rsidRPr="003C1715" w:rsidRDefault="00E167EA" w:rsidP="003C1715">
      <w:pPr>
        <w:rPr>
          <w:rFonts w:cstheme="minorHAnsi"/>
          <w:color w:val="222222"/>
          <w:shd w:val="clear" w:color="auto" w:fill="FFFFFF"/>
        </w:rPr>
      </w:pPr>
      <w:r w:rsidRPr="003C1715">
        <w:rPr>
          <w:rFonts w:cstheme="minorHAnsi"/>
          <w:color w:val="222222"/>
          <w:shd w:val="clear" w:color="auto" w:fill="FFFFFF"/>
        </w:rPr>
        <w:t>Charlesworth, A. and Bloor, K., 2018. 70 years of N</w:t>
      </w:r>
      <w:r w:rsidRPr="003C1715">
        <w:rPr>
          <w:rFonts w:cstheme="minorHAnsi"/>
          <w:color w:val="222222"/>
          <w:shd w:val="clear" w:color="auto" w:fill="FFFFFF"/>
        </w:rPr>
        <w:t xml:space="preserve">HS funding: how do we know how much is enough?. </w:t>
      </w:r>
      <w:r w:rsidRPr="003C1715">
        <w:rPr>
          <w:rFonts w:cstheme="minorHAnsi"/>
          <w:i/>
          <w:iCs/>
          <w:color w:val="222222"/>
        </w:rPr>
        <w:t>BMJ</w:t>
      </w:r>
      <w:r w:rsidRPr="003C1715">
        <w:rPr>
          <w:rFonts w:cstheme="minorHAnsi"/>
          <w:color w:val="222222"/>
          <w:shd w:val="clear" w:color="auto" w:fill="FFFFFF"/>
        </w:rPr>
        <w:t xml:space="preserve">, </w:t>
      </w:r>
      <w:r w:rsidRPr="003C1715">
        <w:rPr>
          <w:rFonts w:cstheme="minorHAnsi"/>
          <w:i/>
          <w:iCs/>
          <w:color w:val="222222"/>
        </w:rPr>
        <w:t>361</w:t>
      </w:r>
      <w:r w:rsidRPr="003C1715">
        <w:rPr>
          <w:rFonts w:cstheme="minorHAnsi"/>
          <w:color w:val="222222"/>
          <w:shd w:val="clear" w:color="auto" w:fill="FFFFFF"/>
        </w:rPr>
        <w:t>, p.k2373.</w:t>
      </w:r>
    </w:p>
    <w:p w14:paraId="766B4995" w14:textId="77777777" w:rsidR="003C1715" w:rsidRPr="003C1715" w:rsidRDefault="00E167EA" w:rsidP="00C86682">
      <w:pPr>
        <w:rPr>
          <w:rFonts w:cstheme="minorHAnsi"/>
          <w:color w:val="000000"/>
          <w:shd w:val="clear" w:color="auto" w:fill="FFFFFF"/>
        </w:rPr>
      </w:pPr>
      <w:r w:rsidRPr="003C1715">
        <w:rPr>
          <w:rFonts w:cstheme="minorHAnsi"/>
          <w:color w:val="000000"/>
          <w:shd w:val="clear" w:color="auto" w:fill="FFFFFF"/>
        </w:rPr>
        <w:t xml:space="preserve">Click on Wales. (2019). </w:t>
      </w:r>
      <w:r w:rsidRPr="003C1715">
        <w:rPr>
          <w:rFonts w:cstheme="minorHAnsi"/>
          <w:i/>
          <w:iCs/>
          <w:color w:val="000000"/>
        </w:rPr>
        <w:t>Maximising the potential of GP clusters in Wales - Click on Wales</w:t>
      </w:r>
      <w:r w:rsidRPr="003C1715">
        <w:rPr>
          <w:rFonts w:cstheme="minorHAnsi"/>
          <w:color w:val="000000"/>
          <w:shd w:val="clear" w:color="auto" w:fill="FFFFFF"/>
        </w:rPr>
        <w:t>. [online] Available at: https://www.iwa.wales/click/2017/05/maximising-potential-gp-clusters-wales/</w:t>
      </w:r>
      <w:r w:rsidRPr="003C1715">
        <w:rPr>
          <w:rFonts w:cstheme="minorHAnsi"/>
          <w:color w:val="000000"/>
          <w:shd w:val="clear" w:color="auto" w:fill="FFFFFF"/>
        </w:rPr>
        <w:t xml:space="preserve"> [Accessed 30 Dec. 2019].</w:t>
      </w:r>
    </w:p>
    <w:p w14:paraId="0CF2D60A" w14:textId="77777777" w:rsidR="003C1715" w:rsidRPr="003C1715" w:rsidRDefault="00E167EA">
      <w:pPr>
        <w:rPr>
          <w:rFonts w:cstheme="minorHAnsi"/>
          <w:color w:val="222222"/>
          <w:shd w:val="clear" w:color="auto" w:fill="FFFFFF"/>
        </w:rPr>
      </w:pPr>
      <w:r w:rsidRPr="003C1715">
        <w:rPr>
          <w:rFonts w:cstheme="minorHAnsi"/>
          <w:color w:val="222222"/>
          <w:shd w:val="clear" w:color="auto" w:fill="FFFFFF"/>
        </w:rPr>
        <w:t xml:space="preserve">Crane, J. and Noon, C., 2019. </w:t>
      </w:r>
      <w:r w:rsidRPr="003C1715">
        <w:rPr>
          <w:rFonts w:cstheme="minorHAnsi"/>
          <w:i/>
          <w:iCs/>
          <w:color w:val="222222"/>
        </w:rPr>
        <w:t>The definitive guide to emergency department operational improvement: employing lean principles with current ED best practices to create the “no wait” department</w:t>
      </w:r>
      <w:r w:rsidRPr="003C1715">
        <w:rPr>
          <w:rFonts w:cstheme="minorHAnsi"/>
          <w:color w:val="222222"/>
          <w:shd w:val="clear" w:color="auto" w:fill="FFFFFF"/>
        </w:rPr>
        <w:t>. Productivity Press.</w:t>
      </w:r>
    </w:p>
    <w:p w14:paraId="5B09E951" w14:textId="77777777" w:rsidR="003C1715" w:rsidRPr="003C1715" w:rsidRDefault="00E167EA" w:rsidP="003C1715">
      <w:pPr>
        <w:rPr>
          <w:rFonts w:cstheme="minorHAnsi"/>
          <w:color w:val="222222"/>
          <w:shd w:val="clear" w:color="auto" w:fill="FFFFFF"/>
        </w:rPr>
      </w:pPr>
      <w:r w:rsidRPr="003C1715">
        <w:rPr>
          <w:rFonts w:cstheme="minorHAnsi"/>
          <w:color w:val="222222"/>
          <w:shd w:val="clear" w:color="auto" w:fill="FFFFFF"/>
        </w:rPr>
        <w:t>Davis, M.M., 2019</w:t>
      </w:r>
      <w:r w:rsidRPr="003C1715">
        <w:rPr>
          <w:rFonts w:cstheme="minorHAnsi"/>
          <w:color w:val="222222"/>
          <w:shd w:val="clear" w:color="auto" w:fill="FFFFFF"/>
        </w:rPr>
        <w:t xml:space="preserve">. Case Managers a Catalyst for Patient Activation. </w:t>
      </w:r>
      <w:r w:rsidRPr="003C1715">
        <w:rPr>
          <w:rFonts w:cstheme="minorHAnsi"/>
          <w:i/>
          <w:iCs/>
          <w:color w:val="222222"/>
        </w:rPr>
        <w:t>Professional case management</w:t>
      </w:r>
      <w:r w:rsidRPr="003C1715">
        <w:rPr>
          <w:rFonts w:cstheme="minorHAnsi"/>
          <w:color w:val="222222"/>
          <w:shd w:val="clear" w:color="auto" w:fill="FFFFFF"/>
        </w:rPr>
        <w:t xml:space="preserve">, </w:t>
      </w:r>
      <w:r w:rsidRPr="003C1715">
        <w:rPr>
          <w:rFonts w:cstheme="minorHAnsi"/>
          <w:i/>
          <w:iCs/>
          <w:color w:val="222222"/>
        </w:rPr>
        <w:t>24</w:t>
      </w:r>
      <w:r w:rsidRPr="003C1715">
        <w:rPr>
          <w:rFonts w:cstheme="minorHAnsi"/>
          <w:color w:val="222222"/>
          <w:shd w:val="clear" w:color="auto" w:fill="FFFFFF"/>
        </w:rPr>
        <w:t>(3), pp.155-157.</w:t>
      </w:r>
    </w:p>
    <w:p w14:paraId="26489E4C" w14:textId="77777777" w:rsidR="003C1715" w:rsidRPr="003C1715" w:rsidRDefault="00E167EA" w:rsidP="003C1715">
      <w:pPr>
        <w:rPr>
          <w:rFonts w:cstheme="minorHAnsi"/>
          <w:color w:val="222222"/>
          <w:shd w:val="clear" w:color="auto" w:fill="FFFFFF"/>
        </w:rPr>
      </w:pPr>
      <w:r w:rsidRPr="003C1715">
        <w:rPr>
          <w:rFonts w:cstheme="minorHAnsi"/>
          <w:color w:val="222222"/>
          <w:shd w:val="clear" w:color="auto" w:fill="FFFFFF"/>
        </w:rPr>
        <w:t xml:space="preserve">Dayan, M., Ward, D., Gardner, T. and Kelly, E., 2018. How good is the NHS? </w:t>
      </w:r>
      <w:r w:rsidRPr="003C1715">
        <w:rPr>
          <w:rFonts w:cstheme="minorHAnsi"/>
          <w:i/>
          <w:iCs/>
          <w:color w:val="222222"/>
        </w:rPr>
        <w:t>Nuffield Trust</w:t>
      </w:r>
      <w:r w:rsidRPr="003C1715">
        <w:rPr>
          <w:rFonts w:cstheme="minorHAnsi"/>
          <w:color w:val="222222"/>
          <w:shd w:val="clear" w:color="auto" w:fill="FFFFFF"/>
        </w:rPr>
        <w:t xml:space="preserve">, </w:t>
      </w:r>
      <w:r w:rsidRPr="003C1715">
        <w:rPr>
          <w:rFonts w:cstheme="minorHAnsi"/>
          <w:i/>
          <w:iCs/>
          <w:color w:val="222222"/>
        </w:rPr>
        <w:t>22</w:t>
      </w:r>
      <w:r w:rsidRPr="003C1715">
        <w:rPr>
          <w:rFonts w:cstheme="minorHAnsi"/>
          <w:color w:val="222222"/>
          <w:shd w:val="clear" w:color="auto" w:fill="FFFFFF"/>
        </w:rPr>
        <w:t>.</w:t>
      </w:r>
    </w:p>
    <w:p w14:paraId="4AED833B" w14:textId="77777777" w:rsidR="003C1715" w:rsidRPr="003C1715" w:rsidRDefault="00E167EA" w:rsidP="00730A87">
      <w:pPr>
        <w:rPr>
          <w:rFonts w:cstheme="minorHAnsi"/>
          <w:color w:val="222222"/>
          <w:shd w:val="clear" w:color="auto" w:fill="FFFFFF"/>
        </w:rPr>
      </w:pPr>
      <w:r w:rsidRPr="003C1715">
        <w:rPr>
          <w:rFonts w:cstheme="minorHAnsi"/>
          <w:color w:val="222222"/>
          <w:shd w:val="clear" w:color="auto" w:fill="FFFFFF"/>
        </w:rPr>
        <w:t xml:space="preserve">Evans, R., Parker, R., Russell, A.E., Mathews, F., Ford, T., </w:t>
      </w:r>
      <w:r w:rsidRPr="003C1715">
        <w:rPr>
          <w:rFonts w:cstheme="minorHAnsi"/>
          <w:color w:val="222222"/>
          <w:shd w:val="clear" w:color="auto" w:fill="FFFFFF"/>
        </w:rPr>
        <w:t xml:space="preserve">Hewitt, G., Scourfield, J. and Janssens, A., 2019. Adolescent self‐harm prevention and intervention in secondary schools: a survey of staff in England and Wales. </w:t>
      </w:r>
      <w:r w:rsidRPr="003C1715">
        <w:rPr>
          <w:rFonts w:cstheme="minorHAnsi"/>
          <w:i/>
          <w:iCs/>
          <w:color w:val="222222"/>
        </w:rPr>
        <w:t>Child and adolescent mental health</w:t>
      </w:r>
      <w:r w:rsidRPr="003C1715">
        <w:rPr>
          <w:rFonts w:cstheme="minorHAnsi"/>
          <w:color w:val="222222"/>
          <w:shd w:val="clear" w:color="auto" w:fill="FFFFFF"/>
        </w:rPr>
        <w:t xml:space="preserve">, </w:t>
      </w:r>
      <w:r w:rsidRPr="003C1715">
        <w:rPr>
          <w:rFonts w:cstheme="minorHAnsi"/>
          <w:i/>
          <w:iCs/>
          <w:color w:val="222222"/>
        </w:rPr>
        <w:t>24</w:t>
      </w:r>
      <w:r w:rsidRPr="003C1715">
        <w:rPr>
          <w:rFonts w:cstheme="minorHAnsi"/>
          <w:color w:val="222222"/>
          <w:shd w:val="clear" w:color="auto" w:fill="FFFFFF"/>
        </w:rPr>
        <w:t>(3), pp.230-238.</w:t>
      </w:r>
    </w:p>
    <w:p w14:paraId="14D03C10" w14:textId="77777777" w:rsidR="003C1715" w:rsidRPr="003C1715" w:rsidRDefault="00E167EA" w:rsidP="00730A87">
      <w:pPr>
        <w:rPr>
          <w:rFonts w:cstheme="minorHAnsi"/>
          <w:color w:val="222222"/>
          <w:shd w:val="clear" w:color="auto" w:fill="FFFFFF"/>
        </w:rPr>
      </w:pPr>
      <w:r w:rsidRPr="003C1715">
        <w:rPr>
          <w:rFonts w:cstheme="minorHAnsi"/>
          <w:color w:val="222222"/>
          <w:shd w:val="clear" w:color="auto" w:fill="FFFFFF"/>
        </w:rPr>
        <w:t>Feys, P., Giovannoni, G., Dijsselbloem,</w:t>
      </w:r>
      <w:r w:rsidRPr="003C1715">
        <w:rPr>
          <w:rFonts w:cstheme="minorHAnsi"/>
          <w:color w:val="222222"/>
          <w:shd w:val="clear" w:color="auto" w:fill="FFFFFF"/>
        </w:rPr>
        <w:t xml:space="preserve"> N., Centonze, D., Eelen, P. and Lykke Andersen, S., 2016. The importance of a multi-disciplinary perspective and patient activation programmes in MS management. </w:t>
      </w:r>
      <w:r w:rsidRPr="003C1715">
        <w:rPr>
          <w:rFonts w:cstheme="minorHAnsi"/>
          <w:i/>
          <w:iCs/>
          <w:color w:val="222222"/>
        </w:rPr>
        <w:t>Multiple Sclerosis Journal</w:t>
      </w:r>
      <w:r w:rsidRPr="003C1715">
        <w:rPr>
          <w:rFonts w:cstheme="minorHAnsi"/>
          <w:color w:val="222222"/>
          <w:shd w:val="clear" w:color="auto" w:fill="FFFFFF"/>
        </w:rPr>
        <w:t xml:space="preserve">, </w:t>
      </w:r>
      <w:r w:rsidRPr="003C1715">
        <w:rPr>
          <w:rFonts w:cstheme="minorHAnsi"/>
          <w:i/>
          <w:iCs/>
          <w:color w:val="222222"/>
        </w:rPr>
        <w:t>22</w:t>
      </w:r>
      <w:r w:rsidRPr="003C1715">
        <w:rPr>
          <w:rFonts w:cstheme="minorHAnsi"/>
          <w:color w:val="222222"/>
          <w:shd w:val="clear" w:color="auto" w:fill="FFFFFF"/>
        </w:rPr>
        <w:t>(2_suppl), pp.34-46.</w:t>
      </w:r>
    </w:p>
    <w:p w14:paraId="139CEC2F" w14:textId="77777777" w:rsidR="003C1715" w:rsidRPr="003C1715" w:rsidRDefault="00E167EA" w:rsidP="00730A87">
      <w:pPr>
        <w:rPr>
          <w:rFonts w:cstheme="minorHAnsi"/>
          <w:color w:val="222222"/>
          <w:shd w:val="clear" w:color="auto" w:fill="FFFFFF"/>
        </w:rPr>
      </w:pPr>
      <w:r w:rsidRPr="003C1715">
        <w:rPr>
          <w:rFonts w:cstheme="minorHAnsi"/>
          <w:color w:val="222222"/>
          <w:shd w:val="clear" w:color="auto" w:fill="FFFFFF"/>
        </w:rPr>
        <w:lastRenderedPageBreak/>
        <w:t>Genders, N., 2017. Student life-Flexible pa</w:t>
      </w:r>
      <w:r w:rsidRPr="003C1715">
        <w:rPr>
          <w:rFonts w:cstheme="minorHAnsi"/>
          <w:color w:val="222222"/>
          <w:shd w:val="clear" w:color="auto" w:fill="FFFFFF"/>
        </w:rPr>
        <w:t xml:space="preserve">thway into the profession for support staff. </w:t>
      </w:r>
      <w:r w:rsidRPr="003C1715">
        <w:rPr>
          <w:rFonts w:cstheme="minorHAnsi"/>
          <w:i/>
          <w:iCs/>
          <w:color w:val="222222"/>
        </w:rPr>
        <w:t>Nursing Standard (2014+)</w:t>
      </w:r>
      <w:r w:rsidRPr="003C1715">
        <w:rPr>
          <w:rFonts w:cstheme="minorHAnsi"/>
          <w:color w:val="222222"/>
          <w:shd w:val="clear" w:color="auto" w:fill="FFFFFF"/>
        </w:rPr>
        <w:t xml:space="preserve">, </w:t>
      </w:r>
      <w:r w:rsidRPr="003C1715">
        <w:rPr>
          <w:rFonts w:cstheme="minorHAnsi"/>
          <w:i/>
          <w:iCs/>
          <w:color w:val="222222"/>
        </w:rPr>
        <w:t>31</w:t>
      </w:r>
      <w:r w:rsidRPr="003C1715">
        <w:rPr>
          <w:rFonts w:cstheme="minorHAnsi"/>
          <w:color w:val="222222"/>
          <w:shd w:val="clear" w:color="auto" w:fill="FFFFFF"/>
        </w:rPr>
        <w:t>(47), p.35.</w:t>
      </w:r>
    </w:p>
    <w:p w14:paraId="061D8DA9" w14:textId="77777777" w:rsidR="003C1715" w:rsidRPr="003C1715" w:rsidRDefault="00E167EA" w:rsidP="00C86682">
      <w:pPr>
        <w:rPr>
          <w:rFonts w:cstheme="minorHAnsi"/>
          <w:color w:val="222222"/>
          <w:shd w:val="clear" w:color="auto" w:fill="FFFFFF"/>
        </w:rPr>
      </w:pPr>
      <w:r w:rsidRPr="003C1715">
        <w:rPr>
          <w:rFonts w:cstheme="minorHAnsi"/>
          <w:color w:val="222222"/>
          <w:shd w:val="clear" w:color="auto" w:fill="FFFFFF"/>
        </w:rPr>
        <w:t>Glorney, E., Perkins, D., Adshead, G., McGauley, G., Murray, K., Noak, J. and Sichau</w:t>
      </w:r>
      <w:r w:rsidRPr="003C1715">
        <w:rPr>
          <w:rFonts w:cstheme="minorHAnsi"/>
          <w:color w:val="222222"/>
          <w:shd w:val="clear" w:color="auto" w:fill="FFFFFF"/>
        </w:rPr>
        <w:t xml:space="preserve">, G., 2010. Domains of need in a high secure hospital setting: A model for streamlining care and reducing length of stay. </w:t>
      </w:r>
      <w:r w:rsidRPr="003C1715">
        <w:rPr>
          <w:rFonts w:cstheme="minorHAnsi"/>
          <w:i/>
          <w:iCs/>
          <w:color w:val="222222"/>
        </w:rPr>
        <w:t>International Journal of Forensic Mental Health</w:t>
      </w:r>
      <w:r w:rsidRPr="003C1715">
        <w:rPr>
          <w:rFonts w:cstheme="minorHAnsi"/>
          <w:color w:val="222222"/>
          <w:shd w:val="clear" w:color="auto" w:fill="FFFFFF"/>
        </w:rPr>
        <w:t xml:space="preserve">, </w:t>
      </w:r>
      <w:r w:rsidRPr="003C1715">
        <w:rPr>
          <w:rFonts w:cstheme="minorHAnsi"/>
          <w:i/>
          <w:iCs/>
          <w:color w:val="222222"/>
        </w:rPr>
        <w:t>9</w:t>
      </w:r>
      <w:r w:rsidRPr="003C1715">
        <w:rPr>
          <w:rFonts w:cstheme="minorHAnsi"/>
          <w:color w:val="222222"/>
          <w:shd w:val="clear" w:color="auto" w:fill="FFFFFF"/>
        </w:rPr>
        <w:t>(2), pp.138-148.</w:t>
      </w:r>
    </w:p>
    <w:p w14:paraId="36D043EB" w14:textId="77777777" w:rsidR="003C1715" w:rsidRPr="003C1715" w:rsidRDefault="00E167EA" w:rsidP="00C86682">
      <w:pPr>
        <w:rPr>
          <w:rFonts w:cstheme="minorHAnsi"/>
          <w:color w:val="222222"/>
          <w:shd w:val="clear" w:color="auto" w:fill="FFFFFF"/>
        </w:rPr>
      </w:pPr>
      <w:r w:rsidRPr="003C1715">
        <w:rPr>
          <w:rFonts w:cstheme="minorHAnsi"/>
          <w:color w:val="222222"/>
          <w:shd w:val="clear" w:color="auto" w:fill="FFFFFF"/>
        </w:rPr>
        <w:t>Graby, J., Smallwood, H., Stark, R. and MacConnell, T., 2019. 106 N</w:t>
      </w:r>
      <w:r w:rsidRPr="003C1715">
        <w:rPr>
          <w:rFonts w:cstheme="minorHAnsi"/>
          <w:color w:val="222222"/>
          <w:shd w:val="clear" w:color="auto" w:fill="FFFFFF"/>
        </w:rPr>
        <w:t>HS long-term plan: a technological approach to streamlining referrals from primary to secondary care.</w:t>
      </w:r>
    </w:p>
    <w:p w14:paraId="6ECA58B3" w14:textId="77777777" w:rsidR="003C1715" w:rsidRPr="003C1715" w:rsidRDefault="00E167EA" w:rsidP="00730A87">
      <w:pPr>
        <w:rPr>
          <w:rFonts w:cstheme="minorHAnsi"/>
          <w:color w:val="222222"/>
          <w:shd w:val="clear" w:color="auto" w:fill="FFFFFF"/>
        </w:rPr>
      </w:pPr>
      <w:r w:rsidRPr="003C1715">
        <w:rPr>
          <w:rFonts w:cstheme="minorHAnsi"/>
          <w:color w:val="222222"/>
          <w:shd w:val="clear" w:color="auto" w:fill="FFFFFF"/>
        </w:rPr>
        <w:t xml:space="preserve">Gray, A. and Jenkins, B., 2017. Evaluation and collaborative government: Lessons and challenges. In </w:t>
      </w:r>
      <w:r w:rsidRPr="003C1715">
        <w:rPr>
          <w:rFonts w:cstheme="minorHAnsi"/>
          <w:i/>
          <w:iCs/>
          <w:color w:val="222222"/>
        </w:rPr>
        <w:t>Collaboration in Public Services</w:t>
      </w:r>
      <w:r w:rsidRPr="003C1715">
        <w:rPr>
          <w:rFonts w:cstheme="minorHAnsi"/>
          <w:color w:val="222222"/>
          <w:shd w:val="clear" w:color="auto" w:fill="FFFFFF"/>
        </w:rPr>
        <w:t xml:space="preserve"> (pp. 227-244). Routle</w:t>
      </w:r>
      <w:r w:rsidRPr="003C1715">
        <w:rPr>
          <w:rFonts w:cstheme="minorHAnsi"/>
          <w:color w:val="222222"/>
          <w:shd w:val="clear" w:color="auto" w:fill="FFFFFF"/>
        </w:rPr>
        <w:t>dge.</w:t>
      </w:r>
    </w:p>
    <w:p w14:paraId="63B9AC0F" w14:textId="77777777" w:rsidR="003C1715" w:rsidRPr="003C1715" w:rsidRDefault="00E167EA" w:rsidP="003C1715">
      <w:pPr>
        <w:rPr>
          <w:rFonts w:cstheme="minorHAnsi"/>
          <w:color w:val="222222"/>
          <w:shd w:val="clear" w:color="auto" w:fill="FFFFFF"/>
        </w:rPr>
      </w:pPr>
      <w:r w:rsidRPr="003C1715">
        <w:rPr>
          <w:rFonts w:cstheme="minorHAnsi"/>
          <w:color w:val="222222"/>
          <w:shd w:val="clear" w:color="auto" w:fill="FFFFFF"/>
        </w:rPr>
        <w:t xml:space="preserve">Greene, J. and Hibbard, J.H., 2012. Why does patient activation matter? An examination of the relationships between patient activation and health-related outcomes. </w:t>
      </w:r>
      <w:r w:rsidRPr="003C1715">
        <w:rPr>
          <w:rFonts w:cstheme="minorHAnsi"/>
          <w:i/>
          <w:iCs/>
          <w:color w:val="222222"/>
        </w:rPr>
        <w:t>Journal of general internal medicine</w:t>
      </w:r>
      <w:r w:rsidRPr="003C1715">
        <w:rPr>
          <w:rFonts w:cstheme="minorHAnsi"/>
          <w:color w:val="222222"/>
          <w:shd w:val="clear" w:color="auto" w:fill="FFFFFF"/>
        </w:rPr>
        <w:t xml:space="preserve">, </w:t>
      </w:r>
      <w:r w:rsidRPr="003C1715">
        <w:rPr>
          <w:rFonts w:cstheme="minorHAnsi"/>
          <w:i/>
          <w:iCs/>
          <w:color w:val="222222"/>
        </w:rPr>
        <w:t>27</w:t>
      </w:r>
      <w:r w:rsidRPr="003C1715">
        <w:rPr>
          <w:rFonts w:cstheme="minorHAnsi"/>
          <w:color w:val="222222"/>
          <w:shd w:val="clear" w:color="auto" w:fill="FFFFFF"/>
        </w:rPr>
        <w:t>(5), pp.520-526.</w:t>
      </w:r>
    </w:p>
    <w:p w14:paraId="650A9DFA" w14:textId="77777777" w:rsidR="003C1715" w:rsidRPr="003C1715" w:rsidRDefault="00E167EA" w:rsidP="003C1715">
      <w:pPr>
        <w:rPr>
          <w:rFonts w:cstheme="minorHAnsi"/>
          <w:color w:val="222222"/>
          <w:shd w:val="clear" w:color="auto" w:fill="FFFFFF"/>
        </w:rPr>
      </w:pPr>
      <w:r w:rsidRPr="003C1715">
        <w:rPr>
          <w:rFonts w:cstheme="minorHAnsi"/>
          <w:color w:val="222222"/>
          <w:shd w:val="clear" w:color="auto" w:fill="FFFFFF"/>
        </w:rPr>
        <w:t>Greene, J., Hibbard, J.H., Sac</w:t>
      </w:r>
      <w:r w:rsidRPr="003C1715">
        <w:rPr>
          <w:rFonts w:cstheme="minorHAnsi"/>
          <w:color w:val="222222"/>
          <w:shd w:val="clear" w:color="auto" w:fill="FFFFFF"/>
        </w:rPr>
        <w:t xml:space="preserve">ks, R., Overton, V. and Parrotta, C.D., 2015. When patient activation levels change, health outcomes and costs change, too. </w:t>
      </w:r>
      <w:r w:rsidRPr="003C1715">
        <w:rPr>
          <w:rFonts w:cstheme="minorHAnsi"/>
          <w:i/>
          <w:iCs/>
          <w:color w:val="222222"/>
        </w:rPr>
        <w:t>Health Affairs</w:t>
      </w:r>
      <w:r w:rsidRPr="003C1715">
        <w:rPr>
          <w:rFonts w:cstheme="minorHAnsi"/>
          <w:color w:val="222222"/>
          <w:shd w:val="clear" w:color="auto" w:fill="FFFFFF"/>
        </w:rPr>
        <w:t xml:space="preserve">, </w:t>
      </w:r>
      <w:r w:rsidRPr="003C1715">
        <w:rPr>
          <w:rFonts w:cstheme="minorHAnsi"/>
          <w:i/>
          <w:iCs/>
          <w:color w:val="222222"/>
        </w:rPr>
        <w:t>34</w:t>
      </w:r>
      <w:r w:rsidRPr="003C1715">
        <w:rPr>
          <w:rFonts w:cstheme="minorHAnsi"/>
          <w:color w:val="222222"/>
          <w:shd w:val="clear" w:color="auto" w:fill="FFFFFF"/>
        </w:rPr>
        <w:t>(3), pp.431-437.</w:t>
      </w:r>
    </w:p>
    <w:p w14:paraId="635B7A8D" w14:textId="77777777" w:rsidR="003C1715" w:rsidRPr="003C1715" w:rsidRDefault="00E167EA" w:rsidP="00730A87">
      <w:pPr>
        <w:rPr>
          <w:rFonts w:cstheme="minorHAnsi"/>
          <w:color w:val="222222"/>
          <w:shd w:val="clear" w:color="auto" w:fill="FFFFFF"/>
        </w:rPr>
      </w:pPr>
      <w:r w:rsidRPr="003C1715">
        <w:rPr>
          <w:rFonts w:cstheme="minorHAnsi"/>
          <w:color w:val="222222"/>
          <w:shd w:val="clear" w:color="auto" w:fill="FFFFFF"/>
        </w:rPr>
        <w:t>Gulland, A., 2017. Primary care improvement in Wales “over reliant” on key individuals.</w:t>
      </w:r>
    </w:p>
    <w:p w14:paraId="4779614B" w14:textId="77777777" w:rsidR="003C1715" w:rsidRPr="003C1715" w:rsidRDefault="00E167EA" w:rsidP="00C86682">
      <w:pPr>
        <w:rPr>
          <w:rFonts w:cstheme="minorHAnsi"/>
          <w:color w:val="222222"/>
          <w:shd w:val="clear" w:color="auto" w:fill="FFFFFF"/>
        </w:rPr>
      </w:pPr>
      <w:r w:rsidRPr="003C1715">
        <w:rPr>
          <w:rFonts w:cstheme="minorHAnsi"/>
          <w:color w:val="222222"/>
          <w:shd w:val="clear" w:color="auto" w:fill="FFFFFF"/>
        </w:rPr>
        <w:t>Haas, J.S</w:t>
      </w:r>
      <w:r w:rsidRPr="003C1715">
        <w:rPr>
          <w:rFonts w:cstheme="minorHAnsi"/>
          <w:color w:val="222222"/>
          <w:shd w:val="clear" w:color="auto" w:fill="FFFFFF"/>
        </w:rPr>
        <w:t>., Sprague, B.L., Klabunde, C.N., Tosteson, A.N., Chen, J.S., Bitton, A., Beaber, E.F., Onega, T., Kim, J.J., MacLean, C.D. and Harris, K., 2016. Provider attitudes and screening practices following changes in breast and cervical cancer screening guideline</w:t>
      </w:r>
      <w:r w:rsidRPr="003C1715">
        <w:rPr>
          <w:rFonts w:cstheme="minorHAnsi"/>
          <w:color w:val="222222"/>
          <w:shd w:val="clear" w:color="auto" w:fill="FFFFFF"/>
        </w:rPr>
        <w:t xml:space="preserve">s. </w:t>
      </w:r>
      <w:r w:rsidRPr="003C1715">
        <w:rPr>
          <w:rFonts w:cstheme="minorHAnsi"/>
          <w:i/>
          <w:iCs/>
          <w:color w:val="222222"/>
        </w:rPr>
        <w:t>Journal of general internal medicine</w:t>
      </w:r>
      <w:r w:rsidRPr="003C1715">
        <w:rPr>
          <w:rFonts w:cstheme="minorHAnsi"/>
          <w:color w:val="222222"/>
          <w:shd w:val="clear" w:color="auto" w:fill="FFFFFF"/>
        </w:rPr>
        <w:t xml:space="preserve">, </w:t>
      </w:r>
      <w:r w:rsidRPr="003C1715">
        <w:rPr>
          <w:rFonts w:cstheme="minorHAnsi"/>
          <w:i/>
          <w:iCs/>
          <w:color w:val="222222"/>
        </w:rPr>
        <w:t>31</w:t>
      </w:r>
      <w:r w:rsidRPr="003C1715">
        <w:rPr>
          <w:rFonts w:cstheme="minorHAnsi"/>
          <w:color w:val="222222"/>
          <w:shd w:val="clear" w:color="auto" w:fill="FFFFFF"/>
        </w:rPr>
        <w:t>(1), pp.52-59.</w:t>
      </w:r>
    </w:p>
    <w:p w14:paraId="16964D92" w14:textId="77777777" w:rsidR="003C1715" w:rsidRPr="003C1715" w:rsidRDefault="00E167EA">
      <w:pPr>
        <w:rPr>
          <w:rFonts w:cstheme="minorHAnsi"/>
          <w:color w:val="222222"/>
          <w:shd w:val="clear" w:color="auto" w:fill="FFFFFF"/>
        </w:rPr>
      </w:pPr>
      <w:r w:rsidRPr="003C1715">
        <w:rPr>
          <w:rFonts w:cstheme="minorHAnsi"/>
          <w:color w:val="222222"/>
          <w:shd w:val="clear" w:color="auto" w:fill="FFFFFF"/>
        </w:rPr>
        <w:t>Ham, C., 2007. The Wanless review.</w:t>
      </w:r>
    </w:p>
    <w:p w14:paraId="1F2A8CEB" w14:textId="77777777" w:rsidR="003C1715" w:rsidRPr="003C1715" w:rsidRDefault="00E167EA">
      <w:pPr>
        <w:rPr>
          <w:rFonts w:cstheme="minorHAnsi"/>
          <w:color w:val="222222"/>
          <w:shd w:val="clear" w:color="auto" w:fill="FFFFFF"/>
        </w:rPr>
      </w:pPr>
      <w:r w:rsidRPr="003C1715">
        <w:rPr>
          <w:rFonts w:cstheme="minorHAnsi"/>
          <w:color w:val="222222"/>
          <w:shd w:val="clear" w:color="auto" w:fill="FFFFFF"/>
        </w:rPr>
        <w:t xml:space="preserve">Harrison, S. and McDonald, R., 2007. </w:t>
      </w:r>
      <w:r w:rsidRPr="003C1715">
        <w:rPr>
          <w:rFonts w:cstheme="minorHAnsi"/>
          <w:i/>
          <w:iCs/>
          <w:color w:val="222222"/>
        </w:rPr>
        <w:t>The politics of healthcare in Britain</w:t>
      </w:r>
      <w:r w:rsidRPr="003C1715">
        <w:rPr>
          <w:rFonts w:cstheme="minorHAnsi"/>
          <w:color w:val="222222"/>
          <w:shd w:val="clear" w:color="auto" w:fill="FFFFFF"/>
        </w:rPr>
        <w:t>. Sage.</w:t>
      </w:r>
    </w:p>
    <w:p w14:paraId="3E6CD3A9" w14:textId="77777777" w:rsidR="003C1715" w:rsidRPr="003C1715" w:rsidRDefault="00E167EA" w:rsidP="003C1715">
      <w:pPr>
        <w:rPr>
          <w:rFonts w:cstheme="minorHAnsi"/>
          <w:color w:val="222222"/>
          <w:shd w:val="clear" w:color="auto" w:fill="FFFFFF"/>
        </w:rPr>
      </w:pPr>
      <w:r w:rsidRPr="003C1715">
        <w:rPr>
          <w:rFonts w:cstheme="minorHAnsi"/>
          <w:color w:val="222222"/>
          <w:shd w:val="clear" w:color="auto" w:fill="FFFFFF"/>
        </w:rPr>
        <w:t xml:space="preserve">Hibbard, J.H., 2017. Patient activation and the use of information to support informed health decisions. </w:t>
      </w:r>
      <w:r w:rsidRPr="003C1715">
        <w:rPr>
          <w:rFonts w:cstheme="minorHAnsi"/>
          <w:i/>
          <w:iCs/>
          <w:color w:val="222222"/>
        </w:rPr>
        <w:t>Patient education and counseling</w:t>
      </w:r>
      <w:r w:rsidRPr="003C1715">
        <w:rPr>
          <w:rFonts w:cstheme="minorHAnsi"/>
          <w:color w:val="222222"/>
          <w:shd w:val="clear" w:color="auto" w:fill="FFFFFF"/>
        </w:rPr>
        <w:t xml:space="preserve">, </w:t>
      </w:r>
      <w:r w:rsidRPr="003C1715">
        <w:rPr>
          <w:rFonts w:cstheme="minorHAnsi"/>
          <w:i/>
          <w:iCs/>
          <w:color w:val="222222"/>
        </w:rPr>
        <w:t>100</w:t>
      </w:r>
      <w:r w:rsidRPr="003C1715">
        <w:rPr>
          <w:rFonts w:cstheme="minorHAnsi"/>
          <w:color w:val="222222"/>
          <w:shd w:val="clear" w:color="auto" w:fill="FFFFFF"/>
        </w:rPr>
        <w:t>(1), pp.5-7.</w:t>
      </w:r>
    </w:p>
    <w:p w14:paraId="7000CE63" w14:textId="77777777" w:rsidR="003C1715" w:rsidRPr="003C1715" w:rsidRDefault="00E167EA" w:rsidP="003C1715">
      <w:pPr>
        <w:rPr>
          <w:rFonts w:cstheme="minorHAnsi"/>
          <w:color w:val="222222"/>
          <w:shd w:val="clear" w:color="auto" w:fill="FFFFFF"/>
        </w:rPr>
      </w:pPr>
      <w:r w:rsidRPr="003C1715">
        <w:rPr>
          <w:rFonts w:cstheme="minorHAnsi"/>
          <w:color w:val="222222"/>
          <w:shd w:val="clear" w:color="auto" w:fill="FFFFFF"/>
        </w:rPr>
        <w:t>Hibbard, J.H., Greene, J. and Overton, V., 2013. Patients with lower activation associated with highe</w:t>
      </w:r>
      <w:r w:rsidRPr="003C1715">
        <w:rPr>
          <w:rFonts w:cstheme="minorHAnsi"/>
          <w:color w:val="222222"/>
          <w:shd w:val="clear" w:color="auto" w:fill="FFFFFF"/>
        </w:rPr>
        <w:t xml:space="preserve">r costs; delivery systems should know their patients’‘scores’. </w:t>
      </w:r>
      <w:r w:rsidRPr="003C1715">
        <w:rPr>
          <w:rFonts w:cstheme="minorHAnsi"/>
          <w:i/>
          <w:iCs/>
          <w:color w:val="222222"/>
        </w:rPr>
        <w:t>Health affairs</w:t>
      </w:r>
      <w:r w:rsidRPr="003C1715">
        <w:rPr>
          <w:rFonts w:cstheme="minorHAnsi"/>
          <w:color w:val="222222"/>
          <w:shd w:val="clear" w:color="auto" w:fill="FFFFFF"/>
        </w:rPr>
        <w:t xml:space="preserve">, </w:t>
      </w:r>
      <w:r w:rsidRPr="003C1715">
        <w:rPr>
          <w:rFonts w:cstheme="minorHAnsi"/>
          <w:i/>
          <w:iCs/>
          <w:color w:val="222222"/>
        </w:rPr>
        <w:t>32</w:t>
      </w:r>
      <w:r w:rsidRPr="003C1715">
        <w:rPr>
          <w:rFonts w:cstheme="minorHAnsi"/>
          <w:color w:val="222222"/>
          <w:shd w:val="clear" w:color="auto" w:fill="FFFFFF"/>
        </w:rPr>
        <w:t>(2), pp.216-222.</w:t>
      </w:r>
    </w:p>
    <w:p w14:paraId="69FA9D8E" w14:textId="77777777" w:rsidR="003C1715" w:rsidRPr="003C1715" w:rsidRDefault="00E167EA" w:rsidP="003C1715">
      <w:pPr>
        <w:rPr>
          <w:rFonts w:cstheme="minorHAnsi"/>
          <w:color w:val="222222"/>
          <w:shd w:val="clear" w:color="auto" w:fill="FFFFFF"/>
        </w:rPr>
      </w:pPr>
      <w:r w:rsidRPr="003C1715">
        <w:rPr>
          <w:rFonts w:cstheme="minorHAnsi"/>
          <w:color w:val="222222"/>
          <w:shd w:val="clear" w:color="auto" w:fill="FFFFFF"/>
        </w:rPr>
        <w:t>Hibbard, J.H., Greene, J., Sacks, R.M., Overton, V. and Parrotta, C., 2017. Improving population health management strategies: identifying patients who are mo</w:t>
      </w:r>
      <w:r w:rsidRPr="003C1715">
        <w:rPr>
          <w:rFonts w:cstheme="minorHAnsi"/>
          <w:color w:val="222222"/>
          <w:shd w:val="clear" w:color="auto" w:fill="FFFFFF"/>
        </w:rPr>
        <w:t xml:space="preserve">re likely to be users of avoidable costly care and those more likely to develop a new chronic disease. </w:t>
      </w:r>
      <w:r w:rsidRPr="003C1715">
        <w:rPr>
          <w:rFonts w:cstheme="minorHAnsi"/>
          <w:i/>
          <w:iCs/>
          <w:color w:val="222222"/>
        </w:rPr>
        <w:t>Health services research</w:t>
      </w:r>
      <w:r w:rsidRPr="003C1715">
        <w:rPr>
          <w:rFonts w:cstheme="minorHAnsi"/>
          <w:color w:val="222222"/>
          <w:shd w:val="clear" w:color="auto" w:fill="FFFFFF"/>
        </w:rPr>
        <w:t xml:space="preserve">, </w:t>
      </w:r>
      <w:r w:rsidRPr="003C1715">
        <w:rPr>
          <w:rFonts w:cstheme="minorHAnsi"/>
          <w:i/>
          <w:iCs/>
          <w:color w:val="222222"/>
        </w:rPr>
        <w:t>52</w:t>
      </w:r>
      <w:r w:rsidRPr="003C1715">
        <w:rPr>
          <w:rFonts w:cstheme="minorHAnsi"/>
          <w:color w:val="222222"/>
          <w:shd w:val="clear" w:color="auto" w:fill="FFFFFF"/>
        </w:rPr>
        <w:t>(4), pp.1297-1309.</w:t>
      </w:r>
    </w:p>
    <w:p w14:paraId="4E7B3883" w14:textId="77777777" w:rsidR="003C1715" w:rsidRPr="003C1715" w:rsidRDefault="00E167EA" w:rsidP="00730A87">
      <w:pPr>
        <w:rPr>
          <w:rFonts w:cstheme="minorHAnsi"/>
          <w:color w:val="000000"/>
          <w:shd w:val="clear" w:color="auto" w:fill="FFFFFF"/>
        </w:rPr>
      </w:pPr>
      <w:r w:rsidRPr="003C1715">
        <w:rPr>
          <w:rFonts w:cstheme="minorHAnsi"/>
          <w:color w:val="000000"/>
          <w:shd w:val="clear" w:color="auto" w:fill="FFFFFF"/>
        </w:rPr>
        <w:t xml:space="preserve">Holzinger, C. (2016). </w:t>
      </w:r>
      <w:r w:rsidRPr="003C1715">
        <w:rPr>
          <w:rFonts w:cstheme="minorHAnsi"/>
          <w:i/>
          <w:iCs/>
          <w:color w:val="000000"/>
        </w:rPr>
        <w:t>Reflecting on year One: How have the Public Bodies Responded to the Well-being of fu</w:t>
      </w:r>
      <w:r w:rsidRPr="003C1715">
        <w:rPr>
          <w:rFonts w:cstheme="minorHAnsi"/>
          <w:i/>
          <w:iCs/>
          <w:color w:val="000000"/>
        </w:rPr>
        <w:t>ture Generations (Wales) Act 2015?</w:t>
      </w:r>
      <w:r w:rsidRPr="003C1715">
        <w:rPr>
          <w:rFonts w:cstheme="minorHAnsi"/>
          <w:color w:val="000000"/>
          <w:shd w:val="clear" w:color="auto" w:fill="FFFFFF"/>
        </w:rPr>
        <w:t>.</w:t>
      </w:r>
      <w:r w:rsidRPr="003C1715">
        <w:rPr>
          <w:rFonts w:cstheme="minorHAnsi"/>
          <w:color w:val="000000"/>
          <w:shd w:val="clear" w:color="auto" w:fill="FFFFFF"/>
        </w:rPr>
        <w:t xml:space="preserve"> [online] Wales Audit office. Available at: http://www.audit.wales/system/files/publications/reflecting-on-year-one-2018-english.pdf [Accessed 1 Jan. 2020].</w:t>
      </w:r>
    </w:p>
    <w:p w14:paraId="6833D0F4" w14:textId="77777777" w:rsidR="003C1715" w:rsidRPr="003C1715" w:rsidRDefault="00E167EA" w:rsidP="003C1715">
      <w:pPr>
        <w:rPr>
          <w:rFonts w:cstheme="minorHAnsi"/>
          <w:color w:val="222222"/>
          <w:shd w:val="clear" w:color="auto" w:fill="FFFFFF"/>
        </w:rPr>
      </w:pPr>
      <w:r w:rsidRPr="003C1715">
        <w:rPr>
          <w:rFonts w:cstheme="minorHAnsi"/>
          <w:color w:val="222222"/>
          <w:shd w:val="clear" w:color="auto" w:fill="FFFFFF"/>
        </w:rPr>
        <w:t>Hunt, D., Knuchel-Takano, A., Jaccard, A., Bhimjiyani, A., Retat, L., Selvarajah, C., Brown, K., We</w:t>
      </w:r>
      <w:r w:rsidRPr="003C1715">
        <w:rPr>
          <w:rFonts w:cstheme="minorHAnsi"/>
          <w:color w:val="222222"/>
          <w:shd w:val="clear" w:color="auto" w:fill="FFFFFF"/>
        </w:rPr>
        <w:t xml:space="preserve">bber, L.L. and Brown, M., 2018. Modelling the implications of reducing smoking prevalence: the public health and economic benefits of achieving a ‘tobacco-free’UK. </w:t>
      </w:r>
      <w:r w:rsidRPr="003C1715">
        <w:rPr>
          <w:rFonts w:cstheme="minorHAnsi"/>
          <w:i/>
          <w:iCs/>
          <w:color w:val="222222"/>
        </w:rPr>
        <w:t>Tobacco control</w:t>
      </w:r>
      <w:r w:rsidRPr="003C1715">
        <w:rPr>
          <w:rFonts w:cstheme="minorHAnsi"/>
          <w:color w:val="222222"/>
          <w:shd w:val="clear" w:color="auto" w:fill="FFFFFF"/>
        </w:rPr>
        <w:t xml:space="preserve">, </w:t>
      </w:r>
      <w:r w:rsidRPr="003C1715">
        <w:rPr>
          <w:rFonts w:cstheme="minorHAnsi"/>
          <w:i/>
          <w:iCs/>
          <w:color w:val="222222"/>
        </w:rPr>
        <w:t>27</w:t>
      </w:r>
      <w:r w:rsidRPr="003C1715">
        <w:rPr>
          <w:rFonts w:cstheme="minorHAnsi"/>
          <w:color w:val="222222"/>
          <w:shd w:val="clear" w:color="auto" w:fill="FFFFFF"/>
        </w:rPr>
        <w:t>(2), pp.129-135.</w:t>
      </w:r>
    </w:p>
    <w:p w14:paraId="26E418E7" w14:textId="77777777" w:rsidR="003C1715" w:rsidRPr="003C1715" w:rsidRDefault="00E167EA" w:rsidP="003C1715">
      <w:pPr>
        <w:rPr>
          <w:rFonts w:cstheme="minorHAnsi"/>
        </w:rPr>
      </w:pPr>
      <w:r w:rsidRPr="003C1715">
        <w:rPr>
          <w:rFonts w:cstheme="minorHAnsi"/>
          <w:color w:val="000000"/>
          <w:shd w:val="clear" w:color="auto" w:fill="FFFFFF"/>
        </w:rPr>
        <w:t xml:space="preserve">Institute of Economic Affairs (2017). </w:t>
      </w:r>
      <w:r w:rsidRPr="003C1715">
        <w:rPr>
          <w:rFonts w:cstheme="minorHAnsi"/>
          <w:i/>
          <w:iCs/>
          <w:color w:val="000000"/>
        </w:rPr>
        <w:t>Smoking and the pu</w:t>
      </w:r>
      <w:r w:rsidRPr="003C1715">
        <w:rPr>
          <w:rFonts w:cstheme="minorHAnsi"/>
          <w:i/>
          <w:iCs/>
          <w:color w:val="000000"/>
        </w:rPr>
        <w:t>blic purse</w:t>
      </w:r>
      <w:r w:rsidRPr="003C1715">
        <w:rPr>
          <w:rFonts w:cstheme="minorHAnsi"/>
          <w:color w:val="000000"/>
          <w:shd w:val="clear" w:color="auto" w:fill="FFFFFF"/>
        </w:rPr>
        <w:t>. Institute of Economic Affairs.</w:t>
      </w:r>
    </w:p>
    <w:p w14:paraId="179C1DDA" w14:textId="77777777" w:rsidR="003C1715" w:rsidRPr="003C1715" w:rsidRDefault="00E167EA" w:rsidP="00730A87">
      <w:pPr>
        <w:rPr>
          <w:rFonts w:cstheme="minorHAnsi"/>
          <w:color w:val="222222"/>
          <w:shd w:val="clear" w:color="auto" w:fill="FFFFFF"/>
        </w:rPr>
      </w:pPr>
      <w:r w:rsidRPr="003C1715">
        <w:rPr>
          <w:rFonts w:cstheme="minorHAnsi"/>
          <w:color w:val="222222"/>
          <w:shd w:val="clear" w:color="auto" w:fill="FFFFFF"/>
        </w:rPr>
        <w:lastRenderedPageBreak/>
        <w:t xml:space="preserve">Kellner, A., Townsend, K. and Wilkinson, A., 2017. ‘The mission or the margin?’A high-performance work system in a non-profit organisation. </w:t>
      </w:r>
      <w:r w:rsidRPr="003C1715">
        <w:rPr>
          <w:rFonts w:cstheme="minorHAnsi"/>
          <w:i/>
          <w:iCs/>
          <w:color w:val="222222"/>
        </w:rPr>
        <w:t>The International Journal of Human Resource Management</w:t>
      </w:r>
      <w:r w:rsidRPr="003C1715">
        <w:rPr>
          <w:rFonts w:cstheme="minorHAnsi"/>
          <w:color w:val="222222"/>
          <w:shd w:val="clear" w:color="auto" w:fill="FFFFFF"/>
        </w:rPr>
        <w:t xml:space="preserve">, </w:t>
      </w:r>
      <w:r w:rsidRPr="003C1715">
        <w:rPr>
          <w:rFonts w:cstheme="minorHAnsi"/>
          <w:i/>
          <w:iCs/>
          <w:color w:val="222222"/>
        </w:rPr>
        <w:t>28</w:t>
      </w:r>
      <w:r w:rsidRPr="003C1715">
        <w:rPr>
          <w:rFonts w:cstheme="minorHAnsi"/>
          <w:color w:val="222222"/>
          <w:shd w:val="clear" w:color="auto" w:fill="FFFFFF"/>
        </w:rPr>
        <w:t>(14), pp.1938-1</w:t>
      </w:r>
      <w:r w:rsidRPr="003C1715">
        <w:rPr>
          <w:rFonts w:cstheme="minorHAnsi"/>
          <w:color w:val="222222"/>
          <w:shd w:val="clear" w:color="auto" w:fill="FFFFFF"/>
        </w:rPr>
        <w:t>959.</w:t>
      </w:r>
    </w:p>
    <w:p w14:paraId="5B31F60E" w14:textId="77777777" w:rsidR="003C1715" w:rsidRPr="003C1715" w:rsidRDefault="00E167EA" w:rsidP="00730A87">
      <w:pPr>
        <w:rPr>
          <w:rFonts w:cstheme="minorHAnsi"/>
          <w:color w:val="222222"/>
          <w:shd w:val="clear" w:color="auto" w:fill="FFFFFF"/>
        </w:rPr>
      </w:pPr>
      <w:r w:rsidRPr="003C1715">
        <w:rPr>
          <w:rFonts w:cstheme="minorHAnsi"/>
          <w:color w:val="222222"/>
          <w:shd w:val="clear" w:color="auto" w:fill="FFFFFF"/>
        </w:rPr>
        <w:t xml:space="preserve">Kimberlee, R., 2015. What is social prescribing?. </w:t>
      </w:r>
      <w:r w:rsidRPr="003C1715">
        <w:rPr>
          <w:rFonts w:cstheme="minorHAnsi"/>
          <w:i/>
          <w:iCs/>
          <w:color w:val="222222"/>
        </w:rPr>
        <w:t>Advances in Social Sciences Research Journal</w:t>
      </w:r>
      <w:r w:rsidRPr="003C1715">
        <w:rPr>
          <w:rFonts w:cstheme="minorHAnsi"/>
          <w:color w:val="222222"/>
          <w:shd w:val="clear" w:color="auto" w:fill="FFFFFF"/>
        </w:rPr>
        <w:t xml:space="preserve">, </w:t>
      </w:r>
      <w:r w:rsidRPr="003C1715">
        <w:rPr>
          <w:rFonts w:cstheme="minorHAnsi"/>
          <w:i/>
          <w:iCs/>
          <w:color w:val="222222"/>
        </w:rPr>
        <w:t>2</w:t>
      </w:r>
      <w:r w:rsidRPr="003C1715">
        <w:rPr>
          <w:rFonts w:cstheme="minorHAnsi"/>
          <w:color w:val="222222"/>
          <w:shd w:val="clear" w:color="auto" w:fill="FFFFFF"/>
        </w:rPr>
        <w:t>(1).</w:t>
      </w:r>
    </w:p>
    <w:p w14:paraId="26B96A54" w14:textId="77777777" w:rsidR="003C1715" w:rsidRPr="003C1715" w:rsidRDefault="00E167EA" w:rsidP="003C1715">
      <w:pPr>
        <w:rPr>
          <w:rFonts w:cstheme="minorHAnsi"/>
          <w:color w:val="222222"/>
          <w:shd w:val="clear" w:color="auto" w:fill="FFFFFF"/>
        </w:rPr>
      </w:pPr>
      <w:r w:rsidRPr="003C1715">
        <w:rPr>
          <w:rFonts w:cstheme="minorHAnsi"/>
          <w:color w:val="222222"/>
          <w:shd w:val="clear" w:color="auto" w:fill="FFFFFF"/>
        </w:rPr>
        <w:t>Klein, R., 2001. Estimating the financial requirements of health care: The Wanless report is a pioneering effort—with a few omissions and errors.</w:t>
      </w:r>
    </w:p>
    <w:p w14:paraId="3230D9EE" w14:textId="77777777" w:rsidR="003C1715" w:rsidRPr="003C1715" w:rsidRDefault="00E167EA" w:rsidP="00C86682">
      <w:pPr>
        <w:rPr>
          <w:rFonts w:cstheme="minorHAnsi"/>
          <w:color w:val="222222"/>
          <w:shd w:val="clear" w:color="auto" w:fill="FFFFFF"/>
        </w:rPr>
      </w:pPr>
      <w:r w:rsidRPr="003C1715">
        <w:rPr>
          <w:rFonts w:cstheme="minorHAnsi"/>
          <w:color w:val="222222"/>
          <w:shd w:val="clear" w:color="auto" w:fill="FFFFFF"/>
        </w:rPr>
        <w:t>Kna</w:t>
      </w:r>
      <w:r w:rsidRPr="003C1715">
        <w:rPr>
          <w:rFonts w:cstheme="minorHAnsi"/>
          <w:color w:val="222222"/>
          <w:shd w:val="clear" w:color="auto" w:fill="FFFFFF"/>
        </w:rPr>
        <w:t xml:space="preserve">pp, M., Cambridge, P., Thomason, C., Beecham, J., Allen, C. and Darton, R.O.B.I.N., 2018. </w:t>
      </w:r>
      <w:r w:rsidRPr="003C1715">
        <w:rPr>
          <w:rFonts w:cstheme="minorHAnsi"/>
          <w:i/>
          <w:iCs/>
          <w:color w:val="222222"/>
        </w:rPr>
        <w:t>Care in the community: Challenge and demonstration</w:t>
      </w:r>
      <w:r w:rsidRPr="003C1715">
        <w:rPr>
          <w:rFonts w:cstheme="minorHAnsi"/>
          <w:color w:val="222222"/>
          <w:shd w:val="clear" w:color="auto" w:fill="FFFFFF"/>
        </w:rPr>
        <w:t>. Routledge.</w:t>
      </w:r>
    </w:p>
    <w:p w14:paraId="172548E5" w14:textId="77777777" w:rsidR="003C1715" w:rsidRPr="003C1715" w:rsidRDefault="00E167EA" w:rsidP="003C1715">
      <w:pPr>
        <w:rPr>
          <w:rFonts w:cstheme="minorHAnsi"/>
          <w:color w:val="222222"/>
          <w:shd w:val="clear" w:color="auto" w:fill="FFFFFF"/>
        </w:rPr>
      </w:pPr>
      <w:r w:rsidRPr="003C1715">
        <w:rPr>
          <w:rFonts w:cstheme="minorHAnsi"/>
          <w:color w:val="222222"/>
          <w:shd w:val="clear" w:color="auto" w:fill="FFFFFF"/>
        </w:rPr>
        <w:t xml:space="preserve">Malhi, G.S., Lingford-Hughes, A.R. and Young, A.H., 2016. Antidepressant treatment response:‘I want it </w:t>
      </w:r>
      <w:r w:rsidRPr="003C1715">
        <w:rPr>
          <w:rFonts w:cstheme="minorHAnsi"/>
          <w:color w:val="222222"/>
          <w:shd w:val="clear" w:color="auto" w:fill="FFFFFF"/>
        </w:rPr>
        <w:t xml:space="preserve">all, and I want it now!’. </w:t>
      </w:r>
      <w:r w:rsidRPr="003C1715">
        <w:rPr>
          <w:rFonts w:cstheme="minorHAnsi"/>
          <w:i/>
          <w:iCs/>
          <w:color w:val="222222"/>
        </w:rPr>
        <w:t>The British Journal of Psychiatry</w:t>
      </w:r>
      <w:r w:rsidRPr="003C1715">
        <w:rPr>
          <w:rFonts w:cstheme="minorHAnsi"/>
          <w:color w:val="222222"/>
          <w:shd w:val="clear" w:color="auto" w:fill="FFFFFF"/>
        </w:rPr>
        <w:t xml:space="preserve">, </w:t>
      </w:r>
      <w:r w:rsidRPr="003C1715">
        <w:rPr>
          <w:rFonts w:cstheme="minorHAnsi"/>
          <w:i/>
          <w:iCs/>
          <w:color w:val="222222"/>
        </w:rPr>
        <w:t>208</w:t>
      </w:r>
      <w:r w:rsidRPr="003C1715">
        <w:rPr>
          <w:rFonts w:cstheme="minorHAnsi"/>
          <w:color w:val="222222"/>
          <w:shd w:val="clear" w:color="auto" w:fill="FFFFFF"/>
        </w:rPr>
        <w:t>(2), pp.101-103.</w:t>
      </w:r>
    </w:p>
    <w:p w14:paraId="0C6A2CF8" w14:textId="77777777" w:rsidR="003C1715" w:rsidRPr="003C1715" w:rsidRDefault="00E167EA">
      <w:pPr>
        <w:rPr>
          <w:rFonts w:cstheme="minorHAnsi"/>
          <w:color w:val="222222"/>
          <w:shd w:val="clear" w:color="auto" w:fill="FFFFFF"/>
        </w:rPr>
      </w:pPr>
      <w:r w:rsidRPr="003C1715">
        <w:rPr>
          <w:rFonts w:cstheme="minorHAnsi"/>
          <w:color w:val="222222"/>
          <w:shd w:val="clear" w:color="auto" w:fill="FFFFFF"/>
        </w:rPr>
        <w:t xml:space="preserve">Moore, W., 2002. 21st century heart solution may have a sting in the tail. </w:t>
      </w:r>
      <w:r w:rsidRPr="003C1715">
        <w:rPr>
          <w:rFonts w:cstheme="minorHAnsi"/>
          <w:i/>
          <w:iCs/>
          <w:color w:val="222222"/>
        </w:rPr>
        <w:t>BMJ</w:t>
      </w:r>
      <w:r w:rsidRPr="003C1715">
        <w:rPr>
          <w:rFonts w:cstheme="minorHAnsi"/>
          <w:color w:val="222222"/>
          <w:shd w:val="clear" w:color="auto" w:fill="FFFFFF"/>
        </w:rPr>
        <w:t xml:space="preserve">, </w:t>
      </w:r>
      <w:r w:rsidRPr="003C1715">
        <w:rPr>
          <w:rFonts w:cstheme="minorHAnsi"/>
          <w:i/>
          <w:iCs/>
          <w:color w:val="222222"/>
        </w:rPr>
        <w:t>324</w:t>
      </w:r>
      <w:r w:rsidRPr="003C1715">
        <w:rPr>
          <w:rFonts w:cstheme="minorHAnsi"/>
          <w:color w:val="222222"/>
          <w:shd w:val="clear" w:color="auto" w:fill="FFFFFF"/>
        </w:rPr>
        <w:t>, p.998.</w:t>
      </w:r>
    </w:p>
    <w:p w14:paraId="604BED46" w14:textId="77777777" w:rsidR="003C1715" w:rsidRPr="003C1715" w:rsidRDefault="00E167EA" w:rsidP="00730A87">
      <w:pPr>
        <w:rPr>
          <w:rFonts w:cstheme="minorHAnsi"/>
          <w:color w:val="000000"/>
          <w:shd w:val="clear" w:color="auto" w:fill="FFFFFF"/>
        </w:rPr>
      </w:pPr>
      <w:r w:rsidRPr="003C1715">
        <w:rPr>
          <w:rFonts w:cstheme="minorHAnsi"/>
          <w:color w:val="000000"/>
          <w:shd w:val="clear" w:color="auto" w:fill="FFFFFF"/>
        </w:rPr>
        <w:t xml:space="preserve">NHS Wales. (2016). </w:t>
      </w:r>
      <w:r w:rsidRPr="003C1715">
        <w:rPr>
          <w:rFonts w:cstheme="minorHAnsi"/>
          <w:i/>
          <w:iCs/>
          <w:color w:val="000000"/>
        </w:rPr>
        <w:t>Cluster Network Action Plan</w:t>
      </w:r>
      <w:r w:rsidRPr="003C1715">
        <w:rPr>
          <w:rFonts w:cstheme="minorHAnsi"/>
          <w:color w:val="000000"/>
          <w:shd w:val="clear" w:color="auto" w:fill="FFFFFF"/>
        </w:rPr>
        <w:t>. [online] Available at: http://www.w</w:t>
      </w:r>
      <w:r w:rsidRPr="003C1715">
        <w:rPr>
          <w:rFonts w:cstheme="minorHAnsi"/>
          <w:color w:val="000000"/>
          <w:shd w:val="clear" w:color="auto" w:fill="FFFFFF"/>
        </w:rPr>
        <w:t>ales.nhs.uk/sites3/Documents/480/Carmarthenshire%20-%20Llanelli%20Cluster%20Network%20Action%20Plan%202016-17.pdf [Accessed 1 Jan. 2020].</w:t>
      </w:r>
    </w:p>
    <w:p w14:paraId="5BDA85B2" w14:textId="77777777" w:rsidR="003C1715" w:rsidRPr="003C1715" w:rsidRDefault="00E167EA" w:rsidP="003C1715">
      <w:pPr>
        <w:rPr>
          <w:rFonts w:cstheme="minorHAnsi"/>
          <w:color w:val="222222"/>
          <w:shd w:val="clear" w:color="auto" w:fill="FFFFFF"/>
        </w:rPr>
      </w:pPr>
      <w:r w:rsidRPr="003C1715">
        <w:rPr>
          <w:rFonts w:cstheme="minorHAnsi"/>
          <w:color w:val="222222"/>
          <w:shd w:val="clear" w:color="auto" w:fill="FFFFFF"/>
        </w:rPr>
        <w:t xml:space="preserve">O'Dowd, A., 2016. NHS winter pressures are becoming an all year reality, warn experts. </w:t>
      </w:r>
      <w:r w:rsidRPr="003C1715">
        <w:rPr>
          <w:rFonts w:cstheme="minorHAnsi"/>
          <w:i/>
          <w:iCs/>
          <w:color w:val="222222"/>
        </w:rPr>
        <w:t>BMJ: British Medical Journal (O</w:t>
      </w:r>
      <w:r w:rsidRPr="003C1715">
        <w:rPr>
          <w:rFonts w:cstheme="minorHAnsi"/>
          <w:i/>
          <w:iCs/>
          <w:color w:val="222222"/>
        </w:rPr>
        <w:t>nline)</w:t>
      </w:r>
      <w:r w:rsidRPr="003C1715">
        <w:rPr>
          <w:rFonts w:cstheme="minorHAnsi"/>
          <w:color w:val="222222"/>
          <w:shd w:val="clear" w:color="auto" w:fill="FFFFFF"/>
        </w:rPr>
        <w:t xml:space="preserve">, </w:t>
      </w:r>
      <w:r w:rsidRPr="003C1715">
        <w:rPr>
          <w:rFonts w:cstheme="minorHAnsi"/>
          <w:i/>
          <w:iCs/>
          <w:color w:val="222222"/>
        </w:rPr>
        <w:t>354</w:t>
      </w:r>
      <w:r w:rsidRPr="003C1715">
        <w:rPr>
          <w:rFonts w:cstheme="minorHAnsi"/>
          <w:color w:val="222222"/>
          <w:shd w:val="clear" w:color="auto" w:fill="FFFFFF"/>
        </w:rPr>
        <w:t>.</w:t>
      </w:r>
    </w:p>
    <w:p w14:paraId="6947F3C0" w14:textId="77777777" w:rsidR="003C1715" w:rsidRPr="003C1715" w:rsidRDefault="00E167EA" w:rsidP="003C1715">
      <w:pPr>
        <w:rPr>
          <w:rFonts w:cstheme="minorHAnsi"/>
          <w:color w:val="000000"/>
          <w:shd w:val="clear" w:color="auto" w:fill="FFFFFF"/>
        </w:rPr>
      </w:pPr>
      <w:r w:rsidRPr="003C1715">
        <w:rPr>
          <w:rFonts w:cstheme="minorHAnsi"/>
          <w:color w:val="000000"/>
          <w:shd w:val="clear" w:color="auto" w:fill="FFFFFF"/>
        </w:rPr>
        <w:t xml:space="preserve">Ons.gov.uk. (2020). </w:t>
      </w:r>
      <w:r w:rsidRPr="003C1715">
        <w:rPr>
          <w:rFonts w:cstheme="minorHAnsi"/>
          <w:i/>
          <w:iCs/>
          <w:color w:val="000000"/>
        </w:rPr>
        <w:t>Depression in the UK - Office for National Statistics</w:t>
      </w:r>
      <w:r w:rsidRPr="003C1715">
        <w:rPr>
          <w:rFonts w:cstheme="minorHAnsi"/>
          <w:color w:val="000000"/>
          <w:shd w:val="clear" w:color="auto" w:fill="FFFFFF"/>
        </w:rPr>
        <w:t>. [online] Available at: https://www.ons.gov.uk/aboutus/transparencyandgovernance/freedomofinformationfoi/depressionintheuk [Accessed 5 Jan. 2020].</w:t>
      </w:r>
    </w:p>
    <w:p w14:paraId="085EF0C8" w14:textId="77777777" w:rsidR="003C1715" w:rsidRPr="003C1715" w:rsidRDefault="00E167EA">
      <w:pPr>
        <w:rPr>
          <w:rFonts w:cstheme="minorHAnsi"/>
          <w:color w:val="222222"/>
          <w:shd w:val="clear" w:color="auto" w:fill="FFFFFF"/>
        </w:rPr>
      </w:pPr>
      <w:r w:rsidRPr="003C1715">
        <w:rPr>
          <w:rFonts w:cstheme="minorHAnsi"/>
          <w:color w:val="222222"/>
          <w:shd w:val="clear" w:color="auto" w:fill="FFFFFF"/>
        </w:rPr>
        <w:t>Puyol</w:t>
      </w:r>
      <w:r w:rsidRPr="003C1715">
        <w:rPr>
          <w:rFonts w:cstheme="minorHAnsi"/>
          <w:color w:val="222222"/>
          <w:shd w:val="clear" w:color="auto" w:fill="FFFFFF"/>
        </w:rPr>
        <w:t xml:space="preserve">, A., 2018. The Uncomfortable Truths of Healthcare Prioritisation. </w:t>
      </w:r>
      <w:r w:rsidRPr="003C1715">
        <w:rPr>
          <w:rFonts w:cstheme="minorHAnsi"/>
          <w:i/>
          <w:iCs/>
          <w:color w:val="222222"/>
        </w:rPr>
        <w:t>Prioritising Health Services or Muddling Through</w:t>
      </w:r>
      <w:r w:rsidRPr="003C1715">
        <w:rPr>
          <w:rFonts w:cstheme="minorHAnsi"/>
          <w:color w:val="222222"/>
          <w:shd w:val="clear" w:color="auto" w:fill="FFFFFF"/>
        </w:rPr>
        <w:t>, p.125.</w:t>
      </w:r>
    </w:p>
    <w:p w14:paraId="3D47EEF1" w14:textId="77777777" w:rsidR="003C1715" w:rsidRPr="003C1715" w:rsidRDefault="00E167EA" w:rsidP="00730A87">
      <w:pPr>
        <w:rPr>
          <w:rFonts w:cstheme="minorHAnsi"/>
          <w:color w:val="222222"/>
          <w:shd w:val="clear" w:color="auto" w:fill="FFFFFF"/>
        </w:rPr>
      </w:pPr>
      <w:bookmarkStart w:id="2" w:name="_Hlk30178438"/>
      <w:r w:rsidRPr="003C1715">
        <w:rPr>
          <w:rFonts w:cstheme="minorHAnsi"/>
          <w:color w:val="222222"/>
          <w:shd w:val="clear" w:color="auto" w:fill="FFFFFF"/>
        </w:rPr>
        <w:t>Radhakrishnan</w:t>
      </w:r>
      <w:bookmarkEnd w:id="2"/>
      <w:r w:rsidRPr="003C1715">
        <w:rPr>
          <w:rFonts w:cstheme="minorHAnsi"/>
          <w:color w:val="222222"/>
          <w:shd w:val="clear" w:color="auto" w:fill="FFFFFF"/>
        </w:rPr>
        <w:t>, M., Hammond, G., Jones, P., Watson, A., McMillan-Shields, F. &amp; Lafortune, L. (2013). Cost of improving access to psyc</w:t>
      </w:r>
      <w:r w:rsidRPr="003C1715">
        <w:rPr>
          <w:rFonts w:cstheme="minorHAnsi"/>
          <w:color w:val="222222"/>
          <w:shd w:val="clear" w:color="auto" w:fill="FFFFFF"/>
        </w:rPr>
        <w:t>hological therapies (IAPT) programme: An analysis of cost of session, treatment and recovery in selected Primary Care Trusts in the East of England region. Behaviour, Research and Therapy, 51, 37–45.</w:t>
      </w:r>
    </w:p>
    <w:p w14:paraId="0BA65591" w14:textId="77777777" w:rsidR="003C1715" w:rsidRPr="003C1715" w:rsidRDefault="00E167EA">
      <w:pPr>
        <w:rPr>
          <w:rFonts w:cstheme="minorHAnsi"/>
          <w:color w:val="222222"/>
          <w:shd w:val="clear" w:color="auto" w:fill="FFFFFF"/>
        </w:rPr>
      </w:pPr>
      <w:r w:rsidRPr="003C1715">
        <w:rPr>
          <w:rFonts w:cstheme="minorHAnsi"/>
          <w:color w:val="222222"/>
          <w:shd w:val="clear" w:color="auto" w:fill="FFFFFF"/>
        </w:rPr>
        <w:t>Rix, A. and Marrin, K., 2015. Prudent healthcare and pat</w:t>
      </w:r>
      <w:r w:rsidRPr="003C1715">
        <w:rPr>
          <w:rFonts w:cstheme="minorHAnsi"/>
          <w:color w:val="222222"/>
          <w:shd w:val="clear" w:color="auto" w:fill="FFFFFF"/>
        </w:rPr>
        <w:t xml:space="preserve">ient activation. </w:t>
      </w:r>
      <w:r w:rsidRPr="003C1715">
        <w:rPr>
          <w:rFonts w:cstheme="minorHAnsi"/>
          <w:i/>
          <w:iCs/>
          <w:color w:val="222222"/>
        </w:rPr>
        <w:t>An appraisal prepared for the Planned Care Programme. Cardiff: Welsh Government</w:t>
      </w:r>
      <w:r w:rsidRPr="003C1715">
        <w:rPr>
          <w:rFonts w:cstheme="minorHAnsi"/>
          <w:color w:val="222222"/>
          <w:shd w:val="clear" w:color="auto" w:fill="FFFFFF"/>
        </w:rPr>
        <w:t>.</w:t>
      </w:r>
    </w:p>
    <w:p w14:paraId="072D5021" w14:textId="77777777" w:rsidR="003C1715" w:rsidRPr="003C1715" w:rsidRDefault="00E167EA" w:rsidP="00730A87">
      <w:pPr>
        <w:rPr>
          <w:rFonts w:cstheme="minorHAnsi"/>
          <w:color w:val="222222"/>
          <w:shd w:val="clear" w:color="auto" w:fill="FFFFFF"/>
        </w:rPr>
      </w:pPr>
      <w:r w:rsidRPr="003C1715">
        <w:rPr>
          <w:rFonts w:cstheme="minorHAnsi"/>
          <w:color w:val="222222"/>
          <w:shd w:val="clear" w:color="auto" w:fill="FFFFFF"/>
        </w:rPr>
        <w:t xml:space="preserve">Salamon, L.M. and Sokolowski, S.W., 2016. Beyond nonprofits: Re-conceptualizing the third sector. </w:t>
      </w:r>
      <w:r w:rsidRPr="003C1715">
        <w:rPr>
          <w:rFonts w:cstheme="minorHAnsi"/>
          <w:i/>
          <w:iCs/>
          <w:color w:val="222222"/>
        </w:rPr>
        <w:t>VOLUNTAS: International journal of voluntary and nonprofit o</w:t>
      </w:r>
      <w:r w:rsidRPr="003C1715">
        <w:rPr>
          <w:rFonts w:cstheme="minorHAnsi"/>
          <w:i/>
          <w:iCs/>
          <w:color w:val="222222"/>
        </w:rPr>
        <w:t>rganizations</w:t>
      </w:r>
      <w:r w:rsidRPr="003C1715">
        <w:rPr>
          <w:rFonts w:cstheme="minorHAnsi"/>
          <w:color w:val="222222"/>
          <w:shd w:val="clear" w:color="auto" w:fill="FFFFFF"/>
        </w:rPr>
        <w:t xml:space="preserve">, </w:t>
      </w:r>
      <w:r w:rsidRPr="003C1715">
        <w:rPr>
          <w:rFonts w:cstheme="minorHAnsi"/>
          <w:i/>
          <w:iCs/>
          <w:color w:val="222222"/>
        </w:rPr>
        <w:t>27</w:t>
      </w:r>
      <w:r w:rsidRPr="003C1715">
        <w:rPr>
          <w:rFonts w:cstheme="minorHAnsi"/>
          <w:color w:val="222222"/>
          <w:shd w:val="clear" w:color="auto" w:fill="FFFFFF"/>
        </w:rPr>
        <w:t>(4), pp.1515-1545.</w:t>
      </w:r>
    </w:p>
    <w:p w14:paraId="7067BB28" w14:textId="77777777" w:rsidR="003C1715" w:rsidRPr="003C1715" w:rsidRDefault="00E167EA" w:rsidP="00730A87">
      <w:pPr>
        <w:rPr>
          <w:rFonts w:cstheme="minorHAnsi"/>
          <w:color w:val="222222"/>
          <w:shd w:val="clear" w:color="auto" w:fill="FFFFFF"/>
        </w:rPr>
      </w:pPr>
      <w:r w:rsidRPr="003C1715">
        <w:rPr>
          <w:rFonts w:cstheme="minorHAnsi"/>
          <w:color w:val="222222"/>
          <w:shd w:val="clear" w:color="auto" w:fill="FFFFFF"/>
        </w:rPr>
        <w:t xml:space="preserve">Seymour, V., 2019. Exploring the use of user-centred design methods to inform the development of impact measurement practices: lessons learnt in the environmental volunteering sector. </w:t>
      </w:r>
      <w:r w:rsidRPr="003C1715">
        <w:rPr>
          <w:rFonts w:cstheme="minorHAnsi"/>
          <w:i/>
          <w:iCs/>
          <w:color w:val="222222"/>
        </w:rPr>
        <w:t>Voluntary Sector Review</w:t>
      </w:r>
      <w:r w:rsidRPr="003C1715">
        <w:rPr>
          <w:rFonts w:cstheme="minorHAnsi"/>
          <w:color w:val="222222"/>
          <w:shd w:val="clear" w:color="auto" w:fill="FFFFFF"/>
        </w:rPr>
        <w:t xml:space="preserve">, </w:t>
      </w:r>
      <w:r w:rsidRPr="003C1715">
        <w:rPr>
          <w:rFonts w:cstheme="minorHAnsi"/>
          <w:i/>
          <w:iCs/>
          <w:color w:val="222222"/>
        </w:rPr>
        <w:t>10</w:t>
      </w:r>
      <w:r w:rsidRPr="003C1715">
        <w:rPr>
          <w:rFonts w:cstheme="minorHAnsi"/>
          <w:color w:val="222222"/>
          <w:shd w:val="clear" w:color="auto" w:fill="FFFFFF"/>
        </w:rPr>
        <w:t>(1), pp.81</w:t>
      </w:r>
      <w:r w:rsidRPr="003C1715">
        <w:rPr>
          <w:rFonts w:cstheme="minorHAnsi"/>
          <w:color w:val="222222"/>
          <w:shd w:val="clear" w:color="auto" w:fill="FFFFFF"/>
        </w:rPr>
        <w:t>-92.</w:t>
      </w:r>
    </w:p>
    <w:p w14:paraId="5683DE13" w14:textId="77777777" w:rsidR="003C1715" w:rsidRPr="003C1715" w:rsidRDefault="00E167EA" w:rsidP="003C1715">
      <w:pPr>
        <w:rPr>
          <w:rFonts w:cstheme="minorHAnsi"/>
        </w:rPr>
      </w:pPr>
      <w:r w:rsidRPr="003C1715">
        <w:rPr>
          <w:rFonts w:cstheme="minorHAnsi"/>
          <w:color w:val="222222"/>
          <w:shd w:val="clear" w:color="auto" w:fill="FFFFFF"/>
        </w:rPr>
        <w:t xml:space="preserve">Shively, M.J., Gardetto, N.J., Kodiath, M.F., Kelly, A., Smith, T.L., Stepnowsky, C., Maynard, C. and Larson, C.B., 2013. Effect of patient activation on self-management in patients with heart failure. </w:t>
      </w:r>
      <w:r w:rsidRPr="003C1715">
        <w:rPr>
          <w:rFonts w:cstheme="minorHAnsi"/>
          <w:i/>
          <w:iCs/>
          <w:color w:val="222222"/>
        </w:rPr>
        <w:t>Journal of Cardiovascular Nursing</w:t>
      </w:r>
      <w:r w:rsidRPr="003C1715">
        <w:rPr>
          <w:rFonts w:cstheme="minorHAnsi"/>
          <w:color w:val="222222"/>
          <w:shd w:val="clear" w:color="auto" w:fill="FFFFFF"/>
        </w:rPr>
        <w:t xml:space="preserve">, </w:t>
      </w:r>
      <w:r w:rsidRPr="003C1715">
        <w:rPr>
          <w:rFonts w:cstheme="minorHAnsi"/>
          <w:i/>
          <w:iCs/>
          <w:color w:val="222222"/>
        </w:rPr>
        <w:t>28</w:t>
      </w:r>
      <w:r w:rsidRPr="003C1715">
        <w:rPr>
          <w:rFonts w:cstheme="minorHAnsi"/>
          <w:color w:val="222222"/>
          <w:shd w:val="clear" w:color="auto" w:fill="FFFFFF"/>
        </w:rPr>
        <w:t>(1), pp.20-3</w:t>
      </w:r>
      <w:r w:rsidRPr="003C1715">
        <w:rPr>
          <w:rFonts w:cstheme="minorHAnsi"/>
          <w:color w:val="222222"/>
          <w:shd w:val="clear" w:color="auto" w:fill="FFFFFF"/>
        </w:rPr>
        <w:t>4.</w:t>
      </w:r>
    </w:p>
    <w:p w14:paraId="1BEB5226" w14:textId="77777777" w:rsidR="003C1715" w:rsidRPr="003C1715" w:rsidRDefault="00E167EA" w:rsidP="003C1715">
      <w:pPr>
        <w:rPr>
          <w:rFonts w:cstheme="minorHAnsi"/>
          <w:color w:val="222222"/>
          <w:shd w:val="clear" w:color="auto" w:fill="FFFFFF"/>
        </w:rPr>
      </w:pPr>
      <w:r w:rsidRPr="003C1715">
        <w:rPr>
          <w:rFonts w:cstheme="minorHAnsi"/>
          <w:color w:val="222222"/>
          <w:shd w:val="clear" w:color="auto" w:fill="FFFFFF"/>
        </w:rPr>
        <w:t xml:space="preserve">Song, F., Elwell-Sutton, T. and Naughton, F., 2019. Impact of the NHS Stop Smoking Services on smoking prevalence in England: a simulation modelling evaluation. </w:t>
      </w:r>
      <w:r w:rsidRPr="003C1715">
        <w:rPr>
          <w:rFonts w:cstheme="minorHAnsi"/>
          <w:i/>
          <w:iCs/>
          <w:color w:val="222222"/>
        </w:rPr>
        <w:t>Tobacco control</w:t>
      </w:r>
      <w:r w:rsidRPr="003C1715">
        <w:rPr>
          <w:rFonts w:cstheme="minorHAnsi"/>
          <w:color w:val="222222"/>
          <w:shd w:val="clear" w:color="auto" w:fill="FFFFFF"/>
        </w:rPr>
        <w:t>, pp.tobaccocontrol-2018.</w:t>
      </w:r>
    </w:p>
    <w:p w14:paraId="2DBB4E14" w14:textId="77777777" w:rsidR="003C1715" w:rsidRPr="003C1715" w:rsidRDefault="00E167EA" w:rsidP="00730A87">
      <w:pPr>
        <w:rPr>
          <w:rFonts w:cstheme="minorHAnsi"/>
          <w:color w:val="222222"/>
          <w:shd w:val="clear" w:color="auto" w:fill="FFFFFF"/>
        </w:rPr>
      </w:pPr>
      <w:r w:rsidRPr="003C1715">
        <w:rPr>
          <w:rFonts w:cstheme="minorHAnsi"/>
          <w:color w:val="222222"/>
          <w:shd w:val="clear" w:color="auto" w:fill="FFFFFF"/>
        </w:rPr>
        <w:lastRenderedPageBreak/>
        <w:t xml:space="preserve">Thomson, L., Camic, P.M. and Chatterjee, H., 2015. </w:t>
      </w:r>
      <w:r w:rsidRPr="003C1715">
        <w:rPr>
          <w:rFonts w:cstheme="minorHAnsi"/>
          <w:color w:val="222222"/>
          <w:shd w:val="clear" w:color="auto" w:fill="FFFFFF"/>
        </w:rPr>
        <w:t>Social prescribing: a review of community referral schemes.</w:t>
      </w:r>
    </w:p>
    <w:p w14:paraId="05AF19AE" w14:textId="77777777" w:rsidR="003C1715" w:rsidRPr="003C1715" w:rsidRDefault="00E167EA">
      <w:pPr>
        <w:rPr>
          <w:rFonts w:cstheme="minorHAnsi"/>
          <w:color w:val="222222"/>
          <w:shd w:val="clear" w:color="auto" w:fill="FFFFFF"/>
        </w:rPr>
      </w:pPr>
      <w:r w:rsidRPr="003C1715">
        <w:rPr>
          <w:rFonts w:cstheme="minorHAnsi"/>
          <w:color w:val="222222"/>
          <w:shd w:val="clear" w:color="auto" w:fill="FFFFFF"/>
        </w:rPr>
        <w:t>Wanless, D., 2002. Securing our future health: taking a long-term view.</w:t>
      </w:r>
    </w:p>
    <w:p w14:paraId="2978D578" w14:textId="77777777" w:rsidR="003C1715" w:rsidRPr="003C1715" w:rsidRDefault="00E167EA" w:rsidP="003C1715">
      <w:pPr>
        <w:rPr>
          <w:rFonts w:cstheme="minorHAnsi"/>
          <w:color w:val="222222"/>
          <w:shd w:val="clear" w:color="auto" w:fill="FFFFFF"/>
        </w:rPr>
      </w:pPr>
      <w:r w:rsidRPr="003C1715">
        <w:rPr>
          <w:rFonts w:cstheme="minorHAnsi"/>
          <w:color w:val="222222"/>
          <w:shd w:val="clear" w:color="auto" w:fill="FFFFFF"/>
        </w:rPr>
        <w:t xml:space="preserve">Wanless, D., Appleby, J., Harrison, A. and Patel, D., 2007. </w:t>
      </w:r>
      <w:r w:rsidRPr="003C1715">
        <w:rPr>
          <w:rFonts w:cstheme="minorHAnsi"/>
          <w:i/>
          <w:iCs/>
          <w:color w:val="222222"/>
        </w:rPr>
        <w:t>Our future health secured</w:t>
      </w:r>
      <w:r w:rsidRPr="003C1715">
        <w:rPr>
          <w:rFonts w:cstheme="minorHAnsi"/>
          <w:color w:val="222222"/>
          <w:shd w:val="clear" w:color="auto" w:fill="FFFFFF"/>
        </w:rPr>
        <w:t>.</w:t>
      </w:r>
    </w:p>
    <w:p w14:paraId="1BA22B59" w14:textId="77777777" w:rsidR="003C1715" w:rsidRPr="003C1715" w:rsidRDefault="00E167EA" w:rsidP="003C1715">
      <w:pPr>
        <w:rPr>
          <w:rFonts w:cstheme="minorHAnsi"/>
          <w:color w:val="222222"/>
          <w:shd w:val="clear" w:color="auto" w:fill="FFFFFF"/>
        </w:rPr>
      </w:pPr>
      <w:r w:rsidRPr="003C1715">
        <w:rPr>
          <w:rFonts w:cstheme="minorHAnsi"/>
          <w:color w:val="222222"/>
          <w:shd w:val="clear" w:color="auto" w:fill="FFFFFF"/>
        </w:rPr>
        <w:t>White, P., Skirrow, H., George, A. an</w:t>
      </w:r>
      <w:r w:rsidRPr="003C1715">
        <w:rPr>
          <w:rFonts w:cstheme="minorHAnsi"/>
          <w:color w:val="222222"/>
          <w:shd w:val="clear" w:color="auto" w:fill="FFFFFF"/>
        </w:rPr>
        <w:t>d Memon, A., 2018. A systematic review of economic evaluations of local authority commissioned preventative public health interventions in overweight and obesity, physical inactivity, alcohol and illicit drugs use and smoking cessation in the United Kingdo</w:t>
      </w:r>
      <w:r w:rsidRPr="003C1715">
        <w:rPr>
          <w:rFonts w:cstheme="minorHAnsi"/>
          <w:color w:val="222222"/>
          <w:shd w:val="clear" w:color="auto" w:fill="FFFFFF"/>
        </w:rPr>
        <w:t xml:space="preserve">m. </w:t>
      </w:r>
      <w:r w:rsidRPr="003C1715">
        <w:rPr>
          <w:rFonts w:cstheme="minorHAnsi"/>
          <w:i/>
          <w:iCs/>
          <w:color w:val="222222"/>
        </w:rPr>
        <w:t>Journal of Public Health</w:t>
      </w:r>
      <w:r w:rsidRPr="003C1715">
        <w:rPr>
          <w:rFonts w:cstheme="minorHAnsi"/>
          <w:color w:val="222222"/>
          <w:shd w:val="clear" w:color="auto" w:fill="FFFFFF"/>
        </w:rPr>
        <w:t xml:space="preserve">, </w:t>
      </w:r>
      <w:r w:rsidRPr="003C1715">
        <w:rPr>
          <w:rFonts w:cstheme="minorHAnsi"/>
          <w:i/>
          <w:iCs/>
          <w:color w:val="222222"/>
        </w:rPr>
        <w:t>40</w:t>
      </w:r>
      <w:r w:rsidRPr="003C1715">
        <w:rPr>
          <w:rFonts w:cstheme="minorHAnsi"/>
          <w:color w:val="222222"/>
          <w:shd w:val="clear" w:color="auto" w:fill="FFFFFF"/>
        </w:rPr>
        <w:t>(4), pp.e521-e530.</w:t>
      </w:r>
    </w:p>
    <w:p w14:paraId="3765A523" w14:textId="77777777" w:rsidR="003C1715" w:rsidRPr="003C1715" w:rsidRDefault="00E167EA" w:rsidP="003C1715">
      <w:pPr>
        <w:rPr>
          <w:rFonts w:cstheme="minorHAnsi"/>
          <w:color w:val="222222"/>
          <w:shd w:val="clear" w:color="auto" w:fill="FFFFFF"/>
        </w:rPr>
      </w:pPr>
      <w:r w:rsidRPr="003C1715">
        <w:rPr>
          <w:rFonts w:cstheme="minorHAnsi"/>
          <w:color w:val="222222"/>
          <w:shd w:val="clear" w:color="auto" w:fill="FFFFFF"/>
        </w:rPr>
        <w:t xml:space="preserve">Wolever, R.Q., Dreusicke, M., Fikkan, J., Hawkins, T.V., Yeung, S., Wakefield, J., Duda, L., Flowers, P., Cook, C. and Skinner, E., 2010. Integrative health coaching for patients with type 2 diabetes. </w:t>
      </w:r>
      <w:r w:rsidRPr="003C1715">
        <w:rPr>
          <w:rFonts w:cstheme="minorHAnsi"/>
          <w:i/>
          <w:iCs/>
          <w:color w:val="222222"/>
        </w:rPr>
        <w:t>The D</w:t>
      </w:r>
      <w:r w:rsidRPr="003C1715">
        <w:rPr>
          <w:rFonts w:cstheme="minorHAnsi"/>
          <w:i/>
          <w:iCs/>
          <w:color w:val="222222"/>
        </w:rPr>
        <w:t>iabetes Educator</w:t>
      </w:r>
      <w:r w:rsidRPr="003C1715">
        <w:rPr>
          <w:rFonts w:cstheme="minorHAnsi"/>
          <w:color w:val="222222"/>
          <w:shd w:val="clear" w:color="auto" w:fill="FFFFFF"/>
        </w:rPr>
        <w:t xml:space="preserve">, </w:t>
      </w:r>
      <w:r w:rsidRPr="003C1715">
        <w:rPr>
          <w:rFonts w:cstheme="minorHAnsi"/>
          <w:i/>
          <w:iCs/>
          <w:color w:val="222222"/>
        </w:rPr>
        <w:t>36</w:t>
      </w:r>
      <w:r w:rsidRPr="003C1715">
        <w:rPr>
          <w:rFonts w:cstheme="minorHAnsi"/>
          <w:color w:val="222222"/>
          <w:shd w:val="clear" w:color="auto" w:fill="FFFFFF"/>
        </w:rPr>
        <w:t>(4), pp.629-639.</w:t>
      </w:r>
    </w:p>
    <w:sectPr w:rsidR="003C1715" w:rsidRPr="003C17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014422"/>
    <w:multiLevelType w:val="multilevel"/>
    <w:tmpl w:val="25489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7FE"/>
    <w:rsid w:val="00031563"/>
    <w:rsid w:val="0003667A"/>
    <w:rsid w:val="00047822"/>
    <w:rsid w:val="00051BA1"/>
    <w:rsid w:val="0006027D"/>
    <w:rsid w:val="00130145"/>
    <w:rsid w:val="00134014"/>
    <w:rsid w:val="001600F2"/>
    <w:rsid w:val="001927B0"/>
    <w:rsid w:val="001A1C19"/>
    <w:rsid w:val="00216CD8"/>
    <w:rsid w:val="00223E8F"/>
    <w:rsid w:val="00233EFF"/>
    <w:rsid w:val="002451FB"/>
    <w:rsid w:val="00255DB0"/>
    <w:rsid w:val="002A21EA"/>
    <w:rsid w:val="00331491"/>
    <w:rsid w:val="00340A66"/>
    <w:rsid w:val="0035406F"/>
    <w:rsid w:val="00373F32"/>
    <w:rsid w:val="00381C86"/>
    <w:rsid w:val="0038724B"/>
    <w:rsid w:val="003A7EAA"/>
    <w:rsid w:val="003B67FE"/>
    <w:rsid w:val="003C0CCE"/>
    <w:rsid w:val="003C1715"/>
    <w:rsid w:val="003F086E"/>
    <w:rsid w:val="00414453"/>
    <w:rsid w:val="00472D9C"/>
    <w:rsid w:val="004929BF"/>
    <w:rsid w:val="00541397"/>
    <w:rsid w:val="00575D2A"/>
    <w:rsid w:val="00576C0C"/>
    <w:rsid w:val="005C3C45"/>
    <w:rsid w:val="00610D4D"/>
    <w:rsid w:val="00651F2A"/>
    <w:rsid w:val="006904CE"/>
    <w:rsid w:val="0069664F"/>
    <w:rsid w:val="006B4565"/>
    <w:rsid w:val="006B6328"/>
    <w:rsid w:val="006D2F8F"/>
    <w:rsid w:val="006D70E0"/>
    <w:rsid w:val="006E6158"/>
    <w:rsid w:val="0071179A"/>
    <w:rsid w:val="00730A87"/>
    <w:rsid w:val="007A3A8A"/>
    <w:rsid w:val="00800E0E"/>
    <w:rsid w:val="00803C92"/>
    <w:rsid w:val="0080654C"/>
    <w:rsid w:val="008559B6"/>
    <w:rsid w:val="0088561F"/>
    <w:rsid w:val="008861AE"/>
    <w:rsid w:val="008C0553"/>
    <w:rsid w:val="008D4E2D"/>
    <w:rsid w:val="008E05C4"/>
    <w:rsid w:val="008E2B8C"/>
    <w:rsid w:val="00901F14"/>
    <w:rsid w:val="00916662"/>
    <w:rsid w:val="00961CC5"/>
    <w:rsid w:val="009B7B3C"/>
    <w:rsid w:val="00A30397"/>
    <w:rsid w:val="00A475A5"/>
    <w:rsid w:val="00A72768"/>
    <w:rsid w:val="00AB049A"/>
    <w:rsid w:val="00AF69C1"/>
    <w:rsid w:val="00B5737F"/>
    <w:rsid w:val="00B76B6D"/>
    <w:rsid w:val="00BA4015"/>
    <w:rsid w:val="00BE181B"/>
    <w:rsid w:val="00C5018B"/>
    <w:rsid w:val="00C66744"/>
    <w:rsid w:val="00C84547"/>
    <w:rsid w:val="00C86682"/>
    <w:rsid w:val="00D34932"/>
    <w:rsid w:val="00D4160F"/>
    <w:rsid w:val="00D74301"/>
    <w:rsid w:val="00DB2BCE"/>
    <w:rsid w:val="00E167EA"/>
    <w:rsid w:val="00E23C50"/>
    <w:rsid w:val="00E634EE"/>
    <w:rsid w:val="00EA2B59"/>
    <w:rsid w:val="00EB734A"/>
    <w:rsid w:val="00F1795C"/>
    <w:rsid w:val="00F222CD"/>
    <w:rsid w:val="00F23763"/>
    <w:rsid w:val="00F25419"/>
    <w:rsid w:val="00FA0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1DE67C-8AC4-4BC1-85CC-831DD7F06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67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C86682"/>
  </w:style>
  <w:style w:type="paragraph" w:styleId="NormalWeb">
    <w:name w:val="Normal (Web)"/>
    <w:basedOn w:val="Normal"/>
    <w:uiPriority w:val="99"/>
    <w:semiHidden/>
    <w:unhideWhenUsed/>
    <w:rsid w:val="00AF69C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5054</Words>
  <Characters>28809</Characters>
  <Application>Microsoft Office Word</Application>
  <DocSecurity>4</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Griffiths</dc:creator>
  <cp:lastModifiedBy>Alex Griffiths</cp:lastModifiedBy>
  <cp:revision>2</cp:revision>
  <dcterms:created xsi:type="dcterms:W3CDTF">2020-01-17T22:44:00Z</dcterms:created>
  <dcterms:modified xsi:type="dcterms:W3CDTF">2020-01-17T22:44:00Z</dcterms:modified>
</cp:coreProperties>
</file>