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0" w:line="360" w:lineRule="auto"/>
        <w:jc w:val="both"/>
        <w:rPr>
          <w:rFonts w:ascii="Times New Roman" w:cs="Times New Roman" w:hAnsi="Times New Roman" w:eastAsia="Times New Roman"/>
          <w:sz w:val="24"/>
          <w:szCs w:val="24"/>
          <w:lang w:val="en-US"/>
        </w:rPr>
      </w:pPr>
    </w:p>
    <w:p>
      <w:pPr>
        <w:pStyle w:val="Body"/>
        <w:spacing w:after="0" w:line="360" w:lineRule="auto"/>
        <w:jc w:val="both"/>
        <w:rPr>
          <w:rFonts w:ascii="Times New Roman" w:cs="Times New Roman" w:hAnsi="Times New Roman" w:eastAsia="Times New Roman"/>
          <w:sz w:val="24"/>
          <w:szCs w:val="24"/>
          <w:lang w:val="en-US"/>
        </w:rPr>
      </w:pPr>
    </w:p>
    <w:p>
      <w:pPr>
        <w:pStyle w:val="Body"/>
        <w:spacing w:after="0" w:line="360" w:lineRule="auto"/>
        <w:jc w:val="both"/>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Evaluation of Project Management Plan</w:t>
      </w: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Kristian Todorov Todorov</w:t>
      </w:r>
    </w:p>
    <w:p>
      <w:pPr>
        <w:pStyle w:val="Body"/>
        <w:spacing w:after="0" w:line="360" w:lineRule="auto"/>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Your Student No</w:t>
      </w:r>
      <w:r>
        <w:rPr>
          <w:rFonts w:ascii="Times New Roman" w:hAnsi="Times New Roman"/>
          <w:sz w:val="24"/>
          <w:szCs w:val="24"/>
          <w:rtl w:val="0"/>
          <w:lang w:val="en-US"/>
        </w:rPr>
        <w:t xml:space="preserve"> 2018313</w:t>
      </w: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rPr>
      </w:pPr>
    </w:p>
    <w:p>
      <w:pPr>
        <w:pStyle w:val="Body"/>
        <w:spacing w:after="0"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BMSW5104: Managing Projects in the Organisation</w:t>
      </w:r>
    </w:p>
    <w:p>
      <w:pPr>
        <w:pStyle w:val="Body"/>
        <w:spacing w:after="0"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Lecturer Name</w:t>
      </w:r>
      <w:r>
        <w:rPr>
          <w:rFonts w:ascii="Times New Roman" w:hAnsi="Times New Roman"/>
          <w:sz w:val="24"/>
          <w:szCs w:val="24"/>
          <w:rtl w:val="0"/>
          <w:lang w:val="en-US"/>
        </w:rPr>
        <w:t>: Olusegun Awolaran</w:t>
      </w: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center"/>
        <w:rPr>
          <w:rFonts w:ascii="Times New Roman" w:cs="Times New Roman" w:hAnsi="Times New Roman" w:eastAsia="Times New Roman"/>
          <w:sz w:val="24"/>
          <w:szCs w:val="24"/>
          <w:lang w:val="en-US"/>
        </w:rPr>
      </w:pPr>
    </w:p>
    <w:p>
      <w:pPr>
        <w:pStyle w:val="Body"/>
        <w:spacing w:after="0" w:line="360" w:lineRule="auto"/>
        <w:jc w:val="both"/>
        <w:rPr>
          <w:rFonts w:ascii="Times New Roman" w:cs="Times New Roman" w:hAnsi="Times New Roman" w:eastAsia="Times New Roman"/>
          <w:sz w:val="24"/>
          <w:szCs w:val="24"/>
          <w:lang w:val="en-US"/>
        </w:rPr>
      </w:pPr>
    </w:p>
    <w:p>
      <w:pPr>
        <w:pStyle w:val="Heading"/>
        <w:spacing w:line="360" w:lineRule="auto"/>
      </w:pPr>
      <w:bookmarkStart w:name="_Toc" w:id="0"/>
      <w:r>
        <w:rPr>
          <w:rtl w:val="0"/>
          <w:lang w:val="en-US"/>
        </w:rPr>
        <w:t>Executive Summary</w:t>
      </w:r>
      <w:bookmarkEnd w:id="0"/>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This</w:t>
      </w:r>
      <w:r>
        <w:rPr>
          <w:rFonts w:ascii="Times New Roman" w:hAnsi="Times New Roman" w:hint="default"/>
          <w:sz w:val="24"/>
          <w:szCs w:val="24"/>
          <w:rtl w:val="0"/>
          <w:lang w:val="en-US"/>
        </w:rPr>
        <w:t> </w:t>
      </w:r>
      <w:r>
        <w:rPr>
          <w:rFonts w:ascii="Times New Roman" w:hAnsi="Times New Roman"/>
          <w:sz w:val="24"/>
          <w:szCs w:val="24"/>
          <w:rtl w:val="0"/>
          <w:lang w:val="en-US"/>
        </w:rPr>
        <w:t>project management plan</w:t>
      </w:r>
      <w:r>
        <w:rPr>
          <w:rFonts w:ascii="Times New Roman" w:hAnsi="Times New Roman" w:hint="default"/>
          <w:sz w:val="24"/>
          <w:szCs w:val="24"/>
          <w:rtl w:val="0"/>
          <w:lang w:val="en-US"/>
        </w:rPr>
        <w:t> </w:t>
      </w:r>
      <w:r>
        <w:rPr>
          <w:rFonts w:ascii="Times New Roman" w:hAnsi="Times New Roman"/>
          <w:sz w:val="24"/>
          <w:szCs w:val="24"/>
          <w:rtl w:val="0"/>
          <w:lang w:val="en-US"/>
        </w:rPr>
        <w:t>lays out a thorough approach to improve working conditions for Adidas Warehouse employees. To align with Adidas Warehouse</w:t>
      </w:r>
      <w:r>
        <w:rPr>
          <w:rFonts w:ascii="Times New Roman" w:hAnsi="Times New Roman" w:hint="default"/>
          <w:sz w:val="24"/>
          <w:szCs w:val="24"/>
          <w:rtl w:val="0"/>
          <w:lang w:val="en-US"/>
        </w:rPr>
        <w:t>’</w:t>
      </w:r>
      <w:r>
        <w:rPr>
          <w:rFonts w:ascii="Times New Roman" w:hAnsi="Times New Roman"/>
          <w:sz w:val="24"/>
          <w:szCs w:val="24"/>
          <w:rtl w:val="0"/>
          <w:lang w:val="en-US"/>
        </w:rPr>
        <w:t>s culture, the approach enhances employee wellbeing by reducing congestion during lunch periods. A comprehensive schedule implies that the project is feasible. The again integration of tools such as Work Breakdown Structure (WBS) and Gantt chart ensure coordinated execution of the project to its completion. Throughout the project, strict risk management, resource allocation, and quality control are maintained. Stakeholder participation and information distribution are made possible by effective communication strategies. For this reason, the project promotes a healthy workplace for Adidas Warehouse employees by modernizing amenities including a canteen with a kitchen setup and equipment and effective menu development. It the project execution, multiple stakeholders must work together and schedules must be followed. In that regard, the project manager will oversee the plan's implementation while taking financial limitations, legal requirements, and resource efficiency into account. This strategy essentially sets the course for a changed work environment that improves employee wellbeing and supports Adidas Warehouse operational excellence.</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TOC Heading"/>
        <w:spacing w:line="360" w:lineRule="auto"/>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Table of Contents</w:t>
      </w:r>
    </w:p>
    <w:p>
      <w:pPr>
        <w:pStyle w:val="Body"/>
        <w:spacing w:line="360" w:lineRule="auto"/>
      </w:pPr>
      <w:r>
        <w:rPr>
          <w:rFonts w:ascii="Times New Roman" w:cs="Times New Roman" w:hAnsi="Times New Roman" w:eastAsia="Times New Roman"/>
          <w:b w:val="1"/>
          <w:bCs w:val="1"/>
          <w:outline w:val="0"/>
          <w:color w:val="000000"/>
          <w:sz w:val="24"/>
          <w:szCs w:val="24"/>
          <w:u w:color="000000"/>
          <w14:textFill>
            <w14:solidFill>
              <w14:srgbClr w14:val="000000"/>
            </w14:solidFill>
          </w14:textFill>
        </w:rPr>
        <w:fldChar w:fldCharType="begin" w:fldLock="0"/>
      </w:r>
      <w:r>
        <w:rPr>
          <w:rFonts w:ascii="Times New Roman" w:cs="Times New Roman" w:hAnsi="Times New Roman" w:eastAsia="Times New Roman"/>
          <w:b w:val="1"/>
          <w:bCs w:val="1"/>
          <w:outline w:val="0"/>
          <w:color w:val="000000"/>
          <w:sz w:val="24"/>
          <w:szCs w:val="24"/>
          <w:u w:color="000000"/>
          <w14:textFill>
            <w14:solidFill>
              <w14:srgbClr w14:val="000000"/>
            </w14:solidFill>
          </w14:textFill>
        </w:rPr>
        <w:instrText xml:space="preserve"> TOC \o 1-2 </w:instrText>
      </w:r>
      <w:r>
        <w:rPr>
          <w:rFonts w:ascii="Times New Roman" w:cs="Times New Roman" w:hAnsi="Times New Roman" w:eastAsia="Times New Roman"/>
          <w:b w:val="1"/>
          <w:bCs w:val="1"/>
          <w:outline w:val="0"/>
          <w:color w:val="000000"/>
          <w:sz w:val="24"/>
          <w:szCs w:val="24"/>
          <w:u w:color="000000"/>
          <w14:textFill>
            <w14:solidFill>
              <w14:srgbClr w14:val="000000"/>
            </w14:solidFill>
          </w14:textFill>
        </w:rPr>
        <w:fldChar w:fldCharType="separate" w:fldLock="0"/>
      </w:r>
    </w:p>
    <w:p>
      <w:pPr>
        <w:pStyle w:val="TOC 1"/>
      </w:pPr>
      <w:r>
        <w:rPr>
          <w:rFonts w:cs="Arial Unicode MS" w:eastAsia="Arial Unicode MS"/>
          <w:rtl w:val="0"/>
        </w:rPr>
        <w:t>Executive Summary</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1"/>
      </w:pPr>
      <w:r>
        <w:rPr>
          <w:rFonts w:cs="Arial Unicode MS" w:eastAsia="Arial Unicode MS"/>
          <w:rtl w:val="0"/>
        </w:rPr>
        <w:t>Project Title: Establishing a Canteen at Adidas Warehouse</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Introduction</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Project Scope</w:t>
        <w:tab/>
      </w:r>
      <w:r>
        <w:rPr/>
        <w:fldChar w:fldCharType="begin" w:fldLock="0"/>
      </w:r>
      <w:r>
        <w:instrText xml:space="preserve"> PAGEREF _Toc3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Stakeholder Analysis</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Work Breakdown Structure (WBS)</w:t>
        <w:tab/>
      </w:r>
      <w:r>
        <w:rPr/>
        <w:fldChar w:fldCharType="begin" w:fldLock="0"/>
      </w:r>
      <w:r>
        <w:instrText xml:space="preserve"> PAGEREF _Toc5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Costs/Resources</w:t>
        <w:tab/>
      </w:r>
      <w:r>
        <w:rPr/>
        <w:fldChar w:fldCharType="begin" w:fldLock="0"/>
      </w:r>
      <w:r>
        <w:instrText xml:space="preserve"> PAGEREF _Toc6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Financial Resources:</w:t>
        <w:tab/>
      </w:r>
      <w:r>
        <w:rPr/>
        <w:fldChar w:fldCharType="begin" w:fldLock="0"/>
      </w:r>
      <w:r>
        <w:instrText xml:space="preserve"> PAGEREF _Toc7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Human Resources:</w:t>
        <w:tab/>
      </w:r>
      <w:r>
        <w:rPr/>
        <w:fldChar w:fldCharType="begin" w:fldLock="0"/>
      </w:r>
      <w:r>
        <w:instrText xml:space="preserve"> PAGEREF _Toc8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Resource Consideration</w:t>
        <w:tab/>
      </w:r>
      <w:r>
        <w:rPr/>
        <w:fldChar w:fldCharType="begin" w:fldLock="0"/>
      </w:r>
      <w:r>
        <w:instrText xml:space="preserve"> PAGEREF _Toc9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Project Schedule / Gantt Chart</w:t>
        <w:tab/>
      </w:r>
      <w:r>
        <w:rPr/>
        <w:fldChar w:fldCharType="begin" w:fldLock="0"/>
      </w:r>
      <w:r>
        <w:instrText xml:space="preserve"> PAGEREF _Toc10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Risk Assessment</w:t>
        <w:tab/>
      </w:r>
      <w:r>
        <w:rPr/>
        <w:fldChar w:fldCharType="begin" w:fldLock="0"/>
      </w:r>
      <w:r>
        <w:instrText xml:space="preserve"> PAGEREF _Toc11 \h </w:instrText>
      </w:r>
      <w:r>
        <w:rPr/>
        <w:fldChar w:fldCharType="separate" w:fldLock="0"/>
      </w:r>
      <w:r>
        <w:rPr>
          <w:rFonts w:cs="Arial Unicode MS" w:eastAsia="Arial Unicode MS"/>
          <w:rtl w:val="0"/>
        </w:rPr>
        <w:t>16</w:t>
      </w:r>
      <w:r>
        <w:rPr/>
        <w:fldChar w:fldCharType="end" w:fldLock="0"/>
      </w:r>
    </w:p>
    <w:p>
      <w:pPr>
        <w:pStyle w:val="TOC 1"/>
      </w:pPr>
      <w:r>
        <w:rPr>
          <w:rFonts w:cs="Arial Unicode MS" w:eastAsia="Arial Unicode MS"/>
          <w:rtl w:val="0"/>
        </w:rPr>
        <w:t>Project Implementation Plan and Communication Strategies</w:t>
        <w:tab/>
      </w:r>
      <w:r>
        <w:rPr/>
        <w:fldChar w:fldCharType="begin" w:fldLock="0"/>
      </w:r>
      <w:r>
        <w:instrText xml:space="preserve"> PAGEREF _Toc12 \h </w:instrText>
      </w:r>
      <w:r>
        <w:rPr/>
        <w:fldChar w:fldCharType="separate" w:fldLock="0"/>
      </w:r>
      <w:r>
        <w:rPr>
          <w:rFonts w:cs="Arial Unicode MS" w:eastAsia="Arial Unicode MS"/>
          <w:rtl w:val="0"/>
        </w:rPr>
        <w:t>18</w:t>
      </w:r>
      <w:r>
        <w:rPr/>
        <w:fldChar w:fldCharType="end" w:fldLock="0"/>
      </w:r>
    </w:p>
    <w:p>
      <w:pPr>
        <w:pStyle w:val="TOC 2"/>
      </w:pPr>
      <w:r>
        <w:rPr>
          <w:rFonts w:cs="Arial Unicode MS" w:eastAsia="Arial Unicode MS"/>
          <w:rtl w:val="0"/>
        </w:rPr>
        <w:t>Implementation Plan:</w:t>
        <w:tab/>
      </w:r>
      <w:r>
        <w:rPr/>
        <w:fldChar w:fldCharType="begin" w:fldLock="0"/>
      </w:r>
      <w:r>
        <w:instrText xml:space="preserve"> PAGEREF _Toc13 \h </w:instrText>
      </w:r>
      <w:r>
        <w:rPr/>
        <w:fldChar w:fldCharType="separate" w:fldLock="0"/>
      </w:r>
      <w:r>
        <w:rPr>
          <w:rFonts w:cs="Arial Unicode MS" w:eastAsia="Arial Unicode MS"/>
          <w:rtl w:val="0"/>
        </w:rPr>
        <w:t>18</w:t>
      </w:r>
      <w:r>
        <w:rPr/>
        <w:fldChar w:fldCharType="end" w:fldLock="0"/>
      </w:r>
    </w:p>
    <w:p>
      <w:pPr>
        <w:pStyle w:val="TOC 2"/>
      </w:pPr>
      <w:r>
        <w:rPr>
          <w:rFonts w:cs="Arial Unicode MS" w:eastAsia="Arial Unicode MS"/>
          <w:rtl w:val="0"/>
        </w:rPr>
        <w:t>Communication Strategies:</w:t>
        <w:tab/>
      </w:r>
      <w:r>
        <w:rPr/>
        <w:fldChar w:fldCharType="begin" w:fldLock="0"/>
      </w:r>
      <w:r>
        <w:instrText xml:space="preserve"> PAGEREF _Toc14 \h </w:instrText>
      </w:r>
      <w:r>
        <w:rPr/>
        <w:fldChar w:fldCharType="separate" w:fldLock="0"/>
      </w:r>
      <w:r>
        <w:rPr>
          <w:rFonts w:cs="Arial Unicode MS" w:eastAsia="Arial Unicode MS"/>
          <w:rtl w:val="0"/>
        </w:rPr>
        <w:t>18</w:t>
      </w:r>
      <w:r>
        <w:rPr/>
        <w:fldChar w:fldCharType="end" w:fldLock="0"/>
      </w:r>
    </w:p>
    <w:p>
      <w:pPr>
        <w:pStyle w:val="TOC 2"/>
      </w:pPr>
      <w:r>
        <w:rPr>
          <w:rFonts w:cs="Arial Unicode MS" w:eastAsia="Arial Unicode MS"/>
          <w:rtl w:val="0"/>
        </w:rPr>
        <w:t>Monitoring and Control:</w:t>
        <w:tab/>
      </w:r>
      <w:r>
        <w:rPr/>
        <w:fldChar w:fldCharType="begin" w:fldLock="0"/>
      </w:r>
      <w:r>
        <w:instrText xml:space="preserve"> PAGEREF _Toc15 \h </w:instrText>
      </w:r>
      <w:r>
        <w:rPr/>
        <w:fldChar w:fldCharType="separate" w:fldLock="0"/>
      </w:r>
      <w:r>
        <w:rPr>
          <w:rFonts w:cs="Arial Unicode MS" w:eastAsia="Arial Unicode MS"/>
          <w:rtl w:val="0"/>
        </w:rPr>
        <w:t>19</w:t>
      </w:r>
      <w:r>
        <w:rPr/>
        <w:fldChar w:fldCharType="end" w:fldLock="0"/>
      </w:r>
    </w:p>
    <w:p>
      <w:pPr>
        <w:pStyle w:val="TOC 1"/>
      </w:pPr>
      <w:r>
        <w:rPr>
          <w:rFonts w:cs="Arial Unicode MS" w:eastAsia="Arial Unicode MS"/>
          <w:rtl w:val="0"/>
        </w:rPr>
        <w:t>Application of Project Management Tools and Techniques</w:t>
        <w:tab/>
      </w:r>
      <w:r>
        <w:rPr/>
        <w:fldChar w:fldCharType="begin" w:fldLock="0"/>
      </w:r>
      <w:r>
        <w:instrText xml:space="preserve"> PAGEREF _Toc16 \h </w:instrText>
      </w:r>
      <w:r>
        <w:rPr/>
        <w:fldChar w:fldCharType="separate" w:fldLock="0"/>
      </w:r>
      <w:r>
        <w:rPr>
          <w:rFonts w:cs="Arial Unicode MS" w:eastAsia="Arial Unicode MS"/>
          <w:rtl w:val="0"/>
        </w:rPr>
        <w:t>19</w:t>
      </w:r>
      <w:r>
        <w:rPr/>
        <w:fldChar w:fldCharType="end" w:fldLock="0"/>
      </w:r>
    </w:p>
    <w:p>
      <w:pPr>
        <w:pStyle w:val="TOC 1"/>
      </w:pPr>
      <w:r>
        <w:rPr>
          <w:rFonts w:cs="Arial Unicode MS" w:eastAsia="Arial Unicode MS"/>
          <w:rtl w:val="0"/>
        </w:rPr>
        <w:t>Conclusion</w:t>
        <w:tab/>
      </w:r>
      <w:r>
        <w:rPr/>
        <w:fldChar w:fldCharType="begin" w:fldLock="0"/>
      </w:r>
      <w:r>
        <w:instrText xml:space="preserve"> PAGEREF _Toc17 \h </w:instrText>
      </w:r>
      <w:r>
        <w:rPr/>
        <w:fldChar w:fldCharType="separate" w:fldLock="0"/>
      </w:r>
      <w:r>
        <w:rPr>
          <w:rFonts w:cs="Arial Unicode MS" w:eastAsia="Arial Unicode MS"/>
          <w:rtl w:val="0"/>
        </w:rPr>
        <w:t>20</w:t>
      </w:r>
      <w:r>
        <w:rPr/>
        <w:fldChar w:fldCharType="end" w:fldLock="0"/>
      </w:r>
    </w:p>
    <w:p>
      <w:pPr>
        <w:pStyle w:val="TOC 1"/>
      </w:pPr>
      <w:r>
        <w:rPr>
          <w:rFonts w:cs="Arial Unicode MS" w:eastAsia="Arial Unicode MS"/>
          <w:rtl w:val="0"/>
        </w:rPr>
        <w:t>References</w:t>
        <w:tab/>
      </w:r>
      <w:r>
        <w:rPr/>
        <w:fldChar w:fldCharType="begin" w:fldLock="0"/>
      </w:r>
      <w:r>
        <w:instrText xml:space="preserve"> PAGEREF _Toc18 \h </w:instrText>
      </w:r>
      <w:r>
        <w:rPr/>
        <w:fldChar w:fldCharType="separate" w:fldLock="0"/>
      </w:r>
      <w:r>
        <w:rPr>
          <w:rFonts w:cs="Arial Unicode MS" w:eastAsia="Arial Unicode MS"/>
          <w:rtl w:val="0"/>
        </w:rPr>
        <w:t>21</w:t>
      </w:r>
      <w:r>
        <w:rPr/>
        <w:fldChar w:fldCharType="end" w:fldLock="0"/>
      </w:r>
    </w:p>
    <w:p>
      <w:pPr>
        <w:spacing w:line="360" w:lineRule="auto"/>
        <w:rPr>
          <w:rFonts w:ascii="Times New Roman" w:cs="Times New Roman" w:hAnsi="Times New Roman" w:eastAsia="Times New Roman"/>
          <w:sz w:val="24"/>
          <w:szCs w:val="24"/>
        </w:rPr>
      </w:pPr>
      <w:r>
        <w:rPr>
          <w:rFonts w:ascii="Times New Roman" w:cs="Times New Roman" w:hAnsi="Times New Roman" w:eastAsia="Times New Roman"/>
          <w:b w:val="1"/>
          <w:bCs w:val="1"/>
          <w:outline w:val="0"/>
          <w:color w:val="000000"/>
          <w:sz w:val="24"/>
          <w:szCs w:val="24"/>
          <w:u w:color="000000"/>
          <w14:textFill>
            <w14:solidFill>
              <w14:srgbClr w14:val="000000"/>
            </w14:solidFill>
          </w14:textFill>
        </w:rPr>
        <w:fldChar w:fldCharType="end" w:fldLock="0"/>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Heading"/>
        <w:spacing w:line="360" w:lineRule="auto"/>
      </w:pPr>
      <w:bookmarkStart w:name="_Toc1" w:id="1"/>
      <w:r>
        <w:rPr>
          <w:rtl w:val="0"/>
          <w:lang w:val="en-US"/>
        </w:rPr>
        <w:t>Project Title: Establishing a Canteen at Adidas Warehouse</w:t>
      </w:r>
      <w:bookmarkEnd w:id="1"/>
    </w:p>
    <w:p>
      <w:pPr>
        <w:pStyle w:val="Heading"/>
        <w:spacing w:line="360" w:lineRule="auto"/>
      </w:pPr>
      <w:bookmarkStart w:name="_Toc2" w:id="2"/>
      <w:r>
        <w:rPr>
          <w:rtl w:val="0"/>
          <w:lang w:val="en-US"/>
        </w:rPr>
        <w:t xml:space="preserve">Introduction </w:t>
      </w:r>
      <w:bookmarkEnd w:id="2"/>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This project management plan's main goal is to provide a detailed framework for completing the "Establishing a Canteen at Adidas Warehouse" project successfully. This strategy includes addressing the problem of mobility congestion during lunch breaks and encouraging a healthy way of life among employees, all while furthering the company's corporate social responsibility (CSR) objectives (</w:t>
      </w:r>
      <w:r>
        <w:rPr>
          <w:rFonts w:ascii="Times New Roman" w:hAnsi="Times New Roman"/>
          <w:sz w:val="24"/>
          <w:szCs w:val="24"/>
          <w:shd w:val="clear" w:color="auto" w:fill="ffffff"/>
          <w:rtl w:val="0"/>
        </w:rPr>
        <w:t>Stojanovi</w:t>
      </w:r>
      <w:r>
        <w:rPr>
          <w:rFonts w:ascii="Times New Roman" w:hAnsi="Times New Roman" w:hint="default"/>
          <w:sz w:val="24"/>
          <w:szCs w:val="24"/>
          <w:shd w:val="clear" w:color="auto" w:fill="ffffff"/>
          <w:rtl w:val="0"/>
          <w:lang w:val="en-US"/>
        </w:rPr>
        <w:t>ć</w:t>
      </w:r>
      <w:r>
        <w:rPr>
          <w:rFonts w:ascii="Times New Roman" w:hAnsi="Times New Roman"/>
          <w:sz w:val="24"/>
          <w:szCs w:val="24"/>
          <w:shd w:val="clear" w:color="auto" w:fill="ffffff"/>
          <w:rtl w:val="0"/>
        </w:rPr>
        <w:t xml:space="preserve"> et al., 2020)</w:t>
      </w:r>
      <w:r>
        <w:rPr>
          <w:rFonts w:ascii="Times New Roman" w:hAnsi="Times New Roman"/>
          <w:sz w:val="24"/>
          <w:szCs w:val="24"/>
          <w:rtl w:val="0"/>
          <w:lang w:val="en-US"/>
        </w:rPr>
        <w:t>. Adidas Warehouse, a Southeast London-based firm is committed to improving the wellbeing of its diverse employees and streamlining processes. By fostering an environment that encourages personnel to spend as little time as possible outside the building during lunch breaks, the project hopes to reduce traffic in the surrounding neighbourhood. The initiative also aims to lower worker absenteeism and boost overall productivity by offering better facilities and tools that support healthy living (</w:t>
      </w:r>
      <w:r>
        <w:rPr>
          <w:rFonts w:ascii="Times New Roman" w:hAnsi="Times New Roman"/>
          <w:sz w:val="24"/>
          <w:szCs w:val="24"/>
          <w:shd w:val="clear" w:color="auto" w:fill="ffffff"/>
          <w:rtl w:val="0"/>
        </w:rPr>
        <w:t>Brunner et al., 2019)</w:t>
      </w:r>
      <w:r>
        <w:rPr>
          <w:rFonts w:ascii="Times New Roman" w:hAnsi="Times New Roman"/>
          <w:sz w:val="24"/>
          <w:szCs w:val="24"/>
          <w:rtl w:val="0"/>
          <w:lang w:val="en-US"/>
        </w:rPr>
        <w:t>.</w:t>
      </w:r>
      <w:r>
        <w:rPr>
          <w:rFonts w:ascii="Times New Roman" w:hAnsi="Times New Roman" w:hint="default"/>
          <w:sz w:val="24"/>
          <w:szCs w:val="24"/>
          <w:rtl w:val="0"/>
          <w:lang w:val="en-US"/>
        </w:rPr>
        <w:t> </w:t>
      </w:r>
      <w:r>
        <w:rPr>
          <w:rFonts w:ascii="Times New Roman" w:hAnsi="Times New Roman"/>
          <w:sz w:val="24"/>
          <w:szCs w:val="24"/>
          <w:rtl w:val="0"/>
          <w:lang w:val="en-US"/>
        </w:rPr>
        <w:t>The project's objectives are to provide food to 1000 employees, improve employee well-being enhancement, increased productivity, and foster improved warehouse culture. The methodical approach to attaining these goals is outlined in this project management plan, which makes use of tried-and-true project management tools, processes, and communication techniques (Zwikael and Smyrk, 2019).</w:t>
      </w:r>
    </w:p>
    <w:p>
      <w:pPr>
        <w:pStyle w:val="Heading"/>
        <w:spacing w:line="360" w:lineRule="auto"/>
      </w:pPr>
      <w:bookmarkStart w:name="_Toc3" w:id="3"/>
      <w:r>
        <w:rPr>
          <w:rtl w:val="0"/>
          <w:lang w:val="en-US"/>
        </w:rPr>
        <w:t xml:space="preserve">Project Scope </w:t>
      </w:r>
      <w:bookmarkEnd w:id="3"/>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"Establishing a Canteen at Adidas Warehouse" project seeks to enhance the working environment at the company. Upon completion of the project the company will experience reduced lunchtime traffic congestion and hence increase employee satisfaction and productivity. The project is aimed at delivering a state-of-the-art canteen with a unique design and layout. It will have a kitchen setup and equipment that facilitate menu development. Moreover, the project will involve renovation of warehouse building, warehouse equipment and machinery. The execution of the project will be driven by the main goal of reducing neighbourhood congestion, support employee wellbeing, and increase productivity (</w:t>
      </w:r>
      <w:r>
        <w:rPr>
          <w:rFonts w:ascii="Times New Roman" w:hAnsi="Times New Roman"/>
          <w:sz w:val="24"/>
          <w:szCs w:val="24"/>
          <w:shd w:val="clear" w:color="auto" w:fill="ffffff"/>
          <w:rtl w:val="0"/>
        </w:rPr>
        <w:t>Rasool et al., 2019)</w:t>
      </w:r>
      <w:r>
        <w:rPr>
          <w:rFonts w:ascii="Times New Roman" w:hAnsi="Times New Roman"/>
          <w:sz w:val="24"/>
          <w:szCs w:val="24"/>
          <w:rtl w:val="0"/>
          <w:lang w:val="en-US"/>
        </w:rPr>
        <w:t xml:space="preserve">. However, there are a number of restrictions and limits on the project. They include a limited budget, limited space, limited time, employee preferences, regulatory compliance, and a desire to minimize interruptions to the Adidas Warehouse's routine operations. From that perspective, the project must be carried out within the allocated budget, taking into account the availability of space on the company's property (Zwikael and Smyrk, 2019). What is more, the project must be completed on time, weighing employee preferences, adhering to local laws, health and safety standards, and minimal disruptions to Adidas Warehouse operations. </w:t>
      </w:r>
    </w:p>
    <w:p>
      <w:pPr>
        <w:pStyle w:val="Heading"/>
        <w:spacing w:line="360" w:lineRule="auto"/>
      </w:pPr>
      <w:bookmarkStart w:name="_Toc4" w:id="4"/>
      <w:r>
        <w:rPr>
          <w:rtl w:val="0"/>
          <w:lang w:val="en-US"/>
        </w:rPr>
        <w:t xml:space="preserve">Stakeholder Analysis </w:t>
      </w:r>
      <w:bookmarkEnd w:id="4"/>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Several stakeholders are involved in the project, including warehouse management team, project manager, canteen staff, warehouse employees, and health and safety officer. These stakeholders' interests, sway, and potential influence on the project's success are diverse.</w:t>
      </w:r>
      <w:r>
        <w:rPr>
          <w:rFonts w:ascii="Times New Roman" w:hAnsi="Times New Roman" w:hint="default"/>
          <w:sz w:val="24"/>
          <w:szCs w:val="24"/>
          <w:rtl w:val="0"/>
          <w:lang w:val="en-US"/>
        </w:rPr>
        <w:t> </w:t>
      </w:r>
      <w:r>
        <w:rPr>
          <w:rFonts w:ascii="Times New Roman" w:hAnsi="Times New Roman"/>
          <w:sz w:val="24"/>
          <w:szCs w:val="24"/>
          <w:rtl w:val="0"/>
          <w:lang w:val="en-US"/>
        </w:rPr>
        <w:t>For example, the warehouse management team has a great amount of influence because of their capacity for making decisions, allocating resources, and establishing priorities. While Adidas Warehouse HR is focused on work-life balance, wellness, and employee engagement, the warehouse employees are eager in better facilities and a healthier work environment (</w:t>
      </w:r>
      <w:r>
        <w:rPr>
          <w:rFonts w:ascii="Times New Roman" w:hAnsi="Times New Roman"/>
          <w:sz w:val="24"/>
          <w:szCs w:val="24"/>
          <w:shd w:val="clear" w:color="auto" w:fill="ffffff"/>
          <w:rtl w:val="0"/>
        </w:rPr>
        <w:t>Erwin et al., 2019)</w:t>
      </w:r>
      <w:r>
        <w:rPr>
          <w:rFonts w:ascii="Times New Roman" w:hAnsi="Times New Roman"/>
          <w:sz w:val="24"/>
          <w:szCs w:val="24"/>
          <w:rtl w:val="0"/>
          <w:lang w:val="en-US"/>
        </w:rPr>
        <w:t>. While project manager works hand-in-hand with Adidas Warehouse senior management to get better insights on space limits, infrastructure, and operational factors, they also have a significant influence in making sure the project adheres to the budget (</w:t>
      </w:r>
      <w:r>
        <w:rPr>
          <w:rFonts w:ascii="Times New Roman" w:hAnsi="Times New Roman"/>
          <w:sz w:val="24"/>
          <w:szCs w:val="24"/>
          <w:shd w:val="clear" w:color="auto" w:fill="ffffff"/>
          <w:rtl w:val="0"/>
          <w:lang w:val="en-US"/>
        </w:rPr>
        <w:t>Dwivedi and Dwivedi, 2021)</w:t>
      </w:r>
      <w:r>
        <w:rPr>
          <w:rFonts w:ascii="Times New Roman" w:hAnsi="Times New Roman"/>
          <w:sz w:val="24"/>
          <w:szCs w:val="24"/>
          <w:rtl w:val="0"/>
          <w:lang w:val="en-US"/>
        </w:rPr>
        <w:t xml:space="preserve">.   </w:t>
      </w:r>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health and safety officer is directly involved in the project since less traffic congestion benefits Adidas Warehouse, the neighbourhood and better employee work-environment. Because their requirements have an impact on project design and execution, the health and safety officer is in liaison with regulatory bodies (</w:t>
      </w:r>
      <w:r>
        <w:rPr>
          <w:rFonts w:ascii="Times New Roman" w:hAnsi="Times New Roman"/>
          <w:sz w:val="24"/>
          <w:szCs w:val="24"/>
          <w:shd w:val="clear" w:color="auto" w:fill="ffffff"/>
          <w:rtl w:val="0"/>
          <w:lang w:val="de-DE"/>
        </w:rPr>
        <w:t>Tetzlaff et al., 2021)</w:t>
      </w:r>
      <w:r>
        <w:rPr>
          <w:rFonts w:ascii="Times New Roman" w:hAnsi="Times New Roman"/>
          <w:sz w:val="24"/>
          <w:szCs w:val="24"/>
          <w:rtl w:val="0"/>
          <w:lang w:val="en-US"/>
        </w:rPr>
        <w:t>.</w:t>
      </w:r>
      <w:r>
        <w:rPr>
          <w:rFonts w:ascii="Times New Roman" w:hAnsi="Times New Roman" w:hint="default"/>
          <w:sz w:val="24"/>
          <w:szCs w:val="24"/>
          <w:rtl w:val="0"/>
          <w:lang w:val="en-US"/>
        </w:rPr>
        <w:t> </w:t>
      </w:r>
      <w:r>
        <w:rPr>
          <w:rFonts w:ascii="Times New Roman" w:hAnsi="Times New Roman"/>
          <w:sz w:val="24"/>
          <w:szCs w:val="24"/>
          <w:rtl w:val="0"/>
          <w:lang w:val="en-US"/>
        </w:rPr>
        <w:t>Successful engagement tactics include personalized messaging, stakeholder mapping, workshops, frequent meetings, transparency, feedback systems, and change management to enable successful engagement and communication between the Adidas Warehouse and the external environment.</w:t>
      </w:r>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 canteen staff will see the ultimate operation of the project and play a major role in monitoring of the project performance. Warehouse employees are very interested in how the project will affect their work experience, contentment, and productivity, and the warehouse management team plays a significant role in the project by allocating resources and setting priorities (Layton, and et. al., 2020). Facility management offers information on space restrictions, infrastructure, and operational factors, while the finance department's financial monitoring may have an influence on resource allocation and overall viability. </w:t>
      </w:r>
    </w:p>
    <w:p>
      <w:pPr>
        <w:pStyle w:val="Heading"/>
        <w:spacing w:line="360" w:lineRule="auto"/>
      </w:pPr>
      <w:bookmarkStart w:name="_Toc5" w:id="5"/>
      <w:r>
        <w:rPr>
          <w:rtl w:val="0"/>
          <w:lang w:val="en-US"/>
        </w:rPr>
        <w:t>Work Breakdown Structure (WBS)</w:t>
      </w:r>
      <w:bookmarkEnd w:id="5"/>
    </w:p>
    <w:tbl>
      <w:tblPr>
        <w:tblW w:w="934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408"/>
        <w:gridCol w:w="2410"/>
        <w:gridCol w:w="2925"/>
        <w:gridCol w:w="2597"/>
      </w:tblGrid>
      <w:tr>
        <w:tblPrEx>
          <w:shd w:val="clear" w:color="auto" w:fill="cdd4e9"/>
        </w:tblPrEx>
        <w:trPr>
          <w:trHeight w:val="755"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bottom"/>
          </w:tcPr>
          <w:p>
            <w:pPr>
              <w:pStyle w:val="Body"/>
              <w:spacing w:after="0" w:line="360" w:lineRule="auto"/>
              <w:jc w:val="center"/>
            </w:pPr>
            <w:r>
              <w:rPr>
                <w:rFonts w:ascii="Times New Roman" w:hAnsi="Times New Roman"/>
                <w:b w:val="1"/>
                <w:bCs w:val="1"/>
                <w:sz w:val="24"/>
                <w:szCs w:val="24"/>
                <w:shd w:val="nil" w:color="auto" w:fill="auto"/>
                <w:rtl w:val="0"/>
                <w:lang w:val="en-US"/>
              </w:rPr>
              <w:t>Level</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bottom"/>
          </w:tcPr>
          <w:p>
            <w:pPr>
              <w:pStyle w:val="Body"/>
              <w:spacing w:after="0" w:line="360" w:lineRule="auto"/>
              <w:jc w:val="center"/>
            </w:pPr>
            <w:r>
              <w:rPr>
                <w:rFonts w:ascii="Times New Roman" w:hAnsi="Times New Roman"/>
                <w:b w:val="1"/>
                <w:bCs w:val="1"/>
                <w:sz w:val="24"/>
                <w:szCs w:val="24"/>
                <w:shd w:val="nil" w:color="auto" w:fill="auto"/>
                <w:rtl w:val="0"/>
                <w:lang w:val="en-US"/>
              </w:rPr>
              <w:t>Task</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bottom"/>
          </w:tcPr>
          <w:p>
            <w:pPr>
              <w:pStyle w:val="Body"/>
              <w:spacing w:after="0" w:line="360" w:lineRule="auto"/>
              <w:jc w:val="center"/>
            </w:pPr>
            <w:r>
              <w:rPr>
                <w:rFonts w:ascii="Times New Roman" w:hAnsi="Times New Roman"/>
                <w:b w:val="1"/>
                <w:bCs w:val="1"/>
                <w:sz w:val="24"/>
                <w:szCs w:val="24"/>
                <w:shd w:val="nil" w:color="auto" w:fill="auto"/>
                <w:rtl w:val="0"/>
                <w:lang w:val="en-US"/>
              </w:rPr>
              <w:t>Sub-Tasks</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bottom"/>
          </w:tcPr>
          <w:p>
            <w:pPr>
              <w:pStyle w:val="Body"/>
              <w:spacing w:after="0" w:line="360" w:lineRule="auto"/>
              <w:jc w:val="center"/>
            </w:pPr>
            <w:r>
              <w:rPr>
                <w:rFonts w:ascii="Times New Roman" w:hAnsi="Times New Roman"/>
                <w:b w:val="1"/>
                <w:bCs w:val="1"/>
                <w:sz w:val="24"/>
                <w:szCs w:val="24"/>
                <w:shd w:val="nil" w:color="auto" w:fill="auto"/>
                <w:rtl w:val="0"/>
                <w:lang w:val="en-US"/>
              </w:rPr>
              <w:t>Responsible Stakeholder</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1</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 xml:space="preserve">Establishing a Canteen </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hint="default"/>
                <w:sz w:val="24"/>
                <w:szCs w:val="24"/>
                <w:shd w:val="nil" w:color="auto" w:fill="auto"/>
                <w:rtl w:val="0"/>
                <w:lang w:val="en-US"/>
              </w:rPr>
              <w:t> </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Project Manager</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2</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Project Initiation</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Define project scope and objectives</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Project Manager</w:t>
            </w:r>
          </w:p>
        </w:tc>
      </w:tr>
      <w:tr>
        <w:tblPrEx>
          <w:shd w:val="clear" w:color="auto" w:fill="cdd4e9"/>
        </w:tblPrEx>
        <w:trPr>
          <w:trHeight w:val="1232"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2</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Planning and Design</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Collaborate with architects and designers</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Design Team</w:t>
            </w:r>
          </w:p>
        </w:tc>
      </w:tr>
      <w:tr>
        <w:tblPrEx>
          <w:shd w:val="clear" w:color="auto" w:fill="cdd4e9"/>
        </w:tblPrEx>
        <w:trPr>
          <w:trHeight w:val="1508"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Canteen Design</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Floor plan, furnishings, equipment</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Interior Designer</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2</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Resource Allocation</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Budget allocation, procurement</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Finance Team</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Financial Resources Allocation</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Allocate funds for infrastructure</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Finance Team</w:t>
            </w:r>
          </w:p>
        </w:tc>
      </w:tr>
      <w:tr>
        <w:tblPrEx>
          <w:shd w:val="clear" w:color="auto" w:fill="cdd4e9"/>
        </w:tblPrEx>
        <w:trPr>
          <w:trHeight w:val="1232"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Procurement Planning</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Source equipment and furnishings</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Procurement Team</w:t>
            </w:r>
          </w:p>
        </w:tc>
      </w:tr>
      <w:tr>
        <w:tblPrEx>
          <w:shd w:val="clear" w:color="auto" w:fill="cdd4e9"/>
        </w:tblPrEx>
        <w:trPr>
          <w:trHeight w:val="1232"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2</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Construction and Development</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Construct canteen</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Construction Team</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Site Preparation</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Clearing, levelling, groundwork</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Construction Team</w:t>
            </w:r>
          </w:p>
        </w:tc>
      </w:tr>
      <w:tr>
        <w:tblPrEx>
          <w:shd w:val="clear" w:color="auto" w:fill="cdd4e9"/>
        </w:tblPrEx>
        <w:trPr>
          <w:trHeight w:val="1232"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Structural Development</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Building foundation and framework</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Construction Team</w:t>
            </w:r>
          </w:p>
        </w:tc>
      </w:tr>
      <w:tr>
        <w:tblPrEx>
          <w:shd w:val="clear" w:color="auto" w:fill="cdd4e9"/>
        </w:tblPrEx>
        <w:trPr>
          <w:trHeight w:val="1232"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Interior Fit-out</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Furnishings, kitchen installation</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Construction Team</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Landscaping</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Outdoor space development</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Landscape Team</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2</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Testing and Quality Assurance</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Equipment and amenities testing</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Quality Control Team</w:t>
            </w:r>
          </w:p>
        </w:tc>
      </w:tr>
      <w:tr>
        <w:tblPrEx>
          <w:shd w:val="clear" w:color="auto" w:fill="cdd4e9"/>
        </w:tblPrEx>
        <w:trPr>
          <w:trHeight w:val="1232"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2</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Employee Engagement</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Awareness sessions, training programs</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HR Team</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Communication of Changes</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Employee workshops and briefings</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HR Team</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Training Programs</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Wellness coaching, equipment usage</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Wellness Coaches</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2</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Launch and Rollout</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Facility inauguration and roll-out</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Project Manager</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Inauguration Event</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Event planning, coordination</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Event Coordinator</w:t>
            </w:r>
          </w:p>
        </w:tc>
      </w:tr>
      <w:tr>
        <w:tblPrEx>
          <w:shd w:val="clear" w:color="auto" w:fill="cdd4e9"/>
        </w:tblPrEx>
        <w:trPr>
          <w:trHeight w:val="956"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Canteen Rollout</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Employee orientation and tours</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HR Team</w:t>
            </w:r>
          </w:p>
        </w:tc>
      </w:tr>
      <w:tr>
        <w:tblPrEx>
          <w:shd w:val="clear" w:color="auto" w:fill="cdd4e9"/>
        </w:tblPrEx>
        <w:trPr>
          <w:trHeight w:val="1232"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2</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Monitoring and Evaluation</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Continuous assessment of amenities</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Quality Control Team</w:t>
            </w:r>
          </w:p>
        </w:tc>
      </w:tr>
      <w:tr>
        <w:tblPrEx>
          <w:shd w:val="clear" w:color="auto" w:fill="cdd4e9"/>
        </w:tblPrEx>
        <w:trPr>
          <w:trHeight w:val="1232"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Usage Monitoring</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Canteen usage analysis</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Canteen Staff, Facility Manager</w:t>
            </w:r>
          </w:p>
        </w:tc>
      </w:tr>
      <w:tr>
        <w:tblPrEx>
          <w:shd w:val="clear" w:color="auto" w:fill="cdd4e9"/>
        </w:tblPrEx>
        <w:trPr>
          <w:trHeight w:val="755" w:hRule="atLeast"/>
        </w:trPr>
        <w:tc>
          <w:tcPr>
            <w:tcW w:type="dxa" w:w="1408"/>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jc w:val="right"/>
            </w:pPr>
            <w:r>
              <w:rPr>
                <w:rFonts w:ascii="Times New Roman" w:hAnsi="Times New Roman"/>
                <w:sz w:val="24"/>
                <w:szCs w:val="24"/>
                <w:shd w:val="nil" w:color="auto" w:fill="auto"/>
                <w:rtl w:val="0"/>
                <w:lang w:val="en-US"/>
              </w:rPr>
              <w:t>3</w:t>
            </w:r>
          </w:p>
        </w:tc>
        <w:tc>
          <w:tcPr>
            <w:tcW w:type="dxa" w:w="2410"/>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Employee Feedback Collection</w:t>
            </w:r>
          </w:p>
        </w:tc>
        <w:tc>
          <w:tcPr>
            <w:tcW w:type="dxa" w:w="2925"/>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Surveys, feedback sessions</w:t>
            </w:r>
          </w:p>
        </w:tc>
        <w:tc>
          <w:tcPr>
            <w:tcW w:type="dxa" w:w="2597"/>
            <w:tcBorders>
              <w:top w:val="single" w:color="d9d9e3" w:sz="8" w:space="0" w:shadow="0" w:frame="0"/>
              <w:left w:val="single" w:color="d9d9e3" w:sz="8" w:space="0" w:shadow="0" w:frame="0"/>
              <w:bottom w:val="single" w:color="d9d9e3" w:sz="8" w:space="0" w:shadow="0" w:frame="0"/>
              <w:right w:val="single" w:color="d9d9e3" w:sz="8" w:space="0" w:shadow="0" w:frame="0"/>
            </w:tcBorders>
            <w:shd w:val="clear" w:color="auto" w:fill="ffffff"/>
            <w:tcMar>
              <w:top w:type="dxa" w:w="80"/>
              <w:left w:type="dxa" w:w="80"/>
              <w:bottom w:type="dxa" w:w="80"/>
              <w:right w:type="dxa" w:w="80"/>
            </w:tcMar>
            <w:vAlign w:val="center"/>
          </w:tcPr>
          <w:p>
            <w:pPr>
              <w:pStyle w:val="Body"/>
              <w:spacing w:after="0" w:line="360" w:lineRule="auto"/>
            </w:pPr>
            <w:r>
              <w:rPr>
                <w:rFonts w:ascii="Times New Roman" w:hAnsi="Times New Roman"/>
                <w:sz w:val="24"/>
                <w:szCs w:val="24"/>
                <w:shd w:val="nil" w:color="auto" w:fill="auto"/>
                <w:rtl w:val="0"/>
                <w:lang w:val="en-US"/>
              </w:rPr>
              <w:t>HR Team</w:t>
            </w:r>
          </w:p>
        </w:tc>
      </w:tr>
    </w:tbl>
    <w:p>
      <w:pPr>
        <w:pStyle w:val="Heading"/>
        <w:widowControl w:val="0"/>
      </w:pPr>
    </w:p>
    <w:p>
      <w:pPr>
        <w:pStyle w:val="Heading"/>
        <w:spacing w:line="360" w:lineRule="auto"/>
      </w:pPr>
      <w:bookmarkStart w:name="_Toc6" w:id="6"/>
      <w:r>
        <w:rPr>
          <w:rtl w:val="0"/>
          <w:lang w:val="en-US"/>
        </w:rPr>
        <w:t xml:space="preserve">Costs/Resources </w:t>
      </w:r>
      <w:bookmarkEnd w:id="6"/>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w:t>
      </w:r>
      <w:r>
        <w:rPr>
          <w:rFonts w:ascii="Times New Roman" w:hAnsi="Times New Roman"/>
          <w:sz w:val="24"/>
          <w:szCs w:val="24"/>
          <w:shd w:val="clear" w:color="auto" w:fill="ffffff"/>
          <w:rtl w:val="0"/>
          <w:lang w:val="it-IT"/>
        </w:rPr>
        <w:t>Picciotto (2020)</w:t>
      </w:r>
      <w:r>
        <w:rPr>
          <w:rFonts w:ascii="Times New Roman" w:hAnsi="Times New Roman"/>
          <w:sz w:val="24"/>
          <w:szCs w:val="24"/>
          <w:rtl w:val="0"/>
          <w:lang w:val="en-US"/>
        </w:rPr>
        <w:t>, it is crucial to estimate the expenses and resources needed for the project in order to guarantee efficient planning and budget management. From that perspective, this section lists the estimated human and financial resources required for the various project components and explains their allocation in light of the goals and outcomes of the project.</w:t>
      </w:r>
    </w:p>
    <w:p>
      <w:pPr>
        <w:pStyle w:val="Heading 2"/>
        <w:spacing w:line="360" w:lineRule="auto"/>
      </w:pPr>
      <w:bookmarkStart w:name="_Toc7" w:id="7"/>
      <w:r>
        <w:rPr>
          <w:rtl w:val="0"/>
          <w:lang w:val="en-US"/>
        </w:rPr>
        <w:t>Financial Resources:</w:t>
      </w:r>
      <w:bookmarkEnd w:id="7"/>
    </w:p>
    <w:p>
      <w:pPr>
        <w:pStyle w:val="List Paragraph"/>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Canteen Build</w:t>
      </w:r>
      <w:r>
        <w:rPr>
          <w:rFonts w:ascii="Times New Roman" w:hAnsi="Times New Roman"/>
          <w:sz w:val="24"/>
          <w:szCs w:val="24"/>
          <w:rtl w:val="0"/>
          <w:lang w:val="en-US"/>
        </w:rPr>
        <w:t xml:space="preserve">: Capital expenditures for building, decorating, and landscaping will be needed to a canteen. According to preliminary calculations, infrastructure development will cost about </w:t>
      </w:r>
      <w:r>
        <w:rPr>
          <w:rFonts w:ascii="Times New Roman" w:hAnsi="Times New Roman" w:hint="default"/>
          <w:sz w:val="24"/>
          <w:szCs w:val="24"/>
          <w:rtl w:val="0"/>
          <w:lang w:val="en-US"/>
        </w:rPr>
        <w:t>£</w:t>
      </w:r>
      <w:r>
        <w:rPr>
          <w:rFonts w:ascii="Times New Roman" w:hAnsi="Times New Roman"/>
          <w:sz w:val="24"/>
          <w:szCs w:val="24"/>
          <w:rtl w:val="0"/>
          <w:lang w:val="en-US"/>
        </w:rPr>
        <w:t>500,000.</w:t>
      </w:r>
    </w:p>
    <w:p>
      <w:pPr>
        <w:pStyle w:val="List Paragraph"/>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Approval, Design, and Team Formation and Role</w:t>
      </w:r>
      <w:r>
        <w:rPr>
          <w:rFonts w:ascii="Times New Roman" w:hAnsi="Times New Roman"/>
          <w:sz w:val="24"/>
          <w:szCs w:val="24"/>
          <w:rtl w:val="0"/>
          <w:lang w:val="en-US"/>
        </w:rPr>
        <w:t xml:space="preserve">: It will cost around </w:t>
      </w:r>
      <w:r>
        <w:rPr>
          <w:rFonts w:ascii="Times New Roman" w:hAnsi="Times New Roman" w:hint="default"/>
          <w:sz w:val="24"/>
          <w:szCs w:val="24"/>
          <w:rtl w:val="0"/>
          <w:lang w:val="en-US"/>
        </w:rPr>
        <w:t>£</w:t>
      </w:r>
      <w:r>
        <w:rPr>
          <w:rFonts w:ascii="Times New Roman" w:hAnsi="Times New Roman"/>
          <w:sz w:val="24"/>
          <w:szCs w:val="24"/>
          <w:rtl w:val="0"/>
          <w:lang w:val="en-US"/>
        </w:rPr>
        <w:t xml:space="preserve">5,000 to get approved to start the project. The design of the canteen will cost </w:t>
      </w:r>
      <w:r>
        <w:rPr>
          <w:rFonts w:ascii="Times New Roman" w:hAnsi="Times New Roman" w:hint="default"/>
          <w:sz w:val="24"/>
          <w:szCs w:val="24"/>
          <w:rtl w:val="0"/>
          <w:lang w:val="en-US"/>
        </w:rPr>
        <w:t>£</w:t>
      </w:r>
      <w:r>
        <w:rPr>
          <w:rFonts w:ascii="Times New Roman" w:hAnsi="Times New Roman"/>
          <w:sz w:val="24"/>
          <w:szCs w:val="24"/>
          <w:rtl w:val="0"/>
          <w:lang w:val="en-US"/>
        </w:rPr>
        <w:t xml:space="preserve">15,000, team formation </w:t>
      </w:r>
      <w:r>
        <w:rPr>
          <w:rFonts w:ascii="Times New Roman" w:hAnsi="Times New Roman" w:hint="default"/>
          <w:sz w:val="24"/>
          <w:szCs w:val="24"/>
          <w:rtl w:val="0"/>
          <w:lang w:val="en-US"/>
        </w:rPr>
        <w:t>£</w:t>
      </w:r>
      <w:r>
        <w:rPr>
          <w:rFonts w:ascii="Times New Roman" w:hAnsi="Times New Roman"/>
          <w:sz w:val="24"/>
          <w:szCs w:val="24"/>
          <w:rtl w:val="0"/>
          <w:lang w:val="en-US"/>
        </w:rPr>
        <w:t xml:space="preserve">20,000, and assignment roles structuring will cost </w:t>
      </w:r>
      <w:r>
        <w:rPr>
          <w:rFonts w:ascii="Times New Roman" w:hAnsi="Times New Roman" w:hint="default"/>
          <w:sz w:val="24"/>
          <w:szCs w:val="24"/>
          <w:rtl w:val="0"/>
          <w:lang w:val="en-US"/>
        </w:rPr>
        <w:t>£</w:t>
      </w:r>
      <w:r>
        <w:rPr>
          <w:rFonts w:ascii="Times New Roman" w:hAnsi="Times New Roman"/>
          <w:sz w:val="24"/>
          <w:szCs w:val="24"/>
          <w:rtl w:val="0"/>
          <w:lang w:val="en-US"/>
        </w:rPr>
        <w:t>15,000</w:t>
      </w:r>
    </w:p>
    <w:p>
      <w:pPr>
        <w:pStyle w:val="List Paragraph"/>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Start of Construction</w:t>
      </w:r>
      <w:r>
        <w:rPr>
          <w:rFonts w:ascii="Times New Roman" w:hAnsi="Times New Roman"/>
          <w:sz w:val="24"/>
          <w:szCs w:val="24"/>
          <w:rtl w:val="0"/>
          <w:lang w:val="en-US"/>
        </w:rPr>
        <w:t xml:space="preserve">: Starting the construction of the canteen is expected to cost </w:t>
      </w:r>
      <w:r>
        <w:rPr>
          <w:rFonts w:ascii="Times New Roman" w:hAnsi="Times New Roman" w:hint="default"/>
          <w:sz w:val="24"/>
          <w:szCs w:val="24"/>
          <w:rtl w:val="0"/>
          <w:lang w:val="en-US"/>
        </w:rPr>
        <w:t>£</w:t>
      </w:r>
      <w:r>
        <w:rPr>
          <w:rFonts w:ascii="Times New Roman" w:hAnsi="Times New Roman"/>
          <w:sz w:val="24"/>
          <w:szCs w:val="24"/>
          <w:rtl w:val="0"/>
          <w:lang w:val="en-US"/>
        </w:rPr>
        <w:t>200,000.</w:t>
      </w:r>
    </w:p>
    <w:p>
      <w:pPr>
        <w:pStyle w:val="List Paragraph"/>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Review of Construction</w:t>
      </w:r>
      <w:r>
        <w:rPr>
          <w:rFonts w:ascii="Times New Roman" w:hAnsi="Times New Roman"/>
          <w:sz w:val="24"/>
          <w:szCs w:val="24"/>
          <w:rtl w:val="0"/>
          <w:lang w:val="en-US"/>
        </w:rPr>
        <w:t xml:space="preserve">: It is estimated that it will cost </w:t>
      </w:r>
      <w:r>
        <w:rPr>
          <w:rFonts w:ascii="Times New Roman" w:hAnsi="Times New Roman" w:hint="default"/>
          <w:sz w:val="24"/>
          <w:szCs w:val="24"/>
          <w:rtl w:val="0"/>
          <w:lang w:val="en-US"/>
        </w:rPr>
        <w:t>£</w:t>
      </w:r>
      <w:r>
        <w:rPr>
          <w:rFonts w:ascii="Times New Roman" w:hAnsi="Times New Roman"/>
          <w:sz w:val="24"/>
          <w:szCs w:val="24"/>
          <w:rtl w:val="0"/>
          <w:lang w:val="en-US"/>
        </w:rPr>
        <w:t>2,000 to review the construction of the canteen.</w:t>
      </w:r>
    </w:p>
    <w:p>
      <w:pPr>
        <w:pStyle w:val="List Paragraph"/>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Completion of Construction</w:t>
      </w:r>
      <w:r>
        <w:rPr>
          <w:rFonts w:ascii="Times New Roman" w:hAnsi="Times New Roman"/>
          <w:sz w:val="24"/>
          <w:szCs w:val="24"/>
          <w:rtl w:val="0"/>
          <w:lang w:val="en-US"/>
        </w:rPr>
        <w:t xml:space="preserve">: It is estimated that it will cost </w:t>
      </w:r>
      <w:r>
        <w:rPr>
          <w:rFonts w:ascii="Times New Roman" w:hAnsi="Times New Roman" w:hint="default"/>
          <w:sz w:val="24"/>
          <w:szCs w:val="24"/>
          <w:rtl w:val="0"/>
          <w:lang w:val="en-US"/>
        </w:rPr>
        <w:t>£</w:t>
      </w:r>
      <w:r>
        <w:rPr>
          <w:rFonts w:ascii="Times New Roman" w:hAnsi="Times New Roman"/>
          <w:sz w:val="24"/>
          <w:szCs w:val="24"/>
          <w:rtl w:val="0"/>
          <w:lang w:val="en-US"/>
        </w:rPr>
        <w:t>200,000 to finish the construction of the canteen.</w:t>
      </w:r>
    </w:p>
    <w:p>
      <w:pPr>
        <w:pStyle w:val="List Paragraph"/>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Marketing and Opening of the Canteen</w:t>
      </w:r>
      <w:r>
        <w:rPr>
          <w:rFonts w:ascii="Times New Roman" w:hAnsi="Times New Roman"/>
          <w:sz w:val="24"/>
          <w:szCs w:val="24"/>
          <w:rtl w:val="0"/>
          <w:lang w:val="en-US"/>
        </w:rPr>
        <w:t xml:space="preserve">: It will cost </w:t>
      </w:r>
      <w:r>
        <w:rPr>
          <w:rFonts w:ascii="Times New Roman" w:hAnsi="Times New Roman" w:hint="default"/>
          <w:sz w:val="24"/>
          <w:szCs w:val="24"/>
          <w:rtl w:val="0"/>
          <w:lang w:val="en-US"/>
        </w:rPr>
        <w:t>£</w:t>
      </w:r>
      <w:r>
        <w:rPr>
          <w:rFonts w:ascii="Times New Roman" w:hAnsi="Times New Roman"/>
          <w:sz w:val="24"/>
          <w:szCs w:val="24"/>
          <w:rtl w:val="0"/>
          <w:lang w:val="en-US"/>
        </w:rPr>
        <w:t>18,000 to market the canteen and the entire process of opening the canteen.</w:t>
      </w:r>
    </w:p>
    <w:p>
      <w:pPr>
        <w:pStyle w:val="Heading 2"/>
        <w:spacing w:line="360" w:lineRule="auto"/>
      </w:pPr>
      <w:bookmarkStart w:name="_Toc8" w:id="8"/>
      <w:r>
        <w:rPr>
          <w:rtl w:val="0"/>
          <w:lang w:val="en-US"/>
        </w:rPr>
        <w:t>Human Resources:</w:t>
      </w:r>
      <w:bookmarkEnd w:id="8"/>
    </w:p>
    <w:p>
      <w:pPr>
        <w:pStyle w:val="List Paragraph"/>
        <w:numPr>
          <w:ilvl w:val="0"/>
          <w:numId w:val="4"/>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Project Manager</w:t>
      </w:r>
      <w:r>
        <w:rPr>
          <w:rFonts w:ascii="Times New Roman" w:hAnsi="Times New Roman"/>
          <w:sz w:val="24"/>
          <w:szCs w:val="24"/>
          <w:rtl w:val="0"/>
          <w:lang w:val="en-US"/>
        </w:rPr>
        <w:t>: From the beginning to the end of the project, the project manager will be in charge. The manager will oversee planning, coordination, resource distribution and management, and risk management are among their duties.</w:t>
      </w:r>
    </w:p>
    <w:p>
      <w:pPr>
        <w:pStyle w:val="List Paragraph"/>
        <w:numPr>
          <w:ilvl w:val="0"/>
          <w:numId w:val="4"/>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Architects and Designers</w:t>
      </w:r>
      <w:r>
        <w:rPr>
          <w:rFonts w:ascii="Times New Roman" w:hAnsi="Times New Roman"/>
          <w:sz w:val="24"/>
          <w:szCs w:val="24"/>
          <w:rtl w:val="0"/>
          <w:lang w:val="en-US"/>
        </w:rPr>
        <w:t>:  Professional architects and interior designers will be required to develop facilities that are both visually beautiful and useful (</w:t>
      </w:r>
      <w:r>
        <w:rPr>
          <w:rFonts w:ascii="Times New Roman" w:hAnsi="Times New Roman"/>
          <w:sz w:val="24"/>
          <w:szCs w:val="24"/>
          <w:shd w:val="clear" w:color="auto" w:fill="ffffff"/>
          <w:rtl w:val="0"/>
          <w:lang w:val="en-US"/>
        </w:rPr>
        <w:t>Mazzetto, 2020)</w:t>
      </w:r>
      <w:r>
        <w:rPr>
          <w:rFonts w:ascii="Times New Roman" w:hAnsi="Times New Roman"/>
          <w:sz w:val="24"/>
          <w:szCs w:val="24"/>
          <w:rtl w:val="0"/>
          <w:lang w:val="en-US"/>
        </w:rPr>
        <w:t>.</w:t>
      </w:r>
    </w:p>
    <w:p>
      <w:pPr>
        <w:pStyle w:val="List Paragraph"/>
        <w:numPr>
          <w:ilvl w:val="0"/>
          <w:numId w:val="4"/>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Construction Team</w:t>
      </w:r>
      <w:r>
        <w:rPr>
          <w:rFonts w:ascii="Times New Roman" w:hAnsi="Times New Roman"/>
          <w:sz w:val="24"/>
          <w:szCs w:val="24"/>
          <w:rtl w:val="0"/>
          <w:lang w:val="en-US"/>
        </w:rPr>
        <w:t>: For the physical development of the canteen, skilled personnel, such as construction workers, electricians, plumbers, and landscapers, will be needed.</w:t>
      </w:r>
    </w:p>
    <w:p>
      <w:pPr>
        <w:pStyle w:val="List Paragraph"/>
        <w:numPr>
          <w:ilvl w:val="0"/>
          <w:numId w:val="4"/>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Canteen Staff</w:t>
      </w:r>
      <w:r>
        <w:rPr>
          <w:rFonts w:ascii="Times New Roman" w:hAnsi="Times New Roman"/>
          <w:sz w:val="24"/>
          <w:szCs w:val="24"/>
          <w:rtl w:val="0"/>
          <w:lang w:val="en-US"/>
        </w:rPr>
        <w:t>: Staff trained in catering and health initiatives, including chefs, nutritionists, and health and safety experts.</w:t>
      </w:r>
    </w:p>
    <w:p>
      <w:pPr>
        <w:pStyle w:val="Body"/>
        <w:spacing w:line="360" w:lineRule="auto"/>
        <w:ind w:firstLine="425"/>
        <w:rPr>
          <w:rFonts w:ascii="Times New Roman" w:cs="Times New Roman" w:hAnsi="Times New Roman" w:eastAsia="Times New Roman"/>
          <w:sz w:val="24"/>
          <w:szCs w:val="24"/>
        </w:rPr>
      </w:pPr>
      <w:r>
        <w:rPr>
          <w:rFonts w:ascii="Times New Roman" w:hAnsi="Times New Roman"/>
          <w:sz w:val="24"/>
          <w:szCs w:val="24"/>
          <w:rtl w:val="0"/>
          <w:lang w:val="en-US"/>
        </w:rPr>
        <w:t>Based on the overview of the resources, infrastructure construction, furniture and equipment purchases, operating expenditures, marketing and communication efforts, and human resources are the main resources required to transform the Adidas Warehouse employee lunch experience. Modern facilities encourage wellbeing and efficiency, while top-notch amenities boost employee happiness and improve the Adidas Warehouse's image. Allocating operating expenses guarantees the long-term viability of facilities, which has a favourable effect on staff motivation, output, and absenteeism (Zwikael and Smyrk, 2019). By allocating funds for marketing and communication, employers may guarantee that their staff is aware about new facilities, which encourages high adoption and engagement rates.</w:t>
      </w:r>
    </w:p>
    <w:p>
      <w:pPr>
        <w:pStyle w:val="Heading"/>
        <w:spacing w:line="360" w:lineRule="auto"/>
      </w:pPr>
      <w:bookmarkStart w:name="_Toc9" w:id="9"/>
      <w:r>
        <w:rPr>
          <w:rtl w:val="0"/>
          <w:lang w:val="en-US"/>
        </w:rPr>
        <w:t xml:space="preserve">Resource Consideration </w:t>
      </w:r>
      <w:bookmarkEnd w:id="9"/>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As a crucial undertaking, the</w:t>
      </w:r>
      <w:r>
        <w:rPr>
          <w:rFonts w:ascii="Times New Roman" w:hAnsi="Times New Roman" w:hint="default"/>
          <w:sz w:val="24"/>
          <w:szCs w:val="24"/>
          <w:rtl w:val="0"/>
          <w:lang w:val="en-US"/>
        </w:rPr>
        <w:t> </w:t>
      </w:r>
      <w:r>
        <w:rPr>
          <w:rFonts w:ascii="Times New Roman" w:hAnsi="Times New Roman"/>
          <w:sz w:val="24"/>
          <w:szCs w:val="24"/>
          <w:rtl w:val="0"/>
          <w:lang w:val="en-US"/>
        </w:rPr>
        <w:t>project necessitates effective resource management. The project budget is based on projected expenditures for equipment, operational costs, infrastructure development, and marketing. Spending is regularly tracked and monitored to make sure it stays within set financial parameters.</w:t>
      </w:r>
      <w:r>
        <w:rPr>
          <w:rFonts w:ascii="Times New Roman" w:hAnsi="Times New Roman" w:hint="default"/>
          <w:sz w:val="24"/>
          <w:szCs w:val="24"/>
          <w:rtl w:val="0"/>
          <w:lang w:val="en-US"/>
        </w:rPr>
        <w:t> </w:t>
      </w:r>
      <w:r>
        <w:rPr>
          <w:rFonts w:ascii="Times New Roman" w:hAnsi="Times New Roman"/>
          <w:sz w:val="24"/>
          <w:szCs w:val="24"/>
          <w:rtl w:val="0"/>
          <w:lang w:val="en-US"/>
        </w:rPr>
        <w:t xml:space="preserve">The project manager is part of a team of qualified experts that also includes architects, designers, construction workers, catering, and health and safety team (Xue, and et. al., 2022). Based on the research by </w:t>
      </w:r>
      <w:r>
        <w:rPr>
          <w:rFonts w:ascii="Times New Roman" w:hAnsi="Times New Roman"/>
          <w:sz w:val="24"/>
          <w:szCs w:val="24"/>
          <w:shd w:val="clear" w:color="auto" w:fill="ffffff"/>
          <w:rtl w:val="0"/>
        </w:rPr>
        <w:t>Armenia</w:t>
      </w:r>
      <w:r>
        <w:rPr>
          <w:rFonts w:ascii="Times New Roman" w:hAnsi="Times New Roman"/>
          <w:sz w:val="24"/>
          <w:szCs w:val="24"/>
          <w:rtl w:val="0"/>
          <w:lang w:val="en-US"/>
        </w:rPr>
        <w:t xml:space="preserve"> et al. (2019), the skills of each team member will be utilized to successfully contribute to their particular project stages. Time management is essential, and a project schedule with milestones and due dates directs how activities are completed.</w:t>
      </w:r>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To allocate financial and human resources throughout project stages as efficiently as possible, a specific resource allocation plan will be developed. Risk management is crucial because it enables the project team to ensure that Adidas Warehouse does not suffer unrecoverable losses (</w:t>
      </w:r>
      <w:r>
        <w:rPr>
          <w:rFonts w:ascii="Times New Roman" w:hAnsi="Times New Roman"/>
          <w:sz w:val="24"/>
          <w:szCs w:val="24"/>
          <w:shd w:val="clear" w:color="auto" w:fill="ffffff"/>
          <w:rtl w:val="0"/>
        </w:rPr>
        <w:t>Willumsen et al., 2019)</w:t>
      </w:r>
      <w:r>
        <w:rPr>
          <w:rFonts w:ascii="Times New Roman" w:hAnsi="Times New Roman"/>
          <w:sz w:val="24"/>
          <w:szCs w:val="24"/>
          <w:rtl w:val="0"/>
          <w:lang w:val="en-US"/>
        </w:rPr>
        <w:t>. Therefore, task dependencies will be logically arranged, and resource availability will be in line with how the project is developing. Techniques for resource levelling will be used to maximize resource consumption without lowering project quality.</w:t>
      </w:r>
      <w:r>
        <w:rPr>
          <w:rFonts w:ascii="Times New Roman" w:hAnsi="Times New Roman" w:hint="default"/>
          <w:sz w:val="24"/>
          <w:szCs w:val="24"/>
          <w:rtl w:val="0"/>
          <w:lang w:val="en-US"/>
        </w:rPr>
        <w:t> </w:t>
      </w:r>
      <w:r>
        <w:rPr>
          <w:rFonts w:ascii="Times New Roman" w:hAnsi="Times New Roman"/>
          <w:sz w:val="24"/>
          <w:szCs w:val="24"/>
          <w:rtl w:val="0"/>
          <w:lang w:val="en-US"/>
        </w:rPr>
        <w:t>Coordination of resources depends on effective team communication (Zwikael and Smyrk, 2019). Collaboration is made easier through regular team meetings, progress reports, and feedback sessions. Tasks will be ranked according to variables including urgency, priority, and influence on project objectives using a prioritization matrix that will be set up.</w:t>
      </w:r>
    </w:p>
    <w:p>
      <w:pPr>
        <w:pStyle w:val="Heading"/>
        <w:spacing w:line="360" w:lineRule="auto"/>
      </w:pPr>
      <w:bookmarkStart w:name="_Toc10" w:id="10"/>
      <w:r>
        <w:rPr>
          <w:rtl w:val="0"/>
          <w:lang w:val="en-US"/>
        </w:rPr>
        <w:t>Project Schedule / Gantt Chart</w:t>
      </w:r>
      <w:bookmarkEnd w:id="10"/>
    </w:p>
    <w:tbl>
      <w:tblPr>
        <w:tblW w:w="936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645"/>
        <w:gridCol w:w="1608"/>
        <w:gridCol w:w="1528"/>
        <w:gridCol w:w="1527"/>
        <w:gridCol w:w="1528"/>
        <w:gridCol w:w="1524"/>
      </w:tblGrid>
      <w:tr>
        <w:tblPrEx>
          <w:shd w:val="clear" w:color="auto" w:fill="cdd4e9"/>
        </w:tblPrEx>
        <w:trPr>
          <w:trHeight w:val="1250"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top"/>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Task</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center"/>
              <w:rPr>
                <w:rFonts w:ascii="Times New Roman" w:cs="Times New Roman" w:hAnsi="Times New Roman" w:eastAsia="Times New Roman"/>
                <w:sz w:val="24"/>
                <w:szCs w:val="24"/>
                <w:shd w:val="nil" w:color="auto" w:fill="auto"/>
              </w:rPr>
            </w:pPr>
            <w:r>
              <w:rPr>
                <w:rFonts w:ascii="Times New Roman" w:cs="Times New Roman" w:hAnsi="Times New Roman" w:eastAsia="Times New Roman"/>
                <w:sz w:val="24"/>
                <w:szCs w:val="24"/>
                <w:shd w:val="nil" w:color="auto" w:fill="auto"/>
                <w:lang w:val="en-US"/>
              </w:rPr>
              <w:br w:type="textWrapping"/>
            </w:r>
            <w:r>
              <w:rPr>
                <w:rFonts w:ascii="Times New Roman" w:hAnsi="Times New Roman"/>
                <w:sz w:val="24"/>
                <w:szCs w:val="24"/>
                <w:shd w:val="nil" w:color="auto" w:fill="auto"/>
                <w:rtl w:val="0"/>
                <w:lang w:val="en-US"/>
              </w:rPr>
              <w:t>Responsible</w:t>
            </w:r>
          </w:p>
          <w:p>
            <w:pPr>
              <w:pStyle w:val="Body"/>
              <w:tabs>
                <w:tab w:val="right" w:pos="1260"/>
              </w:tabs>
              <w:bidi w:val="0"/>
              <w:spacing w:before="60" w:after="60" w:line="360" w:lineRule="auto"/>
              <w:ind w:left="0" w:right="0" w:firstLine="0"/>
              <w:jc w:val="center"/>
              <w:rPr>
                <w:rtl w:val="0"/>
              </w:rPr>
            </w:pPr>
            <w:r>
              <w:rPr>
                <w:rFonts w:ascii="Times New Roman" w:hAnsi="Times New Roman"/>
                <w:sz w:val="24"/>
                <w:szCs w:val="24"/>
                <w:shd w:val="nil" w:color="auto" w:fill="auto"/>
                <w:rtl w:val="0"/>
                <w:lang w:val="en-US"/>
              </w:rPr>
              <w:t>Person(s)</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center"/>
            </w:pPr>
            <w:r>
              <w:rPr>
                <w:rFonts w:ascii="Times New Roman" w:hAnsi="Times New Roman"/>
                <w:sz w:val="24"/>
                <w:szCs w:val="24"/>
                <w:shd w:val="nil" w:color="auto" w:fill="auto"/>
                <w:rtl w:val="0"/>
                <w:lang w:val="en-US"/>
              </w:rPr>
              <w:t>(01/09/2023 - 14/09/2023)</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center"/>
            </w:pPr>
            <w:r>
              <w:rPr>
                <w:rFonts w:ascii="Times New Roman" w:hAnsi="Times New Roman"/>
                <w:sz w:val="24"/>
                <w:szCs w:val="24"/>
                <w:shd w:val="nil" w:color="auto" w:fill="auto"/>
                <w:rtl w:val="0"/>
                <w:lang w:val="en-US"/>
              </w:rPr>
              <w:t>(01/10/2023 - 28/10/2023)</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center"/>
            </w:pPr>
            <w:r>
              <w:rPr>
                <w:rFonts w:ascii="Times New Roman" w:hAnsi="Times New Roman"/>
                <w:sz w:val="24"/>
                <w:szCs w:val="24"/>
                <w:shd w:val="nil" w:color="auto" w:fill="auto"/>
                <w:rtl w:val="0"/>
                <w:lang w:val="en-US"/>
              </w:rPr>
              <w:t>(01/11/2023 - 18/01/2014)</w:t>
            </w: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center"/>
            </w:pPr>
            <w:r>
              <w:rPr>
                <w:rFonts w:ascii="Times New Roman" w:hAnsi="Times New Roman"/>
                <w:sz w:val="24"/>
                <w:szCs w:val="24"/>
                <w:shd w:val="nil" w:color="auto" w:fill="auto"/>
                <w:rtl w:val="0"/>
                <w:lang w:val="en-US"/>
              </w:rPr>
              <w:t>(Starting from 01/02/2024)</w:t>
            </w: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Project Initiation</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Project Manager</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Planning and Design</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Design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Canteen Design</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Interior Design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Resource Allocation</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Finance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190"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Financial Resources Allocation</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Finance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Procurement Planning</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Procurement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190"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Construction and Development</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Construction</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Site Preparation</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Construction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38"/>
              <w:bottom w:type="dxa" w:w="80"/>
              <w:right w:type="dxa" w:w="138"/>
            </w:tcMar>
            <w:vAlign w:val="center"/>
          </w:tcPr>
          <w:p>
            <w:pPr>
              <w:pStyle w:val="Body"/>
              <w:tabs>
                <w:tab w:val="right" w:pos="1260"/>
              </w:tabs>
              <w:spacing w:before="60" w:after="60" w:line="360" w:lineRule="auto"/>
              <w:ind w:left="58" w:right="58" w:firstLine="0"/>
              <w:jc w:val="both"/>
            </w:pPr>
            <w:r>
              <w:rPr>
                <w:rFonts w:ascii="Times New Roman" w:hAnsi="Times New Roman"/>
                <w:sz w:val="24"/>
                <w:szCs w:val="24"/>
                <w:shd w:val="nil" w:color="auto" w:fill="auto"/>
                <w:rtl w:val="0"/>
                <w:lang w:val="en-US"/>
              </w:rPr>
              <w:t>Structural Development</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Construction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Interior Fit-out</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Construction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Landscaping</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Landscape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190"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Testing and Quality Assurance</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Quality Control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Launch and Rollout</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Project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Inauguration Event</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Event Coordinator</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r>
      <w:tr>
        <w:tblPrEx>
          <w:shd w:val="clear" w:color="auto" w:fill="cdd4e9"/>
        </w:tblPrEx>
        <w:trPr>
          <w:trHeight w:val="745" w:hRule="atLeast"/>
        </w:trPr>
        <w:tc>
          <w:tcPr>
            <w:tcW w:type="dxa" w:w="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52"/>
            </w:tcMar>
            <w:vAlign w:val="center"/>
          </w:tcPr>
          <w:p>
            <w:pPr>
              <w:pStyle w:val="Body"/>
              <w:tabs>
                <w:tab w:val="right" w:pos="1260"/>
              </w:tabs>
              <w:spacing w:before="60" w:after="60" w:line="360" w:lineRule="auto"/>
              <w:ind w:left="72" w:right="72" w:firstLine="0"/>
              <w:jc w:val="both"/>
            </w:pPr>
            <w:r>
              <w:rPr>
                <w:rFonts w:ascii="Times New Roman" w:hAnsi="Times New Roman"/>
                <w:sz w:val="24"/>
                <w:szCs w:val="24"/>
                <w:shd w:val="nil" w:color="auto" w:fill="auto"/>
                <w:rtl w:val="0"/>
                <w:lang w:val="en-US"/>
              </w:rPr>
              <w:t>Canteen Rollout</w:t>
            </w:r>
          </w:p>
        </w:tc>
        <w:tc>
          <w:tcPr>
            <w:tcW w:type="dxa" w:w="1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right" w:pos="1260"/>
              </w:tabs>
              <w:spacing w:before="60" w:after="60" w:line="360" w:lineRule="auto"/>
              <w:jc w:val="both"/>
            </w:pPr>
            <w:r>
              <w:rPr>
                <w:rFonts w:ascii="Times New Roman" w:hAnsi="Times New Roman"/>
                <w:sz w:val="24"/>
                <w:szCs w:val="24"/>
                <w:shd w:val="nil" w:color="auto" w:fill="auto"/>
                <w:rtl w:val="0"/>
                <w:lang w:val="en-US"/>
              </w:rPr>
              <w:t>HR Team</w:t>
            </w: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5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f0"/>
            <w:tcMar>
              <w:top w:type="dxa" w:w="80"/>
              <w:left w:type="dxa" w:w="80"/>
              <w:bottom w:type="dxa" w:w="80"/>
              <w:right w:type="dxa" w:w="80"/>
            </w:tcMar>
            <w:vAlign w:val="top"/>
          </w:tcPr>
          <w:p/>
        </w:tc>
      </w:tr>
    </w:tbl>
    <w:p>
      <w:pPr>
        <w:pStyle w:val="Heading"/>
        <w:widowControl w:val="0"/>
      </w:pP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p>
    <w:p>
      <w:pPr>
        <w:pStyle w:val="Heading"/>
        <w:spacing w:line="360" w:lineRule="auto"/>
      </w:pPr>
      <w:bookmarkStart w:name="_Toc11" w:id="11"/>
      <w:r>
        <w:rPr>
          <w:rtl w:val="0"/>
          <w:lang w:val="en-US"/>
        </w:rPr>
        <w:t>Risk Assessment</w:t>
      </w:r>
      <w:bookmarkEnd w:id="11"/>
    </w:p>
    <w:tbl>
      <w:tblPr>
        <w:tblW w:w="935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696"/>
        <w:gridCol w:w="2217"/>
        <w:gridCol w:w="985"/>
        <w:gridCol w:w="3452"/>
      </w:tblGrid>
      <w:tr>
        <w:tblPrEx>
          <w:shd w:val="clear" w:color="auto" w:fill="cdd4e9"/>
        </w:tblPrEx>
        <w:trPr>
          <w:trHeight w:val="300"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b w:val="1"/>
                <w:bCs w:val="1"/>
                <w:sz w:val="24"/>
                <w:szCs w:val="24"/>
                <w:shd w:val="nil" w:color="auto" w:fill="auto"/>
                <w:rtl w:val="0"/>
                <w:lang w:val="en-US"/>
              </w:rPr>
              <w:t>Potential Risks</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b w:val="1"/>
                <w:bCs w:val="1"/>
                <w:sz w:val="24"/>
                <w:szCs w:val="24"/>
                <w:shd w:val="nil" w:color="auto" w:fill="auto"/>
                <w:rtl w:val="0"/>
                <w:lang w:val="en-US"/>
              </w:rPr>
              <w:t>Likelihood</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b w:val="1"/>
                <w:bCs w:val="1"/>
                <w:sz w:val="24"/>
                <w:szCs w:val="24"/>
                <w:shd w:val="nil" w:color="auto" w:fill="auto"/>
                <w:rtl w:val="0"/>
                <w:lang w:val="en-US"/>
              </w:rPr>
              <w:t>Impact</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b w:val="1"/>
                <w:bCs w:val="1"/>
                <w:sz w:val="24"/>
                <w:szCs w:val="24"/>
                <w:shd w:val="nil" w:color="auto" w:fill="auto"/>
                <w:rtl w:val="0"/>
                <w:lang w:val="en-US"/>
              </w:rPr>
              <w:t>Mitigation Strategies</w:t>
            </w:r>
          </w:p>
        </w:tc>
      </w:tr>
      <w:tr>
        <w:tblPrEx>
          <w:shd w:val="clear" w:color="auto" w:fill="cdd4e9"/>
        </w:tblPrEx>
        <w:trPr>
          <w:trHeight w:val="1190"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Budget Exceeds Planned Amount</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High</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8</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 xml:space="preserve">Continuous financial monitoring and adjustments, contingency planning. </w:t>
            </w:r>
          </w:p>
        </w:tc>
      </w:tr>
      <w:tr>
        <w:tblPrEx>
          <w:shd w:val="clear" w:color="auto" w:fill="cdd4e9"/>
        </w:tblPrEx>
        <w:trPr>
          <w:trHeight w:val="1190"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Delays in Regulatory Approvals</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Moderate</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7</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Proactive engagement with regulatory authorities, expediting the process</w:t>
            </w:r>
          </w:p>
        </w:tc>
      </w:tr>
      <w:tr>
        <w:tblPrEx>
          <w:shd w:val="clear" w:color="auto" w:fill="cdd4e9"/>
        </w:tblPrEx>
        <w:trPr>
          <w:trHeight w:val="1190"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 xml:space="preserve">Delays in Construction </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Moderate</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6</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Detailed project scheduling, consideration for unforeseen delays</w:t>
            </w:r>
          </w:p>
        </w:tc>
      </w:tr>
      <w:tr>
        <w:tblPrEx>
          <w:shd w:val="clear" w:color="auto" w:fill="cdd4e9"/>
        </w:tblPrEx>
        <w:trPr>
          <w:trHeight w:val="1635"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Scope Creep</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High</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9</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Clearly defined scope, ensure regular scope reviews and approvals (</w:t>
            </w:r>
            <w:r>
              <w:rPr>
                <w:rFonts w:ascii="Times New Roman" w:hAnsi="Times New Roman"/>
                <w:sz w:val="24"/>
                <w:szCs w:val="24"/>
                <w:shd w:val="clear" w:color="auto" w:fill="ffffff"/>
                <w:rtl w:val="0"/>
                <w:lang w:val="en-US"/>
              </w:rPr>
              <w:t>Sithambaram et al., 2021)</w:t>
            </w:r>
          </w:p>
        </w:tc>
      </w:tr>
      <w:tr>
        <w:tblPrEx>
          <w:shd w:val="clear" w:color="auto" w:fill="cdd4e9"/>
        </w:tblPrEx>
        <w:trPr>
          <w:trHeight w:val="1190"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Employee Resistance to Change</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Moderate</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6</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Early employees</w:t>
            </w:r>
            <w:r>
              <w:rPr>
                <w:rFonts w:ascii="Times New Roman" w:hAnsi="Times New Roman" w:hint="default"/>
                <w:sz w:val="24"/>
                <w:szCs w:val="24"/>
                <w:shd w:val="nil" w:color="auto" w:fill="auto"/>
                <w:rtl w:val="0"/>
                <w:lang w:val="en-US"/>
              </w:rPr>
              <w:t xml:space="preserve">’ </w:t>
            </w:r>
            <w:r>
              <w:rPr>
                <w:rFonts w:ascii="Times New Roman" w:hAnsi="Times New Roman"/>
                <w:sz w:val="24"/>
                <w:szCs w:val="24"/>
                <w:shd w:val="nil" w:color="auto" w:fill="auto"/>
                <w:rtl w:val="0"/>
                <w:lang w:val="en-US"/>
              </w:rPr>
              <w:t>engagement, clear communication of benefits (</w:t>
            </w:r>
            <w:r>
              <w:rPr>
                <w:rFonts w:ascii="Times New Roman" w:hAnsi="Times New Roman"/>
                <w:sz w:val="24"/>
                <w:szCs w:val="24"/>
                <w:shd w:val="clear" w:color="auto" w:fill="ffffff"/>
                <w:rtl w:val="0"/>
                <w:lang w:val="en-US"/>
              </w:rPr>
              <w:t>Ver</w:t>
            </w:r>
            <w:r>
              <w:rPr>
                <w:rFonts w:ascii="Times New Roman" w:hAnsi="Times New Roman" w:hint="default"/>
                <w:sz w:val="24"/>
                <w:szCs w:val="24"/>
                <w:shd w:val="clear" w:color="auto" w:fill="ffffff"/>
                <w:rtl w:val="0"/>
                <w:lang w:val="en-US"/>
              </w:rPr>
              <w:t>č</w:t>
            </w:r>
            <w:r>
              <w:rPr>
                <w:rFonts w:ascii="Times New Roman" w:hAnsi="Times New Roman"/>
                <w:sz w:val="24"/>
                <w:szCs w:val="24"/>
                <w:shd w:val="clear" w:color="auto" w:fill="ffffff"/>
                <w:rtl w:val="0"/>
                <w:lang w:val="en-US"/>
              </w:rPr>
              <w:t>i</w:t>
            </w:r>
            <w:r>
              <w:rPr>
                <w:rFonts w:ascii="Times New Roman" w:hAnsi="Times New Roman" w:hint="default"/>
                <w:sz w:val="24"/>
                <w:szCs w:val="24"/>
                <w:shd w:val="clear" w:color="auto" w:fill="ffffff"/>
                <w:rtl w:val="0"/>
                <w:lang w:val="en-US"/>
              </w:rPr>
              <w:t>č</w:t>
            </w:r>
            <w:r>
              <w:rPr>
                <w:rFonts w:ascii="Times New Roman" w:hAnsi="Times New Roman"/>
                <w:sz w:val="24"/>
                <w:szCs w:val="24"/>
                <w:shd w:val="clear" w:color="auto" w:fill="ffffff"/>
                <w:rtl w:val="0"/>
                <w:lang w:val="en-US"/>
              </w:rPr>
              <w:t>, 2021)</w:t>
            </w:r>
          </w:p>
        </w:tc>
      </w:tr>
      <w:tr>
        <w:tblPrEx>
          <w:shd w:val="clear" w:color="auto" w:fill="cdd4e9"/>
        </w:tblPrEx>
        <w:trPr>
          <w:trHeight w:val="745"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Resource Exhaustion/Shortages</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Low</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5</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Resource streamlining, contingency planning</w:t>
            </w:r>
          </w:p>
        </w:tc>
      </w:tr>
      <w:tr>
        <w:tblPrEx>
          <w:shd w:val="clear" w:color="auto" w:fill="cdd4e9"/>
        </w:tblPrEx>
        <w:trPr>
          <w:trHeight w:val="745"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Technical Issues</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Moderate</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7</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Technical support, thorough testing, backup plans</w:t>
            </w:r>
          </w:p>
        </w:tc>
      </w:tr>
      <w:tr>
        <w:tblPrEx>
          <w:shd w:val="clear" w:color="auto" w:fill="cdd4e9"/>
        </w:tblPrEx>
        <w:trPr>
          <w:trHeight w:val="1190"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Communication Breakdown</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Low</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4</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Clear communication channels, regular team meetings (</w:t>
            </w:r>
            <w:r>
              <w:rPr>
                <w:rFonts w:ascii="Times New Roman" w:hAnsi="Times New Roman"/>
                <w:sz w:val="24"/>
                <w:szCs w:val="24"/>
                <w:shd w:val="clear" w:color="auto" w:fill="ffffff"/>
                <w:rtl w:val="0"/>
                <w:lang w:val="en-US"/>
              </w:rPr>
              <w:t>Ver</w:t>
            </w:r>
            <w:r>
              <w:rPr>
                <w:rFonts w:ascii="Times New Roman" w:hAnsi="Times New Roman" w:hint="default"/>
                <w:sz w:val="24"/>
                <w:szCs w:val="24"/>
                <w:shd w:val="clear" w:color="auto" w:fill="ffffff"/>
                <w:rtl w:val="0"/>
                <w:lang w:val="en-US"/>
              </w:rPr>
              <w:t>č</w:t>
            </w:r>
            <w:r>
              <w:rPr>
                <w:rFonts w:ascii="Times New Roman" w:hAnsi="Times New Roman"/>
                <w:sz w:val="24"/>
                <w:szCs w:val="24"/>
                <w:shd w:val="clear" w:color="auto" w:fill="ffffff"/>
                <w:rtl w:val="0"/>
                <w:lang w:val="en-US"/>
              </w:rPr>
              <w:t>i</w:t>
            </w:r>
            <w:r>
              <w:rPr>
                <w:rFonts w:ascii="Times New Roman" w:hAnsi="Times New Roman" w:hint="default"/>
                <w:sz w:val="24"/>
                <w:szCs w:val="24"/>
                <w:shd w:val="clear" w:color="auto" w:fill="ffffff"/>
                <w:rtl w:val="0"/>
                <w:lang w:val="en-US"/>
              </w:rPr>
              <w:t>č</w:t>
            </w:r>
            <w:r>
              <w:rPr>
                <w:rFonts w:ascii="Times New Roman" w:hAnsi="Times New Roman"/>
                <w:sz w:val="24"/>
                <w:szCs w:val="24"/>
                <w:shd w:val="clear" w:color="auto" w:fill="ffffff"/>
                <w:rtl w:val="0"/>
                <w:lang w:val="en-US"/>
              </w:rPr>
              <w:t>, 2021)</w:t>
            </w:r>
          </w:p>
        </w:tc>
      </w:tr>
      <w:tr>
        <w:tblPrEx>
          <w:shd w:val="clear" w:color="auto" w:fill="cdd4e9"/>
        </w:tblPrEx>
        <w:trPr>
          <w:trHeight w:val="745"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 xml:space="preserve">Adverse Weather Conditions </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Moderate</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6</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Flexible scheduling, contingency plans</w:t>
            </w:r>
          </w:p>
        </w:tc>
      </w:tr>
      <w:tr>
        <w:tblPrEx>
          <w:shd w:val="clear" w:color="auto" w:fill="cdd4e9"/>
        </w:tblPrEx>
        <w:trPr>
          <w:trHeight w:val="1190" w:hRule="atLeast"/>
        </w:trPr>
        <w:tc>
          <w:tcPr>
            <w:tcW w:type="dxa" w:w="26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Insufficient Vendor Cooperation/Performance</w:t>
            </w:r>
          </w:p>
        </w:tc>
        <w:tc>
          <w:tcPr>
            <w:tcW w:type="dxa" w:w="2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Low</w:t>
            </w:r>
          </w:p>
        </w:tc>
        <w:tc>
          <w:tcPr>
            <w:tcW w:type="dxa" w:w="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3</w:t>
            </w:r>
          </w:p>
        </w:tc>
        <w:tc>
          <w:tcPr>
            <w:tcW w:type="dxa" w:w="3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line="360" w:lineRule="auto"/>
            </w:pPr>
            <w:r>
              <w:rPr>
                <w:rFonts w:ascii="Times New Roman" w:hAnsi="Times New Roman"/>
                <w:sz w:val="24"/>
                <w:szCs w:val="24"/>
                <w:shd w:val="nil" w:color="auto" w:fill="auto"/>
                <w:rtl w:val="0"/>
                <w:lang w:val="en-US"/>
              </w:rPr>
              <w:t>Vendor evaluation, clear contractual terms (Yan et al., 2020)</w:t>
            </w:r>
          </w:p>
        </w:tc>
      </w:tr>
    </w:tbl>
    <w:p>
      <w:pPr>
        <w:pStyle w:val="Heading"/>
        <w:widowControl w:val="0"/>
      </w:pPr>
    </w:p>
    <w:p>
      <w:pPr>
        <w:pStyle w:val="Body"/>
        <w:spacing w:line="360" w:lineRule="auto"/>
        <w:rPr>
          <w:rFonts w:ascii="Times New Roman" w:cs="Times New Roman" w:hAnsi="Times New Roman" w:eastAsia="Times New Roman"/>
          <w:sz w:val="24"/>
          <w:szCs w:val="24"/>
          <w:lang w:val="en-US"/>
        </w:rPr>
      </w:pPr>
    </w:p>
    <w:p>
      <w:pPr>
        <w:pStyle w:val="Heading"/>
        <w:spacing w:line="360" w:lineRule="auto"/>
      </w:pPr>
      <w:bookmarkStart w:name="_Toc12" w:id="12"/>
      <w:r>
        <w:rPr>
          <w:rtl w:val="0"/>
          <w:lang w:val="en-US"/>
        </w:rPr>
        <w:t xml:space="preserve">Project Implementation Plan and Communication Strategies </w:t>
      </w:r>
      <w:bookmarkEnd w:id="12"/>
    </w:p>
    <w:p>
      <w:pPr>
        <w:pStyle w:val="Heading 2"/>
        <w:spacing w:line="360" w:lineRule="auto"/>
      </w:pPr>
      <w:bookmarkStart w:name="_Toc13" w:id="13"/>
      <w:r>
        <w:rPr>
          <w:rtl w:val="0"/>
          <w:lang w:val="en-US"/>
        </w:rPr>
        <w:t>Implementation Plan:</w:t>
      </w:r>
      <w:bookmarkEnd w:id="13"/>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"Establishing a Canteen at Adidas Warehouse" project execution depends on a well-organized implementation plan that details the procedures and deadlines for each phase. An outline of the implementation strategy is provided below:</w:t>
      </w:r>
    </w:p>
    <w:p>
      <w:pPr>
        <w:pStyle w:val="List Paragraph"/>
        <w:numPr>
          <w:ilvl w:val="0"/>
          <w:numId w:val="6"/>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Phase 1</w:t>
      </w:r>
      <w:r>
        <w:rPr>
          <w:rFonts w:ascii="Times New Roman" w:hAnsi="Times New Roman"/>
          <w:sz w:val="24"/>
          <w:szCs w:val="24"/>
          <w:rtl w:val="0"/>
          <w:lang w:val="en-US"/>
        </w:rPr>
        <w:t>: Project Initiation- Duration: 2 weeks (01/09/2023 - 14/09/2023)</w:t>
      </w:r>
    </w:p>
    <w:p>
      <w:pPr>
        <w:pStyle w:val="List Paragraph"/>
        <w:numPr>
          <w:ilvl w:val="0"/>
          <w:numId w:val="6"/>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Phase 2</w:t>
      </w:r>
      <w:r>
        <w:rPr>
          <w:rFonts w:ascii="Times New Roman" w:hAnsi="Times New Roman"/>
          <w:sz w:val="24"/>
          <w:szCs w:val="24"/>
          <w:rtl w:val="0"/>
          <w:lang w:val="en-US"/>
        </w:rPr>
        <w:t>: Planning and Preparation- Duration: 4 weeks (01/10/2023 - 28/10/2023)</w:t>
      </w:r>
    </w:p>
    <w:p>
      <w:pPr>
        <w:pStyle w:val="List Paragraph"/>
        <w:numPr>
          <w:ilvl w:val="0"/>
          <w:numId w:val="6"/>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Phase 3</w:t>
      </w:r>
      <w:r>
        <w:rPr>
          <w:rFonts w:ascii="Times New Roman" w:hAnsi="Times New Roman"/>
          <w:sz w:val="24"/>
          <w:szCs w:val="24"/>
          <w:rtl w:val="0"/>
          <w:lang w:val="en-US"/>
        </w:rPr>
        <w:t>: Implementation and Construction- Duration: 10 weeks (01/11/2023 - 18/01/2014)</w:t>
      </w:r>
    </w:p>
    <w:p>
      <w:pPr>
        <w:pStyle w:val="List Paragraph"/>
        <w:numPr>
          <w:ilvl w:val="0"/>
          <w:numId w:val="6"/>
        </w:numPr>
        <w:bidi w:val="0"/>
        <w:spacing w:line="360" w:lineRule="auto"/>
        <w:ind w:right="0"/>
        <w:jc w:val="left"/>
        <w:rPr>
          <w:rFonts w:ascii="Times New Roman" w:hAnsi="Times New Roman"/>
          <w:sz w:val="24"/>
          <w:szCs w:val="24"/>
          <w:rtl w:val="0"/>
          <w:lang w:val="en-US"/>
        </w:rPr>
      </w:pPr>
      <w:r>
        <w:rPr>
          <w:rFonts w:ascii="Times New Roman" w:hAnsi="Times New Roman"/>
          <w:i w:val="1"/>
          <w:iCs w:val="1"/>
          <w:sz w:val="24"/>
          <w:szCs w:val="24"/>
          <w:rtl w:val="0"/>
          <w:lang w:val="en-US"/>
        </w:rPr>
        <w:t>Phase 4</w:t>
      </w:r>
      <w:r>
        <w:rPr>
          <w:rFonts w:ascii="Times New Roman" w:hAnsi="Times New Roman"/>
          <w:sz w:val="24"/>
          <w:szCs w:val="24"/>
          <w:rtl w:val="0"/>
          <w:lang w:val="en-US"/>
        </w:rPr>
        <w:t>: Full Canteen Operation- Duration: Ongoing (Starting from 01/02/2024).</w:t>
      </w:r>
    </w:p>
    <w:p>
      <w:pPr>
        <w:pStyle w:val="Heading 2"/>
        <w:spacing w:line="360" w:lineRule="auto"/>
      </w:pPr>
      <w:bookmarkStart w:name="_Toc14" w:id="14"/>
      <w:r>
        <w:rPr>
          <w:rtl w:val="0"/>
          <w:lang w:val="en-US"/>
        </w:rPr>
        <w:t>Communication Strategies:</w:t>
      </w:r>
      <w:bookmarkEnd w:id="14"/>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An important component of a project's success is effective communication among all Adidas Warehouse employees. The company</w:t>
      </w:r>
      <w:r>
        <w:rPr>
          <w:rFonts w:ascii="Times New Roman" w:hAnsi="Times New Roman" w:hint="default"/>
          <w:sz w:val="24"/>
          <w:szCs w:val="24"/>
          <w:rtl w:val="0"/>
          <w:lang w:val="en-US"/>
        </w:rPr>
        <w:t>’</w:t>
      </w:r>
      <w:r>
        <w:rPr>
          <w:rFonts w:ascii="Times New Roman" w:hAnsi="Times New Roman"/>
          <w:sz w:val="24"/>
          <w:szCs w:val="24"/>
          <w:rtl w:val="0"/>
          <w:lang w:val="en-US"/>
        </w:rPr>
        <w:t>s stakeholders including warehouse management team, project manager, canteen staff, warehouse employees, and health and safety officer should have a clear and effective mode of communication. For example, there is the need for regular briefings on the status of the project and its milestones. Weekly project meetings will be held to reviews, meetings, briefings and updates on the progress of the project. In such cases, regular status updates will give a thorough assessment of the project's financial situation and any possible risks (</w:t>
      </w:r>
      <w:r>
        <w:rPr>
          <w:rFonts w:ascii="Times New Roman" w:hAnsi="Times New Roman"/>
          <w:sz w:val="24"/>
          <w:szCs w:val="24"/>
          <w:shd w:val="clear" w:color="auto" w:fill="ffffff"/>
          <w:rtl w:val="0"/>
          <w:lang w:val="de-DE"/>
        </w:rPr>
        <w:t>Ver</w:t>
      </w:r>
      <w:r>
        <w:rPr>
          <w:rFonts w:ascii="Times New Roman" w:hAnsi="Times New Roman" w:hint="default"/>
          <w:sz w:val="24"/>
          <w:szCs w:val="24"/>
          <w:shd w:val="clear" w:color="auto" w:fill="ffffff"/>
          <w:rtl w:val="0"/>
          <w:lang w:val="en-US"/>
        </w:rPr>
        <w:t>č</w:t>
      </w:r>
      <w:r>
        <w:rPr>
          <w:rFonts w:ascii="Times New Roman" w:hAnsi="Times New Roman"/>
          <w:sz w:val="24"/>
          <w:szCs w:val="24"/>
          <w:shd w:val="clear" w:color="auto" w:fill="ffffff"/>
          <w:rtl w:val="0"/>
        </w:rPr>
        <w:t>i</w:t>
      </w:r>
      <w:r>
        <w:rPr>
          <w:rFonts w:ascii="Times New Roman" w:hAnsi="Times New Roman" w:hint="default"/>
          <w:sz w:val="24"/>
          <w:szCs w:val="24"/>
          <w:shd w:val="clear" w:color="auto" w:fill="ffffff"/>
          <w:rtl w:val="0"/>
          <w:lang w:val="en-US"/>
        </w:rPr>
        <w:t>č</w:t>
      </w:r>
      <w:r>
        <w:rPr>
          <w:rFonts w:ascii="Times New Roman" w:hAnsi="Times New Roman"/>
          <w:sz w:val="24"/>
          <w:szCs w:val="24"/>
          <w:shd w:val="clear" w:color="auto" w:fill="ffffff"/>
          <w:rtl w:val="0"/>
        </w:rPr>
        <w:t>, 2021)</w:t>
      </w:r>
      <w:r>
        <w:rPr>
          <w:rFonts w:ascii="Times New Roman" w:hAnsi="Times New Roman"/>
          <w:sz w:val="24"/>
          <w:szCs w:val="24"/>
          <w:rtl w:val="0"/>
          <w:lang w:val="en-US"/>
        </w:rPr>
        <w:t>. On the other hand, workshops on employee involvement will be held to introduce new facilities, promote participation, and collect feedback.</w:t>
      </w:r>
    </w:p>
    <w:p>
      <w:pPr>
        <w:pStyle w:val="Heading 2"/>
        <w:spacing w:line="360" w:lineRule="auto"/>
      </w:pPr>
      <w:bookmarkStart w:name="_Toc15" w:id="15"/>
      <w:r>
        <w:rPr>
          <w:rtl w:val="0"/>
          <w:lang w:val="en-US"/>
        </w:rPr>
        <w:t>Monitoring and Control:</w:t>
      </w:r>
      <w:bookmarkEnd w:id="15"/>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project will be monitored and controlled through collaboration of all stakeholders including warehouse management team, project manager, canteen staff, warehouse employees, and health and safety officer. In the process, there will regular progress checks by the project manager to identify deviations and take corrective actions. In terms of metrics, key performance indicators (KPIs) will be established to measure the project's success. Additionally, continuous risk assessments will identify new risks and evaluate existing mitigation strategies (</w:t>
      </w:r>
      <w:r>
        <w:rPr>
          <w:rFonts w:ascii="Times New Roman" w:hAnsi="Times New Roman"/>
          <w:sz w:val="24"/>
          <w:szCs w:val="24"/>
          <w:shd w:val="clear" w:color="auto" w:fill="ffffff"/>
          <w:rtl w:val="0"/>
          <w:lang w:val="es-ES_tradnl"/>
        </w:rPr>
        <w:t>Cruz Villaz</w:t>
      </w:r>
      <w:r>
        <w:rPr>
          <w:rFonts w:ascii="Times New Roman" w:hAnsi="Times New Roman" w:hint="default"/>
          <w:sz w:val="24"/>
          <w:szCs w:val="24"/>
          <w:shd w:val="clear" w:color="auto" w:fill="ffffff"/>
          <w:rtl w:val="0"/>
          <w:lang w:val="en-US"/>
        </w:rPr>
        <w:t>ó</w:t>
      </w:r>
      <w:r>
        <w:rPr>
          <w:rFonts w:ascii="Times New Roman" w:hAnsi="Times New Roman"/>
          <w:sz w:val="24"/>
          <w:szCs w:val="24"/>
          <w:shd w:val="clear" w:color="auto" w:fill="ffffff"/>
          <w:rtl w:val="0"/>
        </w:rPr>
        <w:t>n et al., 2020)</w:t>
      </w:r>
      <w:r>
        <w:rPr>
          <w:rFonts w:ascii="Times New Roman" w:hAnsi="Times New Roman"/>
          <w:sz w:val="24"/>
          <w:szCs w:val="24"/>
          <w:rtl w:val="0"/>
          <w:lang w:val="en-US"/>
        </w:rPr>
        <w:t>. Then again, communication efforts will be tracked to ensure stakeholders receive timely updates and employee engagement. Above all, stringent quality assurance process will ensure the new canteen meet desired standards, with testing and quality checks conducted at every stage.</w:t>
      </w:r>
    </w:p>
    <w:p>
      <w:pPr>
        <w:pStyle w:val="Heading"/>
        <w:spacing w:line="360" w:lineRule="auto"/>
      </w:pPr>
      <w:bookmarkStart w:name="_Toc16" w:id="16"/>
      <w:r>
        <w:rPr>
          <w:rtl w:val="0"/>
          <w:lang w:val="en-US"/>
        </w:rPr>
        <w:t xml:space="preserve">Application of Project Management Tools and Techniques </w:t>
      </w:r>
      <w:bookmarkEnd w:id="16"/>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Using a variety of tools and methods, the</w:t>
      </w:r>
      <w:r>
        <w:rPr>
          <w:rFonts w:ascii="Times New Roman" w:hAnsi="Times New Roman" w:hint="default"/>
          <w:sz w:val="24"/>
          <w:szCs w:val="24"/>
          <w:rtl w:val="0"/>
          <w:lang w:val="en-US"/>
        </w:rPr>
        <w:t> </w:t>
      </w:r>
      <w:r>
        <w:rPr>
          <w:rFonts w:ascii="Times New Roman" w:hAnsi="Times New Roman"/>
          <w:sz w:val="24"/>
          <w:szCs w:val="24"/>
          <w:rtl w:val="0"/>
          <w:lang w:val="en-US"/>
        </w:rPr>
        <w:t>project team employs a thorough project management strategy. The Work Breakdown Structure (WBS), the Gantt Chart, the Risk Management Plan, the Communication Plan, the Resource Allocation Strategy, and the Stakeholder Engagement Strategy are some of these tools (</w:t>
      </w:r>
      <w:r>
        <w:rPr>
          <w:rFonts w:ascii="Times New Roman" w:hAnsi="Times New Roman"/>
          <w:sz w:val="24"/>
          <w:szCs w:val="24"/>
          <w:shd w:val="clear" w:color="auto" w:fill="ffffff"/>
          <w:rtl w:val="0"/>
        </w:rPr>
        <w:t>Kumar, 2022)</w:t>
      </w:r>
      <w:r>
        <w:rPr>
          <w:rFonts w:ascii="Times New Roman" w:hAnsi="Times New Roman"/>
          <w:sz w:val="24"/>
          <w:szCs w:val="24"/>
          <w:rtl w:val="0"/>
          <w:lang w:val="en-US"/>
        </w:rPr>
        <w:t>.</w:t>
      </w:r>
      <w:r>
        <w:rPr>
          <w:rFonts w:ascii="Times New Roman" w:hAnsi="Times New Roman" w:hint="default"/>
          <w:sz w:val="24"/>
          <w:szCs w:val="24"/>
          <w:rtl w:val="0"/>
          <w:lang w:val="en-US"/>
        </w:rPr>
        <w:t> </w:t>
      </w:r>
      <w:r>
        <w:rPr>
          <w:rFonts w:ascii="Times New Roman" w:hAnsi="Times New Roman"/>
          <w:sz w:val="24"/>
          <w:szCs w:val="24"/>
          <w:rtl w:val="0"/>
          <w:lang w:val="en-US"/>
        </w:rPr>
        <w:t xml:space="preserve">The WBS is a hierarchical representation of project activities that helps with work assignment, resource scheduling, and risk assessment. The Gantt chart helps the project team with work coordination and critical path analysis by visually representing the project timeline. According to </w:t>
      </w:r>
      <w:r>
        <w:rPr>
          <w:rFonts w:ascii="Times New Roman" w:hAnsi="Times New Roman"/>
          <w:sz w:val="24"/>
          <w:szCs w:val="24"/>
          <w:shd w:val="clear" w:color="auto" w:fill="ffffff"/>
          <w:rtl w:val="0"/>
        </w:rPr>
        <w:t>Ahmadi-Javid</w:t>
      </w:r>
      <w:r>
        <w:rPr>
          <w:rFonts w:ascii="Times New Roman" w:hAnsi="Times New Roman"/>
          <w:sz w:val="24"/>
          <w:szCs w:val="24"/>
          <w:rtl w:val="0"/>
          <w:lang w:val="en-US"/>
        </w:rPr>
        <w:t xml:space="preserve"> et al. (2020), the risk management matrix detects possible risks, evaluates their likelihood and impact, and specifies mitigating actions to lessen their negative effects on the project's budget and schedule.</w:t>
      </w:r>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order to promote transparency, stakeholder participation, and prompt issue resolution, a communication strategy specifies the methods, frequency, and tactics for communicating with stakeholders. In order to ensure optimal utilization and avoid resource shortages, the resource allocation plan specifies how financial and human resources will be dispersed between project phases (Zwikael and Smyrk, 2019). The quality control plan will specify how project deliverables adhere to quality standards, eliminate errors, and ensure that employees</w:t>
      </w:r>
      <w:r>
        <w:rPr>
          <w:rFonts w:ascii="Times New Roman" w:hAnsi="Times New Roman" w:hint="default"/>
          <w:sz w:val="24"/>
          <w:szCs w:val="24"/>
          <w:rtl w:val="0"/>
          <w:lang w:val="en-US"/>
        </w:rPr>
        <w:t xml:space="preserve">’ </w:t>
      </w:r>
      <w:r>
        <w:rPr>
          <w:rFonts w:ascii="Times New Roman" w:hAnsi="Times New Roman"/>
          <w:sz w:val="24"/>
          <w:szCs w:val="24"/>
          <w:rtl w:val="0"/>
          <w:lang w:val="en-US"/>
        </w:rPr>
        <w:t>welfare is catered for. Key performance indicators (KPIs) track the project's development and success against predetermined benchmarks and offer measurable information about its status.</w:t>
      </w:r>
    </w:p>
    <w:p>
      <w:pPr>
        <w:pStyle w:val="Heading"/>
        <w:spacing w:line="360" w:lineRule="auto"/>
      </w:pPr>
      <w:bookmarkStart w:name="_Toc17" w:id="17"/>
      <w:r>
        <w:rPr>
          <w:rtl w:val="0"/>
          <w:lang w:val="en-US"/>
        </w:rPr>
        <w:t>Conclusion</w:t>
      </w:r>
      <w:bookmarkEnd w:id="17"/>
    </w:p>
    <w:p>
      <w:pPr>
        <w:pStyle w:val="Body"/>
        <w:spacing w:line="36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project management plan for "Establishing a Canteen at Adidas Warehouse" encompasses a thorough plan to revamp the working environment. The approach smoothly ties with the objectives of Adidas Warehouse by eliminating lunchtime traffic problems and fostering employee wellbeing. The strategy includes a well-defined timeframe for execution, effective communication tactics, and the use of crucial project management tools. Together, these elements help the project go through the initiation, planning, execution, and closing phases. The importance of this strategy rests in its capacity to improve employee happiness, simplify processes, and foster a more positive workplace environment. The careful allocation of resources, risk reduction, and quality control are made possible by the use of project management tools and processes. As the project manager, I am dedicated to ensure efficient implementation of this strategy. This way, I am sure that the project will meet the project's goals and open the door to a more effective and contented staff at Adidas Warehouse.</w:t>
      </w: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Body"/>
        <w:spacing w:line="360" w:lineRule="auto"/>
        <w:ind w:firstLine="720"/>
        <w:rPr>
          <w:rFonts w:ascii="Times New Roman" w:cs="Times New Roman" w:hAnsi="Times New Roman" w:eastAsia="Times New Roman"/>
          <w:sz w:val="24"/>
          <w:szCs w:val="24"/>
          <w:lang w:val="en-US"/>
        </w:rPr>
      </w:pPr>
    </w:p>
    <w:p>
      <w:pPr>
        <w:pStyle w:val="Heading"/>
        <w:spacing w:line="360" w:lineRule="auto"/>
      </w:pPr>
      <w:bookmarkStart w:name="_Toc18" w:id="18"/>
      <w:r>
        <w:rPr>
          <w:rtl w:val="0"/>
          <w:lang w:val="en-US"/>
        </w:rPr>
        <w:t>References</w:t>
      </w:r>
      <w:bookmarkEnd w:id="18"/>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de-DE"/>
        </w:rPr>
        <w:t>Ahmadi-Javid, A., Fateminia, S.H. and Gem</w:t>
      </w:r>
      <w:r>
        <w:rPr>
          <w:rFonts w:ascii="Times New Roman" w:hAnsi="Times New Roman" w:hint="default"/>
          <w:sz w:val="24"/>
          <w:szCs w:val="24"/>
          <w:shd w:val="clear" w:color="auto" w:fill="ffffff"/>
          <w:rtl w:val="0"/>
          <w:lang w:val="en-US"/>
        </w:rPr>
        <w:t>ü</w:t>
      </w:r>
      <w:r>
        <w:rPr>
          <w:rFonts w:ascii="Times New Roman" w:hAnsi="Times New Roman"/>
          <w:sz w:val="24"/>
          <w:szCs w:val="24"/>
          <w:shd w:val="clear" w:color="auto" w:fill="ffffff"/>
          <w:rtl w:val="0"/>
          <w:lang w:val="en-US"/>
        </w:rPr>
        <w:t>nden, H.G., 2020. A method for risk response planning in project portfolio management.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Project Management Journal</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51</w:t>
      </w:r>
      <w:r>
        <w:rPr>
          <w:rFonts w:ascii="Times New Roman" w:hAnsi="Times New Roman"/>
          <w:sz w:val="24"/>
          <w:szCs w:val="24"/>
          <w:shd w:val="clear" w:color="auto" w:fill="ffffff"/>
          <w:rtl w:val="0"/>
        </w:rPr>
        <w:t>(1), pp.77-95.</w:t>
      </w:r>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Armenia, S., Dangelico, R.M., Nonino, F. and Pompei, A., 2019. Sustainable project management: A conceptualization-oriented review and a framework proposal for future studies.</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Sustainability</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11</w:t>
      </w:r>
      <w:r>
        <w:rPr>
          <w:rFonts w:ascii="Times New Roman" w:hAnsi="Times New Roman"/>
          <w:sz w:val="24"/>
          <w:szCs w:val="24"/>
          <w:shd w:val="clear" w:color="auto" w:fill="ffffff"/>
          <w:rtl w:val="0"/>
        </w:rPr>
        <w:t>(9), p.2664.</w:t>
      </w:r>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Brunner, B., Igic, I., Keller, A.C. and Wieser, S., 2019. Who gains the most from improving working conditions? Health-related absenteeism and presenteeism due to stress at work.</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The European Journal of Health Economics</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20</w:t>
      </w:r>
      <w:r>
        <w:rPr>
          <w:rFonts w:ascii="Times New Roman" w:hAnsi="Times New Roman"/>
          <w:sz w:val="24"/>
          <w:szCs w:val="24"/>
          <w:shd w:val="clear" w:color="auto" w:fill="ffffff"/>
          <w:rtl w:val="0"/>
        </w:rPr>
        <w:t>, pp.1165-1180.</w:t>
      </w:r>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s-ES_tradnl"/>
        </w:rPr>
        <w:t>Cruz Villaz</w:t>
      </w:r>
      <w:r>
        <w:rPr>
          <w:rFonts w:ascii="Times New Roman" w:hAnsi="Times New Roman" w:hint="default"/>
          <w:sz w:val="24"/>
          <w:szCs w:val="24"/>
          <w:shd w:val="clear" w:color="auto" w:fill="ffffff"/>
          <w:rtl w:val="0"/>
          <w:lang w:val="en-US"/>
        </w:rPr>
        <w:t>ó</w:t>
      </w:r>
      <w:r>
        <w:rPr>
          <w:rFonts w:ascii="Times New Roman" w:hAnsi="Times New Roman"/>
          <w:sz w:val="24"/>
          <w:szCs w:val="24"/>
          <w:shd w:val="clear" w:color="auto" w:fill="ffffff"/>
          <w:rtl w:val="0"/>
          <w:lang w:val="es-ES_tradnl"/>
        </w:rPr>
        <w:t>n, C., Sastoque Pinilla, L., Otegi Olaso, J.R., Toledo Gandarias, N. and L</w:t>
      </w:r>
      <w:r>
        <w:rPr>
          <w:rFonts w:ascii="Times New Roman" w:hAnsi="Times New Roman" w:hint="default"/>
          <w:sz w:val="24"/>
          <w:szCs w:val="24"/>
          <w:shd w:val="clear" w:color="auto" w:fill="ffffff"/>
          <w:rtl w:val="0"/>
          <w:lang w:val="en-US"/>
        </w:rPr>
        <w:t>ó</w:t>
      </w:r>
      <w:r>
        <w:rPr>
          <w:rFonts w:ascii="Times New Roman" w:hAnsi="Times New Roman"/>
          <w:sz w:val="24"/>
          <w:szCs w:val="24"/>
          <w:shd w:val="clear" w:color="auto" w:fill="ffffff"/>
          <w:rtl w:val="0"/>
          <w:lang w:val="en-US"/>
        </w:rPr>
        <w:t>pez de Lacalle, N., 2020. Identification of key performance indicators in project-based organisations through the lean approach.</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Sustainability</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12</w:t>
      </w:r>
      <w:r>
        <w:rPr>
          <w:rFonts w:ascii="Times New Roman" w:hAnsi="Times New Roman"/>
          <w:sz w:val="24"/>
          <w:szCs w:val="24"/>
          <w:shd w:val="clear" w:color="auto" w:fill="ffffff"/>
          <w:rtl w:val="0"/>
        </w:rPr>
        <w:t>(15), p.5977.</w:t>
      </w:r>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Dwivedi, R. and Dwivedi, P., 2021. Role of stakeholders in project success: Theoretical background and approach.</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International Journal of Finance, Insurance and Risk Management XI (1)</w:t>
      </w:r>
      <w:r>
        <w:rPr>
          <w:rFonts w:ascii="Times New Roman" w:hAnsi="Times New Roman"/>
          <w:sz w:val="24"/>
          <w:szCs w:val="24"/>
          <w:shd w:val="clear" w:color="auto" w:fill="ffffff"/>
          <w:rtl w:val="0"/>
        </w:rPr>
        <w:t>, pp.38-49.</w:t>
      </w:r>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Erwin, S., Rahmat, S.T.Y., Angga, N.D. and Semerdanta, P., 2019. Transformational leadership style and work life balance: The effect on employee satisfaction through employee engagement.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Russian Journal of Agricultural and Socio-Economic Sciences</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91</w:t>
      </w:r>
      <w:r>
        <w:rPr>
          <w:rFonts w:ascii="Times New Roman" w:hAnsi="Times New Roman"/>
          <w:sz w:val="24"/>
          <w:szCs w:val="24"/>
          <w:shd w:val="clear" w:color="auto" w:fill="ffffff"/>
          <w:rtl w:val="0"/>
        </w:rPr>
        <w:t>(7), pp.310-318.</w:t>
      </w:r>
    </w:p>
    <w:p>
      <w:pPr>
        <w:pStyle w:val="Body"/>
        <w:spacing w:line="360" w:lineRule="auto"/>
        <w:ind w:left="720" w:hanging="360"/>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Kumar, M., 2022. Tools and Techniques of Project Management.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Available at SSRN 4072538</w:t>
      </w:r>
      <w:r>
        <w:rPr>
          <w:rFonts w:ascii="Times New Roman" w:hAnsi="Times New Roman"/>
          <w:sz w:val="24"/>
          <w:szCs w:val="24"/>
          <w:shd w:val="clear" w:color="auto" w:fill="ffffff"/>
          <w:rtl w:val="0"/>
        </w:rPr>
        <w:t>.</w:t>
      </w:r>
    </w:p>
    <w:p>
      <w:pPr>
        <w:pStyle w:val="Body"/>
        <w:spacing w:line="360" w:lineRule="auto"/>
        <w:ind w:left="720" w:hanging="360"/>
        <w:rPr>
          <w:rFonts w:ascii="Times New Roman" w:cs="Times New Roman" w:hAnsi="Times New Roman" w:eastAsia="Times New Roman"/>
          <w:sz w:val="24"/>
          <w:szCs w:val="24"/>
        </w:rPr>
      </w:pPr>
      <w:r>
        <w:rPr>
          <w:rFonts w:ascii="Times New Roman" w:hAnsi="Times New Roman"/>
          <w:sz w:val="24"/>
          <w:szCs w:val="24"/>
          <w:rtl w:val="0"/>
          <w:lang w:val="en-US"/>
        </w:rPr>
        <w:t>Layton, and et. al., 2020.</w:t>
      </w:r>
      <w:r>
        <w:rPr>
          <w:rFonts w:ascii="Times New Roman" w:hAnsi="Times New Roman" w:hint="default"/>
          <w:sz w:val="24"/>
          <w:szCs w:val="24"/>
          <w:rtl w:val="0"/>
          <w:lang w:val="en-US"/>
        </w:rPr>
        <w:t> </w:t>
      </w:r>
      <w:r>
        <w:rPr>
          <w:rFonts w:ascii="Times New Roman" w:hAnsi="Times New Roman"/>
          <w:sz w:val="24"/>
          <w:szCs w:val="24"/>
          <w:rtl w:val="0"/>
          <w:lang w:val="en-US"/>
        </w:rPr>
        <w:t>Agile project management for dummies. John Wiley &amp; Sons.</w:t>
      </w:r>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Mazzetto, S., 2020. Multidisciplinary collaboration: an integrated and practical approach to the teaching of project management.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International Journal of Continuing Engineering Education and Life Long Learning</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30</w:t>
      </w:r>
      <w:r>
        <w:rPr>
          <w:rFonts w:ascii="Times New Roman" w:hAnsi="Times New Roman"/>
          <w:sz w:val="24"/>
          <w:szCs w:val="24"/>
          <w:shd w:val="clear" w:color="auto" w:fill="ffffff"/>
          <w:rtl w:val="0"/>
        </w:rPr>
        <w:t>(1), pp.52-67.</w:t>
      </w:r>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it-IT"/>
        </w:rPr>
        <w:t xml:space="preserve">Picciotto, R., 2020. Towards a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New Project Management</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movement? An international development perspective.</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International Journal of Project Management</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38</w:t>
      </w:r>
      <w:r>
        <w:rPr>
          <w:rFonts w:ascii="Times New Roman" w:hAnsi="Times New Roman"/>
          <w:sz w:val="24"/>
          <w:szCs w:val="24"/>
          <w:shd w:val="clear" w:color="auto" w:fill="ffffff"/>
          <w:rtl w:val="0"/>
        </w:rPr>
        <w:t>(8), pp.474-485.</w:t>
      </w:r>
    </w:p>
    <w:p>
      <w:pPr>
        <w:pStyle w:val="Body"/>
        <w:spacing w:line="360" w:lineRule="auto"/>
        <w:ind w:left="720" w:hanging="360"/>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Rasool, S.F., Maqbool, R., Samma, M., Zhao, Y. and Anjum, A., 2019. Positioning depression as a critical factor in creating a toxic workplace environment for diminishing worker productivity.</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Sustainability</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11</w:t>
      </w:r>
      <w:r>
        <w:rPr>
          <w:rFonts w:ascii="Times New Roman" w:hAnsi="Times New Roman"/>
          <w:sz w:val="24"/>
          <w:szCs w:val="24"/>
          <w:shd w:val="clear" w:color="auto" w:fill="ffffff"/>
          <w:rtl w:val="0"/>
        </w:rPr>
        <w:t>(9), p.2589.</w:t>
      </w:r>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Sithambaram, J., Nasir, M.H.N.B.M. and Ahmad, R., 2021. Issues and challenges impacting the successful management of agile-hybrid projects: A grounded theory approach.</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International journal of project management</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39</w:t>
      </w:r>
      <w:r>
        <w:rPr>
          <w:rFonts w:ascii="Times New Roman" w:hAnsi="Times New Roman"/>
          <w:sz w:val="24"/>
          <w:szCs w:val="24"/>
          <w:shd w:val="clear" w:color="auto" w:fill="ffffff"/>
          <w:rtl w:val="0"/>
        </w:rPr>
        <w:t>(5), pp.474-495.</w:t>
      </w:r>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rPr>
        <w:t>Stojanovi</w:t>
      </w:r>
      <w:r>
        <w:rPr>
          <w:rFonts w:ascii="Times New Roman" w:hAnsi="Times New Roman" w:hint="default"/>
          <w:sz w:val="24"/>
          <w:szCs w:val="24"/>
          <w:shd w:val="clear" w:color="auto" w:fill="ffffff"/>
          <w:rtl w:val="0"/>
          <w:lang w:val="en-US"/>
        </w:rPr>
        <w:t>ć</w:t>
      </w:r>
      <w:r>
        <w:rPr>
          <w:rFonts w:ascii="Times New Roman" w:hAnsi="Times New Roman"/>
          <w:sz w:val="24"/>
          <w:szCs w:val="24"/>
          <w:shd w:val="clear" w:color="auto" w:fill="ffffff"/>
          <w:rtl w:val="0"/>
        </w:rPr>
        <w:t>, A., Milo</w:t>
      </w:r>
      <w:r>
        <w:rPr>
          <w:rFonts w:ascii="Times New Roman" w:hAnsi="Times New Roman" w:hint="default"/>
          <w:sz w:val="24"/>
          <w:szCs w:val="24"/>
          <w:shd w:val="clear" w:color="auto" w:fill="ffffff"/>
          <w:rtl w:val="0"/>
          <w:lang w:val="en-US"/>
        </w:rPr>
        <w:t>š</w:t>
      </w:r>
      <w:r>
        <w:rPr>
          <w:rFonts w:ascii="Times New Roman" w:hAnsi="Times New Roman"/>
          <w:sz w:val="24"/>
          <w:szCs w:val="24"/>
          <w:shd w:val="clear" w:color="auto" w:fill="ffffff"/>
          <w:rtl w:val="0"/>
        </w:rPr>
        <w:t>evi</w:t>
      </w:r>
      <w:r>
        <w:rPr>
          <w:rFonts w:ascii="Times New Roman" w:hAnsi="Times New Roman" w:hint="default"/>
          <w:sz w:val="24"/>
          <w:szCs w:val="24"/>
          <w:shd w:val="clear" w:color="auto" w:fill="ffffff"/>
          <w:rtl w:val="0"/>
          <w:lang w:val="en-US"/>
        </w:rPr>
        <w:t>ć</w:t>
      </w:r>
      <w:r>
        <w:rPr>
          <w:rFonts w:ascii="Times New Roman" w:hAnsi="Times New Roman"/>
          <w:sz w:val="24"/>
          <w:szCs w:val="24"/>
          <w:shd w:val="clear" w:color="auto" w:fill="ffffff"/>
          <w:rtl w:val="0"/>
        </w:rPr>
        <w:t>, I., Arsi</w:t>
      </w:r>
      <w:r>
        <w:rPr>
          <w:rFonts w:ascii="Times New Roman" w:hAnsi="Times New Roman" w:hint="default"/>
          <w:sz w:val="24"/>
          <w:szCs w:val="24"/>
          <w:shd w:val="clear" w:color="auto" w:fill="ffffff"/>
          <w:rtl w:val="0"/>
          <w:lang w:val="en-US"/>
        </w:rPr>
        <w:t>ć</w:t>
      </w:r>
      <w:r>
        <w:rPr>
          <w:rFonts w:ascii="Times New Roman" w:hAnsi="Times New Roman"/>
          <w:sz w:val="24"/>
          <w:szCs w:val="24"/>
          <w:shd w:val="clear" w:color="auto" w:fill="ffffff"/>
          <w:rtl w:val="0"/>
        </w:rPr>
        <w:t>, S., Uro</w:t>
      </w:r>
      <w:r>
        <w:rPr>
          <w:rFonts w:ascii="Times New Roman" w:hAnsi="Times New Roman" w:hint="default"/>
          <w:sz w:val="24"/>
          <w:szCs w:val="24"/>
          <w:shd w:val="clear" w:color="auto" w:fill="ffffff"/>
          <w:rtl w:val="0"/>
          <w:lang w:val="en-US"/>
        </w:rPr>
        <w:t>š</w:t>
      </w:r>
      <w:r>
        <w:rPr>
          <w:rFonts w:ascii="Times New Roman" w:hAnsi="Times New Roman"/>
          <w:sz w:val="24"/>
          <w:szCs w:val="24"/>
          <w:shd w:val="clear" w:color="auto" w:fill="ffffff"/>
          <w:rtl w:val="0"/>
        </w:rPr>
        <w:t>evi</w:t>
      </w:r>
      <w:r>
        <w:rPr>
          <w:rFonts w:ascii="Times New Roman" w:hAnsi="Times New Roman" w:hint="default"/>
          <w:sz w:val="24"/>
          <w:szCs w:val="24"/>
          <w:shd w:val="clear" w:color="auto" w:fill="ffffff"/>
          <w:rtl w:val="0"/>
          <w:lang w:val="en-US"/>
        </w:rPr>
        <w:t>ć</w:t>
      </w:r>
      <w:r>
        <w:rPr>
          <w:rFonts w:ascii="Times New Roman" w:hAnsi="Times New Roman"/>
          <w:sz w:val="24"/>
          <w:szCs w:val="24"/>
          <w:shd w:val="clear" w:color="auto" w:fill="ffffff"/>
          <w:rtl w:val="0"/>
        </w:rPr>
        <w:t>, S., &amp; Mihajlovi</w:t>
      </w:r>
      <w:r>
        <w:rPr>
          <w:rFonts w:ascii="Times New Roman" w:hAnsi="Times New Roman" w:hint="default"/>
          <w:sz w:val="24"/>
          <w:szCs w:val="24"/>
          <w:shd w:val="clear" w:color="auto" w:fill="ffffff"/>
          <w:rtl w:val="0"/>
          <w:lang w:val="en-US"/>
        </w:rPr>
        <w:t>ć</w:t>
      </w:r>
      <w:r>
        <w:rPr>
          <w:rFonts w:ascii="Times New Roman" w:hAnsi="Times New Roman"/>
          <w:sz w:val="24"/>
          <w:szCs w:val="24"/>
          <w:shd w:val="clear" w:color="auto" w:fill="ffffff"/>
          <w:rtl w:val="0"/>
          <w:lang w:val="en-US"/>
        </w:rPr>
        <w:t>, I. (2020). Corporate social responsibility as a determinant of employee loyalty and business performance.</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Journal of Competitiveness</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12</w:t>
      </w:r>
      <w:r>
        <w:rPr>
          <w:rFonts w:ascii="Times New Roman" w:hAnsi="Times New Roman"/>
          <w:sz w:val="24"/>
          <w:szCs w:val="24"/>
          <w:shd w:val="clear" w:color="auto" w:fill="ffffff"/>
          <w:rtl w:val="0"/>
        </w:rPr>
        <w:t>(2), 149-166.</w:t>
      </w:r>
    </w:p>
    <w:p>
      <w:pPr>
        <w:pStyle w:val="Body"/>
        <w:spacing w:line="360" w:lineRule="auto"/>
        <w:ind w:left="720" w:hanging="360"/>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Tetzlaff, E.J., Goggins, K.A., Pegoraro, A.L., Dorman, S.C., Pakalnis, V. and Eger, T.R., 2021. Safety culture: a retrospective analysis of occupational health and safety mining reports.</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Safety and health at work</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12</w:t>
      </w:r>
      <w:r>
        <w:rPr>
          <w:rFonts w:ascii="Times New Roman" w:hAnsi="Times New Roman"/>
          <w:sz w:val="24"/>
          <w:szCs w:val="24"/>
          <w:shd w:val="clear" w:color="auto" w:fill="ffffff"/>
          <w:rtl w:val="0"/>
        </w:rPr>
        <w:t>(2), pp.201-208.</w:t>
      </w:r>
    </w:p>
    <w:p>
      <w:pPr>
        <w:pStyle w:val="Body"/>
        <w:spacing w:line="360" w:lineRule="auto"/>
        <w:ind w:left="720" w:hanging="360"/>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de-DE"/>
        </w:rPr>
        <w:t>Ver</w:t>
      </w:r>
      <w:r>
        <w:rPr>
          <w:rFonts w:ascii="Times New Roman" w:hAnsi="Times New Roman" w:hint="default"/>
          <w:sz w:val="24"/>
          <w:szCs w:val="24"/>
          <w:shd w:val="clear" w:color="auto" w:fill="ffffff"/>
          <w:rtl w:val="0"/>
          <w:lang w:val="en-US"/>
        </w:rPr>
        <w:t>č</w:t>
      </w:r>
      <w:r>
        <w:rPr>
          <w:rFonts w:ascii="Times New Roman" w:hAnsi="Times New Roman"/>
          <w:sz w:val="24"/>
          <w:szCs w:val="24"/>
          <w:shd w:val="clear" w:color="auto" w:fill="ffffff"/>
          <w:rtl w:val="0"/>
        </w:rPr>
        <w:t>i</w:t>
      </w:r>
      <w:r>
        <w:rPr>
          <w:rFonts w:ascii="Times New Roman" w:hAnsi="Times New Roman" w:hint="default"/>
          <w:sz w:val="24"/>
          <w:szCs w:val="24"/>
          <w:shd w:val="clear" w:color="auto" w:fill="ffffff"/>
          <w:rtl w:val="0"/>
          <w:lang w:val="en-US"/>
        </w:rPr>
        <w:t>č</w:t>
      </w:r>
      <w:r>
        <w:rPr>
          <w:rFonts w:ascii="Times New Roman" w:hAnsi="Times New Roman"/>
          <w:sz w:val="24"/>
          <w:szCs w:val="24"/>
          <w:shd w:val="clear" w:color="auto" w:fill="ffffff"/>
          <w:rtl w:val="0"/>
          <w:lang w:val="en-US"/>
        </w:rPr>
        <w:t>, A.T., 2021. The impact of employee engagement, organisational support and employer branding on internal communication satisfaction.</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Public Relations Review</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47</w:t>
      </w:r>
      <w:r>
        <w:rPr>
          <w:rFonts w:ascii="Times New Roman" w:hAnsi="Times New Roman"/>
          <w:sz w:val="24"/>
          <w:szCs w:val="24"/>
          <w:shd w:val="clear" w:color="auto" w:fill="ffffff"/>
          <w:rtl w:val="0"/>
        </w:rPr>
        <w:t>(1), p.102009.</w:t>
      </w:r>
    </w:p>
    <w:p>
      <w:pPr>
        <w:pStyle w:val="Body"/>
        <w:spacing w:line="360" w:lineRule="auto"/>
        <w:ind w:left="720" w:hanging="360"/>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Willumsen, P., Oehmen, J., Stingl, V. and Geraldi, J., 2019. Value creation through project risk management.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International Journal of Project Management</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37</w:t>
      </w:r>
      <w:r>
        <w:rPr>
          <w:rFonts w:ascii="Times New Roman" w:hAnsi="Times New Roman"/>
          <w:sz w:val="24"/>
          <w:szCs w:val="24"/>
          <w:shd w:val="clear" w:color="auto" w:fill="ffffff"/>
          <w:rtl w:val="0"/>
        </w:rPr>
        <w:t>(5), pp.731-749.</w:t>
      </w:r>
    </w:p>
    <w:p>
      <w:pPr>
        <w:pStyle w:val="Body"/>
        <w:spacing w:line="360" w:lineRule="auto"/>
        <w:ind w:left="720" w:hanging="360"/>
        <w:rPr>
          <w:rFonts w:ascii="Times New Roman" w:cs="Times New Roman" w:hAnsi="Times New Roman" w:eastAsia="Times New Roman"/>
          <w:sz w:val="24"/>
          <w:szCs w:val="24"/>
        </w:rPr>
      </w:pPr>
      <w:r>
        <w:rPr>
          <w:rFonts w:ascii="Times New Roman" w:hAnsi="Times New Roman"/>
          <w:sz w:val="24"/>
          <w:szCs w:val="24"/>
          <w:rtl w:val="0"/>
          <w:lang w:val="en-US"/>
        </w:rPr>
        <w:t>Xue, and et. al., 2022. Enhancing engineering project management through process alignment.</w:t>
      </w:r>
      <w:r>
        <w:rPr>
          <w:rFonts w:ascii="Times New Roman" w:hAnsi="Times New Roman" w:hint="default"/>
          <w:sz w:val="24"/>
          <w:szCs w:val="24"/>
          <w:rtl w:val="0"/>
          <w:lang w:val="en-US"/>
        </w:rPr>
        <w:t> </w:t>
      </w:r>
      <w:r>
        <w:rPr>
          <w:rFonts w:ascii="Times New Roman" w:hAnsi="Times New Roman"/>
          <w:sz w:val="24"/>
          <w:szCs w:val="24"/>
          <w:rtl w:val="0"/>
          <w:lang w:val="en-US"/>
        </w:rPr>
        <w:t>Engineering Management Journal,</w:t>
      </w:r>
      <w:r>
        <w:rPr>
          <w:rFonts w:ascii="Times New Roman" w:hAnsi="Times New Roman" w:hint="default"/>
          <w:sz w:val="24"/>
          <w:szCs w:val="24"/>
          <w:rtl w:val="0"/>
          <w:lang w:val="en-US"/>
        </w:rPr>
        <w:t> </w:t>
      </w:r>
      <w:r>
        <w:rPr>
          <w:rFonts w:ascii="Times New Roman" w:hAnsi="Times New Roman"/>
          <w:sz w:val="24"/>
          <w:szCs w:val="24"/>
          <w:rtl w:val="0"/>
          <w:lang w:val="en-US"/>
        </w:rPr>
        <w:t>34(2), pp.230-248</w:t>
      </w:r>
    </w:p>
    <w:p>
      <w:pPr>
        <w:pStyle w:val="Body"/>
        <w:spacing w:line="360" w:lineRule="auto"/>
        <w:ind w:left="720" w:hanging="360"/>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Yan, T., Yang, Y., Dooley, K. and Chae, S., 2020. Trading</w:t>
      </w:r>
      <w:r>
        <w:rPr>
          <w:rFonts w:ascii="Arial Unicode MS" w:cs="Arial Unicode MS" w:hAnsi="Arial Unicode MS" w:eastAsia="Arial Unicode MS" w:hint="default"/>
          <w:b w:val="0"/>
          <w:bCs w:val="0"/>
          <w:i w:val="0"/>
          <w:iCs w:val="0"/>
          <w:sz w:val="24"/>
          <w:szCs w:val="24"/>
          <w:shd w:val="clear" w:color="auto" w:fill="ffffff"/>
          <w:rtl w:val="0"/>
          <w:lang w:val="en-US"/>
        </w:rPr>
        <w:t>‐</w:t>
      </w:r>
      <w:r>
        <w:rPr>
          <w:rFonts w:ascii="Times New Roman" w:hAnsi="Times New Roman"/>
          <w:sz w:val="24"/>
          <w:szCs w:val="24"/>
          <w:shd w:val="clear" w:color="auto" w:fill="ffffff"/>
          <w:rtl w:val="0"/>
          <w:lang w:val="en-US"/>
        </w:rPr>
        <w:t>off innovation novelty and information protection in supplier selection for a new product development project: Supplier ties as signals.</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Journal of Operations Management</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66</w:t>
      </w:r>
      <w:r>
        <w:rPr>
          <w:rFonts w:ascii="Times New Roman" w:hAnsi="Times New Roman"/>
          <w:sz w:val="24"/>
          <w:szCs w:val="24"/>
          <w:shd w:val="clear" w:color="auto" w:fill="ffffff"/>
          <w:rtl w:val="0"/>
        </w:rPr>
        <w:t>(7-8), pp.933-957.</w:t>
      </w:r>
    </w:p>
    <w:p>
      <w:pPr>
        <w:pStyle w:val="Body"/>
        <w:spacing w:line="360" w:lineRule="auto"/>
        <w:ind w:left="720" w:hanging="360"/>
      </w:pPr>
      <w:r>
        <w:rPr>
          <w:rFonts w:ascii="Times New Roman" w:hAnsi="Times New Roman"/>
          <w:sz w:val="24"/>
          <w:szCs w:val="24"/>
          <w:rtl w:val="0"/>
          <w:lang w:val="en-US"/>
        </w:rPr>
        <w:t>Zwikael, O. and Smyrk, J.R., 2019.</w:t>
      </w:r>
      <w:r>
        <w:rPr>
          <w:rFonts w:ascii="Times New Roman" w:hAnsi="Times New Roman" w:hint="default"/>
          <w:sz w:val="24"/>
          <w:szCs w:val="24"/>
          <w:rtl w:val="0"/>
          <w:lang w:val="en-US"/>
        </w:rPr>
        <w:t> </w:t>
      </w:r>
      <w:r>
        <w:rPr>
          <w:rFonts w:ascii="Times New Roman" w:hAnsi="Times New Roman"/>
          <w:sz w:val="24"/>
          <w:szCs w:val="24"/>
          <w:rtl w:val="0"/>
          <w:lang w:val="en-US"/>
        </w:rPr>
        <w:t>Project management: A benefit realisation approach. Springer.</w:t>
      </w:r>
      <w:r>
        <w:rPr>
          <w:rFonts w:ascii="Times New Roman" w:cs="Times New Roman" w:hAnsi="Times New Roman" w:eastAsia="Times New Roman"/>
          <w:sz w:val="24"/>
          <w:szCs w:val="24"/>
        </w:rPr>
      </w:r>
    </w:p>
    <w:sectPr>
      <w:headerReference w:type="default" r:id="rId4"/>
      <w:headerReference w:type="first" r:id="rId5"/>
      <w:footerReference w:type="default" r:id="rId6"/>
      <w:footerReference w:type="first" r:id="rId7"/>
      <w:pgSz w:w="12240" w:h="15840" w:orient="portrait"/>
      <w:pgMar w:top="1440" w:right="1440" w:bottom="1440" w:left="1440" w:header="720" w:footer="72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libri Light">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after="0" w:line="480" w:lineRule="auto"/>
      <w:jc w:val="center"/>
    </w:pPr>
    <w:r>
      <w:rPr>
        <w:rFonts w:ascii="Times New Roman" w:hAnsi="Times New Roman"/>
        <w:sz w:val="24"/>
        <w:szCs w:val="24"/>
        <w:rtl w:val="0"/>
      </w:rPr>
      <w:t xml:space="preserve">                                                                            Evaluation of Project Management Plan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PAGE </w:instrText>
    </w:r>
    <w:r>
      <w:rPr>
        <w:rFonts w:ascii="Times New Roman" w:cs="Times New Roman" w:hAnsi="Times New Roman" w:eastAsia="Times New Roman"/>
        <w:sz w:val="24"/>
        <w:szCs w:val="24"/>
        <w:rtl w:val="0"/>
      </w:rPr>
      <w:fldChar w:fldCharType="separate" w:fldLock="0"/>
    </w:r>
    <w:r>
      <w:rPr>
        <w:rFonts w:ascii="Times New Roman" w:cs="Times New Roman" w:hAnsi="Times New Roman" w:eastAsia="Times New Roman"/>
        <w:sz w:val="24"/>
        <w:szCs w:val="24"/>
        <w:rtl w:val="0"/>
      </w:rPr>
    </w:r>
    <w:r>
      <w:rPr>
        <w:rFonts w:ascii="Times New Roman" w:cs="Times New Roman" w:hAnsi="Times New Roman" w:eastAsia="Times New Roman"/>
        <w:sz w:val="24"/>
        <w:szCs w:val="24"/>
        <w:rtl w:val="0"/>
      </w:rPr>
      <w:fldChar w:fldCharType="end" w:fldLock="0"/>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rPr>
        <w:rFonts w:ascii="Times New Roman" w:hAnsi="Times New Roman"/>
        <w:sz w:val="24"/>
        <w:szCs w:val="24"/>
        <w:rtl w:val="0"/>
        <w:lang w:val="en-US"/>
      </w:rPr>
      <w:t xml:space="preserve">Evaluation of Project Management Plan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PAGE </w:instrText>
    </w:r>
    <w:r>
      <w:rPr>
        <w:rFonts w:ascii="Times New Roman" w:cs="Times New Roman" w:hAnsi="Times New Roman" w:eastAsia="Times New Roman"/>
        <w:sz w:val="24"/>
        <w:szCs w:val="24"/>
        <w:rtl w:val="0"/>
      </w:rPr>
      <w:fldChar w:fldCharType="separate" w:fldLock="0"/>
    </w:r>
    <w:r>
      <w:rPr>
        <w:rFonts w:ascii="Times New Roman" w:cs="Times New Roman" w:hAnsi="Times New Roman" w:eastAsia="Times New Roman"/>
        <w:sz w:val="24"/>
        <w:szCs w:val="24"/>
        <w:rtl w:val="0"/>
      </w:rPr>
    </w:r>
    <w:r>
      <w:rPr>
        <w:rFonts w:ascii="Times New Roman" w:cs="Times New Roman" w:hAnsi="Times New Roman" w:eastAsia="Times New Roman"/>
        <w:sz w:val="24"/>
        <w:szCs w:val="24"/>
        <w:rtl w:val="0"/>
      </w:rPr>
      <w:fldChar w:fldCharType="end" w:fldLock="0"/>
    </w:r>
    <w:r>
      <w:rPr>
        <w:rFonts w:ascii="Times New Roman" w:cs="Times New Roman" w:hAnsi="Times New Roman" w:eastAsia="Times New Roman"/>
        <w:sz w:val="24"/>
        <w:szCs w:val="24"/>
      </w:r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85"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21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432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48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72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85"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505"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225"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945"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65"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85"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105"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825"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545"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40" w:lineRule="auto"/>
      <w:ind w:left="0" w:right="0" w:firstLine="0"/>
      <w:jc w:val="center"/>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360"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40" w:after="0" w:line="240" w:lineRule="auto"/>
      <w:ind w:left="0" w:right="0" w:firstLine="0"/>
      <w:jc w:val="left"/>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