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A4F38" w14:textId="4B438220" w:rsidR="00667B3C" w:rsidRPr="00A85BFE" w:rsidRDefault="00667B3C" w:rsidP="00667B3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5057831" wp14:editId="5DE0A5D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728DE6FD" w14:textId="77777777" w:rsidR="00667B3C" w:rsidRPr="00A406E5" w:rsidRDefault="00667B3C" w:rsidP="00667B3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67B3C" w:rsidRPr="00A406E5" w14:paraId="59FF5CCB" w14:textId="77777777" w:rsidTr="00921BA5">
        <w:tc>
          <w:tcPr>
            <w:tcW w:w="9922" w:type="dxa"/>
            <w:shd w:val="clear" w:color="auto" w:fill="C0C0C0"/>
          </w:tcPr>
          <w:p w14:paraId="48E37B56" w14:textId="77777777" w:rsidR="00667B3C" w:rsidRPr="00A406E5" w:rsidRDefault="00667B3C" w:rsidP="00921BA5">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3497CDAF" w14:textId="77777777" w:rsidR="00667B3C" w:rsidRPr="00A406E5" w:rsidRDefault="00667B3C" w:rsidP="00667B3C">
      <w:pPr>
        <w:jc w:val="center"/>
        <w:rPr>
          <w:rFonts w:ascii="Arial" w:hAnsi="Arial" w:cs="Arial"/>
          <w:b/>
          <w:i/>
          <w:sz w:val="32"/>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67B3C" w:rsidRPr="00A406E5" w14:paraId="4BF586C9" w14:textId="77777777" w:rsidTr="00667B3C">
        <w:tc>
          <w:tcPr>
            <w:tcW w:w="2093" w:type="dxa"/>
            <w:shd w:val="pct15" w:color="auto" w:fill="auto"/>
          </w:tcPr>
          <w:p w14:paraId="3EBA88AB" w14:textId="77777777" w:rsidR="00667B3C" w:rsidRPr="00A406E5" w:rsidRDefault="00667B3C" w:rsidP="00921BA5">
            <w:pPr>
              <w:spacing w:before="120" w:after="120"/>
              <w:jc w:val="both"/>
              <w:rPr>
                <w:rFonts w:ascii="Arial" w:hAnsi="Arial" w:cs="Arial"/>
                <w:b/>
              </w:rPr>
            </w:pPr>
            <w:r w:rsidRPr="00A406E5">
              <w:rPr>
                <w:rFonts w:ascii="Arial" w:hAnsi="Arial" w:cs="Arial"/>
                <w:b/>
              </w:rPr>
              <w:t>Student name:</w:t>
            </w:r>
          </w:p>
        </w:tc>
        <w:tc>
          <w:tcPr>
            <w:tcW w:w="3293" w:type="dxa"/>
          </w:tcPr>
          <w:p w14:paraId="1519D6A6" w14:textId="070994B2" w:rsidR="00667B3C" w:rsidRPr="00A406E5" w:rsidRDefault="00667B3C" w:rsidP="00921BA5">
            <w:pPr>
              <w:spacing w:before="120" w:after="120"/>
              <w:jc w:val="both"/>
              <w:rPr>
                <w:rFonts w:ascii="Arial" w:hAnsi="Arial" w:cs="Arial"/>
                <w:b/>
              </w:rPr>
            </w:pPr>
            <w:r>
              <w:rPr>
                <w:rFonts w:ascii="Arial" w:hAnsi="Arial" w:cs="Arial"/>
                <w:b/>
              </w:rPr>
              <w:t>Ian Matthews</w:t>
            </w:r>
          </w:p>
        </w:tc>
        <w:tc>
          <w:tcPr>
            <w:tcW w:w="2268" w:type="dxa"/>
            <w:shd w:val="clear" w:color="auto" w:fill="D9D9D9"/>
          </w:tcPr>
          <w:p w14:paraId="1B4C5F92" w14:textId="77777777" w:rsidR="00667B3C" w:rsidRPr="00A406E5" w:rsidRDefault="00667B3C" w:rsidP="00921BA5">
            <w:pPr>
              <w:spacing w:before="120" w:after="120"/>
              <w:jc w:val="both"/>
              <w:rPr>
                <w:rFonts w:ascii="Arial" w:hAnsi="Arial" w:cs="Arial"/>
                <w:b/>
              </w:rPr>
            </w:pPr>
            <w:r w:rsidRPr="00A406E5">
              <w:rPr>
                <w:rFonts w:ascii="Arial" w:hAnsi="Arial" w:cs="Arial"/>
                <w:b/>
              </w:rPr>
              <w:t>Student ID number:</w:t>
            </w:r>
          </w:p>
        </w:tc>
        <w:tc>
          <w:tcPr>
            <w:tcW w:w="2268" w:type="dxa"/>
          </w:tcPr>
          <w:p w14:paraId="5BFB1F88" w14:textId="22A6B695" w:rsidR="00667B3C" w:rsidRPr="00A406E5" w:rsidRDefault="00667B3C" w:rsidP="00921BA5">
            <w:pPr>
              <w:spacing w:before="120" w:after="120"/>
              <w:jc w:val="both"/>
              <w:rPr>
                <w:rFonts w:ascii="Arial" w:hAnsi="Arial" w:cs="Arial"/>
                <w:b/>
              </w:rPr>
            </w:pPr>
            <w:r>
              <w:rPr>
                <w:rFonts w:ascii="Arial" w:hAnsi="Arial" w:cs="Arial"/>
                <w:b/>
              </w:rPr>
              <w:t>1602111</w:t>
            </w:r>
          </w:p>
        </w:tc>
      </w:tr>
      <w:tr w:rsidR="00667B3C" w:rsidRPr="00A406E5" w14:paraId="1682A1F3" w14:textId="77777777" w:rsidTr="00667B3C">
        <w:tc>
          <w:tcPr>
            <w:tcW w:w="2093" w:type="dxa"/>
            <w:shd w:val="pct15" w:color="auto" w:fill="auto"/>
          </w:tcPr>
          <w:p w14:paraId="2540B9D1" w14:textId="77777777" w:rsidR="00667B3C" w:rsidRPr="00A406E5" w:rsidRDefault="00667B3C" w:rsidP="00921BA5">
            <w:pPr>
              <w:spacing w:before="120" w:after="120"/>
              <w:jc w:val="both"/>
              <w:rPr>
                <w:rFonts w:ascii="Arial" w:hAnsi="Arial" w:cs="Arial"/>
                <w:b/>
              </w:rPr>
            </w:pPr>
            <w:r w:rsidRPr="00A406E5">
              <w:rPr>
                <w:rFonts w:ascii="Arial" w:hAnsi="Arial" w:cs="Arial"/>
                <w:b/>
              </w:rPr>
              <w:t>Programme:</w:t>
            </w:r>
          </w:p>
        </w:tc>
        <w:tc>
          <w:tcPr>
            <w:tcW w:w="7829" w:type="dxa"/>
            <w:gridSpan w:val="3"/>
          </w:tcPr>
          <w:p w14:paraId="3F2556E0" w14:textId="343CF902" w:rsidR="00667B3C" w:rsidRPr="00A406E5" w:rsidRDefault="00667B3C" w:rsidP="00921BA5">
            <w:pPr>
              <w:spacing w:before="120" w:after="120"/>
              <w:jc w:val="both"/>
              <w:rPr>
                <w:rFonts w:ascii="Arial" w:hAnsi="Arial" w:cs="Arial"/>
                <w:b/>
              </w:rPr>
            </w:pPr>
            <w:r>
              <w:rPr>
                <w:rFonts w:ascii="Arial" w:hAnsi="Arial" w:cs="Arial"/>
                <w:b/>
              </w:rPr>
              <w:t>MA Modern Literature</w:t>
            </w:r>
          </w:p>
        </w:tc>
      </w:tr>
      <w:tr w:rsidR="00667B3C" w:rsidRPr="00A406E5" w14:paraId="27581E02" w14:textId="77777777" w:rsidTr="00667B3C">
        <w:tc>
          <w:tcPr>
            <w:tcW w:w="2093" w:type="dxa"/>
            <w:shd w:val="pct15" w:color="auto" w:fill="auto"/>
          </w:tcPr>
          <w:p w14:paraId="2C8BA133" w14:textId="77777777" w:rsidR="00667B3C" w:rsidRPr="00A406E5" w:rsidRDefault="00667B3C" w:rsidP="00921BA5">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3B3E4AB" w14:textId="77777777" w:rsidR="00667B3C" w:rsidRPr="00A406E5" w:rsidRDefault="00667B3C" w:rsidP="00921BA5">
            <w:pPr>
              <w:spacing w:before="120" w:after="120"/>
              <w:jc w:val="both"/>
              <w:rPr>
                <w:rFonts w:ascii="Arial" w:hAnsi="Arial" w:cs="Arial"/>
                <w:b/>
              </w:rPr>
            </w:pPr>
            <w:r>
              <w:rPr>
                <w:rFonts w:ascii="Arial" w:hAnsi="Arial" w:cs="Arial"/>
                <w:b/>
              </w:rPr>
              <w:t>Bodily Distempers and Passions of the Mind: Shakespeare and Donne</w:t>
            </w:r>
          </w:p>
        </w:tc>
      </w:tr>
      <w:tr w:rsidR="00667B3C" w:rsidRPr="00A406E5" w14:paraId="052FEF85" w14:textId="77777777" w:rsidTr="00667B3C">
        <w:tc>
          <w:tcPr>
            <w:tcW w:w="2093" w:type="dxa"/>
            <w:shd w:val="pct15" w:color="auto" w:fill="auto"/>
          </w:tcPr>
          <w:p w14:paraId="7A83FACE" w14:textId="77777777" w:rsidR="00667B3C" w:rsidRPr="00A406E5" w:rsidRDefault="00667B3C" w:rsidP="00921BA5">
            <w:pPr>
              <w:spacing w:before="120" w:after="120"/>
              <w:jc w:val="both"/>
              <w:rPr>
                <w:rFonts w:ascii="Arial" w:hAnsi="Arial" w:cs="Arial"/>
                <w:b/>
              </w:rPr>
            </w:pPr>
            <w:r w:rsidRPr="00A406E5">
              <w:rPr>
                <w:rFonts w:ascii="Arial" w:hAnsi="Arial" w:cs="Arial"/>
                <w:b/>
              </w:rPr>
              <w:t>Module code:</w:t>
            </w:r>
          </w:p>
        </w:tc>
        <w:tc>
          <w:tcPr>
            <w:tcW w:w="3293" w:type="dxa"/>
          </w:tcPr>
          <w:p w14:paraId="3439A700" w14:textId="77777777" w:rsidR="00667B3C" w:rsidRPr="00A406E5" w:rsidRDefault="00667B3C" w:rsidP="00921BA5">
            <w:pPr>
              <w:spacing w:before="120" w:after="120"/>
              <w:jc w:val="both"/>
              <w:rPr>
                <w:rFonts w:ascii="Arial" w:hAnsi="Arial" w:cs="Arial"/>
                <w:b/>
              </w:rPr>
            </w:pPr>
            <w:r>
              <w:rPr>
                <w:rFonts w:ascii="Arial" w:hAnsi="Arial" w:cs="Arial"/>
                <w:b/>
              </w:rPr>
              <w:t>HPEN7010</w:t>
            </w:r>
          </w:p>
        </w:tc>
        <w:tc>
          <w:tcPr>
            <w:tcW w:w="2268" w:type="dxa"/>
            <w:shd w:val="clear" w:color="auto" w:fill="D9D9D9"/>
          </w:tcPr>
          <w:p w14:paraId="22C86FB6" w14:textId="77777777" w:rsidR="00667B3C" w:rsidRPr="004D5E9B" w:rsidRDefault="00667B3C" w:rsidP="00921BA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72623E" w14:textId="77777777" w:rsidR="00667B3C" w:rsidRPr="00A406E5" w:rsidRDefault="00667B3C" w:rsidP="00921BA5">
            <w:pPr>
              <w:spacing w:before="120" w:after="120"/>
              <w:jc w:val="both"/>
              <w:rPr>
                <w:rFonts w:ascii="Arial" w:hAnsi="Arial" w:cs="Arial"/>
                <w:b/>
              </w:rPr>
            </w:pPr>
            <w:r>
              <w:rPr>
                <w:rFonts w:ascii="Arial" w:hAnsi="Arial" w:cs="Arial"/>
                <w:b/>
              </w:rPr>
              <w:t>50%</w:t>
            </w:r>
          </w:p>
        </w:tc>
      </w:tr>
      <w:tr w:rsidR="00667B3C" w:rsidRPr="00A406E5" w14:paraId="473DC719" w14:textId="77777777" w:rsidTr="00667B3C">
        <w:tc>
          <w:tcPr>
            <w:tcW w:w="2093" w:type="dxa"/>
            <w:shd w:val="pct15" w:color="auto" w:fill="auto"/>
          </w:tcPr>
          <w:p w14:paraId="1B0472B2" w14:textId="77777777" w:rsidR="00667B3C" w:rsidRPr="00A406E5" w:rsidRDefault="00667B3C" w:rsidP="00921BA5">
            <w:pPr>
              <w:spacing w:before="120" w:after="120"/>
              <w:jc w:val="both"/>
              <w:rPr>
                <w:rFonts w:ascii="Arial" w:hAnsi="Arial" w:cs="Arial"/>
                <w:b/>
              </w:rPr>
            </w:pPr>
            <w:r w:rsidRPr="00A406E5">
              <w:rPr>
                <w:rFonts w:ascii="Arial" w:hAnsi="Arial" w:cs="Arial"/>
                <w:b/>
              </w:rPr>
              <w:t>Lecturer:</w:t>
            </w:r>
          </w:p>
        </w:tc>
        <w:tc>
          <w:tcPr>
            <w:tcW w:w="3293" w:type="dxa"/>
          </w:tcPr>
          <w:p w14:paraId="14B0E50B" w14:textId="77777777" w:rsidR="00667B3C" w:rsidRPr="00A406E5" w:rsidRDefault="00667B3C" w:rsidP="00921BA5">
            <w:pPr>
              <w:spacing w:before="120" w:after="120"/>
              <w:jc w:val="both"/>
              <w:rPr>
                <w:rFonts w:ascii="Arial" w:hAnsi="Arial" w:cs="Arial"/>
                <w:b/>
              </w:rPr>
            </w:pPr>
            <w:r>
              <w:rPr>
                <w:rFonts w:ascii="Arial" w:hAnsi="Arial" w:cs="Arial"/>
                <w:b/>
              </w:rPr>
              <w:t>Dr Peter Mitchell</w:t>
            </w:r>
          </w:p>
        </w:tc>
        <w:tc>
          <w:tcPr>
            <w:tcW w:w="2268" w:type="dxa"/>
            <w:shd w:val="clear" w:color="auto" w:fill="D9D9D9"/>
          </w:tcPr>
          <w:p w14:paraId="614F8A52" w14:textId="77777777" w:rsidR="00667B3C" w:rsidRPr="00A406E5" w:rsidRDefault="00667B3C" w:rsidP="00921BA5">
            <w:pPr>
              <w:spacing w:before="120" w:after="120"/>
              <w:jc w:val="both"/>
              <w:rPr>
                <w:rFonts w:ascii="Arial" w:hAnsi="Arial" w:cs="Arial"/>
                <w:b/>
              </w:rPr>
            </w:pPr>
            <w:r w:rsidRPr="00A406E5">
              <w:rPr>
                <w:rFonts w:ascii="Arial" w:hAnsi="Arial" w:cs="Arial"/>
                <w:b/>
              </w:rPr>
              <w:t>Internal Verifier:</w:t>
            </w:r>
          </w:p>
        </w:tc>
        <w:tc>
          <w:tcPr>
            <w:tcW w:w="2268" w:type="dxa"/>
          </w:tcPr>
          <w:p w14:paraId="437A55E3" w14:textId="77777777" w:rsidR="00667B3C" w:rsidRPr="00A406E5" w:rsidRDefault="00667B3C" w:rsidP="00921BA5">
            <w:pPr>
              <w:spacing w:before="120" w:after="120"/>
              <w:jc w:val="both"/>
              <w:rPr>
                <w:rFonts w:ascii="Arial" w:hAnsi="Arial" w:cs="Arial"/>
                <w:b/>
              </w:rPr>
            </w:pPr>
            <w:r>
              <w:rPr>
                <w:rFonts w:ascii="Arial" w:hAnsi="Arial" w:cs="Arial"/>
                <w:b/>
              </w:rPr>
              <w:t>Dr Jeni Williams</w:t>
            </w:r>
          </w:p>
        </w:tc>
      </w:tr>
      <w:tr w:rsidR="00667B3C" w:rsidRPr="00A406E5" w14:paraId="6892867C" w14:textId="77777777" w:rsidTr="00667B3C">
        <w:tc>
          <w:tcPr>
            <w:tcW w:w="2093" w:type="dxa"/>
            <w:shd w:val="pct15" w:color="auto" w:fill="auto"/>
          </w:tcPr>
          <w:p w14:paraId="280BD78F" w14:textId="77777777" w:rsidR="00667B3C" w:rsidRPr="00A406E5" w:rsidRDefault="00667B3C" w:rsidP="00921BA5">
            <w:pPr>
              <w:spacing w:before="120" w:after="120"/>
              <w:jc w:val="both"/>
              <w:rPr>
                <w:rFonts w:ascii="Arial" w:hAnsi="Arial" w:cs="Arial"/>
                <w:b/>
              </w:rPr>
            </w:pPr>
            <w:r w:rsidRPr="00A406E5">
              <w:rPr>
                <w:rFonts w:ascii="Arial" w:hAnsi="Arial" w:cs="Arial"/>
                <w:b/>
              </w:rPr>
              <w:t>Assignment Title:</w:t>
            </w:r>
          </w:p>
        </w:tc>
        <w:tc>
          <w:tcPr>
            <w:tcW w:w="3293" w:type="dxa"/>
          </w:tcPr>
          <w:p w14:paraId="69595BBE" w14:textId="77777777" w:rsidR="00667B3C" w:rsidRPr="00A406E5" w:rsidRDefault="00667B3C" w:rsidP="00921BA5">
            <w:pPr>
              <w:spacing w:before="120" w:after="120"/>
              <w:jc w:val="both"/>
              <w:rPr>
                <w:rFonts w:ascii="Arial" w:hAnsi="Arial" w:cs="Arial"/>
                <w:b/>
              </w:rPr>
            </w:pPr>
            <w:r>
              <w:rPr>
                <w:rFonts w:ascii="Arial" w:hAnsi="Arial" w:cs="Arial"/>
                <w:b/>
              </w:rPr>
              <w:t>Essay 1</w:t>
            </w:r>
          </w:p>
        </w:tc>
        <w:tc>
          <w:tcPr>
            <w:tcW w:w="2268" w:type="dxa"/>
            <w:shd w:val="pct15" w:color="auto" w:fill="auto"/>
          </w:tcPr>
          <w:p w14:paraId="24217D37" w14:textId="77777777" w:rsidR="00667B3C" w:rsidRPr="00A406E5" w:rsidRDefault="00667B3C" w:rsidP="00921BA5">
            <w:pPr>
              <w:spacing w:before="120" w:after="120"/>
              <w:jc w:val="both"/>
              <w:rPr>
                <w:rFonts w:ascii="Arial" w:hAnsi="Arial" w:cs="Arial"/>
                <w:b/>
              </w:rPr>
            </w:pPr>
            <w:r>
              <w:rPr>
                <w:rFonts w:ascii="Arial" w:hAnsi="Arial" w:cs="Arial"/>
                <w:b/>
              </w:rPr>
              <w:t>Word count (or equivalent):</w:t>
            </w:r>
          </w:p>
        </w:tc>
        <w:tc>
          <w:tcPr>
            <w:tcW w:w="2268" w:type="dxa"/>
          </w:tcPr>
          <w:p w14:paraId="33CD5DC1" w14:textId="77777777" w:rsidR="00667B3C" w:rsidRPr="00A406E5" w:rsidRDefault="00667B3C" w:rsidP="00921BA5">
            <w:pPr>
              <w:spacing w:before="120" w:after="120"/>
              <w:jc w:val="both"/>
              <w:rPr>
                <w:rFonts w:ascii="Arial" w:hAnsi="Arial" w:cs="Arial"/>
                <w:b/>
              </w:rPr>
            </w:pPr>
            <w:r>
              <w:rPr>
                <w:rFonts w:ascii="Arial" w:hAnsi="Arial" w:cs="Arial"/>
                <w:b/>
              </w:rPr>
              <w:t>4,000</w:t>
            </w:r>
          </w:p>
        </w:tc>
      </w:tr>
      <w:tr w:rsidR="00667B3C" w:rsidRPr="00A406E5" w14:paraId="1427DF1D" w14:textId="77777777" w:rsidTr="00667B3C">
        <w:tc>
          <w:tcPr>
            <w:tcW w:w="2093" w:type="dxa"/>
            <w:shd w:val="pct15" w:color="auto" w:fill="auto"/>
          </w:tcPr>
          <w:p w14:paraId="583E26ED" w14:textId="77777777" w:rsidR="00667B3C" w:rsidRPr="00A406E5" w:rsidRDefault="00667B3C" w:rsidP="00921BA5">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36830CE" w14:textId="77777777" w:rsidR="00667B3C" w:rsidRDefault="00667B3C" w:rsidP="00921BA5">
            <w:pPr>
              <w:spacing w:before="120" w:after="120"/>
              <w:jc w:val="both"/>
              <w:rPr>
                <w:rFonts w:ascii="Arial" w:hAnsi="Arial" w:cs="Arial"/>
                <w:b/>
              </w:rPr>
            </w:pPr>
            <w:r>
              <w:rPr>
                <w:rFonts w:ascii="Arial" w:hAnsi="Arial" w:cs="Arial"/>
                <w:b/>
              </w:rPr>
              <w:t xml:space="preserve">11.59 p.m. </w:t>
            </w:r>
          </w:p>
          <w:p w14:paraId="2F253F74" w14:textId="77777777" w:rsidR="00667B3C" w:rsidRPr="00A406E5" w:rsidRDefault="00667B3C" w:rsidP="00921BA5">
            <w:pPr>
              <w:spacing w:before="120" w:after="120"/>
              <w:jc w:val="both"/>
              <w:rPr>
                <w:rFonts w:ascii="Arial" w:hAnsi="Arial" w:cs="Arial"/>
                <w:b/>
              </w:rPr>
            </w:pPr>
            <w:r>
              <w:rPr>
                <w:rFonts w:ascii="Arial" w:hAnsi="Arial" w:cs="Arial"/>
                <w:b/>
              </w:rPr>
              <w:t>13 April 2021</w:t>
            </w:r>
          </w:p>
        </w:tc>
        <w:tc>
          <w:tcPr>
            <w:tcW w:w="2268" w:type="dxa"/>
            <w:shd w:val="pct15" w:color="auto" w:fill="auto"/>
          </w:tcPr>
          <w:p w14:paraId="43001F34" w14:textId="77777777" w:rsidR="00667B3C" w:rsidRPr="00A406E5" w:rsidRDefault="00667B3C" w:rsidP="00921BA5">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6B9F477" w14:textId="77777777" w:rsidR="00667B3C" w:rsidRDefault="00667B3C" w:rsidP="00921BA5">
            <w:pPr>
              <w:spacing w:before="120" w:after="120"/>
              <w:jc w:val="both"/>
              <w:rPr>
                <w:rFonts w:ascii="Arial" w:hAnsi="Arial" w:cs="Arial"/>
                <w:b/>
              </w:rPr>
            </w:pPr>
          </w:p>
          <w:p w14:paraId="56E46C9E" w14:textId="77777777" w:rsidR="00667B3C" w:rsidRPr="00A406E5" w:rsidRDefault="00667B3C" w:rsidP="00921BA5">
            <w:pPr>
              <w:spacing w:before="120" w:after="120"/>
              <w:jc w:val="both"/>
              <w:rPr>
                <w:rFonts w:ascii="Arial" w:hAnsi="Arial" w:cs="Arial"/>
                <w:b/>
              </w:rPr>
            </w:pPr>
            <w:r>
              <w:rPr>
                <w:rFonts w:ascii="Arial" w:hAnsi="Arial" w:cs="Arial"/>
                <w:b/>
              </w:rPr>
              <w:t>21 April 2021</w:t>
            </w:r>
          </w:p>
        </w:tc>
      </w:tr>
      <w:tr w:rsidR="00667B3C" w:rsidRPr="00A406E5" w14:paraId="1E9BB9AD" w14:textId="77777777" w:rsidTr="00667B3C">
        <w:tc>
          <w:tcPr>
            <w:tcW w:w="2093" w:type="dxa"/>
            <w:shd w:val="pct15" w:color="auto" w:fill="auto"/>
          </w:tcPr>
          <w:p w14:paraId="58A71CB9" w14:textId="77777777" w:rsidR="00667B3C" w:rsidRPr="00A406E5" w:rsidRDefault="00667B3C" w:rsidP="00921BA5">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1E05C019" w14:textId="77777777" w:rsidR="00667B3C" w:rsidRPr="00A406E5" w:rsidRDefault="00667B3C" w:rsidP="00921BA5">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A73F38" w14:textId="77777777" w:rsidR="00667B3C" w:rsidRPr="00A406E5" w:rsidRDefault="00667B3C" w:rsidP="00921BA5">
            <w:pPr>
              <w:spacing w:before="120" w:after="120"/>
              <w:jc w:val="both"/>
              <w:rPr>
                <w:rFonts w:ascii="Arial" w:hAnsi="Arial" w:cs="Arial"/>
                <w:b/>
              </w:rPr>
            </w:pPr>
            <w:r w:rsidRPr="00A406E5">
              <w:rPr>
                <w:rFonts w:ascii="Arial" w:hAnsi="Arial" w:cs="Arial"/>
                <w:b/>
              </w:rPr>
              <w:t xml:space="preserve">Alternative submission method (if applicable): </w:t>
            </w:r>
          </w:p>
          <w:p w14:paraId="743133C3" w14:textId="77777777" w:rsidR="00667B3C" w:rsidRPr="00A406E5" w:rsidRDefault="00667B3C" w:rsidP="00921BA5">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667B3C" w:rsidRPr="00A406E5" w14:paraId="2E87C65D" w14:textId="77777777" w:rsidTr="00667B3C">
        <w:tc>
          <w:tcPr>
            <w:tcW w:w="2093" w:type="dxa"/>
            <w:shd w:val="pct15" w:color="auto" w:fill="auto"/>
          </w:tcPr>
          <w:p w14:paraId="572EE2CF" w14:textId="77777777" w:rsidR="00667B3C" w:rsidRPr="00A406E5" w:rsidRDefault="00667B3C" w:rsidP="00921BA5">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CC00B8C" w14:textId="77777777" w:rsidR="00667B3C" w:rsidRPr="00A406E5" w:rsidRDefault="00667B3C" w:rsidP="00921BA5">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29D1A2B9" w14:textId="77777777" w:rsidR="00667B3C" w:rsidRPr="00A406E5" w:rsidRDefault="00667B3C" w:rsidP="00667B3C">
      <w:pPr>
        <w:rPr>
          <w:rFonts w:ascii="Arial" w:hAnsi="Arial" w:cs="Arial"/>
          <w:sz w:val="32"/>
        </w:rPr>
      </w:pPr>
    </w:p>
    <w:p w14:paraId="6A5C4AE0" w14:textId="77777777" w:rsidR="00667B3C" w:rsidRPr="00A406E5" w:rsidRDefault="00667B3C" w:rsidP="00667B3C">
      <w:pPr>
        <w:rPr>
          <w:rFonts w:ascii="Arial" w:hAnsi="Arial" w:cs="Arial"/>
          <w:sz w:val="32"/>
        </w:rPr>
      </w:pPr>
    </w:p>
    <w:p w14:paraId="5748F5AB" w14:textId="77777777" w:rsidR="00667B3C" w:rsidRDefault="00667B3C" w:rsidP="00667B3C">
      <w:pPr>
        <w:rPr>
          <w:rFonts w:ascii="Arial" w:hAnsi="Arial" w:cs="Arial"/>
          <w:sz w:val="32"/>
        </w:rPr>
      </w:pPr>
      <w:r>
        <w:rPr>
          <w:rFonts w:ascii="Arial" w:hAnsi="Arial" w:cs="Arial"/>
          <w:sz w:val="32"/>
        </w:rPr>
        <w:br w:type="page"/>
      </w:r>
    </w:p>
    <w:p w14:paraId="25B5D8BB" w14:textId="7670BD4A" w:rsidR="006D61B6" w:rsidRDefault="006D61B6"/>
    <w:p w14:paraId="5E1AA7BB" w14:textId="3C2AA688" w:rsidR="00360B84" w:rsidRDefault="00C10790">
      <w:r>
        <w:t>Essay 1</w:t>
      </w:r>
    </w:p>
    <w:p w14:paraId="511848C5" w14:textId="7E632EF2" w:rsidR="00D00509" w:rsidRDefault="00D00509">
      <w:pPr>
        <w:rPr>
          <w:b/>
          <w:bCs/>
        </w:rPr>
      </w:pPr>
      <w:r w:rsidRPr="00D00509">
        <w:rPr>
          <w:b/>
          <w:bCs/>
        </w:rPr>
        <w:t>To what extent does the relationship between antagonist and mother in Shakespeare’s later tragedies aid the development of Philip Sidney’s ‘tragedy as surgery’?</w:t>
      </w:r>
    </w:p>
    <w:p w14:paraId="164EE163" w14:textId="77777777" w:rsidR="00D00509" w:rsidRPr="00D00509" w:rsidRDefault="00D00509">
      <w:pPr>
        <w:rPr>
          <w:b/>
          <w:bCs/>
        </w:rPr>
      </w:pPr>
    </w:p>
    <w:p w14:paraId="719B3023" w14:textId="67B673DB" w:rsidR="00360B84" w:rsidRDefault="00360B84" w:rsidP="00503BD2">
      <w:pPr>
        <w:spacing w:line="360" w:lineRule="auto"/>
      </w:pPr>
      <w:r>
        <w:t xml:space="preserve">This assignment will </w:t>
      </w:r>
      <w:r w:rsidR="00317519">
        <w:t xml:space="preserve">take as its starting point </w:t>
      </w:r>
      <w:r w:rsidR="004008D0">
        <w:t>Sidney’s</w:t>
      </w:r>
      <w:r w:rsidR="00EE58D7">
        <w:t xml:space="preserve"> </w:t>
      </w:r>
      <w:r w:rsidR="00021129">
        <w:t>description of tragedy</w:t>
      </w:r>
      <w:r w:rsidR="00381929">
        <w:t xml:space="preserve"> in the </w:t>
      </w:r>
      <w:r w:rsidR="00381929">
        <w:rPr>
          <w:i/>
          <w:iCs/>
        </w:rPr>
        <w:t xml:space="preserve">Defence of </w:t>
      </w:r>
      <w:proofErr w:type="spellStart"/>
      <w:r w:rsidR="00381929">
        <w:rPr>
          <w:i/>
          <w:iCs/>
        </w:rPr>
        <w:t>Poesie</w:t>
      </w:r>
      <w:proofErr w:type="spellEnd"/>
      <w:r w:rsidR="00021129">
        <w:t>,</w:t>
      </w:r>
    </w:p>
    <w:p w14:paraId="20350178" w14:textId="0990F9A1" w:rsidR="00021129" w:rsidRDefault="00021129" w:rsidP="00503BD2">
      <w:pPr>
        <w:spacing w:line="360" w:lineRule="auto"/>
        <w:ind w:left="720"/>
      </w:pPr>
      <w:r>
        <w:t>So that the right use of comedy will</w:t>
      </w:r>
      <w:r w:rsidR="004C042F">
        <w:t>, I think, be nobody be blamed, and much less of the high and ex</w:t>
      </w:r>
      <w:r w:rsidR="00024E6F">
        <w:t>ce</w:t>
      </w:r>
      <w:r w:rsidR="004C042F">
        <w:t>llen</w:t>
      </w:r>
      <w:r w:rsidR="00024E6F">
        <w:t>t</w:t>
      </w:r>
      <w:r w:rsidR="004C042F">
        <w:t xml:space="preserve"> Tragedy, that </w:t>
      </w:r>
      <w:proofErr w:type="spellStart"/>
      <w:r w:rsidR="004C042F">
        <w:t>openeth</w:t>
      </w:r>
      <w:proofErr w:type="spellEnd"/>
      <w:r w:rsidR="00024E6F">
        <w:t xml:space="preserve"> the greatest wounds, and </w:t>
      </w:r>
      <w:proofErr w:type="spellStart"/>
      <w:r w:rsidR="00024E6F">
        <w:t>showeth</w:t>
      </w:r>
      <w:proofErr w:type="spellEnd"/>
      <w:r w:rsidR="00024E6F">
        <w:t xml:space="preserve"> forth the ulcers that are covered with tissue.</w:t>
      </w:r>
    </w:p>
    <w:p w14:paraId="7A741B80" w14:textId="591BE551" w:rsidR="004008D0" w:rsidRPr="00096317" w:rsidRDefault="00E67A43" w:rsidP="00503BD2">
      <w:pPr>
        <w:spacing w:line="360" w:lineRule="auto"/>
      </w:pPr>
      <w:r>
        <w:t>It will examine firstly if, and then how effectively, the main female protagonists</w:t>
      </w:r>
      <w:r w:rsidR="00800CC3">
        <w:t xml:space="preserve"> function</w:t>
      </w:r>
      <w:r w:rsidR="003D15C7">
        <w:t xml:space="preserve"> as devices within the play to fulfil what Sidney suggests – that Tragedy functions as surgery</w:t>
      </w:r>
      <w:r w:rsidR="00124A53">
        <w:t xml:space="preserve">, looking firstly at </w:t>
      </w:r>
      <w:r w:rsidR="0069460A">
        <w:t xml:space="preserve">Gertrude and her relationship with </w:t>
      </w:r>
      <w:r w:rsidR="00096317" w:rsidRPr="0069460A">
        <w:t>Hamlet</w:t>
      </w:r>
      <w:r w:rsidR="00096317">
        <w:t xml:space="preserve"> and then </w:t>
      </w:r>
      <w:r w:rsidR="000705FE">
        <w:t xml:space="preserve">how the character of Volumnia </w:t>
      </w:r>
      <w:r w:rsidR="004C6FAA">
        <w:t xml:space="preserve">affects </w:t>
      </w:r>
      <w:r w:rsidR="004C6FAA">
        <w:rPr>
          <w:i/>
          <w:iCs/>
        </w:rPr>
        <w:t>Coriolanus</w:t>
      </w:r>
      <w:r w:rsidR="004C6FAA">
        <w:t xml:space="preserve"> </w:t>
      </w:r>
      <w:r w:rsidR="0066537C">
        <w:t xml:space="preserve">the play and the </w:t>
      </w:r>
      <w:r w:rsidR="00F665BC">
        <w:t>protagonist.</w:t>
      </w:r>
      <w:r w:rsidR="00096317">
        <w:tab/>
      </w:r>
    </w:p>
    <w:p w14:paraId="10FCEEFD" w14:textId="77777777" w:rsidR="00F37BD7" w:rsidRDefault="00F37BD7" w:rsidP="00503BD2">
      <w:pPr>
        <w:spacing w:line="360" w:lineRule="auto"/>
      </w:pPr>
      <w:r>
        <w:t xml:space="preserve">In examining </w:t>
      </w:r>
      <w:r w:rsidR="00793AF6">
        <w:t xml:space="preserve">Hamlet’s </w:t>
      </w:r>
      <w:r w:rsidR="001479FD">
        <w:t>opening speech in act 1 scene 2</w:t>
      </w:r>
      <w:r>
        <w:t xml:space="preserve">, </w:t>
      </w:r>
    </w:p>
    <w:p w14:paraId="275B2922" w14:textId="3DCF3658" w:rsidR="00F37BD7" w:rsidRDefault="00E567A9" w:rsidP="00503BD2">
      <w:pPr>
        <w:spacing w:after="0" w:line="360" w:lineRule="auto"/>
        <w:ind w:firstLine="720"/>
      </w:pPr>
      <w:proofErr w:type="gramStart"/>
      <w:r>
        <w:t>Oh</w:t>
      </w:r>
      <w:proofErr w:type="gramEnd"/>
      <w:r>
        <w:t xml:space="preserve"> that this too, too solid flesh would melt,</w:t>
      </w:r>
    </w:p>
    <w:p w14:paraId="2B42D417" w14:textId="3CE72C90" w:rsidR="00E567A9" w:rsidRDefault="00E567A9" w:rsidP="00503BD2">
      <w:pPr>
        <w:spacing w:after="0" w:line="360" w:lineRule="auto"/>
        <w:ind w:firstLine="720"/>
      </w:pPr>
      <w:r>
        <w:t>That</w:t>
      </w:r>
      <w:r w:rsidR="008015F9">
        <w:t>, and resolve itself into a dew</w:t>
      </w:r>
      <w:r w:rsidR="008015F9">
        <w:rPr>
          <w:rStyle w:val="FootnoteReference"/>
        </w:rPr>
        <w:footnoteReference w:id="1"/>
      </w:r>
    </w:p>
    <w:p w14:paraId="07AFC0E1" w14:textId="77777777" w:rsidR="00737CD5" w:rsidRDefault="00737CD5" w:rsidP="00503BD2">
      <w:pPr>
        <w:spacing w:line="360" w:lineRule="auto"/>
      </w:pPr>
    </w:p>
    <w:p w14:paraId="4E11E856" w14:textId="22CF59AB" w:rsidR="00C43D4C" w:rsidRDefault="00793AF6" w:rsidP="00503BD2">
      <w:pPr>
        <w:spacing w:line="360" w:lineRule="auto"/>
      </w:pPr>
      <w:r>
        <w:t xml:space="preserve">Dover Wilson </w:t>
      </w:r>
      <w:r w:rsidR="00AE04AD">
        <w:t xml:space="preserve">argues </w:t>
      </w:r>
      <w:r>
        <w:t xml:space="preserve">for ‘sullied’ rather than ‘solid’ </w:t>
      </w:r>
      <w:r w:rsidR="00AE04AD">
        <w:t xml:space="preserve">in line 129 </w:t>
      </w:r>
      <w:r>
        <w:t xml:space="preserve">and </w:t>
      </w:r>
      <w:r w:rsidR="00E771A9">
        <w:t xml:space="preserve">explores the </w:t>
      </w:r>
      <w:r>
        <w:t xml:space="preserve">implication </w:t>
      </w:r>
      <w:proofErr w:type="gramStart"/>
      <w:r w:rsidR="00E771A9">
        <w:t>in light of</w:t>
      </w:r>
      <w:proofErr w:type="gramEnd"/>
      <w:r w:rsidR="00E771A9">
        <w:t xml:space="preserve"> this </w:t>
      </w:r>
      <w:r>
        <w:t>for</w:t>
      </w:r>
      <w:r w:rsidR="00E771A9">
        <w:t xml:space="preserve"> the phrase</w:t>
      </w:r>
      <w:r>
        <w:t xml:space="preserve"> ‘incestuous sheets’ </w:t>
      </w:r>
      <w:r w:rsidR="002454BB">
        <w:t>in line 157</w:t>
      </w:r>
      <w:r w:rsidR="005C27C3">
        <w:t>, “</w:t>
      </w:r>
      <w:r w:rsidR="00F73D6E">
        <w:t>For his blood is tainted, his very flesh corrupted, by what his mother has done … The restored epithet [</w:t>
      </w:r>
      <w:r w:rsidR="00B31F38">
        <w:rPr>
          <w:i/>
          <w:iCs/>
        </w:rPr>
        <w:t>sullied</w:t>
      </w:r>
      <w:r w:rsidR="00F73D6E">
        <w:t>]</w:t>
      </w:r>
      <w:r w:rsidR="00B31F38">
        <w:t xml:space="preserve"> anticipates</w:t>
      </w:r>
      <w:r w:rsidR="00B21AB4">
        <w:t xml:space="preserve"> “incestuous sheets” at the end of the soliloquy</w:t>
      </w:r>
      <w:r w:rsidR="006627D3">
        <w:t>, and so binds the whole soliloquy together.”</w:t>
      </w:r>
      <w:r w:rsidR="006627D3">
        <w:rPr>
          <w:rStyle w:val="FootnoteReference"/>
        </w:rPr>
        <w:footnoteReference w:id="2"/>
      </w:r>
      <w:r w:rsidR="00F73D6E">
        <w:t xml:space="preserve"> </w:t>
      </w:r>
      <w:r w:rsidR="00CF76D1">
        <w:t xml:space="preserve">It is with this argument that the word ‘sullied’ </w:t>
      </w:r>
      <w:r w:rsidR="00AB1C7D">
        <w:t xml:space="preserve">emphasises the act of incest as they source of Hamlet’s anger </w:t>
      </w:r>
      <w:r w:rsidR="00C43D4C">
        <w:t xml:space="preserve">that </w:t>
      </w:r>
      <w:r>
        <w:t xml:space="preserve">Wilson also takes issue with Eliot’s complaint of deficiency </w:t>
      </w:r>
      <w:r w:rsidR="00C43D4C">
        <w:t xml:space="preserve">in the plot of Hamlet. Eliot argues that </w:t>
      </w:r>
      <w:r w:rsidR="004A4D96">
        <w:t xml:space="preserve">Hamlet lack an “objective correlative” </w:t>
      </w:r>
      <w:r w:rsidR="0055400F">
        <w:t>which can evo</w:t>
      </w:r>
      <w:r w:rsidR="00591DF5">
        <w:t>ke sufficient emotion to render the actions of a protagonist plausible. He writes that</w:t>
      </w:r>
      <w:r w:rsidR="003B3AAB">
        <w:t>,</w:t>
      </w:r>
    </w:p>
    <w:p w14:paraId="46399383" w14:textId="1843C5C8" w:rsidR="003B3AAB" w:rsidRPr="00B1071E" w:rsidRDefault="003B3AAB" w:rsidP="00503BD2">
      <w:pPr>
        <w:spacing w:line="360" w:lineRule="auto"/>
        <w:ind w:left="720"/>
      </w:pPr>
      <w:r>
        <w:lastRenderedPageBreak/>
        <w:t xml:space="preserve">The artistic </w:t>
      </w:r>
      <w:r w:rsidR="001D76B0">
        <w:t xml:space="preserve">‘inevitability’ lies in this complete adequacy of </w:t>
      </w:r>
      <w:r w:rsidR="00C30403">
        <w:t xml:space="preserve">the external to the emotion; and that is precisely what is deficient in </w:t>
      </w:r>
      <w:r w:rsidR="00C30403">
        <w:rPr>
          <w:i/>
          <w:iCs/>
        </w:rPr>
        <w:t>Hamlet</w:t>
      </w:r>
      <w:r w:rsidR="00C30403">
        <w:t xml:space="preserve">. Hamlet (the man) is dominated by an emotion </w:t>
      </w:r>
      <w:r w:rsidR="00B1071E">
        <w:t xml:space="preserve">which is inexpressible, because it is </w:t>
      </w:r>
      <w:proofErr w:type="gramStart"/>
      <w:r w:rsidR="00B1071E">
        <w:t xml:space="preserve">in </w:t>
      </w:r>
      <w:r w:rsidR="00B1071E">
        <w:rPr>
          <w:i/>
          <w:iCs/>
        </w:rPr>
        <w:t>excess</w:t>
      </w:r>
      <w:r w:rsidR="00B1071E">
        <w:t xml:space="preserve"> of</w:t>
      </w:r>
      <w:proofErr w:type="gramEnd"/>
      <w:r w:rsidR="00B1071E">
        <w:t xml:space="preserve"> the facts as they appear.</w:t>
      </w:r>
      <w:r w:rsidR="00B1071E">
        <w:rPr>
          <w:rStyle w:val="FootnoteReference"/>
        </w:rPr>
        <w:footnoteReference w:id="3"/>
      </w:r>
    </w:p>
    <w:p w14:paraId="61A68A1C" w14:textId="47FC9BBD" w:rsidR="00C43D4C" w:rsidRDefault="008F1491" w:rsidP="00503BD2">
      <w:pPr>
        <w:spacing w:line="360" w:lineRule="auto"/>
      </w:pPr>
      <w:r>
        <w:t xml:space="preserve">Wilson responds to this by pointing to the </w:t>
      </w:r>
      <w:r w:rsidR="004D4519">
        <w:t>“fact of incest” arguing that had he done so he “</w:t>
      </w:r>
      <w:r w:rsidR="00E9721F">
        <w:t xml:space="preserve">could </w:t>
      </w:r>
      <w:r w:rsidR="004D4519">
        <w:t xml:space="preserve">hardly </w:t>
      </w:r>
      <w:r w:rsidR="00E9721F">
        <w:t xml:space="preserve">have </w:t>
      </w:r>
      <w:r w:rsidR="00FE3126">
        <w:t>declared</w:t>
      </w:r>
      <w:r w:rsidR="00E9721F">
        <w:t xml:space="preserve"> the play ‘an artistic failure’.”</w:t>
      </w:r>
      <w:r w:rsidR="00E9721F">
        <w:rPr>
          <w:rStyle w:val="FootnoteReference"/>
        </w:rPr>
        <w:footnoteReference w:id="4"/>
      </w:r>
    </w:p>
    <w:p w14:paraId="12882A05" w14:textId="53293C9A" w:rsidR="003D4D52" w:rsidRDefault="008F0B7A" w:rsidP="00503BD2">
      <w:pPr>
        <w:spacing w:line="360" w:lineRule="auto"/>
      </w:pPr>
      <w:r>
        <w:t xml:space="preserve">Further justification for </w:t>
      </w:r>
      <w:r w:rsidR="00E46DA2">
        <w:t>adequacy of the artistic justification in</w:t>
      </w:r>
      <w:r w:rsidR="00D72D3C">
        <w:t xml:space="preserve"> </w:t>
      </w:r>
      <w:r w:rsidR="00E46DA2">
        <w:t>Haml</w:t>
      </w:r>
      <w:r w:rsidR="00D72D3C">
        <w:t>e</w:t>
      </w:r>
      <w:r w:rsidR="00E46DA2">
        <w:t xml:space="preserve">t’s emotional reaction can be seen in </w:t>
      </w:r>
      <w:r w:rsidR="000368FD">
        <w:t>A. C.</w:t>
      </w:r>
      <w:r w:rsidR="0026152E">
        <w:t xml:space="preserve"> </w:t>
      </w:r>
      <w:r w:rsidR="00793AF6">
        <w:t>Bradley</w:t>
      </w:r>
      <w:r w:rsidR="00E46DA2">
        <w:t>’s</w:t>
      </w:r>
      <w:r w:rsidR="00793AF6">
        <w:t xml:space="preserve"> </w:t>
      </w:r>
      <w:r w:rsidR="00E46DA2">
        <w:t>argument</w:t>
      </w:r>
      <w:r w:rsidR="00793AF6">
        <w:t xml:space="preserve"> that </w:t>
      </w:r>
      <w:r w:rsidR="00EB1D8A">
        <w:t xml:space="preserve">“the most natural </w:t>
      </w:r>
      <w:r w:rsidR="00D72D3C">
        <w:t>interpretation</w:t>
      </w:r>
      <w:r w:rsidR="00EB1D8A">
        <w:t xml:space="preserve">” of </w:t>
      </w:r>
      <w:r w:rsidR="00793AF6">
        <w:t xml:space="preserve">the words of the Ghost </w:t>
      </w:r>
      <w:r w:rsidR="00BC3EA8">
        <w:t xml:space="preserve">points </w:t>
      </w:r>
      <w:r w:rsidR="00793AF6">
        <w:t>to Claudius and Gertrude conducting an affair while Old Hamlet was alive</w:t>
      </w:r>
      <w:r w:rsidR="00BC3EA8">
        <w:t xml:space="preserve">, as is portrayed in the playlet, </w:t>
      </w:r>
      <w:r w:rsidR="00BC3EA8">
        <w:rPr>
          <w:i/>
          <w:iCs/>
        </w:rPr>
        <w:t xml:space="preserve">The Murder of </w:t>
      </w:r>
      <w:proofErr w:type="spellStart"/>
      <w:r w:rsidR="00BC3EA8">
        <w:rPr>
          <w:i/>
          <w:iCs/>
        </w:rPr>
        <w:t>Gonzago</w:t>
      </w:r>
      <w:proofErr w:type="spellEnd"/>
      <w:r w:rsidR="00BC3EA8">
        <w:t xml:space="preserve"> in</w:t>
      </w:r>
      <w:r w:rsidR="00657BA2">
        <w:t xml:space="preserve"> Act 3 scene 2.</w:t>
      </w:r>
      <w:r w:rsidR="00657BA2">
        <w:rPr>
          <w:rStyle w:val="FootnoteReference"/>
        </w:rPr>
        <w:footnoteReference w:id="5"/>
      </w:r>
      <w:r w:rsidR="00657BA2">
        <w:t xml:space="preserve"> </w:t>
      </w:r>
      <w:r w:rsidR="00793AF6">
        <w:t xml:space="preserve">Jacqueline Rose initially </w:t>
      </w:r>
      <w:r w:rsidR="00484ECD">
        <w:t xml:space="preserve">appears to agree with </w:t>
      </w:r>
      <w:r w:rsidR="00793AF6">
        <w:t>Eliot</w:t>
      </w:r>
      <w:r w:rsidR="000D3DAD">
        <w:t>’s position</w:t>
      </w:r>
      <w:r w:rsidR="00793AF6">
        <w:t>, arguing that the problem of a lack of an objective correlative is placed upon the character of Gertrude, “who thus deprives not only her son, but also the play, of proper emotional support.”</w:t>
      </w:r>
      <w:r w:rsidR="000D3DAD">
        <w:rPr>
          <w:rStyle w:val="FootnoteReference"/>
        </w:rPr>
        <w:footnoteReference w:id="6"/>
      </w:r>
      <w:r w:rsidR="00793AF6">
        <w:t xml:space="preserve"> This </w:t>
      </w:r>
      <w:r w:rsidR="008C5512">
        <w:t xml:space="preserve">goes to the very </w:t>
      </w:r>
      <w:r w:rsidR="006940F9">
        <w:t>root of the question of</w:t>
      </w:r>
      <w:r w:rsidR="00793AF6">
        <w:t xml:space="preserve"> how effective the relationship between Gertrude and Hamlet is in aiding what Sidney is describing in the title of this assignment. If there is an insufficient ‘objective correlative’ as Eliot proposes then Gertrude’s role in the play fails and, arguably, the surgery which Sidney ascribes to successful tragedy also fails. </w:t>
      </w:r>
      <w:r w:rsidR="00FF6654">
        <w:t xml:space="preserve">However, </w:t>
      </w:r>
      <w:r w:rsidR="0048048D">
        <w:t xml:space="preserve">as seen from the arguments outlined from Bradley, </w:t>
      </w:r>
      <w:r w:rsidR="00183A6B">
        <w:t>Wilson,</w:t>
      </w:r>
      <w:r w:rsidR="009E5BE5">
        <w:t xml:space="preserve"> and from</w:t>
      </w:r>
      <w:r w:rsidR="00183A6B">
        <w:t xml:space="preserve"> </w:t>
      </w:r>
      <w:r w:rsidR="0048048D">
        <w:t>Rose</w:t>
      </w:r>
      <w:r w:rsidR="00183A6B">
        <w:t xml:space="preserve"> and others below, Eliot’s position is </w:t>
      </w:r>
      <w:r w:rsidR="003D4D52">
        <w:t>a minority one, albeit influential.</w:t>
      </w:r>
    </w:p>
    <w:p w14:paraId="022B3CB9" w14:textId="77777777" w:rsidR="00A82967" w:rsidRDefault="009E5BE5" w:rsidP="00503BD2">
      <w:pPr>
        <w:spacing w:line="360" w:lineRule="auto"/>
      </w:pPr>
      <w:r>
        <w:t xml:space="preserve">Jacqueline </w:t>
      </w:r>
      <w:r w:rsidR="00793AF6">
        <w:t>Rose moves away from</w:t>
      </w:r>
      <w:r>
        <w:t xml:space="preserve"> laying out arguments sympathetic to Eliot </w:t>
      </w:r>
      <w:r w:rsidR="001D7DA2">
        <w:t xml:space="preserve">and towards interrogating </w:t>
      </w:r>
      <w:r w:rsidR="00E5158E">
        <w:t>the structural problem of Eliot’s position (and the position posed by the assignment title</w:t>
      </w:r>
      <w:r w:rsidR="001D7DA2">
        <w:t xml:space="preserve"> which makes the same assumption of the female characters</w:t>
      </w:r>
      <w:r w:rsidR="00E5158E">
        <w:t>)</w:t>
      </w:r>
      <w:r w:rsidR="001D7DA2">
        <w:t xml:space="preserve">, </w:t>
      </w:r>
    </w:p>
    <w:p w14:paraId="17E82A2E" w14:textId="32EAC48C" w:rsidR="00A82967" w:rsidRDefault="00E5158E" w:rsidP="00503BD2">
      <w:pPr>
        <w:spacing w:line="360" w:lineRule="auto"/>
        <w:ind w:left="720"/>
      </w:pPr>
      <w:r>
        <w:t xml:space="preserve">What requires explanation, therefore, is not that Gertrude is an inadequate object for the emotions generated in the play, but the fact she is expected to support them. Hamlet’s horror at Gertrude (like the horror Eliot sees behind the play) makes her a focus for the set of ills which the drama shows as exceeding </w:t>
      </w:r>
      <w:r w:rsidR="00A82967">
        <w:t>t</w:t>
      </w:r>
      <w:r>
        <w:t xml:space="preserve">he woman </w:t>
      </w:r>
      <w:r>
        <w:rPr>
          <w:i/>
          <w:iCs/>
        </w:rPr>
        <w:t>at the same time</w:t>
      </w:r>
      <w:r>
        <w:t xml:space="preserve"> as it makes of her their cause.</w:t>
      </w:r>
      <w:r w:rsidR="001150D1">
        <w:rPr>
          <w:rStyle w:val="FootnoteReference"/>
        </w:rPr>
        <w:footnoteReference w:id="7"/>
      </w:r>
      <w:r>
        <w:t xml:space="preserve"> </w:t>
      </w:r>
    </w:p>
    <w:p w14:paraId="69434436" w14:textId="2EAF9E24" w:rsidR="007D5584" w:rsidRDefault="00E5158E" w:rsidP="00503BD2">
      <w:pPr>
        <w:spacing w:line="360" w:lineRule="auto"/>
      </w:pPr>
      <w:r>
        <w:t xml:space="preserve">This simultaneous blaming of Gertrude for the apparent inadequacy whilst also expecting the character to support the emotional thrust is, arguably, a fictive demonstration of the feminist critique of emotional labour. The burden of caring is placed upon the female character and the </w:t>
      </w:r>
      <w:r>
        <w:lastRenderedPageBreak/>
        <w:t xml:space="preserve">failure to carry this within the play also allows the spectator (in the form of the </w:t>
      </w:r>
      <w:r w:rsidR="00E4443A">
        <w:t xml:space="preserve">reader, audience members, or </w:t>
      </w:r>
      <w:r>
        <w:t>literary cr</w:t>
      </w:r>
      <w:r w:rsidR="00E4443A">
        <w:t>it</w:t>
      </w:r>
      <w:r>
        <w:t>ic) to blame that same character for the plays apparent inadequacies.</w:t>
      </w:r>
      <w:r>
        <w:tab/>
      </w:r>
      <w:r>
        <w:t xml:space="preserve"> </w:t>
      </w:r>
    </w:p>
    <w:p w14:paraId="625DF7FF" w14:textId="77777777" w:rsidR="00F51920" w:rsidRDefault="001967C7" w:rsidP="00503BD2">
      <w:pPr>
        <w:spacing w:line="360" w:lineRule="auto"/>
      </w:pPr>
      <w:r>
        <w:t xml:space="preserve">However, the question as to whether Gertrude is the source of Hamlet’s </w:t>
      </w:r>
      <w:r w:rsidR="005C2E35">
        <w:t>melancholy, and the driving force that moves the plot towards the tragic conclusion of the play</w:t>
      </w:r>
      <w:r w:rsidR="00D759A8">
        <w:t xml:space="preserve"> </w:t>
      </w:r>
      <w:proofErr w:type="gramStart"/>
      <w:r w:rsidR="00D759A8">
        <w:t>still remains</w:t>
      </w:r>
      <w:proofErr w:type="gramEnd"/>
      <w:r w:rsidR="00D759A8">
        <w:t xml:space="preserve">. </w:t>
      </w:r>
      <w:r w:rsidR="006C7174">
        <w:t xml:space="preserve">Rebecca Smith argues that Gertrude, “is </w:t>
      </w:r>
      <w:r w:rsidR="00AA1DD5">
        <w:t>a stimulus for and object of violent emotio</w:t>
      </w:r>
      <w:r w:rsidR="002467E1">
        <w:t>nal reactions in the ghost, Hamlet, and Claudius, all of whom offer</w:t>
      </w:r>
      <w:r w:rsidR="00AA6C53">
        <w:t xml:space="preserve"> extreme descriptions of her.”</w:t>
      </w:r>
      <w:r w:rsidR="00AA6C53">
        <w:rPr>
          <w:rStyle w:val="FootnoteReference"/>
        </w:rPr>
        <w:footnoteReference w:id="8"/>
      </w:r>
      <w:r w:rsidR="007F58D1">
        <w:t xml:space="preserve"> A. C. Bradley </w:t>
      </w:r>
      <w:r w:rsidR="00B438DB">
        <w:t xml:space="preserve">accounts Hamlet’s behaviour to </w:t>
      </w:r>
      <w:r w:rsidR="00E41BE8">
        <w:t xml:space="preserve">the </w:t>
      </w:r>
      <w:r w:rsidR="00F51DED">
        <w:t xml:space="preserve">revelation of the ghost, </w:t>
      </w:r>
      <w:r w:rsidR="00BA6544">
        <w:t xml:space="preserve">“It was the </w:t>
      </w:r>
      <w:r w:rsidR="00FB1E68">
        <w:t>moral shock of the sudden ghostly disclosure of his mother’s true nature</w:t>
      </w:r>
      <w:r w:rsidR="00C52DB4">
        <w:t>,”</w:t>
      </w:r>
      <w:r w:rsidR="00C52DB4">
        <w:rPr>
          <w:rStyle w:val="FootnoteReference"/>
        </w:rPr>
        <w:footnoteReference w:id="9"/>
      </w:r>
      <w:r w:rsidR="00060BE4">
        <w:t xml:space="preserve"> arguing that the corroboration of </w:t>
      </w:r>
      <w:r w:rsidR="007E33C6">
        <w:t xml:space="preserve">the ghost </w:t>
      </w:r>
      <w:r w:rsidR="00196EAC">
        <w:t xml:space="preserve">is the </w:t>
      </w:r>
      <w:r w:rsidR="004008BE">
        <w:t>point in the play</w:t>
      </w:r>
      <w:r w:rsidR="00827554">
        <w:t xml:space="preserve"> which </w:t>
      </w:r>
      <w:r w:rsidR="00480818">
        <w:t xml:space="preserve">drives Hamlet to the state </w:t>
      </w:r>
      <w:r w:rsidR="000F3B64">
        <w:t xml:space="preserve">we see in the rest of the play. This doesn’t answer the question as to whether Gertrude herself </w:t>
      </w:r>
      <w:proofErr w:type="gramStart"/>
      <w:r w:rsidR="000F3B64">
        <w:t>is the tool</w:t>
      </w:r>
      <w:proofErr w:type="gramEnd"/>
      <w:r w:rsidR="000F3B64">
        <w:t xml:space="preserve"> used in the play to move it towards the tragic conclusion, </w:t>
      </w:r>
      <w:r w:rsidR="000F087D">
        <w:t>or whether it is the allegation of the ghost</w:t>
      </w:r>
      <w:r w:rsidR="00421D5C">
        <w:t xml:space="preserve"> concerning Gertrude, separate from the character herself.</w:t>
      </w:r>
      <w:r w:rsidR="00B12D11">
        <w:t xml:space="preserve"> </w:t>
      </w:r>
    </w:p>
    <w:p w14:paraId="796C006E" w14:textId="2E8241F9" w:rsidR="00E83DA4" w:rsidRDefault="00F51920" w:rsidP="00503BD2">
      <w:pPr>
        <w:spacing w:line="360" w:lineRule="auto"/>
      </w:pPr>
      <w:r>
        <w:t>This argument</w:t>
      </w:r>
      <w:r w:rsidR="00B12D11">
        <w:t xml:space="preserve"> also </w:t>
      </w:r>
      <w:proofErr w:type="gramStart"/>
      <w:r w:rsidR="00B12D11">
        <w:t>doesn’t</w:t>
      </w:r>
      <w:proofErr w:type="gramEnd"/>
      <w:r w:rsidR="00B12D11">
        <w:t xml:space="preserve"> explain the reason for Hamlet’s delay in following through with the </w:t>
      </w:r>
      <w:r w:rsidR="00E83DA4">
        <w:t>commission from the ghost.</w:t>
      </w:r>
      <w:r>
        <w:t xml:space="preserve"> </w:t>
      </w:r>
      <w:r w:rsidR="00A465B3">
        <w:t>Terry Eagleton</w:t>
      </w:r>
      <w:r w:rsidR="00542917">
        <w:t xml:space="preserve"> traces the delay to the sexual revulsion </w:t>
      </w:r>
      <w:r w:rsidR="00AF1562">
        <w:t xml:space="preserve">Hamlet </w:t>
      </w:r>
      <w:r w:rsidR="00C676A1">
        <w:t>experiences at the prospect of his mother in a new sexual relationship with Claudius</w:t>
      </w:r>
      <w:r w:rsidR="008305CF">
        <w:t>, leading to an inability to act, “His attachment to his mother</w:t>
      </w:r>
      <w:r w:rsidR="00D537C0">
        <w:t xml:space="preserve"> fragments his being into an unfillable desire which, since it s</w:t>
      </w:r>
      <w:r w:rsidR="00244F9E">
        <w:t>werves around all determinate objects …cannot be represented other than as lack.”</w:t>
      </w:r>
      <w:r w:rsidR="00244F9E">
        <w:rPr>
          <w:rStyle w:val="FootnoteReference"/>
        </w:rPr>
        <w:footnoteReference w:id="10"/>
      </w:r>
    </w:p>
    <w:p w14:paraId="3E0F2BEA" w14:textId="7474FBB4" w:rsidR="00850600" w:rsidRDefault="009950C3" w:rsidP="00503BD2">
      <w:pPr>
        <w:spacing w:line="360" w:lineRule="auto"/>
      </w:pPr>
      <w:r>
        <w:t xml:space="preserve">However, </w:t>
      </w:r>
      <w:r w:rsidR="001024D3">
        <w:t xml:space="preserve">Eagleton </w:t>
      </w:r>
      <w:proofErr w:type="gramStart"/>
      <w:r w:rsidR="001024D3">
        <w:t>doesn’t</w:t>
      </w:r>
      <w:proofErr w:type="gramEnd"/>
      <w:r w:rsidR="001024D3">
        <w:t xml:space="preserve"> question whether Gertrude is </w:t>
      </w:r>
      <w:r w:rsidR="00651D25">
        <w:t xml:space="preserve">the sexual, lustful character Hamlet portrays her as in the closet scene. </w:t>
      </w:r>
      <w:r w:rsidR="008F668B">
        <w:t>Rebecca Smith</w:t>
      </w:r>
      <w:r w:rsidR="0036644A">
        <w:t xml:space="preserve"> writes that there is </w:t>
      </w:r>
      <w:r w:rsidR="00C0049C">
        <w:t xml:space="preserve">“little proof for the interpretation </w:t>
      </w:r>
      <w:r w:rsidR="00305A9E">
        <w:t xml:space="preserve">of Gertrude </w:t>
      </w:r>
      <w:r w:rsidR="002D75FF">
        <w:t>as guileful and carnal woman emerges from her other textually implicit actions</w:t>
      </w:r>
      <w:r w:rsidR="001E0DCE">
        <w:t xml:space="preserve">, as, for example, when she sorrowfully directs the attention of Polonius and Claudius </w:t>
      </w:r>
      <w:r w:rsidR="008569DC">
        <w:t>to Hamlet</w:t>
      </w:r>
      <w:r w:rsidR="00B87F7E">
        <w:t>.”</w:t>
      </w:r>
      <w:r w:rsidR="0098781F">
        <w:t xml:space="preserve"> She also points out that, “</w:t>
      </w:r>
      <w:r w:rsidR="008B6591">
        <w:t xml:space="preserve">the text never </w:t>
      </w:r>
      <w:r w:rsidR="00CA25C9">
        <w:t xml:space="preserve">states or </w:t>
      </w:r>
      <w:r w:rsidR="008B6591">
        <w:t>implies</w:t>
      </w:r>
      <w:r w:rsidR="00CA25C9">
        <w:t xml:space="preserve"> that Gertrude gives or receives the wanton pinches … that so </w:t>
      </w:r>
      <w:r w:rsidR="00B37543">
        <w:t xml:space="preserve">obsess, enrages, and disgust the imaginations of Hamlet </w:t>
      </w:r>
      <w:r w:rsidR="00586E7B">
        <w:t>and the ghost.”</w:t>
      </w:r>
    </w:p>
    <w:p w14:paraId="5AD9785C" w14:textId="460BC0D6" w:rsidR="00F30AB8" w:rsidRDefault="00225007" w:rsidP="00503BD2">
      <w:pPr>
        <w:spacing w:line="360" w:lineRule="auto"/>
      </w:pPr>
      <w:r>
        <w:t xml:space="preserve">Hamlet’s imagination </w:t>
      </w:r>
      <w:r w:rsidR="00317345">
        <w:t xml:space="preserve">drives the imagery in the opening soliloquy, especially the </w:t>
      </w:r>
      <w:r w:rsidR="00B37652">
        <w:t>“</w:t>
      </w:r>
      <w:proofErr w:type="spellStart"/>
      <w:r w:rsidR="00B37652">
        <w:t>unweeded</w:t>
      </w:r>
      <w:proofErr w:type="spellEnd"/>
      <w:r w:rsidR="00B37652">
        <w:t xml:space="preserve"> garden” </w:t>
      </w:r>
      <w:r w:rsidR="00C91008">
        <w:t xml:space="preserve">containing “things rank and gross in nature” and his </w:t>
      </w:r>
      <w:r w:rsidR="00391F85">
        <w:t xml:space="preserve">imaginings of “incestuous sheets”. </w:t>
      </w:r>
      <w:r w:rsidR="0023669D">
        <w:t>Th</w:t>
      </w:r>
      <w:r w:rsidR="00391F85">
        <w:t>is</w:t>
      </w:r>
      <w:r w:rsidR="0023669D">
        <w:t xml:space="preserve"> image of the g</w:t>
      </w:r>
      <w:r w:rsidR="006908BC">
        <w:t xml:space="preserve">arden </w:t>
      </w:r>
      <w:r w:rsidR="00D36575">
        <w:t xml:space="preserve">suggests the common idea of the </w:t>
      </w:r>
      <w:r w:rsidR="006908BC">
        <w:t xml:space="preserve">‘walled garden’ </w:t>
      </w:r>
      <w:r w:rsidR="003306EB">
        <w:t>metaphor</w:t>
      </w:r>
      <w:r w:rsidR="003306EB">
        <w:rPr>
          <w:rStyle w:val="FootnoteReference"/>
        </w:rPr>
        <w:footnoteReference w:id="11"/>
      </w:r>
      <w:r w:rsidR="00D36575">
        <w:t xml:space="preserve">. </w:t>
      </w:r>
      <w:r w:rsidR="00E472CC">
        <w:t xml:space="preserve">One possible interpretation </w:t>
      </w:r>
      <w:r w:rsidR="00025C27">
        <w:t xml:space="preserve">of the garden reference in Halet’s speech </w:t>
      </w:r>
      <w:r w:rsidR="00E472CC">
        <w:t xml:space="preserve">is that the garden represented the faithful love </w:t>
      </w:r>
      <w:r w:rsidR="005F6BB7">
        <w:t xml:space="preserve">that </w:t>
      </w:r>
      <w:r w:rsidR="006908BC">
        <w:t xml:space="preserve">was the marriage </w:t>
      </w:r>
      <w:r w:rsidR="005F6BB7">
        <w:t xml:space="preserve">between </w:t>
      </w:r>
      <w:r w:rsidR="006908BC">
        <w:t>Old Hamlet and Gertrude</w:t>
      </w:r>
      <w:r w:rsidR="005F6BB7">
        <w:t xml:space="preserve">. This would suggest that by </w:t>
      </w:r>
      <w:r w:rsidR="006908BC">
        <w:t>permitt</w:t>
      </w:r>
      <w:r w:rsidR="005F6BB7">
        <w:t>ing</w:t>
      </w:r>
      <w:r w:rsidR="006908BC">
        <w:t xml:space="preserve"> </w:t>
      </w:r>
      <w:r w:rsidR="005F6BB7">
        <w:lastRenderedPageBreak/>
        <w:t xml:space="preserve">Claudius to </w:t>
      </w:r>
      <w:r w:rsidR="00411D45">
        <w:t xml:space="preserve">enter this Garden, or by abandoning it for pleasures elsewhere with Claudius, </w:t>
      </w:r>
      <w:r w:rsidR="006908BC">
        <w:t xml:space="preserve">Gertrude </w:t>
      </w:r>
      <w:r w:rsidR="00411D45">
        <w:t>negle</w:t>
      </w:r>
      <w:r w:rsidR="00DF0A51">
        <w:t xml:space="preserve">cts it allowing it to fall into </w:t>
      </w:r>
      <w:r w:rsidR="006908BC">
        <w:t>to ruin</w:t>
      </w:r>
      <w:r w:rsidR="009F6A5C">
        <w:t>.</w:t>
      </w:r>
      <w:r w:rsidR="006908BC">
        <w:t xml:space="preserve"> </w:t>
      </w:r>
      <w:r w:rsidR="00DF0A51">
        <w:t xml:space="preserve">In </w:t>
      </w:r>
      <w:proofErr w:type="gramStart"/>
      <w:r w:rsidR="00DF0A51">
        <w:rPr>
          <w:i/>
          <w:iCs/>
        </w:rPr>
        <w:t>The</w:t>
      </w:r>
      <w:proofErr w:type="gramEnd"/>
      <w:r w:rsidR="00DF0A51">
        <w:rPr>
          <w:i/>
          <w:iCs/>
        </w:rPr>
        <w:t xml:space="preserve"> Allegory of </w:t>
      </w:r>
      <w:r w:rsidR="00DF0A51" w:rsidRPr="00DF0A51">
        <w:rPr>
          <w:i/>
          <w:iCs/>
        </w:rPr>
        <w:t>Love</w:t>
      </w:r>
      <w:r w:rsidR="00DF0A51">
        <w:t xml:space="preserve"> C.S. </w:t>
      </w:r>
      <w:r w:rsidR="006908BC" w:rsidRPr="00DF0A51">
        <w:t>Lewis</w:t>
      </w:r>
      <w:r w:rsidR="006908BC">
        <w:t xml:space="preserve"> </w:t>
      </w:r>
      <w:r w:rsidR="0004359D">
        <w:t xml:space="preserve">discusses the metaphor of </w:t>
      </w:r>
      <w:r w:rsidR="006908BC">
        <w:t>the garden</w:t>
      </w:r>
      <w:r w:rsidR="0004359D">
        <w:t xml:space="preserve"> in Western literature in which firstly the garden, and the flowers of the garden (such as </w:t>
      </w:r>
      <w:r w:rsidR="006908BC">
        <w:t xml:space="preserve">the rose </w:t>
      </w:r>
      <w:r w:rsidR="0004359D">
        <w:t xml:space="preserve">in </w:t>
      </w:r>
      <w:r w:rsidR="00164AD9">
        <w:rPr>
          <w:i/>
          <w:iCs/>
        </w:rPr>
        <w:t xml:space="preserve">Le Roman de la </w:t>
      </w:r>
      <w:r w:rsidR="00164AD9" w:rsidRPr="00164AD9">
        <w:t>Rose</w:t>
      </w:r>
      <w:r w:rsidR="00164AD9">
        <w:t xml:space="preserve">) as a </w:t>
      </w:r>
      <w:r w:rsidR="006908BC">
        <w:t xml:space="preserve">metaphor for </w:t>
      </w:r>
      <w:r w:rsidR="00164AD9">
        <w:t xml:space="preserve">the </w:t>
      </w:r>
      <w:r w:rsidR="006908BC">
        <w:t>female body and from that female sexuality</w:t>
      </w:r>
      <w:r w:rsidR="00164AD9">
        <w:t>.</w:t>
      </w:r>
      <w:r w:rsidR="00164AD9">
        <w:rPr>
          <w:rStyle w:val="FootnoteReference"/>
        </w:rPr>
        <w:footnoteReference w:id="12"/>
      </w:r>
      <w:r w:rsidR="00164AD9">
        <w:t xml:space="preserve"> </w:t>
      </w:r>
    </w:p>
    <w:p w14:paraId="1DA8E95C" w14:textId="0097C4DD" w:rsidR="006908BC" w:rsidRDefault="004E4731" w:rsidP="00503BD2">
      <w:pPr>
        <w:spacing w:line="360" w:lineRule="auto"/>
      </w:pPr>
      <w:r>
        <w:t xml:space="preserve">Janet </w:t>
      </w:r>
      <w:r w:rsidR="006908BC">
        <w:t xml:space="preserve">Adelman </w:t>
      </w:r>
      <w:r>
        <w:t xml:space="preserve">in </w:t>
      </w:r>
      <w:r w:rsidR="00F20C12">
        <w:rPr>
          <w:i/>
          <w:iCs/>
        </w:rPr>
        <w:t>Suffocating</w:t>
      </w:r>
      <w:r>
        <w:rPr>
          <w:i/>
          <w:iCs/>
        </w:rPr>
        <w:t xml:space="preserve"> </w:t>
      </w:r>
      <w:r w:rsidRPr="004E4731">
        <w:rPr>
          <w:i/>
          <w:iCs/>
        </w:rPr>
        <w:t>Mothers</w:t>
      </w:r>
      <w:r>
        <w:t xml:space="preserve"> </w:t>
      </w:r>
      <w:r w:rsidR="006908BC">
        <w:t xml:space="preserve">argues </w:t>
      </w:r>
      <w:r>
        <w:t xml:space="preserve">that the garden represents </w:t>
      </w:r>
      <w:r w:rsidR="00F84429">
        <w:t xml:space="preserve">the </w:t>
      </w:r>
      <w:r w:rsidR="0062572B">
        <w:t>“</w:t>
      </w:r>
      <w:r w:rsidR="00F84429">
        <w:t>Virgin Mother”</w:t>
      </w:r>
      <w:r w:rsidR="0062572B">
        <w:rPr>
          <w:rStyle w:val="FootnoteReference"/>
        </w:rPr>
        <w:footnoteReference w:id="13"/>
      </w:r>
      <w:r w:rsidR="009C7CAD">
        <w:t xml:space="preserve"> and the neglect of this chaste and (from Hamlet’s perspective) acceptable form of sexuality</w:t>
      </w:r>
      <w:r w:rsidR="00B95840">
        <w:t xml:space="preserve"> results in the garden being untended, </w:t>
      </w:r>
      <w:r w:rsidR="006908BC">
        <w:t xml:space="preserve">‘full of seed’ </w:t>
      </w:r>
      <w:r w:rsidR="00B95840">
        <w:t xml:space="preserve">and </w:t>
      </w:r>
      <w:r w:rsidR="006908BC">
        <w:t>growing ranker if ‘sexuality is not curbed’</w:t>
      </w:r>
      <w:r w:rsidR="00F20C12">
        <w:rPr>
          <w:rStyle w:val="FootnoteReference"/>
        </w:rPr>
        <w:footnoteReference w:id="14"/>
      </w:r>
      <w:r w:rsidR="006908BC">
        <w:t xml:space="preserve">.  </w:t>
      </w:r>
      <w:r w:rsidR="00F20C12">
        <w:t>Th</w:t>
      </w:r>
      <w:r w:rsidR="00C25654">
        <w:t>at in this speech the</w:t>
      </w:r>
      <w:r w:rsidR="00F20C12">
        <w:t xml:space="preserve"> </w:t>
      </w:r>
      <w:r w:rsidR="00C25654">
        <w:t xml:space="preserve">classic feminist dichotomy of angel or whore can be </w:t>
      </w:r>
      <w:r w:rsidR="004069E8">
        <w:t xml:space="preserve">seen </w:t>
      </w:r>
      <w:r w:rsidR="00C25654">
        <w:t>is reinforced</w:t>
      </w:r>
      <w:r w:rsidR="004069E8">
        <w:t xml:space="preserve"> by Jacqueline Rose who,</w:t>
      </w:r>
      <w:r w:rsidR="00C25654">
        <w:t xml:space="preserve"> </w:t>
      </w:r>
      <w:proofErr w:type="gramStart"/>
      <w:r w:rsidR="004069E8">
        <w:t>i</w:t>
      </w:r>
      <w:r w:rsidR="006908BC">
        <w:t>n reference to</w:t>
      </w:r>
      <w:proofErr w:type="gramEnd"/>
      <w:r w:rsidR="006908BC">
        <w:t xml:space="preserve"> Gertrude, writes that, “the central woman character finds herself accused … of too much sexuality.”</w:t>
      </w:r>
      <w:r w:rsidR="00224DB1">
        <w:rPr>
          <w:rStyle w:val="FootnoteReference"/>
        </w:rPr>
        <w:footnoteReference w:id="15"/>
      </w:r>
      <w:r w:rsidR="00D60BAA">
        <w:t xml:space="preserve"> </w:t>
      </w:r>
      <w:r w:rsidR="00C73C9F">
        <w:t>T</w:t>
      </w:r>
      <w:r w:rsidR="00D60BAA">
        <w:t xml:space="preserve">his speech occurs before the </w:t>
      </w:r>
      <w:r w:rsidR="008A0397">
        <w:t xml:space="preserve">appearance of </w:t>
      </w:r>
      <w:r w:rsidR="002F5E3F">
        <w:t>the ghost of his father</w:t>
      </w:r>
      <w:r w:rsidR="00C73C9F">
        <w:t xml:space="preserve"> and</w:t>
      </w:r>
      <w:r w:rsidR="002F5E3F">
        <w:t xml:space="preserve"> Hamlet places the blame for his melancholy upon </w:t>
      </w:r>
      <w:r w:rsidR="00FD79DE">
        <w:t>what he sees as his mother’s disordered sexuality</w:t>
      </w:r>
      <w:r w:rsidR="00B81EC2">
        <w:t xml:space="preserve">, something that he returns to </w:t>
      </w:r>
      <w:r w:rsidR="00C42320">
        <w:t xml:space="preserve">in what may be his added lines in </w:t>
      </w:r>
      <w:r w:rsidR="00B81EC2">
        <w:t xml:space="preserve">the Murder of </w:t>
      </w:r>
      <w:proofErr w:type="spellStart"/>
      <w:r w:rsidR="00B81EC2">
        <w:t>Gonzago</w:t>
      </w:r>
      <w:proofErr w:type="spellEnd"/>
      <w:r w:rsidR="00C42320">
        <w:t xml:space="preserve"> play and in the subsequent closet scene</w:t>
      </w:r>
      <w:r w:rsidR="00704821">
        <w:t xml:space="preserve">. IN both scenes Hamlet </w:t>
      </w:r>
      <w:r w:rsidR="008722F7">
        <w:t xml:space="preserve">places the culpability for his father’s murder upon Gertrude. </w:t>
      </w:r>
      <w:r w:rsidR="00255B3E">
        <w:t xml:space="preserve">The disordered sexuality of adultery, unfaithfulness, and potentially incest (as </w:t>
      </w:r>
      <w:r w:rsidR="00587B7D">
        <w:t xml:space="preserve">discussed </w:t>
      </w:r>
      <w:proofErr w:type="gramStart"/>
      <w:r w:rsidR="00587B7D">
        <w:t>in reference to</w:t>
      </w:r>
      <w:proofErr w:type="gramEnd"/>
      <w:r w:rsidR="00587B7D">
        <w:t xml:space="preserve"> </w:t>
      </w:r>
      <w:r w:rsidR="00255B3E">
        <w:t>Dover Wilson</w:t>
      </w:r>
      <w:r w:rsidR="00587B7D">
        <w:t>’s arguments above</w:t>
      </w:r>
      <w:r w:rsidR="00130235">
        <w:t xml:space="preserve"> means that, </w:t>
      </w:r>
      <w:r w:rsidR="006908BC">
        <w:t>“</w:t>
      </w:r>
      <w:r w:rsidR="00130235">
        <w:t>f</w:t>
      </w:r>
      <w:r w:rsidR="006908BC">
        <w:t>or Hamlet, Gertrude’s blatant sexuality makes her less than human, less even than the beast lacking ‘discourse of reason’</w:t>
      </w:r>
      <w:r w:rsidR="00ED148E">
        <w:t>.”</w:t>
      </w:r>
      <w:r w:rsidR="002B5494">
        <w:rPr>
          <w:rStyle w:val="FootnoteReference"/>
        </w:rPr>
        <w:footnoteReference w:id="16"/>
      </w:r>
      <w:r w:rsidR="006908BC">
        <w:t xml:space="preserve"> </w:t>
      </w:r>
    </w:p>
    <w:p w14:paraId="38B490E3" w14:textId="014D1EF6" w:rsidR="006908BC" w:rsidRDefault="006908BC" w:rsidP="00503BD2">
      <w:pPr>
        <w:spacing w:line="360" w:lineRule="auto"/>
      </w:pPr>
      <w:r>
        <w:t xml:space="preserve">If we take Lewis’s argument that the garden is a metaphor the </w:t>
      </w:r>
      <w:r w:rsidR="002E4047">
        <w:t xml:space="preserve">sexualised </w:t>
      </w:r>
      <w:r>
        <w:t>female body</w:t>
      </w:r>
      <w:r w:rsidR="00EF298E">
        <w:rPr>
          <w:rStyle w:val="FootnoteReference"/>
        </w:rPr>
        <w:footnoteReference w:id="17"/>
      </w:r>
      <w:r>
        <w:t xml:space="preserve">, and in the soliloquy by Hamlet under discussion here that would be Gertrude’s </w:t>
      </w:r>
      <w:proofErr w:type="gramStart"/>
      <w:r>
        <w:t>body in particular, then</w:t>
      </w:r>
      <w:proofErr w:type="gramEnd"/>
      <w:r>
        <w:t xml:space="preserve"> it could be argued that Claudius, or the interpolated male sexual replacement for Hamlet’s father, is represented by the weeds that have been allowed to grow. The ‘things rank and gross in nature’ that have grown ‘to seed’ and ‘possess it’ confirming the link to male sexual potency and Hamlet is forced into a “radical confrontation with the sexualised maternal body as the initial premise of tragedy, the fall that brings death into the world.”</w:t>
      </w:r>
      <w:r w:rsidR="00492C20">
        <w:rPr>
          <w:rStyle w:val="FootnoteReference"/>
        </w:rPr>
        <w:footnoteReference w:id="18"/>
      </w:r>
      <w:r>
        <w:t xml:space="preserve">  Adelman’s linking of the garden in the soliloquy with the Garden of Eden, and the maternal sexuality of Gertrude with the so-called fallen sexuality of Eve </w:t>
      </w:r>
      <w:r>
        <w:lastRenderedPageBreak/>
        <w:t>presents in the text, through the eyes of Hamlet, the usual binary choice of the virgin or the whore, “closed or open, wholly pure or wholly corrupt.”</w:t>
      </w:r>
      <w:r w:rsidR="006C05EE">
        <w:rPr>
          <w:rStyle w:val="FootnoteReference"/>
        </w:rPr>
        <w:footnoteReference w:id="19"/>
      </w:r>
      <w:r>
        <w:t xml:space="preserve"> This, according to Eagleton, is because, </w:t>
      </w:r>
    </w:p>
    <w:p w14:paraId="02273880" w14:textId="1E7095A6" w:rsidR="006908BC" w:rsidRDefault="00531B25" w:rsidP="00503BD2">
      <w:pPr>
        <w:spacing w:line="360" w:lineRule="auto"/>
        <w:ind w:left="720"/>
      </w:pPr>
      <w:r>
        <w:t>W</w:t>
      </w:r>
      <w:r w:rsidR="006908BC">
        <w:t xml:space="preserve">hat Hamlet has importantly lost appears to be less his father than his mother, who has committed two grievous errors: she has revealed herself to be capable of desire, a scandalous thing in a </w:t>
      </w:r>
      <w:proofErr w:type="gramStart"/>
      <w:r w:rsidR="006908BC">
        <w:t>women</w:t>
      </w:r>
      <w:proofErr w:type="gramEnd"/>
      <w:r w:rsidR="006908BC">
        <w:t>, let alone a mother; and that desire is not for Hamlet himself, but for another man.</w:t>
      </w:r>
      <w:r>
        <w:rPr>
          <w:rStyle w:val="FootnoteReference"/>
        </w:rPr>
        <w:footnoteReference w:id="20"/>
      </w:r>
      <w:r w:rsidR="006908BC">
        <w:t xml:space="preserve"> </w:t>
      </w:r>
    </w:p>
    <w:p w14:paraId="107DCCFB" w14:textId="5F60BE21" w:rsidR="006D61B6" w:rsidRDefault="006D61B6" w:rsidP="00503BD2">
      <w:pPr>
        <w:spacing w:line="360" w:lineRule="auto"/>
      </w:pPr>
      <w:r>
        <w:t xml:space="preserve">Food features prominently throughout </w:t>
      </w:r>
      <w:r w:rsidR="002110B5">
        <w:rPr>
          <w:i/>
          <w:iCs/>
        </w:rPr>
        <w:t>Coriolanus</w:t>
      </w:r>
      <w:r>
        <w:t xml:space="preserve">, </w:t>
      </w:r>
      <w:r w:rsidR="00F94D4F">
        <w:t>starting with the premise of the play in which Shakespeare changes Plutarch’s explanation of the civil unrest from exploitative interest rates to that of grain shortage, reflecting the contemporary situation in 1607 of grain shortage across the Midland of England</w:t>
      </w:r>
      <w:r w:rsidR="00F94D4F">
        <w:rPr>
          <w:rStyle w:val="FootnoteReference"/>
        </w:rPr>
        <w:footnoteReference w:id="21"/>
      </w:r>
      <w:r w:rsidR="000763BA">
        <w:t>.</w:t>
      </w:r>
      <w:r w:rsidR="00E41775">
        <w:t xml:space="preserve"> </w:t>
      </w:r>
      <w:r w:rsidR="000763BA">
        <w:t>From</w:t>
      </w:r>
      <w:r w:rsidR="00E41775">
        <w:t xml:space="preserve"> rebelliousness of the starving populace </w:t>
      </w:r>
      <w:r>
        <w:t>(and their grievance at the ruling class at the perceived unfairness and withholding of much-needed grain)</w:t>
      </w:r>
      <w:r w:rsidR="000763BA">
        <w:t xml:space="preserve">, </w:t>
      </w:r>
      <w:proofErr w:type="gramStart"/>
      <w:r w:rsidR="000763BA">
        <w:t>a</w:t>
      </w:r>
      <w:r>
        <w:t xml:space="preserve"> the</w:t>
      </w:r>
      <w:proofErr w:type="gramEnd"/>
      <w:r>
        <w:t xml:space="preserve"> plot device used to set in motion the events leading to the conclusion of the play, through to the language used by </w:t>
      </w:r>
      <w:r w:rsidR="002110B5">
        <w:t>Shakespeare</w:t>
      </w:r>
      <w:r>
        <w:t xml:space="preserve"> …. Volumnia and Coriolanus</w:t>
      </w:r>
      <w:r w:rsidR="00483DD3">
        <w:t>, the motif and language of food is a continuous theme.</w:t>
      </w:r>
    </w:p>
    <w:p w14:paraId="7B320068" w14:textId="77777777" w:rsidR="00021825" w:rsidRDefault="00021825" w:rsidP="00503BD2">
      <w:pPr>
        <w:spacing w:line="360" w:lineRule="auto"/>
      </w:pPr>
      <w:r>
        <w:t xml:space="preserve">The relationship between food, nourishment, and motherhood within </w:t>
      </w:r>
      <w:r>
        <w:rPr>
          <w:i/>
          <w:iCs/>
        </w:rPr>
        <w:t>Coriolanus</w:t>
      </w:r>
      <w:r>
        <w:t xml:space="preserve"> has been extensively explored, with many critics responding to Adleman’s analysis in </w:t>
      </w:r>
      <w:r>
        <w:rPr>
          <w:i/>
          <w:iCs/>
        </w:rPr>
        <w:t>Suffocating Mothers: Fantasies of Maternal Origin in Shakespeare’s Plays, Hamlet to The Tempest</w:t>
      </w:r>
      <w:r>
        <w:t xml:space="preserve"> in which she develops Patricia Shaw’s argument that Volumnia is portrayed as the ideal “martial-minded and patriotic Roman matron, who glories in her son’s wounds.”</w:t>
      </w:r>
      <w:r>
        <w:rPr>
          <w:rStyle w:val="FootnoteReference"/>
        </w:rPr>
        <w:footnoteReference w:id="22"/>
      </w:r>
      <w:r>
        <w:t xml:space="preserve"> </w:t>
      </w:r>
    </w:p>
    <w:p w14:paraId="37D70768" w14:textId="55C70F0F" w:rsidR="009D1732" w:rsidRDefault="009D1732" w:rsidP="00503BD2">
      <w:pPr>
        <w:spacing w:line="360" w:lineRule="auto"/>
      </w:pPr>
      <w:r>
        <w:t xml:space="preserve">Janet Adelman draws attention to the relationship between feeding and motherhood in </w:t>
      </w:r>
      <w:r w:rsidRPr="009D1732">
        <w:rPr>
          <w:i/>
          <w:iCs/>
        </w:rPr>
        <w:t>Coriolanus</w:t>
      </w:r>
      <w:r>
        <w:t xml:space="preserve"> and arguing that the motif of the nurturing (or no-so-nurturing) mother is central to the play </w:t>
      </w:r>
      <w:r w:rsidR="0091770C">
        <w:t xml:space="preserve">and </w:t>
      </w:r>
      <w:r w:rsidR="004642CA">
        <w:t xml:space="preserve">links Rome as a ‘mother’ to the populace and </w:t>
      </w:r>
      <w:r>
        <w:t xml:space="preserve">the character of Volumnia, </w:t>
      </w:r>
    </w:p>
    <w:p w14:paraId="38FE1458" w14:textId="7611A9FF" w:rsidR="009D1732" w:rsidRDefault="009D1732" w:rsidP="00503BD2">
      <w:pPr>
        <w:spacing w:line="360" w:lineRule="auto"/>
        <w:ind w:left="720"/>
      </w:pPr>
      <w:r>
        <w:t xml:space="preserve">“And if the spectre of a multitude of hungry mouth, ready to rise and demand their own, is the exciting cause of </w:t>
      </w:r>
      <w:r>
        <w:rPr>
          <w:i/>
          <w:iCs/>
        </w:rPr>
        <w:t>Coriolanus</w:t>
      </w:r>
      <w:r>
        <w:t>, the image of the mother who has not fed her children enough is at its centre.”</w:t>
      </w:r>
      <w:r>
        <w:rPr>
          <w:rStyle w:val="FootnoteReference"/>
        </w:rPr>
        <w:footnoteReference w:id="23"/>
      </w:r>
    </w:p>
    <w:p w14:paraId="487E9574" w14:textId="06899D54" w:rsidR="00AD334F" w:rsidRDefault="00AD334F" w:rsidP="00503BD2">
      <w:pPr>
        <w:spacing w:line="360" w:lineRule="auto"/>
      </w:pPr>
      <w:r>
        <w:t xml:space="preserve">Both </w:t>
      </w:r>
      <w:r w:rsidR="00482314">
        <w:t>V</w:t>
      </w:r>
      <w:r w:rsidR="00155EE4">
        <w:t>o</w:t>
      </w:r>
      <w:r w:rsidR="00482314">
        <w:t>lumnia</w:t>
      </w:r>
      <w:r w:rsidR="004642CA">
        <w:t xml:space="preserve">, </w:t>
      </w:r>
      <w:r w:rsidR="00482314">
        <w:t>and Rome itself</w:t>
      </w:r>
      <w:r w:rsidR="00745411">
        <w:t xml:space="preserve"> -</w:t>
      </w:r>
      <w:r w:rsidR="00482314">
        <w:t xml:space="preserve"> the mother and the city </w:t>
      </w:r>
      <w:r>
        <w:t>–</w:t>
      </w:r>
      <w:r w:rsidR="00745411">
        <w:t xml:space="preserve"> </w:t>
      </w:r>
      <w:r>
        <w:t>ar</w:t>
      </w:r>
      <w:r w:rsidR="001A0C20">
        <w:t>e</w:t>
      </w:r>
      <w:r>
        <w:t xml:space="preserve"> </w:t>
      </w:r>
      <w:r w:rsidR="00291710">
        <w:t>committed to raising the idealised and militarised sons</w:t>
      </w:r>
      <w:r w:rsidR="0034650B">
        <w:t xml:space="preserve"> with clear martial values inculcated from birth</w:t>
      </w:r>
      <w:r w:rsidR="00AE1074">
        <w:t>,</w:t>
      </w:r>
      <w:r w:rsidR="00D939ED">
        <w:t xml:space="preserve"> as Volumnia explains to Virgilia</w:t>
      </w:r>
      <w:r w:rsidR="00155EE4">
        <w:t xml:space="preserve">, </w:t>
      </w:r>
      <w:r w:rsidR="0088449E">
        <w:t>“When he was yet but tender-bodied …</w:t>
      </w:r>
      <w:r w:rsidR="009A6ACB">
        <w:t xml:space="preserve"> I, considering how </w:t>
      </w:r>
      <w:r w:rsidR="000973A7">
        <w:t xml:space="preserve">honour would become such a person … </w:t>
      </w:r>
      <w:r w:rsidR="009A6ACB">
        <w:lastRenderedPageBreak/>
        <w:t>To a cruel war I sent him</w:t>
      </w:r>
      <w:r w:rsidR="000973A7">
        <w:t>.” (1.3.</w:t>
      </w:r>
      <w:r w:rsidR="00D939ED">
        <w:t>7-13)</w:t>
      </w:r>
      <w:r w:rsidR="002E1870">
        <w:t xml:space="preserve">. </w:t>
      </w:r>
      <w:r w:rsidR="00370E9F">
        <w:t xml:space="preserve">There is no father-figure in </w:t>
      </w:r>
      <w:r w:rsidR="00ED148E">
        <w:rPr>
          <w:i/>
          <w:iCs/>
        </w:rPr>
        <w:t>Coriolanus</w:t>
      </w:r>
      <w:r w:rsidR="00370E9F">
        <w:t xml:space="preserve"> no male authority figure against whom the young </w:t>
      </w:r>
      <w:r w:rsidR="00455046">
        <w:t xml:space="preserve">Caius </w:t>
      </w:r>
      <w:r w:rsidR="00370E9F">
        <w:t xml:space="preserve">Martius </w:t>
      </w:r>
      <w:r w:rsidR="006718F2">
        <w:t xml:space="preserve">would rebel and who would be seen as a </w:t>
      </w:r>
      <w:r w:rsidR="00D31DAC">
        <w:t>competitor</w:t>
      </w:r>
      <w:r w:rsidR="006718F2">
        <w:t xml:space="preserve"> for the affections of his mother</w:t>
      </w:r>
      <w:r w:rsidR="00D31DAC">
        <w:t xml:space="preserve"> who is bringing up her son alone, apparently from an early age</w:t>
      </w:r>
      <w:r w:rsidR="00C22A10">
        <w:t>, “Shakespeare exploits th</w:t>
      </w:r>
      <w:r w:rsidR="00214A20">
        <w:t>at</w:t>
      </w:r>
      <w:r w:rsidR="00C22A10">
        <w:t xml:space="preserve"> </w:t>
      </w:r>
      <w:r w:rsidR="00214A20">
        <w:t>idea and presents us with a Roman matron who has devoted her life</w:t>
      </w:r>
      <w:r w:rsidR="009F626A">
        <w:t xml:space="preserve"> to turning her only child into what he is: a warrior.”</w:t>
      </w:r>
      <w:r w:rsidR="009F626A">
        <w:rPr>
          <w:rStyle w:val="FootnoteReference"/>
        </w:rPr>
        <w:footnoteReference w:id="24"/>
      </w:r>
      <w:r w:rsidR="00986C49">
        <w:t xml:space="preserve"> [</w:t>
      </w:r>
      <w:r w:rsidR="008571D5">
        <w:t xml:space="preserve">Adelman’s comments and </w:t>
      </w:r>
      <w:r w:rsidR="00986C49">
        <w:t>Dollimore’s dissent</w:t>
      </w:r>
      <w:r w:rsidR="008571D5">
        <w:t>]</w:t>
      </w:r>
      <w:r w:rsidR="00986C49">
        <w:t xml:space="preserve"> </w:t>
      </w:r>
    </w:p>
    <w:p w14:paraId="50A22C21" w14:textId="020004CD" w:rsidR="002849F7" w:rsidRDefault="002849F7" w:rsidP="00503BD2">
      <w:pPr>
        <w:spacing w:line="360" w:lineRule="auto"/>
      </w:pPr>
      <w:r>
        <w:t>The parallel between Volumnia and Rome is explicitly present in the first Act of the play</w:t>
      </w:r>
      <w:r w:rsidR="009858D1">
        <w:t xml:space="preserve">, where we see Volumnia’s desire that Caius Martius </w:t>
      </w:r>
      <w:r w:rsidR="00B53B4A">
        <w:t xml:space="preserve">(and indeed any son </w:t>
      </w:r>
      <w:r w:rsidR="006216B1">
        <w:t xml:space="preserve">had she had “a dozen sons”) </w:t>
      </w:r>
      <w:r w:rsidR="006F3EB2">
        <w:t xml:space="preserve">would </w:t>
      </w:r>
      <w:r w:rsidR="007E361C">
        <w:t xml:space="preserve">“die nobly for their country than one voluptuously surfeit out of action,” </w:t>
      </w:r>
      <w:r w:rsidR="00353D6E">
        <w:t xml:space="preserve">and </w:t>
      </w:r>
      <w:r w:rsidR="001A70C4">
        <w:t>that “blood more becomes a man/ Than gilt his trophy</w:t>
      </w:r>
      <w:r w:rsidR="0052082B">
        <w:t>”</w:t>
      </w:r>
      <w:r w:rsidR="005B1EA2">
        <w:rPr>
          <w:rStyle w:val="FootnoteReference"/>
        </w:rPr>
        <w:footnoteReference w:id="25"/>
      </w:r>
      <w:r w:rsidR="0052082B">
        <w:t xml:space="preserve"> before linking the wounds of battle and the act of breastfeeding</w:t>
      </w:r>
      <w:r w:rsidR="00342DF4">
        <w:t xml:space="preserve">, making the connection between the warrior man and the nurtured child, </w:t>
      </w:r>
    </w:p>
    <w:p w14:paraId="39901D9C" w14:textId="0AF52E9F" w:rsidR="0048437E" w:rsidRDefault="00342DF4" w:rsidP="00503BD2">
      <w:pPr>
        <w:spacing w:after="0" w:line="360" w:lineRule="auto"/>
      </w:pPr>
      <w:r>
        <w:tab/>
        <w:t xml:space="preserve">The </w:t>
      </w:r>
      <w:r w:rsidR="0048437E">
        <w:t>breast of Hecuba</w:t>
      </w:r>
    </w:p>
    <w:p w14:paraId="7B0A3C1C" w14:textId="66EF0369" w:rsidR="0048437E" w:rsidRDefault="0048437E" w:rsidP="00503BD2">
      <w:pPr>
        <w:spacing w:after="0" w:line="360" w:lineRule="auto"/>
      </w:pPr>
      <w:r>
        <w:tab/>
        <w:t>When she did suckle Hector did not look lovelier</w:t>
      </w:r>
    </w:p>
    <w:p w14:paraId="7A62C87B" w14:textId="1DF3EFEC" w:rsidR="005B1EA2" w:rsidRDefault="005B1EA2" w:rsidP="00503BD2">
      <w:pPr>
        <w:spacing w:after="0" w:line="360" w:lineRule="auto"/>
      </w:pPr>
      <w:r>
        <w:tab/>
      </w:r>
      <w:proofErr w:type="gramStart"/>
      <w:r>
        <w:t>Than</w:t>
      </w:r>
      <w:proofErr w:type="gramEnd"/>
      <w:r>
        <w:t xml:space="preserve"> Hector’s forehead when it split forth blood</w:t>
      </w:r>
      <w:r w:rsidR="00A72C06">
        <w:t>.</w:t>
      </w:r>
      <w:r w:rsidR="00A72C06">
        <w:rPr>
          <w:rStyle w:val="FootnoteReference"/>
        </w:rPr>
        <w:footnoteReference w:id="26"/>
      </w:r>
    </w:p>
    <w:p w14:paraId="3248057B" w14:textId="77777777" w:rsidR="00E06780" w:rsidRDefault="00E06780" w:rsidP="00503BD2">
      <w:pPr>
        <w:spacing w:after="0" w:line="360" w:lineRule="auto"/>
      </w:pPr>
    </w:p>
    <w:p w14:paraId="191F2F89" w14:textId="79674203" w:rsidR="00686592" w:rsidRDefault="00787B91" w:rsidP="00503BD2">
      <w:pPr>
        <w:spacing w:line="360" w:lineRule="auto"/>
      </w:pPr>
      <w:r>
        <w:t xml:space="preserve">The </w:t>
      </w:r>
      <w:r w:rsidR="00F7326C">
        <w:t>connection between</w:t>
      </w:r>
      <w:r w:rsidR="00045D86">
        <w:t xml:space="preserve"> </w:t>
      </w:r>
      <w:r w:rsidR="00E615A3">
        <w:t>Volumnia’s glorying in Coriolanus’</w:t>
      </w:r>
      <w:r w:rsidR="00045D86">
        <w:t xml:space="preserve"> wounds and</w:t>
      </w:r>
      <w:r w:rsidR="00DB6BEA">
        <w:t xml:space="preserve"> </w:t>
      </w:r>
      <w:r w:rsidR="0063114E">
        <w:t xml:space="preserve">the </w:t>
      </w:r>
      <w:r>
        <w:t xml:space="preserve">demands of the Tribunes (and the people of Rome) for </w:t>
      </w:r>
      <w:r w:rsidR="00E615A3">
        <w:t xml:space="preserve">him </w:t>
      </w:r>
      <w:r>
        <w:t xml:space="preserve">to show his </w:t>
      </w:r>
      <w:r w:rsidR="00E615A3">
        <w:t xml:space="preserve">them </w:t>
      </w:r>
      <w:r>
        <w:t>as evidence of his dedication to,</w:t>
      </w:r>
      <w:r w:rsidR="00045D86">
        <w:t xml:space="preserve"> </w:t>
      </w:r>
      <w:r>
        <w:t xml:space="preserve">and love for, Rome </w:t>
      </w:r>
      <w:r w:rsidR="00045D86">
        <w:t xml:space="preserve">make explicit this </w:t>
      </w:r>
      <w:r w:rsidR="00DD4921">
        <w:t>link</w:t>
      </w:r>
      <w:r w:rsidR="00C900E1">
        <w:t xml:space="preserve"> as well as providing the </w:t>
      </w:r>
      <w:r w:rsidR="00EF3867">
        <w:t xml:space="preserve">plot device </w:t>
      </w:r>
      <w:r w:rsidR="00D91A60">
        <w:t xml:space="preserve">in </w:t>
      </w:r>
      <w:r w:rsidR="00EF3867">
        <w:t xml:space="preserve">which the future </w:t>
      </w:r>
      <w:r w:rsidR="00D91A60">
        <w:t>f</w:t>
      </w:r>
      <w:r w:rsidR="00EF3867">
        <w:t>a</w:t>
      </w:r>
      <w:r w:rsidR="00D91A60">
        <w:t>t</w:t>
      </w:r>
      <w:r w:rsidR="00EF3867">
        <w:t xml:space="preserve">e of Coriolanus </w:t>
      </w:r>
      <w:r w:rsidR="00D91A60">
        <w:t xml:space="preserve">is set in motion with the rejection by the Tribunes following his refusal to show the wounds, “I </w:t>
      </w:r>
      <w:r w:rsidR="00C70194">
        <w:t>heard him swear,/ Were he to stand for consul</w:t>
      </w:r>
      <w:r w:rsidR="0045647D">
        <w:t xml:space="preserve">, never would be </w:t>
      </w:r>
      <w:r w:rsidR="00C70194">
        <w:t xml:space="preserve">appear </w:t>
      </w:r>
      <w:proofErr w:type="spellStart"/>
      <w:r w:rsidR="00C70194">
        <w:t>I’th</w:t>
      </w:r>
      <w:proofErr w:type="spellEnd"/>
      <w:r w:rsidR="00C70194">
        <w:t>’ market-place</w:t>
      </w:r>
      <w:r w:rsidR="0045647D">
        <w:t xml:space="preserve"> … showing … his wounds”</w:t>
      </w:r>
      <w:r w:rsidR="0045647D">
        <w:rPr>
          <w:rStyle w:val="FootnoteReference"/>
        </w:rPr>
        <w:footnoteReference w:id="27"/>
      </w:r>
      <w:r w:rsidR="0045647D">
        <w:t xml:space="preserve"> </w:t>
      </w:r>
    </w:p>
    <w:p w14:paraId="4D023A13" w14:textId="251FEC95" w:rsidR="009731A2" w:rsidRDefault="00517C32" w:rsidP="00503BD2">
      <w:pPr>
        <w:spacing w:line="360" w:lineRule="auto"/>
      </w:pPr>
      <w:r>
        <w:t>Ad</w:t>
      </w:r>
      <w:r w:rsidR="000A60C9">
        <w:t xml:space="preserve">elman </w:t>
      </w:r>
      <w:r w:rsidR="00FD37B9">
        <w:t xml:space="preserve">points to the </w:t>
      </w:r>
      <w:r w:rsidR="003909F2">
        <w:t>pride of Volumnia in creating Coriolanus as he is first presented at the opening of the play</w:t>
      </w:r>
      <w:r w:rsidR="00C4404C">
        <w:t>,</w:t>
      </w:r>
      <w:r w:rsidR="003909F2">
        <w:rPr>
          <w:rStyle w:val="FootnoteReference"/>
        </w:rPr>
        <w:footnoteReference w:id="28"/>
      </w:r>
      <w:r w:rsidR="00C4404C">
        <w:t xml:space="preserve"> a maternal upbringing possibly in contrast to the ideal of the </w:t>
      </w:r>
      <w:r w:rsidR="00C66EB0">
        <w:t xml:space="preserve">Renaissance ‘New Mother’ </w:t>
      </w:r>
      <w:r w:rsidR="00421E57">
        <w:t xml:space="preserve">that may have been the expectation of contemporary audiences, </w:t>
      </w:r>
      <w:r w:rsidR="00C66EB0">
        <w:t xml:space="preserve">as argued by </w:t>
      </w:r>
      <w:proofErr w:type="spellStart"/>
      <w:r w:rsidR="00C66EB0">
        <w:t>Faedo</w:t>
      </w:r>
      <w:proofErr w:type="spellEnd"/>
      <w:r w:rsidR="0000364B">
        <w:t>, using the description</w:t>
      </w:r>
      <w:r w:rsidR="00AD34FC">
        <w:t xml:space="preserve"> from Kott which </w:t>
      </w:r>
      <w:r w:rsidR="00837BF2">
        <w:t>portrays Volumnia and Virgilia in an early 17</w:t>
      </w:r>
      <w:r w:rsidR="00837BF2" w:rsidRPr="00837BF2">
        <w:rPr>
          <w:vertAlign w:val="superscript"/>
        </w:rPr>
        <w:t>th</w:t>
      </w:r>
      <w:r w:rsidR="00837BF2">
        <w:t xml:space="preserve"> century</w:t>
      </w:r>
      <w:r w:rsidR="00AD34FC">
        <w:t xml:space="preserve"> </w:t>
      </w:r>
      <w:r w:rsidR="00837BF2">
        <w:t xml:space="preserve">setting rather than ancient Roman, </w:t>
      </w:r>
      <w:r w:rsidR="00AD34FC">
        <w:t>“Coriolanus’s mother and wife, sitting on some low chairs</w:t>
      </w:r>
      <w:r w:rsidR="00ED36BD">
        <w:t>, sew, embroider and wait for news from war. These low chairs, on which women</w:t>
      </w:r>
      <w:r w:rsidR="000B78B6">
        <w:t xml:space="preserve"> talked away till dusk, can still be seen in Stratford nowadays.”</w:t>
      </w:r>
      <w:r w:rsidR="000B78B6">
        <w:rPr>
          <w:rStyle w:val="FootnoteReference"/>
        </w:rPr>
        <w:footnoteReference w:id="29"/>
      </w:r>
      <w:r w:rsidR="00CD0B8A">
        <w:t xml:space="preserve"> </w:t>
      </w:r>
      <w:r w:rsidR="009731A2">
        <w:t>Dollimore argues that this goes beyond just a discussion of the maternal nature of V</w:t>
      </w:r>
      <w:r w:rsidR="004F17F8">
        <w:t>o</w:t>
      </w:r>
      <w:r w:rsidR="009731A2">
        <w:t xml:space="preserve">lumnia, but </w:t>
      </w:r>
      <w:r w:rsidR="004F17F8">
        <w:t>shows her understand of political realities</w:t>
      </w:r>
      <w:r w:rsidR="00AD574E">
        <w:t xml:space="preserve"> as is discussed below.</w:t>
      </w:r>
    </w:p>
    <w:p w14:paraId="438B74DB" w14:textId="77777777" w:rsidR="003C223E" w:rsidRDefault="00880946" w:rsidP="00503BD2">
      <w:pPr>
        <w:spacing w:line="360" w:lineRule="auto"/>
      </w:pPr>
      <w:r>
        <w:lastRenderedPageBreak/>
        <w:t xml:space="preserve">Whether Volumnia was the </w:t>
      </w:r>
      <w:r w:rsidR="009876E9">
        <w:t>model Renaissance mother or</w:t>
      </w:r>
      <w:r w:rsidR="00CC43B1">
        <w:t xml:space="preserve"> </w:t>
      </w:r>
      <w:r w:rsidR="00EE0A31">
        <w:t xml:space="preserve">a proactive power in her own right is central to the differing readings of the play. As </w:t>
      </w:r>
      <w:r w:rsidR="00993C2E">
        <w:t xml:space="preserve">Christina </w:t>
      </w:r>
      <w:proofErr w:type="spellStart"/>
      <w:r w:rsidR="00993C2E">
        <w:t>luckyj</w:t>
      </w:r>
      <w:proofErr w:type="spellEnd"/>
      <w:r w:rsidR="00993C2E">
        <w:t xml:space="preserve"> points out in </w:t>
      </w:r>
      <w:r w:rsidR="00993C2E">
        <w:rPr>
          <w:i/>
          <w:iCs/>
        </w:rPr>
        <w:t>Volumnia’s Silence</w:t>
      </w:r>
      <w:r w:rsidR="00993C2E">
        <w:t xml:space="preserve">, </w:t>
      </w:r>
      <w:proofErr w:type="gramStart"/>
      <w:r w:rsidR="00165B15">
        <w:t>feminist</w:t>
      </w:r>
      <w:proofErr w:type="gramEnd"/>
      <w:r w:rsidR="00165B15">
        <w:t xml:space="preserve"> and psychoanalytic critics</w:t>
      </w:r>
      <w:r w:rsidR="00E93626">
        <w:t xml:space="preserve">, “usually find in her the chief cause of both Coriolanus’s masculine aggression and </w:t>
      </w:r>
      <w:r w:rsidR="00F152F3">
        <w:t>his eventual death”</w:t>
      </w:r>
      <w:r w:rsidR="00CC43B1">
        <w:rPr>
          <w:rStyle w:val="FootnoteReference"/>
        </w:rPr>
        <w:footnoteReference w:id="30"/>
      </w:r>
      <w:r w:rsidR="00F152F3">
        <w:t xml:space="preserve"> </w:t>
      </w:r>
      <w:r w:rsidR="0090126D">
        <w:t xml:space="preserve">For example, </w:t>
      </w:r>
      <w:r w:rsidR="008952B1">
        <w:t xml:space="preserve">Adelman argues that it is Volumnia in her maternal role that </w:t>
      </w:r>
      <w:r w:rsidR="00507991">
        <w:t xml:space="preserve">results in the </w:t>
      </w:r>
      <w:proofErr w:type="spellStart"/>
      <w:r w:rsidR="00507991">
        <w:t>Coiriolanus</w:t>
      </w:r>
      <w:proofErr w:type="spellEnd"/>
      <w:r w:rsidR="00507991">
        <w:t xml:space="preserve"> that is presented to the audience, </w:t>
      </w:r>
    </w:p>
    <w:p w14:paraId="095C5638" w14:textId="6338B508" w:rsidR="007C2966" w:rsidRPr="00993C2E" w:rsidRDefault="0090126D" w:rsidP="00503BD2">
      <w:pPr>
        <w:spacing w:line="360" w:lineRule="auto"/>
        <w:ind w:left="720"/>
      </w:pPr>
      <w:r>
        <w:t>Volumnia takes some pride in the creation of her son</w:t>
      </w:r>
      <w:r w:rsidR="00783E41">
        <w:t xml:space="preserve">, and we first meet her, she tells exactly how </w:t>
      </w:r>
      <w:proofErr w:type="gramStart"/>
      <w:r w:rsidR="00783E41">
        <w:t>she’s</w:t>
      </w:r>
      <w:proofErr w:type="gramEnd"/>
      <w:r w:rsidR="00783E41">
        <w:t xml:space="preserve"> done it; by sending him to </w:t>
      </w:r>
      <w:r w:rsidR="003C223E">
        <w:t>a cruel war at an age when a mother should not be willing to allow a son out of the protective maternal circle for an hour.</w:t>
      </w:r>
      <w:r w:rsidR="007845A1">
        <w:rPr>
          <w:rStyle w:val="FootnoteReference"/>
        </w:rPr>
        <w:footnoteReference w:id="31"/>
      </w:r>
    </w:p>
    <w:p w14:paraId="7BA143BF" w14:textId="7DE5CA4C" w:rsidR="00CD0B8A" w:rsidRDefault="000E7401" w:rsidP="00503BD2">
      <w:pPr>
        <w:spacing w:line="360" w:lineRule="auto"/>
      </w:pPr>
      <w:r>
        <w:t>Dollimore offers a difference per</w:t>
      </w:r>
      <w:r w:rsidR="00EC2A22">
        <w:t xml:space="preserve">spective where he considers it </w:t>
      </w:r>
      <w:proofErr w:type="spellStart"/>
      <w:r w:rsidR="00EC2A22">
        <w:t>wong</w:t>
      </w:r>
      <w:proofErr w:type="spellEnd"/>
      <w:r w:rsidR="00EC2A22">
        <w:t xml:space="preserve"> “to see this only as  a grotesque inversion of normal maternal care,”</w:t>
      </w:r>
      <w:r w:rsidR="00357913">
        <w:t xml:space="preserve"> but sees the political acumen of Volumnia in the decision, “</w:t>
      </w:r>
      <w:r w:rsidR="00B73294">
        <w:t>it is also a rational estimate of the political capital of a wounded hero.”</w:t>
      </w:r>
      <w:r w:rsidR="00B73294">
        <w:rPr>
          <w:rStyle w:val="FootnoteReference"/>
        </w:rPr>
        <w:footnoteReference w:id="32"/>
      </w:r>
      <w:r w:rsidR="00AA51D0">
        <w:t xml:space="preserve"> </w:t>
      </w:r>
      <w:r w:rsidR="00E41D4A">
        <w:t xml:space="preserve">That Volumnia </w:t>
      </w:r>
      <w:r w:rsidR="00AC2BC7">
        <w:t>behaved differently to what would be seen as the ideal mother is self-evident from the her opening lines</w:t>
      </w:r>
      <w:r w:rsidR="00CC5969">
        <w:t xml:space="preserve"> in which she extolled the virtue of wounding and even death for her son, and that this is a self-conscious decision is confirmed throughout the play</w:t>
      </w:r>
      <w:r w:rsidR="00FD02D2">
        <w:t xml:space="preserve"> such as in 5.3.62-63, “Thou art my warrior./ I </w:t>
      </w:r>
      <w:r w:rsidR="00D24E5B">
        <w:t>holp to fame thee.”</w:t>
      </w:r>
      <w:r w:rsidR="00D24E5B">
        <w:rPr>
          <w:rStyle w:val="FootnoteReference"/>
        </w:rPr>
        <w:footnoteReference w:id="33"/>
      </w:r>
      <w:r w:rsidR="007B49D5">
        <w:t xml:space="preserve"> As </w:t>
      </w:r>
      <w:proofErr w:type="spellStart"/>
      <w:r w:rsidR="007B49D5">
        <w:t>Luckyj</w:t>
      </w:r>
      <w:proofErr w:type="spellEnd"/>
      <w:r w:rsidR="007B49D5">
        <w:t xml:space="preserve"> points out, “to oversimplify Volumnia as either a castigating virago or </w:t>
      </w:r>
      <w:r w:rsidR="009008A1">
        <w:t>“a sy</w:t>
      </w:r>
      <w:r w:rsidR="009C10FC">
        <w:t xml:space="preserve">mbol of antique virtue” is to miss the play’s many hints at a fully developed character with </w:t>
      </w:r>
      <w:r w:rsidR="00612493">
        <w:t>the capacity for psychic depth and change.”</w:t>
      </w:r>
      <w:r w:rsidR="00612493">
        <w:rPr>
          <w:rStyle w:val="FootnoteReference"/>
        </w:rPr>
        <w:footnoteReference w:id="34"/>
      </w:r>
    </w:p>
    <w:p w14:paraId="45A1013F" w14:textId="77777777" w:rsidR="00CC5A2B" w:rsidRDefault="00CC5A2B" w:rsidP="00503BD2">
      <w:pPr>
        <w:spacing w:line="360" w:lineRule="auto"/>
      </w:pPr>
      <w:r>
        <w:t xml:space="preserve">The idealised warrior that Volumnia produced in sending the “tender-bodied” Caius Martius to war – proud and unyielding – departs from what appears to have been her intention. She </w:t>
      </w:r>
      <w:proofErr w:type="gramStart"/>
      <w:r>
        <w:t>has to</w:t>
      </w:r>
      <w:proofErr w:type="gramEnd"/>
      <w:r>
        <w:t xml:space="preserve"> persuade Coriolanus to go against his nature and exercise some diplomacy when appealing to the people and the Tribunes in Act 3 scene 2 and she later has to plead with him, inverting the hierarchical nature of the parent/child relationship as she kneels before him to try and save Rome in Act 5 scene 3. </w:t>
      </w:r>
    </w:p>
    <w:p w14:paraId="4CB99F55" w14:textId="77777777" w:rsidR="00CC5A2B" w:rsidRDefault="00CC5A2B" w:rsidP="00503BD2">
      <w:pPr>
        <w:spacing w:line="360" w:lineRule="auto"/>
      </w:pPr>
      <w:proofErr w:type="gramStart"/>
      <w:r>
        <w:t>Nevertheless</w:t>
      </w:r>
      <w:proofErr w:type="gramEnd"/>
      <w:r>
        <w:t xml:space="preserve"> some critics have argued that Shakespeare portrays Coriolanus as a product of her nurturing, that he is her creation even with the contrast between the conquering here of whom she is proud and the rigid would-be destroyer of Rome he later becomes. And it is with the inversion of the relationship and the plea “Thus, Volumnia’s role is not just that of genetrix, nor just that of the </w:t>
      </w:r>
      <w:r>
        <w:lastRenderedPageBreak/>
        <w:t>one who ‘frames’ her son’s temperament and value system; she will also be the one to determine his end.”</w:t>
      </w:r>
      <w:r>
        <w:rPr>
          <w:rStyle w:val="FootnoteReference"/>
        </w:rPr>
        <w:footnoteReference w:id="35"/>
      </w:r>
    </w:p>
    <w:p w14:paraId="415BAE59" w14:textId="1A074627" w:rsidR="00CD0B8A" w:rsidRDefault="00CD0505" w:rsidP="00503BD2">
      <w:pPr>
        <w:spacing w:line="360" w:lineRule="auto"/>
        <w:rPr>
          <w:color w:val="000000" w:themeColor="text1"/>
        </w:rPr>
      </w:pPr>
      <w:r>
        <w:t xml:space="preserve">Food and hunger are recurring themes and images throughout the play. From the starving populace desperate for grain (echoing the </w:t>
      </w:r>
      <w:r w:rsidR="00F51A30">
        <w:t>contemporaneous</w:t>
      </w:r>
      <w:r>
        <w:t xml:space="preserve"> events in the Midlands</w:t>
      </w:r>
      <w:r w:rsidR="00F51A30">
        <w:t xml:space="preserve"> and a change in Shakespeare from the issue of usury in </w:t>
      </w:r>
      <w:r w:rsidR="00A309CB">
        <w:t>Plutarch)</w:t>
      </w:r>
      <w:r w:rsidR="004F2765">
        <w:t xml:space="preserve"> </w:t>
      </w:r>
      <w:r w:rsidR="004F2765" w:rsidRPr="004F2765">
        <w:rPr>
          <w:color w:val="FF0000"/>
        </w:rPr>
        <w:t>[need reference]</w:t>
      </w:r>
      <w:r w:rsidR="00943E40">
        <w:rPr>
          <w:color w:val="FF0000"/>
        </w:rPr>
        <w:t xml:space="preserve"> </w:t>
      </w:r>
      <w:r w:rsidR="00943E40">
        <w:rPr>
          <w:color w:val="000000" w:themeColor="text1"/>
        </w:rPr>
        <w:t xml:space="preserve">to Volumnia’s insistence that </w:t>
      </w:r>
      <w:r w:rsidR="005152C2">
        <w:rPr>
          <w:color w:val="000000" w:themeColor="text1"/>
        </w:rPr>
        <w:t>“Anger’s my meat</w:t>
      </w:r>
      <w:r w:rsidR="00813B3B">
        <w:rPr>
          <w:color w:val="000000" w:themeColor="text1"/>
        </w:rPr>
        <w:t>: I sup upon myself/ And so shall starve with feeding.”</w:t>
      </w:r>
      <w:r w:rsidR="002C215E">
        <w:rPr>
          <w:rStyle w:val="FootnoteReference"/>
          <w:color w:val="000000" w:themeColor="text1"/>
        </w:rPr>
        <w:footnoteReference w:id="36"/>
      </w:r>
      <w:r w:rsidR="00F72FEA">
        <w:rPr>
          <w:color w:val="000000" w:themeColor="text1"/>
        </w:rPr>
        <w:t xml:space="preserve"> Coriolanus </w:t>
      </w:r>
      <w:r w:rsidR="002238A0">
        <w:rPr>
          <w:color w:val="000000" w:themeColor="text1"/>
        </w:rPr>
        <w:t xml:space="preserve">imbibes and expresses the same attitude to food as his mother, </w:t>
      </w:r>
      <w:r w:rsidR="00871EAE">
        <w:rPr>
          <w:color w:val="000000" w:themeColor="text1"/>
        </w:rPr>
        <w:t>regarding food as poisonous</w:t>
      </w:r>
      <w:r w:rsidR="00A37BF7">
        <w:rPr>
          <w:rStyle w:val="FootnoteReference"/>
          <w:color w:val="000000" w:themeColor="text1"/>
        </w:rPr>
        <w:footnoteReference w:id="37"/>
      </w:r>
      <w:r w:rsidR="00A37BF7">
        <w:rPr>
          <w:color w:val="000000" w:themeColor="text1"/>
        </w:rPr>
        <w:t xml:space="preserve"> (e.g. 1.1.117)</w:t>
      </w:r>
      <w:r w:rsidR="00DC73DB">
        <w:rPr>
          <w:color w:val="000000" w:themeColor="text1"/>
        </w:rPr>
        <w:t xml:space="preserve"> </w:t>
      </w:r>
      <w:r w:rsidR="00B13E21">
        <w:rPr>
          <w:color w:val="000000" w:themeColor="text1"/>
        </w:rPr>
        <w:t xml:space="preserve">and the text suggests that his martial success is down to his </w:t>
      </w:r>
      <w:r w:rsidR="00A52684">
        <w:rPr>
          <w:color w:val="000000" w:themeColor="text1"/>
        </w:rPr>
        <w:t>upbringing</w:t>
      </w:r>
      <w:r w:rsidR="00B13E21">
        <w:rPr>
          <w:color w:val="000000" w:themeColor="text1"/>
        </w:rPr>
        <w:t xml:space="preserve"> in which</w:t>
      </w:r>
      <w:r w:rsidR="00310EAB">
        <w:rPr>
          <w:color w:val="000000" w:themeColor="text1"/>
        </w:rPr>
        <w:t xml:space="preserve">, according to </w:t>
      </w:r>
      <w:proofErr w:type="spellStart"/>
      <w:r w:rsidR="00310EAB">
        <w:rPr>
          <w:color w:val="000000" w:themeColor="text1"/>
        </w:rPr>
        <w:t>Faedo</w:t>
      </w:r>
      <w:proofErr w:type="spellEnd"/>
      <w:r w:rsidR="00310EAB">
        <w:rPr>
          <w:color w:val="000000" w:themeColor="text1"/>
        </w:rPr>
        <w:t>,</w:t>
      </w:r>
      <w:r w:rsidR="00B13E21">
        <w:rPr>
          <w:color w:val="000000" w:themeColor="text1"/>
        </w:rPr>
        <w:t xml:space="preserve"> </w:t>
      </w:r>
      <w:r w:rsidR="00A52684">
        <w:rPr>
          <w:color w:val="000000" w:themeColor="text1"/>
        </w:rPr>
        <w:t>f</w:t>
      </w:r>
      <w:r w:rsidR="00310EAB">
        <w:rPr>
          <w:color w:val="000000" w:themeColor="text1"/>
        </w:rPr>
        <w:t xml:space="preserve">ighting is substituted for </w:t>
      </w:r>
      <w:r w:rsidR="00E5065A">
        <w:rPr>
          <w:color w:val="000000" w:themeColor="text1"/>
        </w:rPr>
        <w:t>feeding and “the unsatisfied ravenous attack of the infant on the breast provides the motive force for warfare</w:t>
      </w:r>
      <w:r w:rsidR="00A52684">
        <w:rPr>
          <w:color w:val="000000" w:themeColor="text1"/>
        </w:rPr>
        <w:t>.”</w:t>
      </w:r>
      <w:r w:rsidR="00A52684">
        <w:rPr>
          <w:rStyle w:val="FootnoteReference"/>
          <w:color w:val="000000" w:themeColor="text1"/>
        </w:rPr>
        <w:footnoteReference w:id="38"/>
      </w:r>
      <w:r w:rsidR="0068706C">
        <w:rPr>
          <w:color w:val="000000" w:themeColor="text1"/>
        </w:rPr>
        <w:t xml:space="preserve"> </w:t>
      </w:r>
    </w:p>
    <w:p w14:paraId="241B0C4E" w14:textId="2B9CAD26" w:rsidR="0068706C" w:rsidRDefault="0068706C" w:rsidP="00503BD2">
      <w:pPr>
        <w:spacing w:line="360" w:lineRule="auto"/>
        <w:rPr>
          <w:color w:val="000000" w:themeColor="text1"/>
        </w:rPr>
      </w:pPr>
      <w:r>
        <w:rPr>
          <w:color w:val="000000" w:themeColor="text1"/>
        </w:rPr>
        <w:t>The acknowledgement that hunger is weakness</w:t>
      </w:r>
      <w:r w:rsidR="00EA3F6B">
        <w:rPr>
          <w:color w:val="000000" w:themeColor="text1"/>
        </w:rPr>
        <w:t xml:space="preserve"> and to acknowledge weakness is to admit to a dependence on another person is </w:t>
      </w:r>
      <w:r w:rsidR="00D80C20">
        <w:rPr>
          <w:color w:val="000000" w:themeColor="text1"/>
        </w:rPr>
        <w:t xml:space="preserve">anathema to Coriolanus – everything </w:t>
      </w:r>
      <w:r w:rsidR="00DD4FA7">
        <w:rPr>
          <w:color w:val="000000" w:themeColor="text1"/>
        </w:rPr>
        <w:t xml:space="preserve">Volumnia did throughout </w:t>
      </w:r>
      <w:r w:rsidR="00D80C20">
        <w:rPr>
          <w:color w:val="000000" w:themeColor="text1"/>
        </w:rPr>
        <w:t xml:space="preserve">his </w:t>
      </w:r>
      <w:r w:rsidR="00DD4FA7">
        <w:rPr>
          <w:color w:val="000000" w:themeColor="text1"/>
        </w:rPr>
        <w:t xml:space="preserve">childhood was to create an exaggerated masculine independence and admitting to hunger was to be </w:t>
      </w:r>
      <w:r w:rsidR="007616F2">
        <w:rPr>
          <w:color w:val="000000" w:themeColor="text1"/>
        </w:rPr>
        <w:t>vulnerable</w:t>
      </w:r>
      <w:r w:rsidR="00477945">
        <w:rPr>
          <w:color w:val="000000" w:themeColor="text1"/>
        </w:rPr>
        <w:t>. This extended beyond food, however, and into areas where Volumnia no longer had control or, for a while, influence/ His refusal to be dipl</w:t>
      </w:r>
      <w:r w:rsidR="00DC514A">
        <w:rPr>
          <w:color w:val="000000" w:themeColor="text1"/>
        </w:rPr>
        <w:t>omatic, as discussed above, goes against the counsel of his mother</w:t>
      </w:r>
      <w:r w:rsidR="00694100">
        <w:rPr>
          <w:color w:val="000000" w:themeColor="text1"/>
        </w:rPr>
        <w:t xml:space="preserve"> and he </w:t>
      </w:r>
      <w:r w:rsidR="00DE2960">
        <w:rPr>
          <w:color w:val="000000" w:themeColor="text1"/>
        </w:rPr>
        <w:t xml:space="preserve">finally </w:t>
      </w:r>
      <w:r w:rsidR="00694100">
        <w:rPr>
          <w:color w:val="000000" w:themeColor="text1"/>
        </w:rPr>
        <w:t>rejects the price of the consulship</w:t>
      </w:r>
      <w:r w:rsidR="002C2E9E">
        <w:rPr>
          <w:color w:val="000000" w:themeColor="text1"/>
        </w:rPr>
        <w:t xml:space="preserve"> in 2.3.79</w:t>
      </w:r>
      <w:r w:rsidR="00694100">
        <w:rPr>
          <w:color w:val="000000" w:themeColor="text1"/>
        </w:rPr>
        <w:t>, “</w:t>
      </w:r>
      <w:r w:rsidR="002C2E9E">
        <w:rPr>
          <w:color w:val="000000" w:themeColor="text1"/>
        </w:rPr>
        <w:t>to ask it kindly”</w:t>
      </w:r>
      <w:r w:rsidR="002C2E9E">
        <w:rPr>
          <w:rStyle w:val="FootnoteReference"/>
          <w:color w:val="000000" w:themeColor="text1"/>
        </w:rPr>
        <w:footnoteReference w:id="39"/>
      </w:r>
      <w:r w:rsidR="002C2E9E">
        <w:rPr>
          <w:color w:val="000000" w:themeColor="text1"/>
        </w:rPr>
        <w:t xml:space="preserve"> seeing </w:t>
      </w:r>
      <w:r w:rsidR="00DE2960">
        <w:rPr>
          <w:color w:val="000000" w:themeColor="text1"/>
        </w:rPr>
        <w:t xml:space="preserve">yet another risk of appearing </w:t>
      </w:r>
      <w:r w:rsidR="007616F2">
        <w:rPr>
          <w:color w:val="000000" w:themeColor="text1"/>
        </w:rPr>
        <w:t>vulnerable.</w:t>
      </w:r>
    </w:p>
    <w:p w14:paraId="7FAE60E4" w14:textId="07B0A915" w:rsidR="00BA3104" w:rsidRDefault="00BA3104" w:rsidP="00503BD2">
      <w:pPr>
        <w:spacing w:line="360" w:lineRule="auto"/>
      </w:pPr>
      <w:r>
        <w:t>But in the end Coriolanus is faced with the need to reject both Rome and his mother. H</w:t>
      </w:r>
      <w:r w:rsidR="00CA1796">
        <w:t xml:space="preserve">is </w:t>
      </w:r>
      <w:r w:rsidR="00066CEA">
        <w:t>declaration</w:t>
      </w:r>
      <w:r w:rsidR="00192783">
        <w:t xml:space="preserve"> in 3.3.139</w:t>
      </w:r>
      <w:r w:rsidR="00066CEA">
        <w:t xml:space="preserve">, upon banishment, that “there is a world </w:t>
      </w:r>
      <w:r w:rsidR="00052146">
        <w:t>elsewhere</w:t>
      </w:r>
      <w:r w:rsidR="00066CEA">
        <w:t>”</w:t>
      </w:r>
      <w:r w:rsidR="00362BA1">
        <w:rPr>
          <w:rStyle w:val="FootnoteReference"/>
        </w:rPr>
        <w:footnoteReference w:id="40"/>
      </w:r>
      <w:r w:rsidR="00362BA1">
        <w:t xml:space="preserve"> is a </w:t>
      </w:r>
      <w:r w:rsidR="00F40D00">
        <w:t>turn away from the maternal influence both from Volumnia and Rome – the conflation of the two argued by Adleman</w:t>
      </w:r>
      <w:r w:rsidR="00CD07B3">
        <w:t xml:space="preserve"> calling to mind the image of breastfeeding and nurture when she writes, “</w:t>
      </w:r>
      <w:r w:rsidR="00FE5427">
        <w:t>The image allows us to understand the ease with which Coriolanus turns his rage towards his own feeding mother, Rome.”</w:t>
      </w:r>
      <w:r w:rsidR="00FE5427">
        <w:rPr>
          <w:rStyle w:val="FootnoteReference"/>
        </w:rPr>
        <w:footnoteReference w:id="41"/>
      </w:r>
      <w:r w:rsidR="007A4403">
        <w:t xml:space="preserve"> </w:t>
      </w:r>
      <w:r w:rsidR="003E3B3D">
        <w:t>Volumnia understands what this means</w:t>
      </w:r>
      <w:r w:rsidR="000076CC">
        <w:t xml:space="preserve">, that to destroy Rome is to </w:t>
      </w:r>
      <w:r w:rsidR="00C61B48">
        <w:t>reject the mother-son bond</w:t>
      </w:r>
      <w:r w:rsidR="007159EF">
        <w:t xml:space="preserve"> as seen in 5.3</w:t>
      </w:r>
    </w:p>
    <w:p w14:paraId="06080126" w14:textId="7C20CCC4" w:rsidR="00C61B48" w:rsidRDefault="00C61B48" w:rsidP="00503BD2">
      <w:pPr>
        <w:spacing w:after="0" w:line="360" w:lineRule="auto"/>
      </w:pPr>
    </w:p>
    <w:p w14:paraId="115C83BA" w14:textId="3FC96B48" w:rsidR="00C61B48" w:rsidRDefault="00C61B48" w:rsidP="00503BD2">
      <w:pPr>
        <w:spacing w:after="0" w:line="360" w:lineRule="auto"/>
      </w:pPr>
      <w:r>
        <w:tab/>
        <w:t>If I cannot persuade thee</w:t>
      </w:r>
    </w:p>
    <w:p w14:paraId="19D9956C" w14:textId="77777777" w:rsidR="005E0C50" w:rsidRDefault="00C61B48" w:rsidP="00503BD2">
      <w:pPr>
        <w:spacing w:after="0" w:line="360" w:lineRule="auto"/>
      </w:pPr>
      <w:r>
        <w:tab/>
      </w:r>
      <w:r w:rsidR="007159EF">
        <w:t>Rather to show a noble grace to both parts</w:t>
      </w:r>
    </w:p>
    <w:p w14:paraId="6B227CEF" w14:textId="77777777" w:rsidR="005E0C50" w:rsidRDefault="005E0C50" w:rsidP="00503BD2">
      <w:pPr>
        <w:spacing w:after="0" w:line="360" w:lineRule="auto"/>
        <w:ind w:firstLine="720"/>
      </w:pPr>
      <w:r>
        <w:t>Than to seek the end of one, thou shalt no sooner</w:t>
      </w:r>
    </w:p>
    <w:p w14:paraId="271715B7" w14:textId="57B6BDDE" w:rsidR="00915398" w:rsidRDefault="005E0C50" w:rsidP="00503BD2">
      <w:pPr>
        <w:spacing w:after="0" w:line="360" w:lineRule="auto"/>
        <w:ind w:firstLine="720"/>
      </w:pPr>
      <w:r>
        <w:t>March to assault thy country than to tread</w:t>
      </w:r>
      <w:r w:rsidR="00915398">
        <w:t xml:space="preserve"> – </w:t>
      </w:r>
    </w:p>
    <w:p w14:paraId="289BDC7E" w14:textId="3E0E764A" w:rsidR="00C61B48" w:rsidRDefault="00915398" w:rsidP="00503BD2">
      <w:pPr>
        <w:spacing w:after="0" w:line="360" w:lineRule="auto"/>
        <w:ind w:firstLine="720"/>
      </w:pPr>
      <w:r>
        <w:lastRenderedPageBreak/>
        <w:t xml:space="preserve">Trust </w:t>
      </w:r>
      <w:proofErr w:type="spellStart"/>
      <w:r>
        <w:t>to’t</w:t>
      </w:r>
      <w:proofErr w:type="spellEnd"/>
      <w:r>
        <w:t>, thou shalt not – on thy mother’s womb</w:t>
      </w:r>
      <w:r>
        <w:rPr>
          <w:rStyle w:val="FootnoteReference"/>
        </w:rPr>
        <w:footnoteReference w:id="42"/>
      </w:r>
      <w:r w:rsidR="007159EF">
        <w:t xml:space="preserve"> </w:t>
      </w:r>
    </w:p>
    <w:p w14:paraId="73E63E38" w14:textId="77777777" w:rsidR="00C61B48" w:rsidRDefault="00C61B48" w:rsidP="00503BD2">
      <w:pPr>
        <w:spacing w:line="360" w:lineRule="auto"/>
      </w:pPr>
    </w:p>
    <w:p w14:paraId="117B0240" w14:textId="63EE9F68" w:rsidR="00AF2265" w:rsidRDefault="00366B8D" w:rsidP="00503BD2">
      <w:pPr>
        <w:spacing w:line="360" w:lineRule="auto"/>
      </w:pPr>
      <w:r>
        <w:t xml:space="preserve">The centrality of Volumnia to the play is confirmed when the sacking of Rome </w:t>
      </w:r>
      <w:proofErr w:type="gramStart"/>
      <w:r>
        <w:t>isn’t</w:t>
      </w:r>
      <w:proofErr w:type="gramEnd"/>
      <w:r>
        <w:t xml:space="preserve"> the conclusion of the play. Rather Volumnia consciously </w:t>
      </w:r>
      <w:r w:rsidR="00CA425F">
        <w:t xml:space="preserve">embraces the need to </w:t>
      </w:r>
      <w:r w:rsidR="00D61986">
        <w:t xml:space="preserve">see the death of </w:t>
      </w:r>
      <w:r w:rsidR="00CA425F">
        <w:t>her son to save Rome</w:t>
      </w:r>
      <w:r w:rsidR="00D61986">
        <w:t>, “</w:t>
      </w:r>
      <w:r w:rsidR="00FE33A5">
        <w:t>Volumnia knows that in saving Rome she is destroying the life of her son</w:t>
      </w:r>
      <w:r w:rsidR="00481169">
        <w:t>,</w:t>
      </w:r>
      <w:r w:rsidR="00FE33A5">
        <w:t>”</w:t>
      </w:r>
      <w:r w:rsidR="00FE33A5">
        <w:rPr>
          <w:rStyle w:val="FootnoteReference"/>
        </w:rPr>
        <w:footnoteReference w:id="43"/>
      </w:r>
      <w:r w:rsidR="00481169">
        <w:t xml:space="preserve"> and in doing </w:t>
      </w:r>
      <w:r w:rsidR="003F6F68">
        <w:t>caus</w:t>
      </w:r>
      <w:r w:rsidR="009957AE">
        <w:t>es</w:t>
      </w:r>
      <w:r w:rsidR="003F6F68">
        <w:t xml:space="preserve"> the final tragic act of the play but becom</w:t>
      </w:r>
      <w:r w:rsidR="009957AE">
        <w:t>es</w:t>
      </w:r>
      <w:r w:rsidR="003F6F68">
        <w:t xml:space="preserve"> the tool of resolution </w:t>
      </w:r>
      <w:r w:rsidR="009957AE">
        <w:t xml:space="preserve">in the process. Her </w:t>
      </w:r>
      <w:r w:rsidR="00F837BB">
        <w:t>lauding, “</w:t>
      </w:r>
      <w:r w:rsidR="00DE0F4D">
        <w:t>Behold our patroness, the life of Rome!” in 5.5.1</w:t>
      </w:r>
      <w:r w:rsidR="00DE0F4D">
        <w:rPr>
          <w:rStyle w:val="FootnoteReference"/>
        </w:rPr>
        <w:footnoteReference w:id="44"/>
      </w:r>
      <w:r w:rsidR="00DE0F4D">
        <w:t xml:space="preserve"> </w:t>
      </w:r>
      <w:r w:rsidR="002676EB">
        <w:t xml:space="preserve">and the declaration by </w:t>
      </w:r>
      <w:proofErr w:type="spellStart"/>
      <w:r w:rsidR="002676EB">
        <w:t>Menenius</w:t>
      </w:r>
      <w:proofErr w:type="spellEnd"/>
      <w:r w:rsidR="002676EB">
        <w:t xml:space="preserve"> that she “is worth </w:t>
      </w:r>
      <w:r w:rsidR="00FD7977">
        <w:t xml:space="preserve">of consuls, senators, </w:t>
      </w:r>
      <w:proofErr w:type="gramStart"/>
      <w:r w:rsidR="00FD7977">
        <w:t>patricians,/</w:t>
      </w:r>
      <w:proofErr w:type="gramEnd"/>
      <w:r w:rsidR="00FD7977">
        <w:t xml:space="preserve"> A city full,”</w:t>
      </w:r>
      <w:r w:rsidR="00FD7977">
        <w:rPr>
          <w:rStyle w:val="FootnoteReference"/>
        </w:rPr>
        <w:footnoteReference w:id="45"/>
      </w:r>
      <w:r w:rsidR="00FD7977">
        <w:t xml:space="preserve"> confirms Dollimore’s </w:t>
      </w:r>
      <w:r w:rsidR="00E748BC">
        <w:t>description of her as “the most powerful person in Rome.”</w:t>
      </w:r>
      <w:r w:rsidR="00E748BC">
        <w:rPr>
          <w:rStyle w:val="FootnoteReference"/>
        </w:rPr>
        <w:footnoteReference w:id="46"/>
      </w:r>
    </w:p>
    <w:p w14:paraId="4CAB3753" w14:textId="0F83777D" w:rsidR="00CC5A2B" w:rsidRDefault="00737CD5" w:rsidP="00503BD2">
      <w:pPr>
        <w:spacing w:line="360" w:lineRule="auto"/>
      </w:pPr>
      <w:r>
        <w:t xml:space="preserve">A caveat on the conclusion of this assignment is the </w:t>
      </w:r>
      <w:r w:rsidR="003F2595">
        <w:t>awareness</w:t>
      </w:r>
      <w:r w:rsidR="001E1C0D">
        <w:t>,</w:t>
      </w:r>
      <w:r w:rsidR="003F2595">
        <w:t xml:space="preserve"> as argued by </w:t>
      </w:r>
      <w:r w:rsidR="00A10155">
        <w:t>Jacqueline Rose</w:t>
      </w:r>
      <w:r w:rsidR="001E1C0D">
        <w:t xml:space="preserve">, that the premise assumes structural emotional labour on the part of the female characters </w:t>
      </w:r>
      <w:r w:rsidR="004B648F">
        <w:t xml:space="preserve">and that they carry a plot burden to achieve the goals of the main male protagonist. </w:t>
      </w:r>
    </w:p>
    <w:p w14:paraId="418BC1CA" w14:textId="299631E2" w:rsidR="005122E5" w:rsidRDefault="005122E5" w:rsidP="00722412"/>
    <w:p w14:paraId="6C9A41A9" w14:textId="365B91D6" w:rsidR="00094F0B" w:rsidRPr="002A2946" w:rsidRDefault="005122E5" w:rsidP="00094F0B">
      <w:pPr>
        <w:rPr>
          <w:b/>
          <w:bCs/>
        </w:rPr>
      </w:pPr>
      <w:r w:rsidRPr="002A2946">
        <w:rPr>
          <w:b/>
          <w:bCs/>
          <w:i/>
          <w:iCs/>
        </w:rPr>
        <w:t xml:space="preserve">notes – I didn’t get to complete the </w:t>
      </w:r>
      <w:proofErr w:type="gramStart"/>
      <w:r w:rsidRPr="002A2946">
        <w:rPr>
          <w:b/>
          <w:bCs/>
          <w:i/>
          <w:iCs/>
        </w:rPr>
        <w:t>assignment</w:t>
      </w:r>
      <w:proofErr w:type="gramEnd"/>
      <w:r w:rsidR="00021524" w:rsidRPr="002A2946">
        <w:rPr>
          <w:b/>
          <w:bCs/>
          <w:i/>
          <w:iCs/>
        </w:rPr>
        <w:t xml:space="preserve"> but these were the items still to include:</w:t>
      </w:r>
    </w:p>
    <w:p w14:paraId="74D5DE89" w14:textId="77777777" w:rsidR="00094F0B" w:rsidRPr="00021524" w:rsidRDefault="00094F0B" w:rsidP="00094F0B">
      <w:pPr>
        <w:rPr>
          <w:i/>
          <w:iCs/>
        </w:rPr>
      </w:pPr>
      <w:r w:rsidRPr="00021524">
        <w:rPr>
          <w:i/>
          <w:iCs/>
        </w:rPr>
        <w:t>[Link between Gertrude and Ophelia – Coyle p. 84, Ophelia conflated with mother – Adelman p.14, Ted Hughes – p.234, Eagleton, p. 74 – “His attachment to his mother fragments his being into an unfillable desire which, since it swerves around all determinate objects (Ophelia, filial duty, desire).”</w:t>
      </w:r>
    </w:p>
    <w:p w14:paraId="34981254" w14:textId="7E25A95F" w:rsidR="004D5DA3" w:rsidRPr="00021524" w:rsidRDefault="004D5DA3" w:rsidP="00722412">
      <w:pPr>
        <w:rPr>
          <w:i/>
          <w:iCs/>
        </w:rPr>
      </w:pPr>
    </w:p>
    <w:p w14:paraId="5454F3C6" w14:textId="77777777" w:rsidR="009E1FAA" w:rsidRPr="00021524" w:rsidRDefault="009E1FAA" w:rsidP="009E1FAA">
      <w:pPr>
        <w:rPr>
          <w:i/>
          <w:iCs/>
        </w:rPr>
      </w:pPr>
      <w:r w:rsidRPr="00021524">
        <w:rPr>
          <w:i/>
          <w:iCs/>
        </w:rPr>
        <w:t xml:space="preserve">Hamlet’s reaction in the bedroom scene – is it warranted? </w:t>
      </w:r>
    </w:p>
    <w:p w14:paraId="5A18E2DF" w14:textId="77777777" w:rsidR="009E1FAA" w:rsidRPr="00021524" w:rsidRDefault="009E1FAA" w:rsidP="009E1FAA">
      <w:pPr>
        <w:rPr>
          <w:i/>
          <w:iCs/>
        </w:rPr>
      </w:pPr>
    </w:p>
    <w:p w14:paraId="07C46D17" w14:textId="77777777" w:rsidR="009E1FAA" w:rsidRPr="00021524" w:rsidRDefault="009E1FAA" w:rsidP="009E1FAA">
      <w:pPr>
        <w:rPr>
          <w:i/>
          <w:iCs/>
        </w:rPr>
      </w:pPr>
      <w:r w:rsidRPr="00021524">
        <w:rPr>
          <w:i/>
          <w:iCs/>
        </w:rPr>
        <w:t>[Does Gertrude know the pearl is poison in the final scene? Coyle thinks not – p. 91. Performances suggest otherwise. Adelman, p.15 argues that she may do. Gertrude does show sympathy to Hamlet – despite allowing him to be usurped to the throne – Bradley – p.</w:t>
      </w:r>
      <w:proofErr w:type="gramStart"/>
      <w:r w:rsidRPr="00021524">
        <w:rPr>
          <w:i/>
          <w:iCs/>
        </w:rPr>
        <w:t>135</w:t>
      </w:r>
      <w:proofErr w:type="gramEnd"/>
    </w:p>
    <w:p w14:paraId="46C6CD9E" w14:textId="77777777" w:rsidR="00135EDD" w:rsidRPr="00021524" w:rsidRDefault="00135EDD" w:rsidP="00135EDD">
      <w:pPr>
        <w:rPr>
          <w:i/>
          <w:iCs/>
        </w:rPr>
      </w:pPr>
      <w:r w:rsidRPr="00021524">
        <w:rPr>
          <w:i/>
          <w:iCs/>
        </w:rPr>
        <w:t xml:space="preserve">Son acting out the role of the father – challenged by presence of the mother – Adelman p.11, </w:t>
      </w:r>
    </w:p>
    <w:p w14:paraId="05DF94FB" w14:textId="59D59A84" w:rsidR="00094F0B" w:rsidRPr="00021524" w:rsidRDefault="00094F0B" w:rsidP="00722412">
      <w:pPr>
        <w:rPr>
          <w:i/>
          <w:iCs/>
        </w:rPr>
      </w:pPr>
    </w:p>
    <w:p w14:paraId="7295A71F" w14:textId="73529B08" w:rsidR="00553CA2" w:rsidRDefault="00553CA2" w:rsidP="00722412">
      <w:pPr>
        <w:rPr>
          <w:i/>
          <w:iCs/>
        </w:rPr>
      </w:pPr>
      <w:r w:rsidRPr="00021524">
        <w:rPr>
          <w:i/>
          <w:iCs/>
        </w:rPr>
        <w:t xml:space="preserve">Conclusion </w:t>
      </w:r>
      <w:r w:rsidR="000B62C5" w:rsidRPr="00021524">
        <w:rPr>
          <w:i/>
          <w:iCs/>
        </w:rPr>
        <w:t>–</w:t>
      </w:r>
      <w:r w:rsidRPr="00021524">
        <w:rPr>
          <w:i/>
          <w:iCs/>
        </w:rPr>
        <w:t xml:space="preserve"> </w:t>
      </w:r>
      <w:r w:rsidR="000B62C5" w:rsidRPr="00021524">
        <w:rPr>
          <w:i/>
          <w:iCs/>
        </w:rPr>
        <w:t xml:space="preserve">discussion of the nature of Gertrude – </w:t>
      </w:r>
      <w:r w:rsidR="00F00308" w:rsidRPr="00021524">
        <w:rPr>
          <w:i/>
          <w:iCs/>
        </w:rPr>
        <w:t>Hamlet driven by his own imaginative created ‘mother’ not the character in the text. Coriolanus – Volu</w:t>
      </w:r>
      <w:r w:rsidR="00021524">
        <w:rPr>
          <w:i/>
          <w:iCs/>
        </w:rPr>
        <w:t>m</w:t>
      </w:r>
      <w:r w:rsidR="00F00308" w:rsidRPr="00021524">
        <w:rPr>
          <w:i/>
          <w:iCs/>
        </w:rPr>
        <w:t xml:space="preserve">nia as the driving force to the plot at each crucial point. Does Coriolanus work more effectively according to Sidney’s </w:t>
      </w:r>
      <w:r w:rsidR="002A2946">
        <w:rPr>
          <w:i/>
          <w:iCs/>
        </w:rPr>
        <w:t>definition? Discussion to finish …</w:t>
      </w:r>
    </w:p>
    <w:p w14:paraId="18824D2F" w14:textId="77777777" w:rsidR="000318B6" w:rsidRPr="009D1732" w:rsidRDefault="000318B6" w:rsidP="009D1732"/>
    <w:sectPr w:rsidR="000318B6" w:rsidRPr="009D173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1A60D" w14:textId="77777777" w:rsidR="00963BBF" w:rsidRDefault="00963BBF" w:rsidP="009D1732">
      <w:pPr>
        <w:spacing w:after="0" w:line="240" w:lineRule="auto"/>
      </w:pPr>
      <w:r>
        <w:separator/>
      </w:r>
    </w:p>
  </w:endnote>
  <w:endnote w:type="continuationSeparator" w:id="0">
    <w:p w14:paraId="29F37AD1" w14:textId="77777777" w:rsidR="00963BBF" w:rsidRDefault="00963BBF" w:rsidP="009D1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C7591" w14:textId="77777777" w:rsidR="00963BBF" w:rsidRDefault="00963BBF" w:rsidP="009D1732">
      <w:pPr>
        <w:spacing w:after="0" w:line="240" w:lineRule="auto"/>
      </w:pPr>
      <w:r>
        <w:separator/>
      </w:r>
    </w:p>
  </w:footnote>
  <w:footnote w:type="continuationSeparator" w:id="0">
    <w:p w14:paraId="504F6851" w14:textId="77777777" w:rsidR="00963BBF" w:rsidRDefault="00963BBF" w:rsidP="009D1732">
      <w:pPr>
        <w:spacing w:after="0" w:line="240" w:lineRule="auto"/>
      </w:pPr>
      <w:r>
        <w:continuationSeparator/>
      </w:r>
    </w:p>
  </w:footnote>
  <w:footnote w:id="1">
    <w:p w14:paraId="0BA5576C" w14:textId="3FD83EF2" w:rsidR="008015F9" w:rsidRPr="006F69C3" w:rsidRDefault="008015F9">
      <w:pPr>
        <w:pStyle w:val="FootnoteText"/>
      </w:pPr>
      <w:r>
        <w:rPr>
          <w:rStyle w:val="FootnoteReference"/>
        </w:rPr>
        <w:footnoteRef/>
      </w:r>
      <w:r w:rsidR="00675A29">
        <w:t xml:space="preserve"> Stanley Wells and Gary Taylor </w:t>
      </w:r>
      <w:r w:rsidR="00675A29">
        <w:rPr>
          <w:i/>
          <w:iCs/>
        </w:rPr>
        <w:t>William Shakespeare</w:t>
      </w:r>
      <w:r w:rsidR="006F69C3">
        <w:rPr>
          <w:i/>
          <w:iCs/>
        </w:rPr>
        <w:t xml:space="preserve"> The Complete Works</w:t>
      </w:r>
      <w:r w:rsidR="006F69C3">
        <w:t xml:space="preserve"> (Oxford: Clarendon Press, 1988), p. </w:t>
      </w:r>
      <w:r w:rsidR="00106315">
        <w:t>656</w:t>
      </w:r>
    </w:p>
  </w:footnote>
  <w:footnote w:id="2">
    <w:p w14:paraId="36E43A70" w14:textId="04425532" w:rsidR="006627D3" w:rsidRPr="00A8688A" w:rsidRDefault="006627D3">
      <w:pPr>
        <w:pStyle w:val="FootnoteText"/>
      </w:pPr>
      <w:r>
        <w:rPr>
          <w:rStyle w:val="FootnoteReference"/>
        </w:rPr>
        <w:footnoteRef/>
      </w:r>
      <w:r>
        <w:t xml:space="preserve"> Dover Wilson, </w:t>
      </w:r>
      <w:r>
        <w:rPr>
          <w:i/>
          <w:iCs/>
        </w:rPr>
        <w:t xml:space="preserve">What </w:t>
      </w:r>
      <w:r w:rsidR="00A8688A">
        <w:rPr>
          <w:i/>
          <w:iCs/>
        </w:rPr>
        <w:t>Happens in Hamlet</w:t>
      </w:r>
      <w:r w:rsidR="00A8688A">
        <w:t xml:space="preserve"> (Cambridge: Cambridge University Press</w:t>
      </w:r>
      <w:r w:rsidR="004A1088">
        <w:t xml:space="preserve">, 1937), p. </w:t>
      </w:r>
      <w:proofErr w:type="gramStart"/>
      <w:r w:rsidR="004A1088">
        <w:t>42</w:t>
      </w:r>
      <w:proofErr w:type="gramEnd"/>
    </w:p>
  </w:footnote>
  <w:footnote w:id="3">
    <w:p w14:paraId="13A1D2EC" w14:textId="08ACBB3D" w:rsidR="00B1071E" w:rsidRPr="001E77BA" w:rsidRDefault="00B1071E">
      <w:pPr>
        <w:pStyle w:val="FootnoteText"/>
      </w:pPr>
      <w:r>
        <w:rPr>
          <w:rStyle w:val="FootnoteReference"/>
        </w:rPr>
        <w:footnoteRef/>
      </w:r>
      <w:r>
        <w:t xml:space="preserve"> </w:t>
      </w:r>
      <w:r w:rsidR="001E77BA">
        <w:t xml:space="preserve">T. S. Eliot, ‘Hamlet and his Problems’ IN </w:t>
      </w:r>
      <w:proofErr w:type="gramStart"/>
      <w:r w:rsidR="001E77BA">
        <w:rPr>
          <w:i/>
          <w:iCs/>
        </w:rPr>
        <w:t>The</w:t>
      </w:r>
      <w:proofErr w:type="gramEnd"/>
      <w:r w:rsidR="001E77BA">
        <w:rPr>
          <w:i/>
          <w:iCs/>
        </w:rPr>
        <w:t xml:space="preserve"> Sacred Wood</w:t>
      </w:r>
      <w:r w:rsidR="00A13CC3">
        <w:t xml:space="preserve"> (London: Faber &amp; Faber, 1997), p. </w:t>
      </w:r>
      <w:r w:rsidR="005B37FA">
        <w:t>85</w:t>
      </w:r>
    </w:p>
  </w:footnote>
  <w:footnote w:id="4">
    <w:p w14:paraId="77839B0B" w14:textId="0E457B35" w:rsidR="00E9721F" w:rsidRDefault="00E9721F">
      <w:pPr>
        <w:pStyle w:val="FootnoteText"/>
      </w:pPr>
      <w:r>
        <w:rPr>
          <w:rStyle w:val="FootnoteReference"/>
        </w:rPr>
        <w:footnoteRef/>
      </w:r>
      <w:r>
        <w:t xml:space="preserve"> Wilson</w:t>
      </w:r>
      <w:r w:rsidR="0026152E">
        <w:t>, p. 43</w:t>
      </w:r>
    </w:p>
  </w:footnote>
  <w:footnote w:id="5">
    <w:p w14:paraId="63310689" w14:textId="362AD4BB" w:rsidR="00657BA2" w:rsidRPr="00655B1B" w:rsidRDefault="00657BA2">
      <w:pPr>
        <w:pStyle w:val="FootnoteText"/>
      </w:pPr>
      <w:r>
        <w:rPr>
          <w:rStyle w:val="FootnoteReference"/>
        </w:rPr>
        <w:footnoteRef/>
      </w:r>
      <w:r>
        <w:t xml:space="preserve"> A. C. Bradley</w:t>
      </w:r>
      <w:r w:rsidR="00655B1B">
        <w:t xml:space="preserve">, </w:t>
      </w:r>
      <w:r w:rsidR="00655B1B">
        <w:rPr>
          <w:i/>
          <w:iCs/>
        </w:rPr>
        <w:t>Shakespearean Tragedy</w:t>
      </w:r>
      <w:r w:rsidR="00655B1B">
        <w:t xml:space="preserve"> (</w:t>
      </w:r>
      <w:r w:rsidR="00007B59">
        <w:t xml:space="preserve">London: MacMillan, 1904), p. </w:t>
      </w:r>
      <w:r w:rsidR="00B818E6">
        <w:t>134</w:t>
      </w:r>
      <w:r w:rsidR="00655B1B">
        <w:t xml:space="preserve"> </w:t>
      </w:r>
    </w:p>
  </w:footnote>
  <w:footnote w:id="6">
    <w:p w14:paraId="11D65722" w14:textId="5722C9AC" w:rsidR="000D3DAD" w:rsidRDefault="000D3DAD">
      <w:pPr>
        <w:pStyle w:val="FootnoteText"/>
      </w:pPr>
      <w:r>
        <w:rPr>
          <w:rStyle w:val="FootnoteReference"/>
        </w:rPr>
        <w:footnoteRef/>
      </w:r>
      <w:r>
        <w:t xml:space="preserve"> </w:t>
      </w:r>
      <w:r w:rsidR="00216A9A">
        <w:t xml:space="preserve">Jacqueline Rose, ‘Sexuality in the reading of Shakespear: </w:t>
      </w:r>
      <w:r w:rsidR="00216A9A" w:rsidRPr="00275C6D">
        <w:rPr>
          <w:i/>
          <w:iCs/>
        </w:rPr>
        <w:t>Hamlet</w:t>
      </w:r>
      <w:r w:rsidR="00216A9A">
        <w:t xml:space="preserve"> and </w:t>
      </w:r>
      <w:r w:rsidR="00216A9A">
        <w:rPr>
          <w:i/>
          <w:iCs/>
        </w:rPr>
        <w:t>Measure for Measure</w:t>
      </w:r>
      <w:r w:rsidR="00216A9A">
        <w:t xml:space="preserve">’ IN </w:t>
      </w:r>
      <w:r w:rsidR="00216A9A">
        <w:rPr>
          <w:i/>
          <w:iCs/>
        </w:rPr>
        <w:t xml:space="preserve">Alternative </w:t>
      </w:r>
      <w:proofErr w:type="spellStart"/>
      <w:r w:rsidR="00216A9A">
        <w:rPr>
          <w:i/>
          <w:iCs/>
        </w:rPr>
        <w:t>Shakespeares</w:t>
      </w:r>
      <w:proofErr w:type="spellEnd"/>
      <w:r w:rsidR="00216A9A">
        <w:t xml:space="preserve"> (London: Methuen, 1985), p. 9</w:t>
      </w:r>
      <w:r w:rsidR="00216A9A">
        <w:t>6</w:t>
      </w:r>
    </w:p>
  </w:footnote>
  <w:footnote w:id="7">
    <w:p w14:paraId="7382FE95" w14:textId="7F25E4AB" w:rsidR="001150D1" w:rsidRDefault="001150D1">
      <w:pPr>
        <w:pStyle w:val="FootnoteText"/>
      </w:pPr>
      <w:r>
        <w:rPr>
          <w:rStyle w:val="FootnoteReference"/>
        </w:rPr>
        <w:footnoteRef/>
      </w:r>
      <w:r>
        <w:t xml:space="preserve"> </w:t>
      </w:r>
      <w:r w:rsidR="00D37B87">
        <w:t>Rose, p. 97</w:t>
      </w:r>
    </w:p>
  </w:footnote>
  <w:footnote w:id="8">
    <w:p w14:paraId="6DEAE45F" w14:textId="6D5E4C2D" w:rsidR="00AA6C53" w:rsidRPr="006B78C6" w:rsidRDefault="00AA6C53">
      <w:pPr>
        <w:pStyle w:val="FootnoteText"/>
      </w:pPr>
      <w:r>
        <w:rPr>
          <w:rStyle w:val="FootnoteReference"/>
        </w:rPr>
        <w:footnoteRef/>
      </w:r>
      <w:r>
        <w:t xml:space="preserve"> Rebecca Smith</w:t>
      </w:r>
      <w:r w:rsidR="00D02950">
        <w:t xml:space="preserve">, ‘The Dilemma of </w:t>
      </w:r>
      <w:r w:rsidR="0054709C">
        <w:t xml:space="preserve">Gertrude’ IN </w:t>
      </w:r>
      <w:r w:rsidR="006B78C6">
        <w:t xml:space="preserve">Coyle, M., </w:t>
      </w:r>
      <w:r w:rsidR="006B78C6">
        <w:rPr>
          <w:i/>
          <w:iCs/>
        </w:rPr>
        <w:t>Hamlet</w:t>
      </w:r>
      <w:r w:rsidR="006B78C6">
        <w:t>, (Basingstoke: Palgrave</w:t>
      </w:r>
      <w:r w:rsidR="003834BF">
        <w:t>, 1992)</w:t>
      </w:r>
    </w:p>
  </w:footnote>
  <w:footnote w:id="9">
    <w:p w14:paraId="0E450EE3" w14:textId="4A95A66C" w:rsidR="00C52DB4" w:rsidRDefault="00C52DB4">
      <w:pPr>
        <w:pStyle w:val="FootnoteText"/>
      </w:pPr>
      <w:r>
        <w:rPr>
          <w:rStyle w:val="FootnoteReference"/>
        </w:rPr>
        <w:footnoteRef/>
      </w:r>
      <w:r>
        <w:t xml:space="preserve"> Bradley</w:t>
      </w:r>
      <w:r w:rsidR="00621B57">
        <w:t>, p. 119</w:t>
      </w:r>
    </w:p>
  </w:footnote>
  <w:footnote w:id="10">
    <w:p w14:paraId="7A112BDE" w14:textId="02254430" w:rsidR="00244F9E" w:rsidRDefault="00244F9E">
      <w:pPr>
        <w:pStyle w:val="FootnoteText"/>
      </w:pPr>
      <w:r>
        <w:rPr>
          <w:rStyle w:val="FootnoteReference"/>
        </w:rPr>
        <w:footnoteRef/>
      </w:r>
      <w:r>
        <w:t xml:space="preserve"> </w:t>
      </w:r>
      <w:r w:rsidR="00A6622A">
        <w:t xml:space="preserve">Terry Eagleton, </w:t>
      </w:r>
      <w:r w:rsidR="00A6622A">
        <w:rPr>
          <w:i/>
          <w:iCs/>
        </w:rPr>
        <w:t>William Shakespeare</w:t>
      </w:r>
      <w:r w:rsidR="00A6622A">
        <w:t xml:space="preserve"> (Oxford: Blackwell, 1986) p. 7</w:t>
      </w:r>
      <w:r w:rsidR="00A6622A">
        <w:t>4</w:t>
      </w:r>
    </w:p>
  </w:footnote>
  <w:footnote w:id="11">
    <w:p w14:paraId="660D587C" w14:textId="5D69AAE2" w:rsidR="003306EB" w:rsidRPr="003306EB" w:rsidRDefault="003306EB">
      <w:pPr>
        <w:pStyle w:val="FootnoteText"/>
      </w:pPr>
      <w:r>
        <w:rPr>
          <w:rStyle w:val="FootnoteReference"/>
        </w:rPr>
        <w:footnoteRef/>
      </w:r>
      <w:r>
        <w:t xml:space="preserve"> C. S. Lewis </w:t>
      </w:r>
      <w:r>
        <w:rPr>
          <w:i/>
          <w:iCs/>
        </w:rPr>
        <w:t>The Allegory of Love</w:t>
      </w:r>
      <w:r>
        <w:t xml:space="preserve"> </w:t>
      </w:r>
      <w:r w:rsidR="00DE707A">
        <w:t xml:space="preserve">(Oxford: Oxford University Press, 1936) p. </w:t>
      </w:r>
      <w:r w:rsidR="00D77ABE">
        <w:t>263</w:t>
      </w:r>
      <w:r w:rsidR="00DE707A">
        <w:t xml:space="preserve"> </w:t>
      </w:r>
    </w:p>
  </w:footnote>
  <w:footnote w:id="12">
    <w:p w14:paraId="42E723DA" w14:textId="241C26CA" w:rsidR="00164AD9" w:rsidRDefault="00164AD9">
      <w:pPr>
        <w:pStyle w:val="FootnoteText"/>
      </w:pPr>
      <w:r>
        <w:rPr>
          <w:rStyle w:val="FootnoteReference"/>
        </w:rPr>
        <w:footnoteRef/>
      </w:r>
      <w:r>
        <w:t xml:space="preserve"> Lewis, p. 119</w:t>
      </w:r>
    </w:p>
  </w:footnote>
  <w:footnote w:id="13">
    <w:p w14:paraId="46C9F728" w14:textId="61F37999" w:rsidR="0062572B" w:rsidRDefault="0062572B">
      <w:pPr>
        <w:pStyle w:val="FootnoteText"/>
      </w:pPr>
      <w:r>
        <w:rPr>
          <w:rStyle w:val="FootnoteReference"/>
        </w:rPr>
        <w:footnoteRef/>
      </w:r>
      <w:r>
        <w:t xml:space="preserve"> Adelman, p. </w:t>
      </w:r>
      <w:r w:rsidR="00CB63F5">
        <w:t>17</w:t>
      </w:r>
    </w:p>
  </w:footnote>
  <w:footnote w:id="14">
    <w:p w14:paraId="4EB5B0C8" w14:textId="57B832B6" w:rsidR="00F20C12" w:rsidRDefault="00F20C12">
      <w:pPr>
        <w:pStyle w:val="FootnoteText"/>
      </w:pPr>
      <w:r>
        <w:rPr>
          <w:rStyle w:val="FootnoteReference"/>
        </w:rPr>
        <w:footnoteRef/>
      </w:r>
      <w:r>
        <w:t xml:space="preserve"> Adelman, p. 17</w:t>
      </w:r>
    </w:p>
  </w:footnote>
  <w:footnote w:id="15">
    <w:p w14:paraId="2B03F6B0" w14:textId="2BA9CABC" w:rsidR="00224DB1" w:rsidRPr="00957DCE" w:rsidRDefault="00224DB1">
      <w:pPr>
        <w:pStyle w:val="FootnoteText"/>
      </w:pPr>
      <w:r>
        <w:rPr>
          <w:rStyle w:val="FootnoteReference"/>
        </w:rPr>
        <w:footnoteRef/>
      </w:r>
      <w:r>
        <w:t xml:space="preserve"> </w:t>
      </w:r>
      <w:r w:rsidR="00D37B87">
        <w:t xml:space="preserve">Rose, </w:t>
      </w:r>
      <w:r w:rsidR="00C73C9F">
        <w:t>p. 95</w:t>
      </w:r>
    </w:p>
  </w:footnote>
  <w:footnote w:id="16">
    <w:p w14:paraId="659F23D4" w14:textId="56462729" w:rsidR="002B5494" w:rsidRDefault="002B5494">
      <w:pPr>
        <w:pStyle w:val="FootnoteText"/>
      </w:pPr>
      <w:r>
        <w:rPr>
          <w:rStyle w:val="FootnoteReference"/>
        </w:rPr>
        <w:footnoteRef/>
      </w:r>
      <w:r>
        <w:t xml:space="preserve"> Rose, p. 97</w:t>
      </w:r>
    </w:p>
  </w:footnote>
  <w:footnote w:id="17">
    <w:p w14:paraId="3DC6632C" w14:textId="147DB22D" w:rsidR="00EF298E" w:rsidRDefault="00EF298E">
      <w:pPr>
        <w:pStyle w:val="FootnoteText"/>
      </w:pPr>
      <w:r>
        <w:rPr>
          <w:rStyle w:val="FootnoteReference"/>
        </w:rPr>
        <w:footnoteRef/>
      </w:r>
      <w:r>
        <w:t xml:space="preserve"> Lewis, </w:t>
      </w:r>
      <w:r w:rsidR="00492C20">
        <w:t>p. 119</w:t>
      </w:r>
    </w:p>
  </w:footnote>
  <w:footnote w:id="18">
    <w:p w14:paraId="3AB31EE7" w14:textId="5B91E24C" w:rsidR="00492C20" w:rsidRDefault="00492C20">
      <w:pPr>
        <w:pStyle w:val="FootnoteText"/>
      </w:pPr>
      <w:r>
        <w:rPr>
          <w:rStyle w:val="FootnoteReference"/>
        </w:rPr>
        <w:footnoteRef/>
      </w:r>
      <w:r>
        <w:t xml:space="preserve"> </w:t>
      </w:r>
      <w:r>
        <w:t>Adelman</w:t>
      </w:r>
      <w:r>
        <w:t>,</w:t>
      </w:r>
      <w:r>
        <w:t xml:space="preserve"> p. 17</w:t>
      </w:r>
    </w:p>
  </w:footnote>
  <w:footnote w:id="19">
    <w:p w14:paraId="3DA3DA43" w14:textId="446DC83D" w:rsidR="006C05EE" w:rsidRDefault="006C05EE">
      <w:pPr>
        <w:pStyle w:val="FootnoteText"/>
      </w:pPr>
      <w:r>
        <w:rPr>
          <w:rStyle w:val="FootnoteReference"/>
        </w:rPr>
        <w:footnoteRef/>
      </w:r>
      <w:r>
        <w:t xml:space="preserve"> </w:t>
      </w:r>
      <w:r>
        <w:t>Adelman</w:t>
      </w:r>
      <w:r>
        <w:t>,</w:t>
      </w:r>
      <w:r>
        <w:t xml:space="preserve"> p. 17</w:t>
      </w:r>
    </w:p>
  </w:footnote>
  <w:footnote w:id="20">
    <w:p w14:paraId="6029C676" w14:textId="3DAE527A" w:rsidR="00531B25" w:rsidRDefault="00531B25">
      <w:pPr>
        <w:pStyle w:val="FootnoteText"/>
      </w:pPr>
      <w:r>
        <w:rPr>
          <w:rStyle w:val="FootnoteReference"/>
        </w:rPr>
        <w:footnoteRef/>
      </w:r>
      <w:r>
        <w:t xml:space="preserve"> </w:t>
      </w:r>
      <w:r>
        <w:t>Eagleton</w:t>
      </w:r>
      <w:r w:rsidR="00B04B70">
        <w:t xml:space="preserve">, </w:t>
      </w:r>
      <w:r>
        <w:t>p. 71</w:t>
      </w:r>
    </w:p>
  </w:footnote>
  <w:footnote w:id="21">
    <w:p w14:paraId="01A83899" w14:textId="77777777" w:rsidR="00F94D4F" w:rsidRDefault="00F94D4F" w:rsidP="00F94D4F">
      <w:pPr>
        <w:pStyle w:val="FootnoteText"/>
      </w:pPr>
      <w:r>
        <w:rPr>
          <w:rStyle w:val="FootnoteReference"/>
        </w:rPr>
        <w:footnoteRef/>
      </w:r>
      <w:r>
        <w:t xml:space="preserve"> Janet Adelman, </w:t>
      </w:r>
      <w:r>
        <w:rPr>
          <w:i/>
          <w:iCs/>
        </w:rPr>
        <w:t>Suffocating Mothers</w:t>
      </w:r>
      <w:r>
        <w:t xml:space="preserve"> (London: Routledge, 1992), p. 148 </w:t>
      </w:r>
    </w:p>
  </w:footnote>
  <w:footnote w:id="22">
    <w:p w14:paraId="4846A14C" w14:textId="77777777" w:rsidR="00021825" w:rsidRPr="00B74283" w:rsidRDefault="00021825" w:rsidP="00021825">
      <w:pPr>
        <w:pStyle w:val="FootnoteText"/>
      </w:pPr>
      <w:r>
        <w:rPr>
          <w:rStyle w:val="FootnoteReference"/>
        </w:rPr>
        <w:footnoteRef/>
      </w:r>
      <w:r>
        <w:t xml:space="preserve"> Shaw, Patricia, “Ale Wives, Old Wives, Widows and Witches: </w:t>
      </w:r>
      <w:proofErr w:type="gramStart"/>
      <w:r>
        <w:t>the</w:t>
      </w:r>
      <w:proofErr w:type="gramEnd"/>
      <w:r>
        <w:t xml:space="preserve"> Older Woman in English Renaissance Literature” IN Sanchez, J. ed. </w:t>
      </w:r>
      <w:r>
        <w:rPr>
          <w:i/>
          <w:iCs/>
        </w:rPr>
        <w:t>Proceedings of the I National Conference of the Spanish Society for English Renaissance Studies</w:t>
      </w:r>
      <w:r>
        <w:t xml:space="preserve"> (Zaragoza: University of Zaragoza), p.9.</w:t>
      </w:r>
    </w:p>
  </w:footnote>
  <w:footnote w:id="23">
    <w:p w14:paraId="7A1E4388" w14:textId="203BF609" w:rsidR="009D1732" w:rsidRDefault="009D1732">
      <w:pPr>
        <w:pStyle w:val="FootnoteText"/>
      </w:pPr>
      <w:r>
        <w:rPr>
          <w:rStyle w:val="FootnoteReference"/>
        </w:rPr>
        <w:footnoteRef/>
      </w:r>
      <w:r>
        <w:t xml:space="preserve"> Adelman, p. 148</w:t>
      </w:r>
    </w:p>
  </w:footnote>
  <w:footnote w:id="24">
    <w:p w14:paraId="737D4908" w14:textId="0B46481A" w:rsidR="009F626A" w:rsidRPr="00653D4C" w:rsidRDefault="009F626A">
      <w:pPr>
        <w:pStyle w:val="FootnoteText"/>
        <w:rPr>
          <w:i/>
          <w:iCs/>
          <w:vertAlign w:val="subscript"/>
          <w:lang w:val="en-US"/>
        </w:rPr>
      </w:pPr>
      <w:r>
        <w:rPr>
          <w:rStyle w:val="FootnoteReference"/>
        </w:rPr>
        <w:footnoteRef/>
      </w:r>
      <w:r>
        <w:t xml:space="preserve"> </w:t>
      </w:r>
      <w:r w:rsidR="00357182">
        <w:rPr>
          <w:lang w:val="en-US"/>
        </w:rPr>
        <w:t>Jos</w:t>
      </w:r>
      <w:r w:rsidR="000C21BB">
        <w:rPr>
          <w:lang w:val="en-US"/>
        </w:rPr>
        <w:t xml:space="preserve">é Álvarez </w:t>
      </w:r>
      <w:proofErr w:type="spellStart"/>
      <w:r w:rsidR="000C21BB">
        <w:rPr>
          <w:lang w:val="en-US"/>
        </w:rPr>
        <w:t>Faedo</w:t>
      </w:r>
      <w:proofErr w:type="spellEnd"/>
      <w:r w:rsidR="00B264AB">
        <w:rPr>
          <w:lang w:val="en-US"/>
        </w:rPr>
        <w:t xml:space="preserve">, “Re-visions of Volumnia’s Motherhood” IN </w:t>
      </w:r>
      <w:proofErr w:type="spellStart"/>
      <w:r w:rsidR="00B264AB">
        <w:rPr>
          <w:i/>
          <w:iCs/>
          <w:lang w:val="en-US"/>
        </w:rPr>
        <w:t>Revista</w:t>
      </w:r>
      <w:proofErr w:type="spellEnd"/>
      <w:r w:rsidR="00B264AB">
        <w:rPr>
          <w:i/>
          <w:iCs/>
          <w:lang w:val="en-US"/>
        </w:rPr>
        <w:t xml:space="preserve"> </w:t>
      </w:r>
      <w:proofErr w:type="spellStart"/>
      <w:r w:rsidR="00B264AB">
        <w:rPr>
          <w:i/>
          <w:iCs/>
          <w:lang w:val="en-US"/>
        </w:rPr>
        <w:t>Alicantina</w:t>
      </w:r>
      <w:proofErr w:type="spellEnd"/>
      <w:r w:rsidR="00B264AB">
        <w:rPr>
          <w:i/>
          <w:iCs/>
          <w:lang w:val="en-US"/>
        </w:rPr>
        <w:t xml:space="preserve"> de </w:t>
      </w:r>
      <w:proofErr w:type="spellStart"/>
      <w:r w:rsidR="00B264AB">
        <w:rPr>
          <w:i/>
          <w:iCs/>
          <w:lang w:val="en-US"/>
        </w:rPr>
        <w:t>Estudios</w:t>
      </w:r>
      <w:proofErr w:type="spellEnd"/>
      <w:r w:rsidR="00B264AB">
        <w:rPr>
          <w:i/>
          <w:iCs/>
          <w:lang w:val="en-US"/>
        </w:rPr>
        <w:t xml:space="preserve"> Ingleses 15</w:t>
      </w:r>
      <w:r w:rsidR="004D2C1A">
        <w:rPr>
          <w:i/>
          <w:iCs/>
          <w:lang w:val="en-US"/>
        </w:rPr>
        <w:t xml:space="preserve"> </w:t>
      </w:r>
      <w:r w:rsidR="004D2C1A" w:rsidRPr="004D2C1A">
        <w:rPr>
          <w:lang w:val="en-US"/>
        </w:rPr>
        <w:t>(2002)</w:t>
      </w:r>
      <w:r w:rsidR="004D2C1A">
        <w:rPr>
          <w:lang w:val="en-US"/>
        </w:rPr>
        <w:t>, p. 24</w:t>
      </w:r>
    </w:p>
  </w:footnote>
  <w:footnote w:id="25">
    <w:p w14:paraId="55C4E86A" w14:textId="59FF8AE7" w:rsidR="005B1EA2" w:rsidRPr="00B86202" w:rsidRDefault="005B1EA2">
      <w:pPr>
        <w:pStyle w:val="FootnoteText"/>
        <w:rPr>
          <w:lang w:val="en-US"/>
        </w:rPr>
      </w:pPr>
      <w:r>
        <w:rPr>
          <w:rStyle w:val="FootnoteReference"/>
        </w:rPr>
        <w:footnoteRef/>
      </w:r>
      <w:r>
        <w:t xml:space="preserve"> </w:t>
      </w:r>
      <w:bookmarkStart w:id="0" w:name="_Hlk70970733"/>
      <w:r w:rsidR="00ED148E">
        <w:rPr>
          <w:lang w:val="en-US"/>
        </w:rPr>
        <w:t>Wells and Taylor,</w:t>
      </w:r>
      <w:bookmarkEnd w:id="0"/>
      <w:r w:rsidR="00ED148E">
        <w:rPr>
          <w:lang w:val="en-US"/>
        </w:rPr>
        <w:t xml:space="preserve"> </w:t>
      </w:r>
      <w:r w:rsidR="00A72C06">
        <w:rPr>
          <w:lang w:val="en-US"/>
        </w:rPr>
        <w:t>p. 1070</w:t>
      </w:r>
    </w:p>
  </w:footnote>
  <w:footnote w:id="26">
    <w:p w14:paraId="79502B84" w14:textId="4BFD78FD" w:rsidR="00A72C06" w:rsidRPr="00A72C06" w:rsidRDefault="00A72C06">
      <w:pPr>
        <w:pStyle w:val="FootnoteText"/>
        <w:rPr>
          <w:lang w:val="en-US"/>
        </w:rPr>
      </w:pPr>
      <w:r>
        <w:rPr>
          <w:rStyle w:val="FootnoteReference"/>
        </w:rPr>
        <w:footnoteRef/>
      </w:r>
      <w:r>
        <w:t xml:space="preserve"> </w:t>
      </w:r>
      <w:r w:rsidR="00ED148E">
        <w:rPr>
          <w:lang w:val="en-US"/>
        </w:rPr>
        <w:t>Ibid</w:t>
      </w:r>
      <w:r w:rsidR="002D494C">
        <w:rPr>
          <w:lang w:val="en-US"/>
        </w:rPr>
        <w:t xml:space="preserve"> p. 1070</w:t>
      </w:r>
    </w:p>
  </w:footnote>
  <w:footnote w:id="27">
    <w:p w14:paraId="07100F19" w14:textId="77BC25AD" w:rsidR="0045647D" w:rsidRPr="0045647D" w:rsidRDefault="0045647D">
      <w:pPr>
        <w:pStyle w:val="FootnoteText"/>
        <w:rPr>
          <w:lang w:val="en-US"/>
        </w:rPr>
      </w:pPr>
      <w:r>
        <w:rPr>
          <w:rStyle w:val="FootnoteReference"/>
        </w:rPr>
        <w:footnoteRef/>
      </w:r>
      <w:r>
        <w:t xml:space="preserve"> </w:t>
      </w:r>
      <w:r w:rsidR="00ED148E">
        <w:rPr>
          <w:lang w:val="en-US"/>
        </w:rPr>
        <w:t>Ibid</w:t>
      </w:r>
      <w:r w:rsidR="00927810">
        <w:rPr>
          <w:lang w:val="en-US"/>
        </w:rPr>
        <w:t>, p. 1076</w:t>
      </w:r>
    </w:p>
  </w:footnote>
  <w:footnote w:id="28">
    <w:p w14:paraId="39717568" w14:textId="3BCAA4FE" w:rsidR="003909F2" w:rsidRPr="003909F2" w:rsidRDefault="003909F2">
      <w:pPr>
        <w:pStyle w:val="FootnoteText"/>
        <w:rPr>
          <w:lang w:val="en-US"/>
        </w:rPr>
      </w:pPr>
      <w:r>
        <w:rPr>
          <w:rStyle w:val="FootnoteReference"/>
        </w:rPr>
        <w:footnoteRef/>
      </w:r>
      <w:r>
        <w:t xml:space="preserve"> </w:t>
      </w:r>
      <w:r>
        <w:rPr>
          <w:lang w:val="en-US"/>
        </w:rPr>
        <w:t>Adelman, p. 148</w:t>
      </w:r>
    </w:p>
  </w:footnote>
  <w:footnote w:id="29">
    <w:p w14:paraId="4765C2C0" w14:textId="0C77413F" w:rsidR="000B78B6" w:rsidRPr="00373C0F" w:rsidRDefault="000B78B6">
      <w:pPr>
        <w:pStyle w:val="FootnoteText"/>
        <w:rPr>
          <w:lang w:val="en-US"/>
        </w:rPr>
      </w:pPr>
      <w:r>
        <w:rPr>
          <w:rStyle w:val="FootnoteReference"/>
        </w:rPr>
        <w:footnoteRef/>
      </w:r>
      <w:r>
        <w:t xml:space="preserve"> </w:t>
      </w:r>
      <w:r w:rsidR="00946BFB">
        <w:rPr>
          <w:lang w:val="en-US"/>
        </w:rPr>
        <w:t>Kott, Jan</w:t>
      </w:r>
      <w:r w:rsidR="00946BFB">
        <w:rPr>
          <w:i/>
          <w:iCs/>
          <w:lang w:val="en-US"/>
        </w:rPr>
        <w:t xml:space="preserve"> </w:t>
      </w:r>
      <w:proofErr w:type="spellStart"/>
      <w:r w:rsidR="00946BFB">
        <w:rPr>
          <w:i/>
          <w:iCs/>
          <w:lang w:val="en-US"/>
        </w:rPr>
        <w:t>Apuntes</w:t>
      </w:r>
      <w:proofErr w:type="spellEnd"/>
      <w:r w:rsidR="00373C0F">
        <w:rPr>
          <w:i/>
          <w:iCs/>
          <w:lang w:val="en-US"/>
        </w:rPr>
        <w:t xml:space="preserve"> </w:t>
      </w:r>
      <w:proofErr w:type="spellStart"/>
      <w:r w:rsidR="00373C0F">
        <w:rPr>
          <w:i/>
          <w:iCs/>
          <w:lang w:val="en-US"/>
        </w:rPr>
        <w:t>sobre</w:t>
      </w:r>
      <w:proofErr w:type="spellEnd"/>
      <w:r w:rsidR="00373C0F">
        <w:rPr>
          <w:i/>
          <w:iCs/>
          <w:lang w:val="en-US"/>
        </w:rPr>
        <w:t xml:space="preserve"> Shakespeare</w:t>
      </w:r>
      <w:r w:rsidR="00373C0F">
        <w:rPr>
          <w:lang w:val="en-US"/>
        </w:rPr>
        <w:t xml:space="preserve">. (Barcelona: </w:t>
      </w:r>
      <w:r w:rsidR="00DA02ED">
        <w:rPr>
          <w:lang w:val="en-US"/>
        </w:rPr>
        <w:t xml:space="preserve">Editorial </w:t>
      </w:r>
      <w:proofErr w:type="spellStart"/>
      <w:r w:rsidR="00DA02ED">
        <w:rPr>
          <w:lang w:val="en-US"/>
        </w:rPr>
        <w:t>Seix</w:t>
      </w:r>
      <w:proofErr w:type="spellEnd"/>
      <w:r w:rsidR="00DA02ED">
        <w:rPr>
          <w:lang w:val="en-US"/>
        </w:rPr>
        <w:t xml:space="preserve"> Barral, 1969)</w:t>
      </w:r>
    </w:p>
  </w:footnote>
  <w:footnote w:id="30">
    <w:p w14:paraId="7AE54A9D" w14:textId="6796FE92" w:rsidR="00CC43B1" w:rsidRPr="00201D14" w:rsidRDefault="00CC43B1">
      <w:pPr>
        <w:pStyle w:val="FootnoteText"/>
        <w:rPr>
          <w:lang w:val="en-US"/>
        </w:rPr>
      </w:pPr>
      <w:r>
        <w:rPr>
          <w:rStyle w:val="FootnoteReference"/>
        </w:rPr>
        <w:footnoteRef/>
      </w:r>
      <w:r>
        <w:t xml:space="preserve"> </w:t>
      </w:r>
      <w:r>
        <w:rPr>
          <w:lang w:val="en-US"/>
        </w:rPr>
        <w:t xml:space="preserve">Christina </w:t>
      </w:r>
      <w:proofErr w:type="spellStart"/>
      <w:r>
        <w:rPr>
          <w:lang w:val="en-US"/>
        </w:rPr>
        <w:t>Luckyj</w:t>
      </w:r>
      <w:proofErr w:type="spellEnd"/>
      <w:r w:rsidR="00F6063C">
        <w:rPr>
          <w:lang w:val="en-US"/>
        </w:rPr>
        <w:t xml:space="preserve"> “Volumnia’s Silence” IN </w:t>
      </w:r>
      <w:r w:rsidR="00F6063C">
        <w:rPr>
          <w:i/>
          <w:iCs/>
          <w:lang w:val="en-US"/>
        </w:rPr>
        <w:t>Studies in English Literature, 1500-1900, Spring 1991, Vol. 31, No. 2</w:t>
      </w:r>
      <w:r w:rsidR="00201D14">
        <w:rPr>
          <w:lang w:val="en-US"/>
        </w:rPr>
        <w:t>. P. 328</w:t>
      </w:r>
    </w:p>
  </w:footnote>
  <w:footnote w:id="31">
    <w:p w14:paraId="1185E37A" w14:textId="1C20FF40" w:rsidR="007845A1" w:rsidRDefault="007845A1">
      <w:pPr>
        <w:pStyle w:val="FootnoteText"/>
      </w:pPr>
      <w:r>
        <w:rPr>
          <w:rStyle w:val="FootnoteReference"/>
        </w:rPr>
        <w:footnoteRef/>
      </w:r>
      <w:r>
        <w:t xml:space="preserve"> </w:t>
      </w:r>
      <w:proofErr w:type="spellStart"/>
      <w:r>
        <w:t>Adelmane</w:t>
      </w:r>
      <w:proofErr w:type="spellEnd"/>
      <w:r>
        <w:t>, p. 148</w:t>
      </w:r>
    </w:p>
  </w:footnote>
  <w:footnote w:id="32">
    <w:p w14:paraId="2DCDE098" w14:textId="43F41641" w:rsidR="00B73294" w:rsidRDefault="00B73294">
      <w:pPr>
        <w:pStyle w:val="FootnoteText"/>
      </w:pPr>
      <w:r>
        <w:rPr>
          <w:rStyle w:val="FootnoteReference"/>
        </w:rPr>
        <w:footnoteRef/>
      </w:r>
      <w:r>
        <w:t xml:space="preserve"> </w:t>
      </w:r>
      <w:r w:rsidR="00AD574E">
        <w:t>Dollimore, p. 219</w:t>
      </w:r>
    </w:p>
  </w:footnote>
  <w:footnote w:id="33">
    <w:p w14:paraId="3744ACFC" w14:textId="0BBEFEB0" w:rsidR="00D24E5B" w:rsidRDefault="00D24E5B">
      <w:pPr>
        <w:pStyle w:val="FootnoteText"/>
      </w:pPr>
      <w:r>
        <w:rPr>
          <w:rStyle w:val="FootnoteReference"/>
        </w:rPr>
        <w:footnoteRef/>
      </w:r>
      <w:r>
        <w:t xml:space="preserve"> </w:t>
      </w:r>
      <w:r w:rsidR="00ED148E">
        <w:rPr>
          <w:lang w:val="en-US"/>
        </w:rPr>
        <w:t>Wells and Taylor,</w:t>
      </w:r>
      <w:r>
        <w:t xml:space="preserve"> p. 1096</w:t>
      </w:r>
    </w:p>
  </w:footnote>
  <w:footnote w:id="34">
    <w:p w14:paraId="172EBB92" w14:textId="2699F1B6" w:rsidR="00612493" w:rsidRDefault="00612493">
      <w:pPr>
        <w:pStyle w:val="FootnoteText"/>
      </w:pPr>
      <w:r>
        <w:rPr>
          <w:rStyle w:val="FootnoteReference"/>
        </w:rPr>
        <w:footnoteRef/>
      </w:r>
      <w:r>
        <w:t xml:space="preserve"> </w:t>
      </w:r>
      <w:proofErr w:type="spellStart"/>
      <w:r>
        <w:t>Luckyj</w:t>
      </w:r>
      <w:proofErr w:type="spellEnd"/>
      <w:r>
        <w:t>, p. 330</w:t>
      </w:r>
    </w:p>
  </w:footnote>
  <w:footnote w:id="35">
    <w:p w14:paraId="08226ABB" w14:textId="77777777" w:rsidR="00CC5A2B" w:rsidRPr="00573CC3" w:rsidRDefault="00CC5A2B" w:rsidP="00CC5A2B">
      <w:pPr>
        <w:pStyle w:val="FootnoteText"/>
        <w:rPr>
          <w:lang w:val="en-US"/>
        </w:rPr>
      </w:pPr>
      <w:r>
        <w:rPr>
          <w:rStyle w:val="FootnoteReference"/>
        </w:rPr>
        <w:footnoteRef/>
      </w:r>
      <w:r>
        <w:t xml:space="preserve"> </w:t>
      </w:r>
      <w:proofErr w:type="spellStart"/>
      <w:r>
        <w:rPr>
          <w:lang w:val="en-US"/>
        </w:rPr>
        <w:t>Faedo</w:t>
      </w:r>
      <w:proofErr w:type="spellEnd"/>
      <w:r>
        <w:rPr>
          <w:lang w:val="en-US"/>
        </w:rPr>
        <w:t>, p. 28</w:t>
      </w:r>
    </w:p>
  </w:footnote>
  <w:footnote w:id="36">
    <w:p w14:paraId="6703038E" w14:textId="4B425486" w:rsidR="002C215E" w:rsidRDefault="002C215E">
      <w:pPr>
        <w:pStyle w:val="FootnoteText"/>
      </w:pPr>
      <w:r>
        <w:rPr>
          <w:rStyle w:val="FootnoteReference"/>
        </w:rPr>
        <w:footnoteRef/>
      </w:r>
      <w:r>
        <w:t xml:space="preserve"> </w:t>
      </w:r>
      <w:r w:rsidR="00ED148E">
        <w:rPr>
          <w:lang w:val="en-US"/>
        </w:rPr>
        <w:t>Wells and Taylor,</w:t>
      </w:r>
      <w:r>
        <w:t xml:space="preserve"> p. </w:t>
      </w:r>
      <w:r w:rsidR="0089375D">
        <w:t>1089</w:t>
      </w:r>
    </w:p>
  </w:footnote>
  <w:footnote w:id="37">
    <w:p w14:paraId="7572141D" w14:textId="090F3594" w:rsidR="00A37BF7" w:rsidRDefault="00A37BF7">
      <w:pPr>
        <w:pStyle w:val="FootnoteText"/>
      </w:pPr>
      <w:r>
        <w:rPr>
          <w:rStyle w:val="FootnoteReference"/>
        </w:rPr>
        <w:footnoteRef/>
      </w:r>
      <w:r>
        <w:t xml:space="preserve"> Adelman</w:t>
      </w:r>
    </w:p>
  </w:footnote>
  <w:footnote w:id="38">
    <w:p w14:paraId="43D8EABC" w14:textId="210FA159" w:rsidR="00A52684" w:rsidRDefault="00A52684">
      <w:pPr>
        <w:pStyle w:val="FootnoteText"/>
      </w:pPr>
      <w:r>
        <w:rPr>
          <w:rStyle w:val="FootnoteReference"/>
        </w:rPr>
        <w:footnoteRef/>
      </w:r>
      <w:r>
        <w:t xml:space="preserve"> </w:t>
      </w:r>
      <w:r w:rsidR="000F3C41">
        <w:t>Adelman, p. 150</w:t>
      </w:r>
    </w:p>
  </w:footnote>
  <w:footnote w:id="39">
    <w:p w14:paraId="2C8F7D5C" w14:textId="14E4FC99" w:rsidR="002C2E9E" w:rsidRDefault="002C2E9E">
      <w:pPr>
        <w:pStyle w:val="FootnoteText"/>
      </w:pPr>
      <w:r>
        <w:rPr>
          <w:rStyle w:val="FootnoteReference"/>
        </w:rPr>
        <w:footnoteRef/>
      </w:r>
      <w:r>
        <w:t xml:space="preserve"> </w:t>
      </w:r>
      <w:r w:rsidR="00ED148E">
        <w:rPr>
          <w:lang w:val="en-US"/>
        </w:rPr>
        <w:t>Wells and Taylor,</w:t>
      </w:r>
      <w:r>
        <w:t xml:space="preserve"> p. 1079</w:t>
      </w:r>
    </w:p>
  </w:footnote>
  <w:footnote w:id="40">
    <w:p w14:paraId="7E68B15C" w14:textId="465EC77F" w:rsidR="00362BA1" w:rsidRDefault="00362BA1">
      <w:pPr>
        <w:pStyle w:val="FootnoteText"/>
      </w:pPr>
      <w:r>
        <w:rPr>
          <w:rStyle w:val="FootnoteReference"/>
        </w:rPr>
        <w:footnoteRef/>
      </w:r>
      <w:r>
        <w:t xml:space="preserve"> </w:t>
      </w:r>
      <w:r w:rsidR="00ED148E">
        <w:t xml:space="preserve">Ibid </w:t>
      </w:r>
      <w:r>
        <w:t>p. 1088</w:t>
      </w:r>
    </w:p>
  </w:footnote>
  <w:footnote w:id="41">
    <w:p w14:paraId="6BB22419" w14:textId="09B496E3" w:rsidR="00FE5427" w:rsidRDefault="00FE5427">
      <w:pPr>
        <w:pStyle w:val="FootnoteText"/>
      </w:pPr>
      <w:r>
        <w:rPr>
          <w:rStyle w:val="FootnoteReference"/>
        </w:rPr>
        <w:footnoteRef/>
      </w:r>
      <w:r>
        <w:t xml:space="preserve"> Ad</w:t>
      </w:r>
      <w:r w:rsidR="00B31CA8">
        <w:t>elman, p. 150</w:t>
      </w:r>
    </w:p>
  </w:footnote>
  <w:footnote w:id="42">
    <w:p w14:paraId="4BDCB792" w14:textId="1472E5EA" w:rsidR="00915398" w:rsidRDefault="00915398">
      <w:pPr>
        <w:pStyle w:val="FootnoteText"/>
      </w:pPr>
      <w:r>
        <w:rPr>
          <w:rStyle w:val="FootnoteReference"/>
        </w:rPr>
        <w:footnoteRef/>
      </w:r>
      <w:r>
        <w:t xml:space="preserve"> </w:t>
      </w:r>
      <w:r w:rsidR="00ED148E">
        <w:rPr>
          <w:lang w:val="en-US"/>
        </w:rPr>
        <w:t>Wells and Taylor,</w:t>
      </w:r>
      <w:r w:rsidR="00ED148E">
        <w:rPr>
          <w:lang w:val="en-US"/>
        </w:rPr>
        <w:t xml:space="preserve"> </w:t>
      </w:r>
      <w:r>
        <w:t>p. 1097</w:t>
      </w:r>
    </w:p>
  </w:footnote>
  <w:footnote w:id="43">
    <w:p w14:paraId="6EE2CFA8" w14:textId="2CB99B4C" w:rsidR="00FE33A5" w:rsidRDefault="00FE33A5">
      <w:pPr>
        <w:pStyle w:val="FootnoteText"/>
      </w:pPr>
      <w:r>
        <w:rPr>
          <w:rStyle w:val="FootnoteReference"/>
        </w:rPr>
        <w:footnoteRef/>
      </w:r>
      <w:r>
        <w:t xml:space="preserve"> </w:t>
      </w:r>
      <w:proofErr w:type="spellStart"/>
      <w:r>
        <w:t>Faedo</w:t>
      </w:r>
      <w:proofErr w:type="spellEnd"/>
      <w:r>
        <w:t>, p. 29</w:t>
      </w:r>
    </w:p>
  </w:footnote>
  <w:footnote w:id="44">
    <w:p w14:paraId="6EBA4DE9" w14:textId="50B2B261" w:rsidR="00DE0F4D" w:rsidRDefault="00DE0F4D">
      <w:pPr>
        <w:pStyle w:val="FootnoteText"/>
      </w:pPr>
      <w:r>
        <w:rPr>
          <w:rStyle w:val="FootnoteReference"/>
        </w:rPr>
        <w:footnoteRef/>
      </w:r>
      <w:r>
        <w:t xml:space="preserve"> </w:t>
      </w:r>
      <w:r w:rsidR="00ED148E">
        <w:rPr>
          <w:lang w:val="en-US"/>
        </w:rPr>
        <w:t>Wells and Taylor,</w:t>
      </w:r>
      <w:r>
        <w:t xml:space="preserve"> p. 1098</w:t>
      </w:r>
    </w:p>
  </w:footnote>
  <w:footnote w:id="45">
    <w:p w14:paraId="2E861CA8" w14:textId="215C483D" w:rsidR="00FD7977" w:rsidRDefault="00FD7977">
      <w:pPr>
        <w:pStyle w:val="FootnoteText"/>
      </w:pPr>
      <w:r>
        <w:rPr>
          <w:rStyle w:val="FootnoteReference"/>
        </w:rPr>
        <w:footnoteRef/>
      </w:r>
      <w:r>
        <w:t xml:space="preserve"> </w:t>
      </w:r>
      <w:r w:rsidR="00ED148E">
        <w:rPr>
          <w:lang w:val="en-US"/>
        </w:rPr>
        <w:t>Wells and Taylor,</w:t>
      </w:r>
      <w:r>
        <w:t xml:space="preserve"> p. 1098</w:t>
      </w:r>
    </w:p>
  </w:footnote>
  <w:footnote w:id="46">
    <w:p w14:paraId="54665802" w14:textId="4C3B2D31" w:rsidR="00E748BC" w:rsidRDefault="00E748BC">
      <w:pPr>
        <w:pStyle w:val="FootnoteText"/>
      </w:pPr>
      <w:r>
        <w:rPr>
          <w:rStyle w:val="FootnoteReference"/>
        </w:rPr>
        <w:footnoteRef/>
      </w:r>
      <w:r>
        <w:t xml:space="preserve"> Dollimore, p. 219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E12B6" w14:textId="674C1FCA" w:rsidR="00EE60B0" w:rsidRDefault="00EE60B0">
    <w:pPr>
      <w:pStyle w:val="Header"/>
    </w:pPr>
    <w:r>
      <w:t xml:space="preserve">Ian Matthews 1602111 </w:t>
    </w:r>
    <w:r w:rsidR="00F95599">
      <w:t>HSEN7010</w:t>
    </w:r>
    <w:r w:rsidR="007106EE">
      <w:t xml:space="preserve"> Assignment 1</w:t>
    </w:r>
  </w:p>
  <w:p w14:paraId="19382A05" w14:textId="77777777" w:rsidR="00EE60B0" w:rsidRDefault="00EE60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84B37"/>
    <w:multiLevelType w:val="hybridMultilevel"/>
    <w:tmpl w:val="18F023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372B82"/>
    <w:multiLevelType w:val="hybridMultilevel"/>
    <w:tmpl w:val="0B46E9D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732"/>
    <w:rsid w:val="0000364B"/>
    <w:rsid w:val="00004793"/>
    <w:rsid w:val="00005DE4"/>
    <w:rsid w:val="000076CC"/>
    <w:rsid w:val="00007B59"/>
    <w:rsid w:val="00021129"/>
    <w:rsid w:val="00021524"/>
    <w:rsid w:val="00021825"/>
    <w:rsid w:val="00023B6B"/>
    <w:rsid w:val="00024E6F"/>
    <w:rsid w:val="00025C27"/>
    <w:rsid w:val="000279C0"/>
    <w:rsid w:val="000318B6"/>
    <w:rsid w:val="000368FD"/>
    <w:rsid w:val="0004359D"/>
    <w:rsid w:val="00045D86"/>
    <w:rsid w:val="000461C3"/>
    <w:rsid w:val="00052146"/>
    <w:rsid w:val="00054557"/>
    <w:rsid w:val="00054676"/>
    <w:rsid w:val="000572F4"/>
    <w:rsid w:val="00060BE4"/>
    <w:rsid w:val="00066CEA"/>
    <w:rsid w:val="00067F37"/>
    <w:rsid w:val="000705FE"/>
    <w:rsid w:val="000763BA"/>
    <w:rsid w:val="00094F0B"/>
    <w:rsid w:val="00096317"/>
    <w:rsid w:val="000973A7"/>
    <w:rsid w:val="000A60C9"/>
    <w:rsid w:val="000A760D"/>
    <w:rsid w:val="000B62C5"/>
    <w:rsid w:val="000B77DE"/>
    <w:rsid w:val="000B78B6"/>
    <w:rsid w:val="000C21BB"/>
    <w:rsid w:val="000D3DAD"/>
    <w:rsid w:val="000E7401"/>
    <w:rsid w:val="000F087D"/>
    <w:rsid w:val="000F3B64"/>
    <w:rsid w:val="000F3C41"/>
    <w:rsid w:val="00101D31"/>
    <w:rsid w:val="001024D3"/>
    <w:rsid w:val="00106315"/>
    <w:rsid w:val="001150D1"/>
    <w:rsid w:val="00116E1F"/>
    <w:rsid w:val="00124A53"/>
    <w:rsid w:val="00130235"/>
    <w:rsid w:val="0013026C"/>
    <w:rsid w:val="00135EDD"/>
    <w:rsid w:val="001479FD"/>
    <w:rsid w:val="00155EE4"/>
    <w:rsid w:val="00164AD9"/>
    <w:rsid w:val="00165B15"/>
    <w:rsid w:val="00173059"/>
    <w:rsid w:val="00180D15"/>
    <w:rsid w:val="00181B75"/>
    <w:rsid w:val="00183A6B"/>
    <w:rsid w:val="001846C9"/>
    <w:rsid w:val="00192783"/>
    <w:rsid w:val="001967C7"/>
    <w:rsid w:val="00196EAC"/>
    <w:rsid w:val="001A0C20"/>
    <w:rsid w:val="001A2423"/>
    <w:rsid w:val="001A70C4"/>
    <w:rsid w:val="001B1082"/>
    <w:rsid w:val="001C140C"/>
    <w:rsid w:val="001D17D3"/>
    <w:rsid w:val="001D76B0"/>
    <w:rsid w:val="001D7DA2"/>
    <w:rsid w:val="001E0DCE"/>
    <w:rsid w:val="001E1C0D"/>
    <w:rsid w:val="001E77BA"/>
    <w:rsid w:val="00201D14"/>
    <w:rsid w:val="00204335"/>
    <w:rsid w:val="002110B5"/>
    <w:rsid w:val="00214A20"/>
    <w:rsid w:val="00216A9A"/>
    <w:rsid w:val="002238A0"/>
    <w:rsid w:val="00224DB1"/>
    <w:rsid w:val="00225007"/>
    <w:rsid w:val="0023669D"/>
    <w:rsid w:val="00243E1C"/>
    <w:rsid w:val="00244F9E"/>
    <w:rsid w:val="002454BB"/>
    <w:rsid w:val="002467E1"/>
    <w:rsid w:val="00255B3E"/>
    <w:rsid w:val="0026152E"/>
    <w:rsid w:val="00265141"/>
    <w:rsid w:val="0026715B"/>
    <w:rsid w:val="00267602"/>
    <w:rsid w:val="002676EB"/>
    <w:rsid w:val="00275C6D"/>
    <w:rsid w:val="002800A3"/>
    <w:rsid w:val="002849F7"/>
    <w:rsid w:val="00291710"/>
    <w:rsid w:val="00293C4F"/>
    <w:rsid w:val="002A2946"/>
    <w:rsid w:val="002A5EAB"/>
    <w:rsid w:val="002B5494"/>
    <w:rsid w:val="002C215E"/>
    <w:rsid w:val="002C2E9E"/>
    <w:rsid w:val="002C6C29"/>
    <w:rsid w:val="002D494C"/>
    <w:rsid w:val="002D75FF"/>
    <w:rsid w:val="002E1870"/>
    <w:rsid w:val="002E4047"/>
    <w:rsid w:val="002F5E3F"/>
    <w:rsid w:val="00305A9E"/>
    <w:rsid w:val="00310EAB"/>
    <w:rsid w:val="00316C4C"/>
    <w:rsid w:val="00317345"/>
    <w:rsid w:val="00317519"/>
    <w:rsid w:val="00321529"/>
    <w:rsid w:val="003306EB"/>
    <w:rsid w:val="0033288C"/>
    <w:rsid w:val="00337FB6"/>
    <w:rsid w:val="00342DF4"/>
    <w:rsid w:val="003433FE"/>
    <w:rsid w:val="0034650B"/>
    <w:rsid w:val="00353D6E"/>
    <w:rsid w:val="00355F29"/>
    <w:rsid w:val="00357182"/>
    <w:rsid w:val="00357913"/>
    <w:rsid w:val="00360B84"/>
    <w:rsid w:val="00362BA1"/>
    <w:rsid w:val="0036644A"/>
    <w:rsid w:val="00366B8D"/>
    <w:rsid w:val="00370E9F"/>
    <w:rsid w:val="00373C0F"/>
    <w:rsid w:val="00381929"/>
    <w:rsid w:val="00382E84"/>
    <w:rsid w:val="003834BF"/>
    <w:rsid w:val="003909F2"/>
    <w:rsid w:val="00391F85"/>
    <w:rsid w:val="003A0566"/>
    <w:rsid w:val="003B27C1"/>
    <w:rsid w:val="003B2C1B"/>
    <w:rsid w:val="003B3AAB"/>
    <w:rsid w:val="003C223E"/>
    <w:rsid w:val="003D15C7"/>
    <w:rsid w:val="003D4D52"/>
    <w:rsid w:val="003D563F"/>
    <w:rsid w:val="003E19CD"/>
    <w:rsid w:val="003E3B3D"/>
    <w:rsid w:val="003F2595"/>
    <w:rsid w:val="003F6F68"/>
    <w:rsid w:val="004008BE"/>
    <w:rsid w:val="004008D0"/>
    <w:rsid w:val="00401C5E"/>
    <w:rsid w:val="0040480F"/>
    <w:rsid w:val="004069E8"/>
    <w:rsid w:val="00411D45"/>
    <w:rsid w:val="00421D5C"/>
    <w:rsid w:val="00421E57"/>
    <w:rsid w:val="00455046"/>
    <w:rsid w:val="0045647D"/>
    <w:rsid w:val="00460124"/>
    <w:rsid w:val="004640C4"/>
    <w:rsid w:val="004642CA"/>
    <w:rsid w:val="00477945"/>
    <w:rsid w:val="0048048D"/>
    <w:rsid w:val="00480818"/>
    <w:rsid w:val="00481169"/>
    <w:rsid w:val="00482314"/>
    <w:rsid w:val="00482A85"/>
    <w:rsid w:val="00483DD3"/>
    <w:rsid w:val="0048437E"/>
    <w:rsid w:val="00484ECD"/>
    <w:rsid w:val="00485D6C"/>
    <w:rsid w:val="00492C20"/>
    <w:rsid w:val="004A1088"/>
    <w:rsid w:val="004A4D96"/>
    <w:rsid w:val="004B648F"/>
    <w:rsid w:val="004C042F"/>
    <w:rsid w:val="004C6FAA"/>
    <w:rsid w:val="004D2C1A"/>
    <w:rsid w:val="004D4519"/>
    <w:rsid w:val="004D5DA3"/>
    <w:rsid w:val="004D73B7"/>
    <w:rsid w:val="004E03A1"/>
    <w:rsid w:val="004E4731"/>
    <w:rsid w:val="004F17F8"/>
    <w:rsid w:val="004F2765"/>
    <w:rsid w:val="00503BD2"/>
    <w:rsid w:val="0050594E"/>
    <w:rsid w:val="00507991"/>
    <w:rsid w:val="005122E5"/>
    <w:rsid w:val="005130BD"/>
    <w:rsid w:val="005152C2"/>
    <w:rsid w:val="00517C32"/>
    <w:rsid w:val="0052082B"/>
    <w:rsid w:val="00525EFD"/>
    <w:rsid w:val="00531B25"/>
    <w:rsid w:val="00540B5A"/>
    <w:rsid w:val="00541B83"/>
    <w:rsid w:val="00542917"/>
    <w:rsid w:val="00542F1C"/>
    <w:rsid w:val="005431B9"/>
    <w:rsid w:val="005461E0"/>
    <w:rsid w:val="0054709C"/>
    <w:rsid w:val="00553CA2"/>
    <w:rsid w:val="0055400F"/>
    <w:rsid w:val="00573CC3"/>
    <w:rsid w:val="00586E7B"/>
    <w:rsid w:val="00587B7D"/>
    <w:rsid w:val="00591DF5"/>
    <w:rsid w:val="005B1EA2"/>
    <w:rsid w:val="005B37FA"/>
    <w:rsid w:val="005C27C3"/>
    <w:rsid w:val="005C2E35"/>
    <w:rsid w:val="005E0C50"/>
    <w:rsid w:val="005E3162"/>
    <w:rsid w:val="005E4D42"/>
    <w:rsid w:val="005F1A2B"/>
    <w:rsid w:val="005F6791"/>
    <w:rsid w:val="005F6BB7"/>
    <w:rsid w:val="00612493"/>
    <w:rsid w:val="006216B1"/>
    <w:rsid w:val="00621B57"/>
    <w:rsid w:val="006245C8"/>
    <w:rsid w:val="0062572B"/>
    <w:rsid w:val="00626F47"/>
    <w:rsid w:val="0063114E"/>
    <w:rsid w:val="006451A4"/>
    <w:rsid w:val="00651D25"/>
    <w:rsid w:val="00653D4C"/>
    <w:rsid w:val="00655B1B"/>
    <w:rsid w:val="00657BA2"/>
    <w:rsid w:val="006627D3"/>
    <w:rsid w:val="0066537C"/>
    <w:rsid w:val="00667B3C"/>
    <w:rsid w:val="006718F2"/>
    <w:rsid w:val="00675A29"/>
    <w:rsid w:val="006861A1"/>
    <w:rsid w:val="00686592"/>
    <w:rsid w:val="0068706C"/>
    <w:rsid w:val="006908BC"/>
    <w:rsid w:val="006940F9"/>
    <w:rsid w:val="00694100"/>
    <w:rsid w:val="0069460A"/>
    <w:rsid w:val="006951A7"/>
    <w:rsid w:val="006B6562"/>
    <w:rsid w:val="006B78C6"/>
    <w:rsid w:val="006C05EE"/>
    <w:rsid w:val="006C7174"/>
    <w:rsid w:val="006D44D1"/>
    <w:rsid w:val="006D61B6"/>
    <w:rsid w:val="006F3EB2"/>
    <w:rsid w:val="006F69C3"/>
    <w:rsid w:val="00704821"/>
    <w:rsid w:val="007106EE"/>
    <w:rsid w:val="0071291B"/>
    <w:rsid w:val="007159EF"/>
    <w:rsid w:val="00722412"/>
    <w:rsid w:val="00737CD5"/>
    <w:rsid w:val="00745411"/>
    <w:rsid w:val="00754F80"/>
    <w:rsid w:val="007616F2"/>
    <w:rsid w:val="00761A8F"/>
    <w:rsid w:val="00783E41"/>
    <w:rsid w:val="007845A1"/>
    <w:rsid w:val="00787B91"/>
    <w:rsid w:val="00793AF6"/>
    <w:rsid w:val="007A4403"/>
    <w:rsid w:val="007A6CB0"/>
    <w:rsid w:val="007B49D5"/>
    <w:rsid w:val="007C2966"/>
    <w:rsid w:val="007C6716"/>
    <w:rsid w:val="007D0BDF"/>
    <w:rsid w:val="007D5584"/>
    <w:rsid w:val="007D6ED9"/>
    <w:rsid w:val="007E33C6"/>
    <w:rsid w:val="007E361C"/>
    <w:rsid w:val="007F58D1"/>
    <w:rsid w:val="00800CC3"/>
    <w:rsid w:val="008015F9"/>
    <w:rsid w:val="00813B3B"/>
    <w:rsid w:val="00827554"/>
    <w:rsid w:val="008305CF"/>
    <w:rsid w:val="0083124F"/>
    <w:rsid w:val="00837BF2"/>
    <w:rsid w:val="00850600"/>
    <w:rsid w:val="008569DC"/>
    <w:rsid w:val="008571D5"/>
    <w:rsid w:val="00861168"/>
    <w:rsid w:val="00871EAE"/>
    <w:rsid w:val="008722F7"/>
    <w:rsid w:val="00880946"/>
    <w:rsid w:val="00884283"/>
    <w:rsid w:val="0088449E"/>
    <w:rsid w:val="0089375D"/>
    <w:rsid w:val="0089480A"/>
    <w:rsid w:val="008952B1"/>
    <w:rsid w:val="008A0397"/>
    <w:rsid w:val="008A321B"/>
    <w:rsid w:val="008B6591"/>
    <w:rsid w:val="008B7546"/>
    <w:rsid w:val="008C2EA8"/>
    <w:rsid w:val="008C5512"/>
    <w:rsid w:val="008D022C"/>
    <w:rsid w:val="008E547A"/>
    <w:rsid w:val="008F0B7A"/>
    <w:rsid w:val="008F1491"/>
    <w:rsid w:val="008F668B"/>
    <w:rsid w:val="009008A1"/>
    <w:rsid w:val="0090126D"/>
    <w:rsid w:val="00915398"/>
    <w:rsid w:val="0091770C"/>
    <w:rsid w:val="009226FB"/>
    <w:rsid w:val="009265BD"/>
    <w:rsid w:val="00927810"/>
    <w:rsid w:val="00942F48"/>
    <w:rsid w:val="00943E40"/>
    <w:rsid w:val="00946829"/>
    <w:rsid w:val="00946BFB"/>
    <w:rsid w:val="00955786"/>
    <w:rsid w:val="00957DCE"/>
    <w:rsid w:val="00963BBF"/>
    <w:rsid w:val="009731A2"/>
    <w:rsid w:val="009858D1"/>
    <w:rsid w:val="00986C49"/>
    <w:rsid w:val="009876E9"/>
    <w:rsid w:val="0098781F"/>
    <w:rsid w:val="00993C2E"/>
    <w:rsid w:val="009950C3"/>
    <w:rsid w:val="009957AE"/>
    <w:rsid w:val="009A2979"/>
    <w:rsid w:val="009A6ACB"/>
    <w:rsid w:val="009B37A1"/>
    <w:rsid w:val="009C10FC"/>
    <w:rsid w:val="009C7CAD"/>
    <w:rsid w:val="009D1732"/>
    <w:rsid w:val="009D33CD"/>
    <w:rsid w:val="009D6DF1"/>
    <w:rsid w:val="009E1F9A"/>
    <w:rsid w:val="009E1FAA"/>
    <w:rsid w:val="009E5BE5"/>
    <w:rsid w:val="009F13D3"/>
    <w:rsid w:val="009F15E9"/>
    <w:rsid w:val="009F40F7"/>
    <w:rsid w:val="009F626A"/>
    <w:rsid w:val="009F6A5C"/>
    <w:rsid w:val="00A00ED5"/>
    <w:rsid w:val="00A04315"/>
    <w:rsid w:val="00A10155"/>
    <w:rsid w:val="00A13CC3"/>
    <w:rsid w:val="00A21E78"/>
    <w:rsid w:val="00A309CB"/>
    <w:rsid w:val="00A34734"/>
    <w:rsid w:val="00A37BF7"/>
    <w:rsid w:val="00A465B3"/>
    <w:rsid w:val="00A52684"/>
    <w:rsid w:val="00A6622A"/>
    <w:rsid w:val="00A72C06"/>
    <w:rsid w:val="00A742F0"/>
    <w:rsid w:val="00A82967"/>
    <w:rsid w:val="00A8450D"/>
    <w:rsid w:val="00A8688A"/>
    <w:rsid w:val="00A91C3E"/>
    <w:rsid w:val="00AA1839"/>
    <w:rsid w:val="00AA1DD5"/>
    <w:rsid w:val="00AA51D0"/>
    <w:rsid w:val="00AA6C53"/>
    <w:rsid w:val="00AB1C7D"/>
    <w:rsid w:val="00AC2BC7"/>
    <w:rsid w:val="00AD334F"/>
    <w:rsid w:val="00AD34FC"/>
    <w:rsid w:val="00AD574E"/>
    <w:rsid w:val="00AE04AD"/>
    <w:rsid w:val="00AE1074"/>
    <w:rsid w:val="00AE3D7B"/>
    <w:rsid w:val="00AF1562"/>
    <w:rsid w:val="00AF2265"/>
    <w:rsid w:val="00B04B70"/>
    <w:rsid w:val="00B1071E"/>
    <w:rsid w:val="00B12D11"/>
    <w:rsid w:val="00B13E21"/>
    <w:rsid w:val="00B21AB4"/>
    <w:rsid w:val="00B23267"/>
    <w:rsid w:val="00B2613C"/>
    <w:rsid w:val="00B264AB"/>
    <w:rsid w:val="00B310D2"/>
    <w:rsid w:val="00B31CA8"/>
    <w:rsid w:val="00B31F38"/>
    <w:rsid w:val="00B37543"/>
    <w:rsid w:val="00B37652"/>
    <w:rsid w:val="00B438DB"/>
    <w:rsid w:val="00B43B39"/>
    <w:rsid w:val="00B514B6"/>
    <w:rsid w:val="00B525C9"/>
    <w:rsid w:val="00B53B4A"/>
    <w:rsid w:val="00B56F79"/>
    <w:rsid w:val="00B61892"/>
    <w:rsid w:val="00B73294"/>
    <w:rsid w:val="00B74283"/>
    <w:rsid w:val="00B77413"/>
    <w:rsid w:val="00B818E6"/>
    <w:rsid w:val="00B81EC2"/>
    <w:rsid w:val="00B86202"/>
    <w:rsid w:val="00B87F7E"/>
    <w:rsid w:val="00B95840"/>
    <w:rsid w:val="00BA3104"/>
    <w:rsid w:val="00BA6544"/>
    <w:rsid w:val="00BC3EA8"/>
    <w:rsid w:val="00BF3F97"/>
    <w:rsid w:val="00C0049C"/>
    <w:rsid w:val="00C10790"/>
    <w:rsid w:val="00C112B9"/>
    <w:rsid w:val="00C158A4"/>
    <w:rsid w:val="00C22A10"/>
    <w:rsid w:val="00C25654"/>
    <w:rsid w:val="00C30403"/>
    <w:rsid w:val="00C42320"/>
    <w:rsid w:val="00C43D4C"/>
    <w:rsid w:val="00C4404C"/>
    <w:rsid w:val="00C51C52"/>
    <w:rsid w:val="00C52DB4"/>
    <w:rsid w:val="00C536F5"/>
    <w:rsid w:val="00C61B48"/>
    <w:rsid w:val="00C66EB0"/>
    <w:rsid w:val="00C676A1"/>
    <w:rsid w:val="00C70194"/>
    <w:rsid w:val="00C73C9F"/>
    <w:rsid w:val="00C83054"/>
    <w:rsid w:val="00C8683F"/>
    <w:rsid w:val="00C900E1"/>
    <w:rsid w:val="00C91008"/>
    <w:rsid w:val="00CA1796"/>
    <w:rsid w:val="00CA25C9"/>
    <w:rsid w:val="00CA425F"/>
    <w:rsid w:val="00CA7387"/>
    <w:rsid w:val="00CB63F5"/>
    <w:rsid w:val="00CC43B1"/>
    <w:rsid w:val="00CC5969"/>
    <w:rsid w:val="00CC5A2B"/>
    <w:rsid w:val="00CD0505"/>
    <w:rsid w:val="00CD07B3"/>
    <w:rsid w:val="00CD0B8A"/>
    <w:rsid w:val="00CD4104"/>
    <w:rsid w:val="00CF0C17"/>
    <w:rsid w:val="00CF76D1"/>
    <w:rsid w:val="00D00509"/>
    <w:rsid w:val="00D02759"/>
    <w:rsid w:val="00D02950"/>
    <w:rsid w:val="00D155AB"/>
    <w:rsid w:val="00D24E5B"/>
    <w:rsid w:val="00D31DAC"/>
    <w:rsid w:val="00D36575"/>
    <w:rsid w:val="00D37B87"/>
    <w:rsid w:val="00D537C0"/>
    <w:rsid w:val="00D60938"/>
    <w:rsid w:val="00D60BAA"/>
    <w:rsid w:val="00D61986"/>
    <w:rsid w:val="00D64C73"/>
    <w:rsid w:val="00D67FB2"/>
    <w:rsid w:val="00D72D3C"/>
    <w:rsid w:val="00D759A8"/>
    <w:rsid w:val="00D77ABE"/>
    <w:rsid w:val="00D80C20"/>
    <w:rsid w:val="00D91A60"/>
    <w:rsid w:val="00D939ED"/>
    <w:rsid w:val="00DA02ED"/>
    <w:rsid w:val="00DA7912"/>
    <w:rsid w:val="00DB3FE9"/>
    <w:rsid w:val="00DB6BEA"/>
    <w:rsid w:val="00DC514A"/>
    <w:rsid w:val="00DC73DB"/>
    <w:rsid w:val="00DD4921"/>
    <w:rsid w:val="00DD4FA7"/>
    <w:rsid w:val="00DE0F4D"/>
    <w:rsid w:val="00DE2960"/>
    <w:rsid w:val="00DE707A"/>
    <w:rsid w:val="00DF0A51"/>
    <w:rsid w:val="00DF44A3"/>
    <w:rsid w:val="00DF6F72"/>
    <w:rsid w:val="00E000AF"/>
    <w:rsid w:val="00E031B6"/>
    <w:rsid w:val="00E06780"/>
    <w:rsid w:val="00E41775"/>
    <w:rsid w:val="00E41BE8"/>
    <w:rsid w:val="00E41D4A"/>
    <w:rsid w:val="00E4443A"/>
    <w:rsid w:val="00E46DA2"/>
    <w:rsid w:val="00E472CC"/>
    <w:rsid w:val="00E5065A"/>
    <w:rsid w:val="00E5158E"/>
    <w:rsid w:val="00E55FE8"/>
    <w:rsid w:val="00E567A9"/>
    <w:rsid w:val="00E615A3"/>
    <w:rsid w:val="00E67A43"/>
    <w:rsid w:val="00E748BC"/>
    <w:rsid w:val="00E771A9"/>
    <w:rsid w:val="00E83DA4"/>
    <w:rsid w:val="00E84029"/>
    <w:rsid w:val="00E93626"/>
    <w:rsid w:val="00E95A05"/>
    <w:rsid w:val="00E9721F"/>
    <w:rsid w:val="00EA2FC6"/>
    <w:rsid w:val="00EA3F6B"/>
    <w:rsid w:val="00EB1D8A"/>
    <w:rsid w:val="00EB54B9"/>
    <w:rsid w:val="00EC2A22"/>
    <w:rsid w:val="00ED148E"/>
    <w:rsid w:val="00ED36BD"/>
    <w:rsid w:val="00ED7DB0"/>
    <w:rsid w:val="00EE0A31"/>
    <w:rsid w:val="00EE1E93"/>
    <w:rsid w:val="00EE58D7"/>
    <w:rsid w:val="00EE60B0"/>
    <w:rsid w:val="00EF298E"/>
    <w:rsid w:val="00EF3867"/>
    <w:rsid w:val="00EF3A3D"/>
    <w:rsid w:val="00F00308"/>
    <w:rsid w:val="00F1044A"/>
    <w:rsid w:val="00F152F3"/>
    <w:rsid w:val="00F20C12"/>
    <w:rsid w:val="00F30AB8"/>
    <w:rsid w:val="00F37BD7"/>
    <w:rsid w:val="00F40D00"/>
    <w:rsid w:val="00F51920"/>
    <w:rsid w:val="00F51A30"/>
    <w:rsid w:val="00F51DED"/>
    <w:rsid w:val="00F6063C"/>
    <w:rsid w:val="00F665BC"/>
    <w:rsid w:val="00F72FEA"/>
    <w:rsid w:val="00F7326C"/>
    <w:rsid w:val="00F73D6E"/>
    <w:rsid w:val="00F837BB"/>
    <w:rsid w:val="00F84429"/>
    <w:rsid w:val="00F94D4F"/>
    <w:rsid w:val="00F9529F"/>
    <w:rsid w:val="00F95599"/>
    <w:rsid w:val="00FB176B"/>
    <w:rsid w:val="00FB1E68"/>
    <w:rsid w:val="00FB3E1C"/>
    <w:rsid w:val="00FC035A"/>
    <w:rsid w:val="00FC71A1"/>
    <w:rsid w:val="00FD02D2"/>
    <w:rsid w:val="00FD37B9"/>
    <w:rsid w:val="00FD7977"/>
    <w:rsid w:val="00FD79DE"/>
    <w:rsid w:val="00FE3126"/>
    <w:rsid w:val="00FE33A5"/>
    <w:rsid w:val="00FE3656"/>
    <w:rsid w:val="00FE418B"/>
    <w:rsid w:val="00FE5427"/>
    <w:rsid w:val="00FF6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7E1BAC"/>
  <w15:chartTrackingRefBased/>
  <w15:docId w15:val="{4FDAE9D0-D0FE-4875-8B75-D1251C09D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667B3C"/>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667B3C"/>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D17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D1732"/>
    <w:rPr>
      <w:sz w:val="20"/>
      <w:szCs w:val="20"/>
    </w:rPr>
  </w:style>
  <w:style w:type="character" w:styleId="FootnoteReference">
    <w:name w:val="footnote reference"/>
    <w:basedOn w:val="DefaultParagraphFont"/>
    <w:uiPriority w:val="99"/>
    <w:semiHidden/>
    <w:unhideWhenUsed/>
    <w:rsid w:val="009D1732"/>
    <w:rPr>
      <w:vertAlign w:val="superscript"/>
    </w:rPr>
  </w:style>
  <w:style w:type="paragraph" w:styleId="ListParagraph">
    <w:name w:val="List Paragraph"/>
    <w:basedOn w:val="Normal"/>
    <w:uiPriority w:val="34"/>
    <w:qFormat/>
    <w:rsid w:val="0026152E"/>
    <w:pPr>
      <w:ind w:left="720"/>
      <w:contextualSpacing/>
    </w:pPr>
  </w:style>
  <w:style w:type="paragraph" w:styleId="Header">
    <w:name w:val="header"/>
    <w:basedOn w:val="Normal"/>
    <w:link w:val="HeaderChar"/>
    <w:unhideWhenUsed/>
    <w:rsid w:val="00EE60B0"/>
    <w:pPr>
      <w:tabs>
        <w:tab w:val="center" w:pos="4513"/>
        <w:tab w:val="right" w:pos="9026"/>
      </w:tabs>
      <w:spacing w:after="0" w:line="240" w:lineRule="auto"/>
    </w:pPr>
  </w:style>
  <w:style w:type="character" w:customStyle="1" w:styleId="HeaderChar">
    <w:name w:val="Header Char"/>
    <w:basedOn w:val="DefaultParagraphFont"/>
    <w:link w:val="Header"/>
    <w:rsid w:val="00EE60B0"/>
  </w:style>
  <w:style w:type="paragraph" w:styleId="Footer">
    <w:name w:val="footer"/>
    <w:basedOn w:val="Normal"/>
    <w:link w:val="FooterChar"/>
    <w:uiPriority w:val="99"/>
    <w:unhideWhenUsed/>
    <w:rsid w:val="00EE6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0B0"/>
  </w:style>
  <w:style w:type="character" w:customStyle="1" w:styleId="Heading2Char">
    <w:name w:val="Heading 2 Char"/>
    <w:basedOn w:val="DefaultParagraphFont"/>
    <w:link w:val="Heading2"/>
    <w:rsid w:val="00667B3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67B3C"/>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1322</TotalTime>
  <Pages>10</Pages>
  <Words>3637</Words>
  <Characters>18452</Characters>
  <Application>Microsoft Office Word</Application>
  <DocSecurity>0</DocSecurity>
  <Lines>283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Matthews</dc:creator>
  <cp:keywords/>
  <dc:description/>
  <cp:lastModifiedBy>Ian Matthews</cp:lastModifiedBy>
  <cp:revision>543</cp:revision>
  <dcterms:created xsi:type="dcterms:W3CDTF">2021-04-10T13:06:00Z</dcterms:created>
  <dcterms:modified xsi:type="dcterms:W3CDTF">2021-05-03T20:54:00Z</dcterms:modified>
</cp:coreProperties>
</file>