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2C0F81B3" w14:textId="6B25D9CB" w:rsidR="00995444" w:rsidRDefault="00995444" w:rsidP="007502B3"/>
    <w:p w14:paraId="26213230" w14:textId="77777777" w:rsidR="007502B3" w:rsidRDefault="007502B3" w:rsidP="007502B3"/>
    <w:p w14:paraId="6D29CD44" w14:textId="75C545B1" w:rsidR="00063B4C" w:rsidRPr="007502B3" w:rsidRDefault="00063B4C" w:rsidP="007502B3">
      <w:pPr>
        <w:rPr>
          <w:b/>
          <w:sz w:val="28"/>
        </w:rPr>
      </w:pPr>
      <w:r w:rsidRPr="007502B3">
        <w:rPr>
          <w:b/>
          <w:sz w:val="28"/>
        </w:rPr>
        <w:t>Disclaimer</w:t>
      </w:r>
    </w:p>
    <w:p w14:paraId="265E2262" w14:textId="43F25995" w:rsidR="00730C3C" w:rsidRPr="007502B3" w:rsidRDefault="00063B4C" w:rsidP="007502B3">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4C6B8794" w14:textId="77777777" w:rsidR="006C7FB9" w:rsidRDefault="006C7FB9" w:rsidP="00604A87">
      <w:pPr>
        <w:rPr>
          <w:rFonts w:eastAsia="Times New Roman" w:cs="Arial"/>
          <w:b/>
          <w:sz w:val="28"/>
          <w:szCs w:val="28"/>
        </w:rPr>
      </w:pPr>
    </w:p>
    <w:p w14:paraId="46E86B81" w14:textId="77777777" w:rsidR="006C7FB9" w:rsidRDefault="006C7FB9" w:rsidP="00604A87">
      <w:pPr>
        <w:rPr>
          <w:rFonts w:eastAsia="Times New Roman" w:cs="Arial"/>
          <w:b/>
          <w:sz w:val="28"/>
          <w:szCs w:val="28"/>
        </w:rPr>
      </w:pPr>
    </w:p>
    <w:p w14:paraId="56CE110D" w14:textId="77777777" w:rsidR="006C7FB9" w:rsidRDefault="006C7FB9" w:rsidP="00604A87">
      <w:pPr>
        <w:rPr>
          <w:rFonts w:eastAsia="Times New Roman" w:cs="Arial"/>
          <w:b/>
          <w:sz w:val="28"/>
          <w:szCs w:val="28"/>
        </w:rPr>
      </w:pPr>
    </w:p>
    <w:p w14:paraId="1C452DED" w14:textId="77777777" w:rsidR="006C7FB9" w:rsidRDefault="006C7FB9" w:rsidP="00604A87">
      <w:pPr>
        <w:rPr>
          <w:rFonts w:eastAsia="Times New Roman" w:cs="Arial"/>
          <w:b/>
          <w:sz w:val="28"/>
          <w:szCs w:val="28"/>
        </w:rPr>
      </w:pPr>
    </w:p>
    <w:p w14:paraId="3492E4C4" w14:textId="3A710121"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7CE514EB" w14:textId="77777777" w:rsidR="00995444" w:rsidRDefault="00995444" w:rsidP="00E41D24">
      <w:pPr>
        <w:rPr>
          <w:rFonts w:ascii="Arial" w:eastAsia="Arial Unicode MS" w:hAnsi="Arial" w:cs="Arial"/>
          <w:b/>
          <w:sz w:val="56"/>
          <w:szCs w:val="56"/>
        </w:rPr>
      </w:pPr>
    </w:p>
    <w:p w14:paraId="0FC75915" w14:textId="5E34E7BA" w:rsidR="00995444" w:rsidRDefault="007235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bookmarkStart w:id="0" w:name="_Hlk231934016"/>
      <w:r w:rsidRPr="00723544">
        <w:rPr>
          <w:rFonts w:eastAsia="Arial Unicode MS" w:cs="Arial"/>
          <w:b/>
          <w:sz w:val="56"/>
          <w:szCs w:val="56"/>
        </w:rPr>
        <w:t>Early Recognition of Dementia in Older Adults: Distinguishing Normal Ageing from Cognitive Impairment in Nursing Practice</w:t>
      </w:r>
      <w:r w:rsidR="00CE728B">
        <w:rPr>
          <w:rFonts w:eastAsia="Arial Unicode MS" w:cs="Arial"/>
          <w:b/>
          <w:sz w:val="56"/>
          <w:szCs w:val="56"/>
        </w:rPr>
        <w:t xml:space="preserve"> </w:t>
      </w:r>
      <w:proofErr w:type="gramStart"/>
      <w:r w:rsidR="006C7FB9">
        <w:rPr>
          <w:rFonts w:eastAsia="Arial Unicode MS" w:cs="Arial"/>
          <w:b/>
          <w:sz w:val="56"/>
          <w:szCs w:val="56"/>
        </w:rPr>
        <w:t>In</w:t>
      </w:r>
      <w:proofErr w:type="gramEnd"/>
      <w:r w:rsidR="006C7FB9">
        <w:rPr>
          <w:rFonts w:eastAsia="Arial Unicode MS" w:cs="Arial"/>
          <w:b/>
          <w:sz w:val="56"/>
          <w:szCs w:val="56"/>
        </w:rPr>
        <w:t xml:space="preserve"> The</w:t>
      </w:r>
      <w:r w:rsidR="00CE728B">
        <w:rPr>
          <w:rFonts w:eastAsia="Arial Unicode MS" w:cs="Arial"/>
          <w:b/>
          <w:sz w:val="56"/>
          <w:szCs w:val="56"/>
        </w:rPr>
        <w:t xml:space="preserve"> UK</w:t>
      </w:r>
      <w:r w:rsidR="006C7FB9">
        <w:rPr>
          <w:rFonts w:eastAsia="Arial Unicode MS" w:cs="Arial"/>
          <w:b/>
          <w:sz w:val="56"/>
          <w:szCs w:val="56"/>
        </w:rPr>
        <w:t>.</w:t>
      </w:r>
    </w:p>
    <w:bookmarkEnd w:id="0"/>
    <w:p w14:paraId="4E6162AE" w14:textId="77777777" w:rsidR="00E41D24" w:rsidRPr="00995444" w:rsidRDefault="00E41D2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49C59F0D" w14:textId="77777777" w:rsidR="006C7FB9" w:rsidRDefault="00CE72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Naznin Mahmood</w:t>
      </w:r>
      <w:r w:rsidR="00995444" w:rsidRPr="00995444">
        <w:rPr>
          <w:rFonts w:eastAsia="Arial Unicode MS" w:cs="Arial"/>
          <w:b/>
          <w:sz w:val="56"/>
          <w:szCs w:val="56"/>
        </w:rPr>
        <w:t xml:space="preserve"> </w:t>
      </w:r>
    </w:p>
    <w:p w14:paraId="6DB122B7" w14:textId="5E5DA667" w:rsidR="00995444" w:rsidRPr="00995444" w:rsidRDefault="00CE72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2215438</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03004EEE" w14:textId="48F6ED17" w:rsidR="00063B4C" w:rsidRPr="007502B3" w:rsidRDefault="00995444" w:rsidP="007502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19A20C7E" w14:textId="78C5F43E" w:rsidR="00995444" w:rsidRDefault="00C92775" w:rsidP="00C92775">
      <w:pPr>
        <w:spacing w:line="259" w:lineRule="auto"/>
        <w:jc w:val="left"/>
      </w:pPr>
      <w:r>
        <w:br w:type="page"/>
      </w:r>
    </w:p>
    <w:p w14:paraId="0F4A849F" w14:textId="6276E6F0" w:rsidR="00995444" w:rsidRPr="007502B3" w:rsidRDefault="00995444" w:rsidP="007502B3">
      <w:pPr>
        <w:pStyle w:val="Heading1"/>
      </w:pPr>
      <w:bookmarkStart w:id="1" w:name="_Toc234829714"/>
      <w:r w:rsidRPr="007502B3">
        <w:lastRenderedPageBreak/>
        <w:t>ACKNOWLEDGEMENTS</w:t>
      </w:r>
      <w:bookmarkEnd w:id="1"/>
    </w:p>
    <w:p w14:paraId="40A3E6C2" w14:textId="165AF728" w:rsidR="00995444" w:rsidRDefault="007502B3" w:rsidP="007502B3">
      <w:r w:rsidRPr="007502B3">
        <w:rPr>
          <w:lang w:eastAsia="en-GB"/>
        </w:rPr>
        <w:t>I want to thank all those who have helped and directed me in the completion of this dissertation. I would like to express special thanks to my supervisor and academic committee for their valuable suggestions, constructive comments and constant encouragement throughout the research process and during the writing. Their guidance greatly contributed to the development and completion of this study. I would also like to express my gratitude to the University Library staff and support services for their assistance in accessing academic resources and research material, which were important for the completion of this dissertation. Appreciation is also extended to fellow students and colleagues who provided support, discussion and motivation during the project. Finally, my gratitude to my family and friends for their patience, encouragement, and understanding while working on this dissertation. They have greatly helped me to stay focused and committed to this academic pursuit.</w:t>
      </w:r>
    </w:p>
    <w:p w14:paraId="7EA8A979" w14:textId="77777777" w:rsidR="0073280B" w:rsidRDefault="0073280B"/>
    <w:p w14:paraId="24382F47" w14:textId="77777777" w:rsidR="0073280B" w:rsidRDefault="0073280B"/>
    <w:p w14:paraId="2B0735F3" w14:textId="4EAD742F" w:rsidR="0073280B" w:rsidRDefault="007502B3" w:rsidP="007502B3">
      <w:pPr>
        <w:spacing w:line="259" w:lineRule="auto"/>
        <w:jc w:val="left"/>
      </w:pPr>
      <w:r>
        <w:br w:type="page"/>
      </w:r>
    </w:p>
    <w:p w14:paraId="310D40A5" w14:textId="6DE07E34" w:rsidR="0073280B" w:rsidRPr="0025020C" w:rsidRDefault="005216D9" w:rsidP="007502B3">
      <w:pPr>
        <w:pStyle w:val="Heading1"/>
      </w:pPr>
      <w:bookmarkStart w:id="2" w:name="_Toc234829715"/>
      <w:r w:rsidRPr="0025020C">
        <w:lastRenderedPageBreak/>
        <w:t>ABSTRACT</w:t>
      </w:r>
      <w:bookmarkEnd w:id="2"/>
    </w:p>
    <w:p w14:paraId="09295870" w14:textId="77777777" w:rsidR="007502B3" w:rsidRDefault="007502B3" w:rsidP="007502B3">
      <w:r>
        <w:t>This dissertation explored critical reviews of evidence-based strategies for the identification of normal cognitive ageing from initial dementia in an older population, and specifically the role of the nursing practitioner in the improvement of early identification and diagnostic accuracy. The aim of the research was to explore clinical and cognitive markers identified with dementia, to evaluate screening tools and approaches used in the nursing and primary care settings, to determine the effectiveness and limitations of screening for early recognition, and to make recommendations to enhance assessment and interventions. Within the field of health and social care, it is significant because a late diagnosis of dementia may impact patients' care, access to support and long-term care planning. The study employed a secondary research method of a desk study based on an analysis of peer-reviewed publications within the past decade.</w:t>
      </w:r>
    </w:p>
    <w:p w14:paraId="101AA6A9" w14:textId="123278F6" w:rsidR="0025020C" w:rsidRDefault="007502B3" w:rsidP="007502B3">
      <w:r>
        <w:t>Structured database searches identified relevant studies, and these were analysed thematically to bring out the patterns and themes from the evidence base. The results revealed three broad themes: clinical/cognitive indicators of dementia versus normal ageing, clinic-based screening tools and assessment practices, and implementation/receptivity issues. The results showed that although there is increasing access to new assessment materials and early recognition tools, there are also challenges to the accuracy of these, to capacity building, to cultural competence and to accessibility of services. The study found that integrated approaches to assessment will facilitate early recognition of dementia; professional training needs should be enhanced; culturally inclusive services are needed; and memory care pathways should be strengthened to ensure prompt, accurate and person-centred dementia care.</w:t>
      </w:r>
    </w:p>
    <w:p w14:paraId="350684A4" w14:textId="77777777" w:rsidR="00804B94" w:rsidRDefault="00804B94" w:rsidP="00C92775"/>
    <w:p w14:paraId="19DA61EC" w14:textId="69EB4C69" w:rsidR="00804B94" w:rsidRDefault="00C92775" w:rsidP="00C92775">
      <w:pPr>
        <w:spacing w:line="259" w:lineRule="auto"/>
        <w:jc w:val="left"/>
      </w:pPr>
      <w:r>
        <w:br w:type="page"/>
      </w:r>
    </w:p>
    <w:p w14:paraId="15BFA27A" w14:textId="49FBF17F" w:rsidR="00804B94" w:rsidRPr="00EF6341" w:rsidRDefault="00804B94" w:rsidP="007502B3">
      <w:pPr>
        <w:pStyle w:val="Heading1"/>
      </w:pPr>
      <w:bookmarkStart w:id="3" w:name="_Toc234829716"/>
      <w:r>
        <w:lastRenderedPageBreak/>
        <w:t>Table of Contents</w:t>
      </w:r>
      <w:bookmarkEnd w:id="3"/>
    </w:p>
    <w:sdt>
      <w:sdtPr>
        <w:rPr>
          <w:rFonts w:ascii="Aptos" w:eastAsiaTheme="minorEastAsia" w:hAnsi="Aptos" w:cstheme="minorBidi"/>
          <w:color w:val="auto"/>
          <w:kern w:val="2"/>
          <w:sz w:val="22"/>
          <w:szCs w:val="22"/>
          <w:lang w:val="en-GB" w:eastAsia="zh-CN"/>
          <w14:ligatures w14:val="standardContextual"/>
        </w:rPr>
        <w:id w:val="1450056387"/>
        <w:docPartObj>
          <w:docPartGallery w:val="Table of Contents"/>
          <w:docPartUnique/>
        </w:docPartObj>
      </w:sdtPr>
      <w:sdtEndPr>
        <w:rPr>
          <w:b/>
          <w:bCs/>
          <w:noProof/>
        </w:rPr>
      </w:sdtEndPr>
      <w:sdtContent>
        <w:p w14:paraId="4D787931" w14:textId="502EB737" w:rsidR="00D232D3" w:rsidRDefault="00D232D3">
          <w:pPr>
            <w:pStyle w:val="TOCHeading"/>
          </w:pPr>
          <w:r>
            <w:t>Table of Contents</w:t>
          </w:r>
        </w:p>
        <w:p w14:paraId="68881930" w14:textId="2BD4B85B" w:rsidR="006C7FB9" w:rsidRDefault="00D232D3">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4829714" w:history="1">
            <w:r w:rsidR="006C7FB9" w:rsidRPr="00A41AF9">
              <w:rPr>
                <w:rStyle w:val="Hyperlink"/>
                <w:noProof/>
                <w:lang w:bidi="en-GB"/>
              </w:rPr>
              <w:t>ACKNOWLEDGEMENTS</w:t>
            </w:r>
            <w:r w:rsidR="006C7FB9">
              <w:rPr>
                <w:noProof/>
                <w:webHidden/>
              </w:rPr>
              <w:tab/>
            </w:r>
            <w:r w:rsidR="006C7FB9">
              <w:rPr>
                <w:noProof/>
                <w:webHidden/>
              </w:rPr>
              <w:fldChar w:fldCharType="begin"/>
            </w:r>
            <w:r w:rsidR="006C7FB9">
              <w:rPr>
                <w:noProof/>
                <w:webHidden/>
              </w:rPr>
              <w:instrText xml:space="preserve"> PAGEREF _Toc234829714 \h </w:instrText>
            </w:r>
            <w:r w:rsidR="006C7FB9">
              <w:rPr>
                <w:noProof/>
                <w:webHidden/>
              </w:rPr>
            </w:r>
            <w:r w:rsidR="006C7FB9">
              <w:rPr>
                <w:noProof/>
                <w:webHidden/>
              </w:rPr>
              <w:fldChar w:fldCharType="separate"/>
            </w:r>
            <w:r w:rsidR="006C7FB9">
              <w:rPr>
                <w:noProof/>
                <w:webHidden/>
              </w:rPr>
              <w:t>5</w:t>
            </w:r>
            <w:r w:rsidR="006C7FB9">
              <w:rPr>
                <w:noProof/>
                <w:webHidden/>
              </w:rPr>
              <w:fldChar w:fldCharType="end"/>
            </w:r>
          </w:hyperlink>
        </w:p>
        <w:p w14:paraId="483B4418" w14:textId="1C417933" w:rsidR="006C7FB9" w:rsidRDefault="006C7FB9">
          <w:pPr>
            <w:pStyle w:val="TOC1"/>
            <w:tabs>
              <w:tab w:val="right" w:leader="dot" w:pos="9016"/>
            </w:tabs>
            <w:rPr>
              <w:rFonts w:asciiTheme="minorHAnsi" w:hAnsiTheme="minorHAnsi"/>
              <w:noProof/>
              <w:sz w:val="24"/>
              <w:szCs w:val="24"/>
              <w:lang w:eastAsia="en-GB"/>
            </w:rPr>
          </w:pPr>
          <w:hyperlink w:anchor="_Toc234829715" w:history="1">
            <w:r w:rsidRPr="00A41AF9">
              <w:rPr>
                <w:rStyle w:val="Hyperlink"/>
                <w:noProof/>
                <w:lang w:bidi="en-GB"/>
              </w:rPr>
              <w:t>ABSTRACT</w:t>
            </w:r>
            <w:r>
              <w:rPr>
                <w:noProof/>
                <w:webHidden/>
              </w:rPr>
              <w:tab/>
            </w:r>
            <w:r>
              <w:rPr>
                <w:noProof/>
                <w:webHidden/>
              </w:rPr>
              <w:fldChar w:fldCharType="begin"/>
            </w:r>
            <w:r>
              <w:rPr>
                <w:noProof/>
                <w:webHidden/>
              </w:rPr>
              <w:instrText xml:space="preserve"> PAGEREF _Toc234829715 \h </w:instrText>
            </w:r>
            <w:r>
              <w:rPr>
                <w:noProof/>
                <w:webHidden/>
              </w:rPr>
            </w:r>
            <w:r>
              <w:rPr>
                <w:noProof/>
                <w:webHidden/>
              </w:rPr>
              <w:fldChar w:fldCharType="separate"/>
            </w:r>
            <w:r>
              <w:rPr>
                <w:noProof/>
                <w:webHidden/>
              </w:rPr>
              <w:t>6</w:t>
            </w:r>
            <w:r>
              <w:rPr>
                <w:noProof/>
                <w:webHidden/>
              </w:rPr>
              <w:fldChar w:fldCharType="end"/>
            </w:r>
          </w:hyperlink>
        </w:p>
        <w:p w14:paraId="24B017A6" w14:textId="462F0F27" w:rsidR="006C7FB9" w:rsidRDefault="006C7FB9">
          <w:pPr>
            <w:pStyle w:val="TOC1"/>
            <w:tabs>
              <w:tab w:val="right" w:leader="dot" w:pos="9016"/>
            </w:tabs>
            <w:rPr>
              <w:rFonts w:asciiTheme="minorHAnsi" w:hAnsiTheme="minorHAnsi"/>
              <w:noProof/>
              <w:sz w:val="24"/>
              <w:szCs w:val="24"/>
              <w:lang w:eastAsia="en-GB"/>
            </w:rPr>
          </w:pPr>
          <w:hyperlink w:anchor="_Toc234829716" w:history="1">
            <w:r w:rsidRPr="00A41AF9">
              <w:rPr>
                <w:rStyle w:val="Hyperlink"/>
                <w:noProof/>
                <w:lang w:bidi="en-GB"/>
              </w:rPr>
              <w:t>Table of Contents</w:t>
            </w:r>
            <w:r>
              <w:rPr>
                <w:noProof/>
                <w:webHidden/>
              </w:rPr>
              <w:tab/>
            </w:r>
            <w:r>
              <w:rPr>
                <w:noProof/>
                <w:webHidden/>
              </w:rPr>
              <w:fldChar w:fldCharType="begin"/>
            </w:r>
            <w:r>
              <w:rPr>
                <w:noProof/>
                <w:webHidden/>
              </w:rPr>
              <w:instrText xml:space="preserve"> PAGEREF _Toc234829716 \h </w:instrText>
            </w:r>
            <w:r>
              <w:rPr>
                <w:noProof/>
                <w:webHidden/>
              </w:rPr>
            </w:r>
            <w:r>
              <w:rPr>
                <w:noProof/>
                <w:webHidden/>
              </w:rPr>
              <w:fldChar w:fldCharType="separate"/>
            </w:r>
            <w:r>
              <w:rPr>
                <w:noProof/>
                <w:webHidden/>
              </w:rPr>
              <w:t>7</w:t>
            </w:r>
            <w:r>
              <w:rPr>
                <w:noProof/>
                <w:webHidden/>
              </w:rPr>
              <w:fldChar w:fldCharType="end"/>
            </w:r>
          </w:hyperlink>
        </w:p>
        <w:p w14:paraId="1288075C" w14:textId="406399BF" w:rsidR="006C7FB9" w:rsidRDefault="006C7FB9">
          <w:pPr>
            <w:pStyle w:val="TOC1"/>
            <w:tabs>
              <w:tab w:val="right" w:leader="dot" w:pos="9016"/>
            </w:tabs>
            <w:rPr>
              <w:rFonts w:asciiTheme="minorHAnsi" w:hAnsiTheme="minorHAnsi"/>
              <w:noProof/>
              <w:sz w:val="24"/>
              <w:szCs w:val="24"/>
              <w:lang w:eastAsia="en-GB"/>
            </w:rPr>
          </w:pPr>
          <w:hyperlink w:anchor="_Toc234829717" w:history="1">
            <w:r w:rsidRPr="00A41AF9">
              <w:rPr>
                <w:rStyle w:val="Hyperlink"/>
                <w:noProof/>
                <w:lang w:bidi="en-GB"/>
              </w:rPr>
              <w:t>CHAPTER 1: Introduction</w:t>
            </w:r>
            <w:r>
              <w:rPr>
                <w:noProof/>
                <w:webHidden/>
              </w:rPr>
              <w:tab/>
            </w:r>
            <w:r>
              <w:rPr>
                <w:noProof/>
                <w:webHidden/>
              </w:rPr>
              <w:fldChar w:fldCharType="begin"/>
            </w:r>
            <w:r>
              <w:rPr>
                <w:noProof/>
                <w:webHidden/>
              </w:rPr>
              <w:instrText xml:space="preserve"> PAGEREF _Toc234829717 \h </w:instrText>
            </w:r>
            <w:r>
              <w:rPr>
                <w:noProof/>
                <w:webHidden/>
              </w:rPr>
            </w:r>
            <w:r>
              <w:rPr>
                <w:noProof/>
                <w:webHidden/>
              </w:rPr>
              <w:fldChar w:fldCharType="separate"/>
            </w:r>
            <w:r>
              <w:rPr>
                <w:noProof/>
                <w:webHidden/>
              </w:rPr>
              <w:t>10</w:t>
            </w:r>
            <w:r>
              <w:rPr>
                <w:noProof/>
                <w:webHidden/>
              </w:rPr>
              <w:fldChar w:fldCharType="end"/>
            </w:r>
          </w:hyperlink>
        </w:p>
        <w:p w14:paraId="078F15EA" w14:textId="5BDD746B" w:rsidR="006C7FB9" w:rsidRDefault="006C7FB9">
          <w:pPr>
            <w:pStyle w:val="TOC2"/>
            <w:tabs>
              <w:tab w:val="right" w:leader="dot" w:pos="9016"/>
            </w:tabs>
            <w:rPr>
              <w:rFonts w:asciiTheme="minorHAnsi" w:hAnsiTheme="minorHAnsi"/>
              <w:noProof/>
              <w:sz w:val="24"/>
              <w:szCs w:val="24"/>
              <w:lang w:eastAsia="en-GB"/>
            </w:rPr>
          </w:pPr>
          <w:hyperlink w:anchor="_Toc234829718" w:history="1">
            <w:r w:rsidRPr="00A41AF9">
              <w:rPr>
                <w:rStyle w:val="Hyperlink"/>
                <w:rFonts w:ascii="Arial" w:hAnsi="Arial"/>
                <w:noProof/>
              </w:rPr>
              <w:t>1.1 Introduction</w:t>
            </w:r>
            <w:r>
              <w:rPr>
                <w:noProof/>
                <w:webHidden/>
              </w:rPr>
              <w:tab/>
            </w:r>
            <w:r>
              <w:rPr>
                <w:noProof/>
                <w:webHidden/>
              </w:rPr>
              <w:fldChar w:fldCharType="begin"/>
            </w:r>
            <w:r>
              <w:rPr>
                <w:noProof/>
                <w:webHidden/>
              </w:rPr>
              <w:instrText xml:space="preserve"> PAGEREF _Toc234829718 \h </w:instrText>
            </w:r>
            <w:r>
              <w:rPr>
                <w:noProof/>
                <w:webHidden/>
              </w:rPr>
            </w:r>
            <w:r>
              <w:rPr>
                <w:noProof/>
                <w:webHidden/>
              </w:rPr>
              <w:fldChar w:fldCharType="separate"/>
            </w:r>
            <w:r>
              <w:rPr>
                <w:noProof/>
                <w:webHidden/>
              </w:rPr>
              <w:t>10</w:t>
            </w:r>
            <w:r>
              <w:rPr>
                <w:noProof/>
                <w:webHidden/>
              </w:rPr>
              <w:fldChar w:fldCharType="end"/>
            </w:r>
          </w:hyperlink>
        </w:p>
        <w:p w14:paraId="17485C0C" w14:textId="6993C757" w:rsidR="006C7FB9" w:rsidRDefault="006C7FB9">
          <w:pPr>
            <w:pStyle w:val="TOC2"/>
            <w:tabs>
              <w:tab w:val="right" w:leader="dot" w:pos="9016"/>
            </w:tabs>
            <w:rPr>
              <w:rFonts w:asciiTheme="minorHAnsi" w:hAnsiTheme="minorHAnsi"/>
              <w:noProof/>
              <w:sz w:val="24"/>
              <w:szCs w:val="24"/>
              <w:lang w:eastAsia="en-GB"/>
            </w:rPr>
          </w:pPr>
          <w:hyperlink w:anchor="_Toc234829719" w:history="1">
            <w:r w:rsidRPr="00A41AF9">
              <w:rPr>
                <w:rStyle w:val="Hyperlink"/>
                <w:rFonts w:ascii="Arial" w:hAnsi="Arial"/>
                <w:noProof/>
              </w:rPr>
              <w:t>1.2 Definitions and Terminology</w:t>
            </w:r>
            <w:r>
              <w:rPr>
                <w:noProof/>
                <w:webHidden/>
              </w:rPr>
              <w:tab/>
            </w:r>
            <w:r>
              <w:rPr>
                <w:noProof/>
                <w:webHidden/>
              </w:rPr>
              <w:fldChar w:fldCharType="begin"/>
            </w:r>
            <w:r>
              <w:rPr>
                <w:noProof/>
                <w:webHidden/>
              </w:rPr>
              <w:instrText xml:space="preserve"> PAGEREF _Toc234829719 \h </w:instrText>
            </w:r>
            <w:r>
              <w:rPr>
                <w:noProof/>
                <w:webHidden/>
              </w:rPr>
            </w:r>
            <w:r>
              <w:rPr>
                <w:noProof/>
                <w:webHidden/>
              </w:rPr>
              <w:fldChar w:fldCharType="separate"/>
            </w:r>
            <w:r>
              <w:rPr>
                <w:noProof/>
                <w:webHidden/>
              </w:rPr>
              <w:t>11</w:t>
            </w:r>
            <w:r>
              <w:rPr>
                <w:noProof/>
                <w:webHidden/>
              </w:rPr>
              <w:fldChar w:fldCharType="end"/>
            </w:r>
          </w:hyperlink>
        </w:p>
        <w:p w14:paraId="4DFFE803" w14:textId="44C1CAB9" w:rsidR="006C7FB9" w:rsidRDefault="006C7FB9">
          <w:pPr>
            <w:pStyle w:val="TOC2"/>
            <w:tabs>
              <w:tab w:val="right" w:leader="dot" w:pos="9016"/>
            </w:tabs>
            <w:rPr>
              <w:rFonts w:asciiTheme="minorHAnsi" w:hAnsiTheme="minorHAnsi"/>
              <w:noProof/>
              <w:sz w:val="24"/>
              <w:szCs w:val="24"/>
              <w:lang w:eastAsia="en-GB"/>
            </w:rPr>
          </w:pPr>
          <w:hyperlink w:anchor="_Toc234829720" w:history="1">
            <w:r w:rsidRPr="00A41AF9">
              <w:rPr>
                <w:rStyle w:val="Hyperlink"/>
                <w:rFonts w:ascii="Arial" w:hAnsi="Arial"/>
                <w:noProof/>
              </w:rPr>
              <w:t>1.3 Rationale for Research</w:t>
            </w:r>
            <w:r>
              <w:rPr>
                <w:noProof/>
                <w:webHidden/>
              </w:rPr>
              <w:tab/>
            </w:r>
            <w:r>
              <w:rPr>
                <w:noProof/>
                <w:webHidden/>
              </w:rPr>
              <w:fldChar w:fldCharType="begin"/>
            </w:r>
            <w:r>
              <w:rPr>
                <w:noProof/>
                <w:webHidden/>
              </w:rPr>
              <w:instrText xml:space="preserve"> PAGEREF _Toc234829720 \h </w:instrText>
            </w:r>
            <w:r>
              <w:rPr>
                <w:noProof/>
                <w:webHidden/>
              </w:rPr>
            </w:r>
            <w:r>
              <w:rPr>
                <w:noProof/>
                <w:webHidden/>
              </w:rPr>
              <w:fldChar w:fldCharType="separate"/>
            </w:r>
            <w:r>
              <w:rPr>
                <w:noProof/>
                <w:webHidden/>
              </w:rPr>
              <w:t>12</w:t>
            </w:r>
            <w:r>
              <w:rPr>
                <w:noProof/>
                <w:webHidden/>
              </w:rPr>
              <w:fldChar w:fldCharType="end"/>
            </w:r>
          </w:hyperlink>
        </w:p>
        <w:p w14:paraId="6D74A902" w14:textId="4160B09F" w:rsidR="006C7FB9" w:rsidRDefault="006C7FB9">
          <w:pPr>
            <w:pStyle w:val="TOC2"/>
            <w:tabs>
              <w:tab w:val="right" w:leader="dot" w:pos="9016"/>
            </w:tabs>
            <w:rPr>
              <w:rFonts w:asciiTheme="minorHAnsi" w:hAnsiTheme="minorHAnsi"/>
              <w:noProof/>
              <w:sz w:val="24"/>
              <w:szCs w:val="24"/>
              <w:lang w:eastAsia="en-GB"/>
            </w:rPr>
          </w:pPr>
          <w:hyperlink w:anchor="_Toc234829721" w:history="1">
            <w:r w:rsidRPr="00A41AF9">
              <w:rPr>
                <w:rStyle w:val="Hyperlink"/>
                <w:rFonts w:ascii="Arial" w:hAnsi="Arial"/>
                <w:noProof/>
              </w:rPr>
              <w:t>1.4 Aim and Objectives</w:t>
            </w:r>
            <w:r>
              <w:rPr>
                <w:noProof/>
                <w:webHidden/>
              </w:rPr>
              <w:tab/>
            </w:r>
            <w:r>
              <w:rPr>
                <w:noProof/>
                <w:webHidden/>
              </w:rPr>
              <w:fldChar w:fldCharType="begin"/>
            </w:r>
            <w:r>
              <w:rPr>
                <w:noProof/>
                <w:webHidden/>
              </w:rPr>
              <w:instrText xml:space="preserve"> PAGEREF _Toc234829721 \h </w:instrText>
            </w:r>
            <w:r>
              <w:rPr>
                <w:noProof/>
                <w:webHidden/>
              </w:rPr>
            </w:r>
            <w:r>
              <w:rPr>
                <w:noProof/>
                <w:webHidden/>
              </w:rPr>
              <w:fldChar w:fldCharType="separate"/>
            </w:r>
            <w:r>
              <w:rPr>
                <w:noProof/>
                <w:webHidden/>
              </w:rPr>
              <w:t>12</w:t>
            </w:r>
            <w:r>
              <w:rPr>
                <w:noProof/>
                <w:webHidden/>
              </w:rPr>
              <w:fldChar w:fldCharType="end"/>
            </w:r>
          </w:hyperlink>
        </w:p>
        <w:p w14:paraId="2F849D7A" w14:textId="6DAEC941" w:rsidR="006C7FB9" w:rsidRDefault="006C7FB9">
          <w:pPr>
            <w:pStyle w:val="TOC3"/>
            <w:tabs>
              <w:tab w:val="right" w:leader="dot" w:pos="9016"/>
            </w:tabs>
            <w:rPr>
              <w:rFonts w:asciiTheme="minorHAnsi" w:hAnsiTheme="minorHAnsi"/>
              <w:noProof/>
              <w:sz w:val="24"/>
              <w:szCs w:val="24"/>
              <w:lang w:eastAsia="en-GB"/>
            </w:rPr>
          </w:pPr>
          <w:hyperlink w:anchor="_Toc234829722" w:history="1">
            <w:r w:rsidRPr="00A41AF9">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_Toc234829722 \h </w:instrText>
            </w:r>
            <w:r>
              <w:rPr>
                <w:noProof/>
                <w:webHidden/>
              </w:rPr>
            </w:r>
            <w:r>
              <w:rPr>
                <w:noProof/>
                <w:webHidden/>
              </w:rPr>
              <w:fldChar w:fldCharType="separate"/>
            </w:r>
            <w:r>
              <w:rPr>
                <w:noProof/>
                <w:webHidden/>
              </w:rPr>
              <w:t>12</w:t>
            </w:r>
            <w:r>
              <w:rPr>
                <w:noProof/>
                <w:webHidden/>
              </w:rPr>
              <w:fldChar w:fldCharType="end"/>
            </w:r>
          </w:hyperlink>
        </w:p>
        <w:p w14:paraId="0D9A0C98" w14:textId="72CA15E9" w:rsidR="006C7FB9" w:rsidRDefault="006C7FB9">
          <w:pPr>
            <w:pStyle w:val="TOC3"/>
            <w:tabs>
              <w:tab w:val="right" w:leader="dot" w:pos="9016"/>
            </w:tabs>
            <w:rPr>
              <w:rFonts w:asciiTheme="minorHAnsi" w:hAnsiTheme="minorHAnsi"/>
              <w:noProof/>
              <w:sz w:val="24"/>
              <w:szCs w:val="24"/>
              <w:lang w:eastAsia="en-GB"/>
            </w:rPr>
          </w:pPr>
          <w:hyperlink w:anchor="_Toc234829723" w:history="1">
            <w:r w:rsidRPr="00A41AF9">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_Toc234829723 \h </w:instrText>
            </w:r>
            <w:r>
              <w:rPr>
                <w:noProof/>
                <w:webHidden/>
              </w:rPr>
            </w:r>
            <w:r>
              <w:rPr>
                <w:noProof/>
                <w:webHidden/>
              </w:rPr>
              <w:fldChar w:fldCharType="separate"/>
            </w:r>
            <w:r>
              <w:rPr>
                <w:noProof/>
                <w:webHidden/>
              </w:rPr>
              <w:t>13</w:t>
            </w:r>
            <w:r>
              <w:rPr>
                <w:noProof/>
                <w:webHidden/>
              </w:rPr>
              <w:fldChar w:fldCharType="end"/>
            </w:r>
          </w:hyperlink>
        </w:p>
        <w:p w14:paraId="69E1CA54" w14:textId="13E787E4" w:rsidR="006C7FB9" w:rsidRDefault="006C7FB9">
          <w:pPr>
            <w:pStyle w:val="TOC2"/>
            <w:tabs>
              <w:tab w:val="right" w:leader="dot" w:pos="9016"/>
            </w:tabs>
            <w:rPr>
              <w:rFonts w:asciiTheme="minorHAnsi" w:hAnsiTheme="minorHAnsi"/>
              <w:noProof/>
              <w:sz w:val="24"/>
              <w:szCs w:val="24"/>
              <w:lang w:eastAsia="en-GB"/>
            </w:rPr>
          </w:pPr>
          <w:hyperlink w:anchor="_Toc234829724" w:history="1">
            <w:r w:rsidRPr="00A41AF9">
              <w:rPr>
                <w:rStyle w:val="Hyperlink"/>
                <w:rFonts w:ascii="Arial" w:hAnsi="Arial"/>
                <w:noProof/>
              </w:rPr>
              <w:t>1.5 Conclusion</w:t>
            </w:r>
            <w:r>
              <w:rPr>
                <w:noProof/>
                <w:webHidden/>
              </w:rPr>
              <w:tab/>
            </w:r>
            <w:r>
              <w:rPr>
                <w:noProof/>
                <w:webHidden/>
              </w:rPr>
              <w:fldChar w:fldCharType="begin"/>
            </w:r>
            <w:r>
              <w:rPr>
                <w:noProof/>
                <w:webHidden/>
              </w:rPr>
              <w:instrText xml:space="preserve"> PAGEREF _Toc234829724 \h </w:instrText>
            </w:r>
            <w:r>
              <w:rPr>
                <w:noProof/>
                <w:webHidden/>
              </w:rPr>
            </w:r>
            <w:r>
              <w:rPr>
                <w:noProof/>
                <w:webHidden/>
              </w:rPr>
              <w:fldChar w:fldCharType="separate"/>
            </w:r>
            <w:r>
              <w:rPr>
                <w:noProof/>
                <w:webHidden/>
              </w:rPr>
              <w:t>13</w:t>
            </w:r>
            <w:r>
              <w:rPr>
                <w:noProof/>
                <w:webHidden/>
              </w:rPr>
              <w:fldChar w:fldCharType="end"/>
            </w:r>
          </w:hyperlink>
        </w:p>
        <w:p w14:paraId="161BF1AD" w14:textId="3B642608" w:rsidR="006C7FB9" w:rsidRDefault="006C7FB9">
          <w:pPr>
            <w:pStyle w:val="TOC1"/>
            <w:tabs>
              <w:tab w:val="right" w:leader="dot" w:pos="9016"/>
            </w:tabs>
            <w:rPr>
              <w:rFonts w:asciiTheme="minorHAnsi" w:hAnsiTheme="minorHAnsi"/>
              <w:noProof/>
              <w:sz w:val="24"/>
              <w:szCs w:val="24"/>
              <w:lang w:eastAsia="en-GB"/>
            </w:rPr>
          </w:pPr>
          <w:hyperlink w:anchor="_Toc234829725" w:history="1">
            <w:r w:rsidRPr="00A41AF9">
              <w:rPr>
                <w:rStyle w:val="Hyperlink"/>
                <w:noProof/>
                <w:lang w:bidi="en-GB"/>
              </w:rPr>
              <w:t>CHAPTER 2: Background Information and Analysis</w:t>
            </w:r>
            <w:r>
              <w:rPr>
                <w:noProof/>
                <w:webHidden/>
              </w:rPr>
              <w:tab/>
            </w:r>
            <w:r>
              <w:rPr>
                <w:noProof/>
                <w:webHidden/>
              </w:rPr>
              <w:fldChar w:fldCharType="begin"/>
            </w:r>
            <w:r>
              <w:rPr>
                <w:noProof/>
                <w:webHidden/>
              </w:rPr>
              <w:instrText xml:space="preserve"> PAGEREF _Toc234829725 \h </w:instrText>
            </w:r>
            <w:r>
              <w:rPr>
                <w:noProof/>
                <w:webHidden/>
              </w:rPr>
            </w:r>
            <w:r>
              <w:rPr>
                <w:noProof/>
                <w:webHidden/>
              </w:rPr>
              <w:fldChar w:fldCharType="separate"/>
            </w:r>
            <w:r>
              <w:rPr>
                <w:noProof/>
                <w:webHidden/>
              </w:rPr>
              <w:t>14</w:t>
            </w:r>
            <w:r>
              <w:rPr>
                <w:noProof/>
                <w:webHidden/>
              </w:rPr>
              <w:fldChar w:fldCharType="end"/>
            </w:r>
          </w:hyperlink>
        </w:p>
        <w:p w14:paraId="491348AC" w14:textId="6E689DD4" w:rsidR="006C7FB9" w:rsidRDefault="006C7FB9">
          <w:pPr>
            <w:pStyle w:val="TOC2"/>
            <w:tabs>
              <w:tab w:val="right" w:leader="dot" w:pos="9016"/>
            </w:tabs>
            <w:rPr>
              <w:rFonts w:asciiTheme="minorHAnsi" w:hAnsiTheme="minorHAnsi"/>
              <w:noProof/>
              <w:sz w:val="24"/>
              <w:szCs w:val="24"/>
              <w:lang w:eastAsia="en-GB"/>
            </w:rPr>
          </w:pPr>
          <w:hyperlink w:anchor="_Toc234829726" w:history="1">
            <w:r w:rsidRPr="00A41AF9">
              <w:rPr>
                <w:rStyle w:val="Hyperlink"/>
                <w:rFonts w:ascii="Arial" w:hAnsi="Arial"/>
                <w:noProof/>
              </w:rPr>
              <w:t>2.1 Introduction</w:t>
            </w:r>
            <w:r>
              <w:rPr>
                <w:noProof/>
                <w:webHidden/>
              </w:rPr>
              <w:tab/>
            </w:r>
            <w:r>
              <w:rPr>
                <w:noProof/>
                <w:webHidden/>
              </w:rPr>
              <w:fldChar w:fldCharType="begin"/>
            </w:r>
            <w:r>
              <w:rPr>
                <w:noProof/>
                <w:webHidden/>
              </w:rPr>
              <w:instrText xml:space="preserve"> PAGEREF _Toc234829726 \h </w:instrText>
            </w:r>
            <w:r>
              <w:rPr>
                <w:noProof/>
                <w:webHidden/>
              </w:rPr>
            </w:r>
            <w:r>
              <w:rPr>
                <w:noProof/>
                <w:webHidden/>
              </w:rPr>
              <w:fldChar w:fldCharType="separate"/>
            </w:r>
            <w:r>
              <w:rPr>
                <w:noProof/>
                <w:webHidden/>
              </w:rPr>
              <w:t>14</w:t>
            </w:r>
            <w:r>
              <w:rPr>
                <w:noProof/>
                <w:webHidden/>
              </w:rPr>
              <w:fldChar w:fldCharType="end"/>
            </w:r>
          </w:hyperlink>
        </w:p>
        <w:p w14:paraId="03D7CBA0" w14:textId="2A2DDF82" w:rsidR="006C7FB9" w:rsidRDefault="006C7FB9">
          <w:pPr>
            <w:pStyle w:val="TOC2"/>
            <w:tabs>
              <w:tab w:val="right" w:leader="dot" w:pos="9016"/>
            </w:tabs>
            <w:rPr>
              <w:rFonts w:asciiTheme="minorHAnsi" w:hAnsiTheme="minorHAnsi"/>
              <w:noProof/>
              <w:sz w:val="24"/>
              <w:szCs w:val="24"/>
              <w:lang w:eastAsia="en-GB"/>
            </w:rPr>
          </w:pPr>
          <w:hyperlink w:anchor="_Toc234829727" w:history="1">
            <w:r w:rsidRPr="00A41AF9">
              <w:rPr>
                <w:rStyle w:val="Hyperlink"/>
                <w:rFonts w:ascii="Arial" w:hAnsi="Arial"/>
                <w:noProof/>
              </w:rPr>
              <w:t>2.2 Historical Background</w:t>
            </w:r>
            <w:r>
              <w:rPr>
                <w:noProof/>
                <w:webHidden/>
              </w:rPr>
              <w:tab/>
            </w:r>
            <w:r>
              <w:rPr>
                <w:noProof/>
                <w:webHidden/>
              </w:rPr>
              <w:fldChar w:fldCharType="begin"/>
            </w:r>
            <w:r>
              <w:rPr>
                <w:noProof/>
                <w:webHidden/>
              </w:rPr>
              <w:instrText xml:space="preserve"> PAGEREF _Toc234829727 \h </w:instrText>
            </w:r>
            <w:r>
              <w:rPr>
                <w:noProof/>
                <w:webHidden/>
              </w:rPr>
            </w:r>
            <w:r>
              <w:rPr>
                <w:noProof/>
                <w:webHidden/>
              </w:rPr>
              <w:fldChar w:fldCharType="separate"/>
            </w:r>
            <w:r>
              <w:rPr>
                <w:noProof/>
                <w:webHidden/>
              </w:rPr>
              <w:t>15</w:t>
            </w:r>
            <w:r>
              <w:rPr>
                <w:noProof/>
                <w:webHidden/>
              </w:rPr>
              <w:fldChar w:fldCharType="end"/>
            </w:r>
          </w:hyperlink>
        </w:p>
        <w:p w14:paraId="08AB6423" w14:textId="1F1075FB" w:rsidR="006C7FB9" w:rsidRDefault="006C7FB9">
          <w:pPr>
            <w:pStyle w:val="TOC2"/>
            <w:tabs>
              <w:tab w:val="right" w:leader="dot" w:pos="9016"/>
            </w:tabs>
            <w:rPr>
              <w:rFonts w:asciiTheme="minorHAnsi" w:hAnsiTheme="minorHAnsi"/>
              <w:noProof/>
              <w:sz w:val="24"/>
              <w:szCs w:val="24"/>
              <w:lang w:eastAsia="en-GB"/>
            </w:rPr>
          </w:pPr>
          <w:hyperlink w:anchor="_Toc234829728" w:history="1">
            <w:r w:rsidRPr="00A41AF9">
              <w:rPr>
                <w:rStyle w:val="Hyperlink"/>
                <w:rFonts w:ascii="Arial" w:hAnsi="Arial"/>
                <w:noProof/>
              </w:rPr>
              <w:t>2.3 Theoretical Background</w:t>
            </w:r>
            <w:r>
              <w:rPr>
                <w:noProof/>
                <w:webHidden/>
              </w:rPr>
              <w:tab/>
            </w:r>
            <w:r>
              <w:rPr>
                <w:noProof/>
                <w:webHidden/>
              </w:rPr>
              <w:fldChar w:fldCharType="begin"/>
            </w:r>
            <w:r>
              <w:rPr>
                <w:noProof/>
                <w:webHidden/>
              </w:rPr>
              <w:instrText xml:space="preserve"> PAGEREF _Toc234829728 \h </w:instrText>
            </w:r>
            <w:r>
              <w:rPr>
                <w:noProof/>
                <w:webHidden/>
              </w:rPr>
            </w:r>
            <w:r>
              <w:rPr>
                <w:noProof/>
                <w:webHidden/>
              </w:rPr>
              <w:fldChar w:fldCharType="separate"/>
            </w:r>
            <w:r>
              <w:rPr>
                <w:noProof/>
                <w:webHidden/>
              </w:rPr>
              <w:t>16</w:t>
            </w:r>
            <w:r>
              <w:rPr>
                <w:noProof/>
                <w:webHidden/>
              </w:rPr>
              <w:fldChar w:fldCharType="end"/>
            </w:r>
          </w:hyperlink>
        </w:p>
        <w:p w14:paraId="322D503B" w14:textId="4A26EBBB" w:rsidR="006C7FB9" w:rsidRDefault="006C7FB9">
          <w:pPr>
            <w:pStyle w:val="TOC2"/>
            <w:tabs>
              <w:tab w:val="right" w:leader="dot" w:pos="9016"/>
            </w:tabs>
            <w:rPr>
              <w:rFonts w:asciiTheme="minorHAnsi" w:hAnsiTheme="minorHAnsi"/>
              <w:noProof/>
              <w:sz w:val="24"/>
              <w:szCs w:val="24"/>
              <w:lang w:eastAsia="en-GB"/>
            </w:rPr>
          </w:pPr>
          <w:hyperlink w:anchor="_Toc234829729" w:history="1">
            <w:r w:rsidRPr="00A41AF9">
              <w:rPr>
                <w:rStyle w:val="Hyperlink"/>
                <w:rFonts w:ascii="Arial" w:hAnsi="Arial"/>
                <w:noProof/>
              </w:rPr>
              <w:t>2.4 International Context</w:t>
            </w:r>
            <w:r>
              <w:rPr>
                <w:noProof/>
                <w:webHidden/>
              </w:rPr>
              <w:tab/>
            </w:r>
            <w:r>
              <w:rPr>
                <w:noProof/>
                <w:webHidden/>
              </w:rPr>
              <w:fldChar w:fldCharType="begin"/>
            </w:r>
            <w:r>
              <w:rPr>
                <w:noProof/>
                <w:webHidden/>
              </w:rPr>
              <w:instrText xml:space="preserve"> PAGEREF _Toc234829729 \h </w:instrText>
            </w:r>
            <w:r>
              <w:rPr>
                <w:noProof/>
                <w:webHidden/>
              </w:rPr>
            </w:r>
            <w:r>
              <w:rPr>
                <w:noProof/>
                <w:webHidden/>
              </w:rPr>
              <w:fldChar w:fldCharType="separate"/>
            </w:r>
            <w:r>
              <w:rPr>
                <w:noProof/>
                <w:webHidden/>
              </w:rPr>
              <w:t>19</w:t>
            </w:r>
            <w:r>
              <w:rPr>
                <w:noProof/>
                <w:webHidden/>
              </w:rPr>
              <w:fldChar w:fldCharType="end"/>
            </w:r>
          </w:hyperlink>
        </w:p>
        <w:p w14:paraId="0F6BC625" w14:textId="5195B5D6" w:rsidR="006C7FB9" w:rsidRDefault="006C7FB9">
          <w:pPr>
            <w:pStyle w:val="TOC2"/>
            <w:tabs>
              <w:tab w:val="right" w:leader="dot" w:pos="9016"/>
            </w:tabs>
            <w:rPr>
              <w:rFonts w:asciiTheme="minorHAnsi" w:hAnsiTheme="minorHAnsi"/>
              <w:noProof/>
              <w:sz w:val="24"/>
              <w:szCs w:val="24"/>
              <w:lang w:eastAsia="en-GB"/>
            </w:rPr>
          </w:pPr>
          <w:hyperlink w:anchor="_Toc234829730" w:history="1">
            <w:r w:rsidRPr="00A41AF9">
              <w:rPr>
                <w:rStyle w:val="Hyperlink"/>
                <w:rFonts w:ascii="Arial" w:hAnsi="Arial"/>
                <w:noProof/>
              </w:rPr>
              <w:t>2.5 National/Local UK Context</w:t>
            </w:r>
            <w:r>
              <w:rPr>
                <w:noProof/>
                <w:webHidden/>
              </w:rPr>
              <w:tab/>
            </w:r>
            <w:r>
              <w:rPr>
                <w:noProof/>
                <w:webHidden/>
              </w:rPr>
              <w:fldChar w:fldCharType="begin"/>
            </w:r>
            <w:r>
              <w:rPr>
                <w:noProof/>
                <w:webHidden/>
              </w:rPr>
              <w:instrText xml:space="preserve"> PAGEREF _Toc234829730 \h </w:instrText>
            </w:r>
            <w:r>
              <w:rPr>
                <w:noProof/>
                <w:webHidden/>
              </w:rPr>
            </w:r>
            <w:r>
              <w:rPr>
                <w:noProof/>
                <w:webHidden/>
              </w:rPr>
              <w:fldChar w:fldCharType="separate"/>
            </w:r>
            <w:r>
              <w:rPr>
                <w:noProof/>
                <w:webHidden/>
              </w:rPr>
              <w:t>20</w:t>
            </w:r>
            <w:r>
              <w:rPr>
                <w:noProof/>
                <w:webHidden/>
              </w:rPr>
              <w:fldChar w:fldCharType="end"/>
            </w:r>
          </w:hyperlink>
        </w:p>
        <w:p w14:paraId="349D43B2" w14:textId="4648F8E1" w:rsidR="006C7FB9" w:rsidRDefault="006C7FB9">
          <w:pPr>
            <w:pStyle w:val="TOC2"/>
            <w:tabs>
              <w:tab w:val="right" w:leader="dot" w:pos="9016"/>
            </w:tabs>
            <w:rPr>
              <w:rFonts w:asciiTheme="minorHAnsi" w:hAnsiTheme="minorHAnsi"/>
              <w:noProof/>
              <w:sz w:val="24"/>
              <w:szCs w:val="24"/>
              <w:lang w:eastAsia="en-GB"/>
            </w:rPr>
          </w:pPr>
          <w:hyperlink w:anchor="_Toc234829731" w:history="1">
            <w:r w:rsidRPr="00A41AF9">
              <w:rPr>
                <w:rStyle w:val="Hyperlink"/>
                <w:rFonts w:ascii="Arial" w:hAnsi="Arial"/>
                <w:noProof/>
              </w:rPr>
              <w:t>2.6 Conclusion</w:t>
            </w:r>
            <w:r>
              <w:rPr>
                <w:noProof/>
                <w:webHidden/>
              </w:rPr>
              <w:tab/>
            </w:r>
            <w:r>
              <w:rPr>
                <w:noProof/>
                <w:webHidden/>
              </w:rPr>
              <w:fldChar w:fldCharType="begin"/>
            </w:r>
            <w:r>
              <w:rPr>
                <w:noProof/>
                <w:webHidden/>
              </w:rPr>
              <w:instrText xml:space="preserve"> PAGEREF _Toc234829731 \h </w:instrText>
            </w:r>
            <w:r>
              <w:rPr>
                <w:noProof/>
                <w:webHidden/>
              </w:rPr>
            </w:r>
            <w:r>
              <w:rPr>
                <w:noProof/>
                <w:webHidden/>
              </w:rPr>
              <w:fldChar w:fldCharType="separate"/>
            </w:r>
            <w:r>
              <w:rPr>
                <w:noProof/>
                <w:webHidden/>
              </w:rPr>
              <w:t>21</w:t>
            </w:r>
            <w:r>
              <w:rPr>
                <w:noProof/>
                <w:webHidden/>
              </w:rPr>
              <w:fldChar w:fldCharType="end"/>
            </w:r>
          </w:hyperlink>
        </w:p>
        <w:p w14:paraId="103ADDBB" w14:textId="7889805E" w:rsidR="006C7FB9" w:rsidRDefault="006C7FB9">
          <w:pPr>
            <w:pStyle w:val="TOC1"/>
            <w:tabs>
              <w:tab w:val="right" w:leader="dot" w:pos="9016"/>
            </w:tabs>
            <w:rPr>
              <w:rFonts w:asciiTheme="minorHAnsi" w:hAnsiTheme="minorHAnsi"/>
              <w:noProof/>
              <w:sz w:val="24"/>
              <w:szCs w:val="24"/>
              <w:lang w:eastAsia="en-GB"/>
            </w:rPr>
          </w:pPr>
          <w:hyperlink w:anchor="_Toc234829732" w:history="1">
            <w:r w:rsidRPr="00A41AF9">
              <w:rPr>
                <w:rStyle w:val="Hyperlink"/>
                <w:noProof/>
                <w:lang w:bidi="en-GB"/>
              </w:rPr>
              <w:t>CHAPTER 3: Methods and Search Strategy</w:t>
            </w:r>
            <w:r>
              <w:rPr>
                <w:noProof/>
                <w:webHidden/>
              </w:rPr>
              <w:tab/>
            </w:r>
            <w:r>
              <w:rPr>
                <w:noProof/>
                <w:webHidden/>
              </w:rPr>
              <w:fldChar w:fldCharType="begin"/>
            </w:r>
            <w:r>
              <w:rPr>
                <w:noProof/>
                <w:webHidden/>
              </w:rPr>
              <w:instrText xml:space="preserve"> PAGEREF _Toc234829732 \h </w:instrText>
            </w:r>
            <w:r>
              <w:rPr>
                <w:noProof/>
                <w:webHidden/>
              </w:rPr>
            </w:r>
            <w:r>
              <w:rPr>
                <w:noProof/>
                <w:webHidden/>
              </w:rPr>
              <w:fldChar w:fldCharType="separate"/>
            </w:r>
            <w:r>
              <w:rPr>
                <w:noProof/>
                <w:webHidden/>
              </w:rPr>
              <w:t>22</w:t>
            </w:r>
            <w:r>
              <w:rPr>
                <w:noProof/>
                <w:webHidden/>
              </w:rPr>
              <w:fldChar w:fldCharType="end"/>
            </w:r>
          </w:hyperlink>
        </w:p>
        <w:p w14:paraId="3D590F26" w14:textId="21CA3F83" w:rsidR="006C7FB9" w:rsidRDefault="006C7FB9">
          <w:pPr>
            <w:pStyle w:val="TOC2"/>
            <w:tabs>
              <w:tab w:val="right" w:leader="dot" w:pos="9016"/>
            </w:tabs>
            <w:rPr>
              <w:rFonts w:asciiTheme="minorHAnsi" w:hAnsiTheme="minorHAnsi"/>
              <w:noProof/>
              <w:sz w:val="24"/>
              <w:szCs w:val="24"/>
              <w:lang w:eastAsia="en-GB"/>
            </w:rPr>
          </w:pPr>
          <w:hyperlink w:anchor="_Toc234829733" w:history="1">
            <w:r w:rsidRPr="00A41AF9">
              <w:rPr>
                <w:rStyle w:val="Hyperlink"/>
                <w:rFonts w:ascii="Arial" w:hAnsi="Arial"/>
                <w:noProof/>
              </w:rPr>
              <w:t>3.1 – Introduction</w:t>
            </w:r>
            <w:r>
              <w:rPr>
                <w:noProof/>
                <w:webHidden/>
              </w:rPr>
              <w:tab/>
            </w:r>
            <w:r>
              <w:rPr>
                <w:noProof/>
                <w:webHidden/>
              </w:rPr>
              <w:fldChar w:fldCharType="begin"/>
            </w:r>
            <w:r>
              <w:rPr>
                <w:noProof/>
                <w:webHidden/>
              </w:rPr>
              <w:instrText xml:space="preserve"> PAGEREF _Toc234829733 \h </w:instrText>
            </w:r>
            <w:r>
              <w:rPr>
                <w:noProof/>
                <w:webHidden/>
              </w:rPr>
            </w:r>
            <w:r>
              <w:rPr>
                <w:noProof/>
                <w:webHidden/>
              </w:rPr>
              <w:fldChar w:fldCharType="separate"/>
            </w:r>
            <w:r>
              <w:rPr>
                <w:noProof/>
                <w:webHidden/>
              </w:rPr>
              <w:t>22</w:t>
            </w:r>
            <w:r>
              <w:rPr>
                <w:noProof/>
                <w:webHidden/>
              </w:rPr>
              <w:fldChar w:fldCharType="end"/>
            </w:r>
          </w:hyperlink>
        </w:p>
        <w:p w14:paraId="1CA6F1D5" w14:textId="1E303987" w:rsidR="006C7FB9" w:rsidRDefault="006C7FB9">
          <w:pPr>
            <w:pStyle w:val="TOC2"/>
            <w:tabs>
              <w:tab w:val="right" w:leader="dot" w:pos="9016"/>
            </w:tabs>
            <w:rPr>
              <w:rFonts w:asciiTheme="minorHAnsi" w:hAnsiTheme="minorHAnsi"/>
              <w:noProof/>
              <w:sz w:val="24"/>
              <w:szCs w:val="24"/>
              <w:lang w:eastAsia="en-GB"/>
            </w:rPr>
          </w:pPr>
          <w:hyperlink w:anchor="_Toc234829734" w:history="1">
            <w:r w:rsidRPr="00A41AF9">
              <w:rPr>
                <w:rStyle w:val="Hyperlink"/>
                <w:rFonts w:ascii="Arial" w:hAnsi="Arial"/>
                <w:noProof/>
              </w:rPr>
              <w:t>3.2 – Search Strategy</w:t>
            </w:r>
            <w:r>
              <w:rPr>
                <w:noProof/>
                <w:webHidden/>
              </w:rPr>
              <w:tab/>
            </w:r>
            <w:r>
              <w:rPr>
                <w:noProof/>
                <w:webHidden/>
              </w:rPr>
              <w:fldChar w:fldCharType="begin"/>
            </w:r>
            <w:r>
              <w:rPr>
                <w:noProof/>
                <w:webHidden/>
              </w:rPr>
              <w:instrText xml:space="preserve"> PAGEREF _Toc234829734 \h </w:instrText>
            </w:r>
            <w:r>
              <w:rPr>
                <w:noProof/>
                <w:webHidden/>
              </w:rPr>
            </w:r>
            <w:r>
              <w:rPr>
                <w:noProof/>
                <w:webHidden/>
              </w:rPr>
              <w:fldChar w:fldCharType="separate"/>
            </w:r>
            <w:r>
              <w:rPr>
                <w:noProof/>
                <w:webHidden/>
              </w:rPr>
              <w:t>22</w:t>
            </w:r>
            <w:r>
              <w:rPr>
                <w:noProof/>
                <w:webHidden/>
              </w:rPr>
              <w:fldChar w:fldCharType="end"/>
            </w:r>
          </w:hyperlink>
        </w:p>
        <w:p w14:paraId="4B9847BA" w14:textId="31063857" w:rsidR="006C7FB9" w:rsidRDefault="006C7FB9">
          <w:pPr>
            <w:pStyle w:val="TOC2"/>
            <w:tabs>
              <w:tab w:val="right" w:leader="dot" w:pos="9016"/>
            </w:tabs>
            <w:rPr>
              <w:rFonts w:asciiTheme="minorHAnsi" w:hAnsiTheme="minorHAnsi"/>
              <w:noProof/>
              <w:sz w:val="24"/>
              <w:szCs w:val="24"/>
              <w:lang w:eastAsia="en-GB"/>
            </w:rPr>
          </w:pPr>
          <w:hyperlink w:anchor="_Toc234829735" w:history="1">
            <w:r w:rsidRPr="00A41AF9">
              <w:rPr>
                <w:rStyle w:val="Hyperlink"/>
                <w:rFonts w:ascii="Arial" w:hAnsi="Arial"/>
                <w:noProof/>
              </w:rPr>
              <w:t>3.3 – Searching for Information</w:t>
            </w:r>
            <w:r>
              <w:rPr>
                <w:noProof/>
                <w:webHidden/>
              </w:rPr>
              <w:tab/>
            </w:r>
            <w:r>
              <w:rPr>
                <w:noProof/>
                <w:webHidden/>
              </w:rPr>
              <w:fldChar w:fldCharType="begin"/>
            </w:r>
            <w:r>
              <w:rPr>
                <w:noProof/>
                <w:webHidden/>
              </w:rPr>
              <w:instrText xml:space="preserve"> PAGEREF _Toc234829735 \h </w:instrText>
            </w:r>
            <w:r>
              <w:rPr>
                <w:noProof/>
                <w:webHidden/>
              </w:rPr>
            </w:r>
            <w:r>
              <w:rPr>
                <w:noProof/>
                <w:webHidden/>
              </w:rPr>
              <w:fldChar w:fldCharType="separate"/>
            </w:r>
            <w:r>
              <w:rPr>
                <w:noProof/>
                <w:webHidden/>
              </w:rPr>
              <w:t>22</w:t>
            </w:r>
            <w:r>
              <w:rPr>
                <w:noProof/>
                <w:webHidden/>
              </w:rPr>
              <w:fldChar w:fldCharType="end"/>
            </w:r>
          </w:hyperlink>
        </w:p>
        <w:p w14:paraId="2C04921F" w14:textId="25BC9541" w:rsidR="006C7FB9" w:rsidRDefault="006C7FB9">
          <w:pPr>
            <w:pStyle w:val="TOC2"/>
            <w:tabs>
              <w:tab w:val="right" w:leader="dot" w:pos="9016"/>
            </w:tabs>
            <w:rPr>
              <w:rFonts w:asciiTheme="minorHAnsi" w:hAnsiTheme="minorHAnsi"/>
              <w:noProof/>
              <w:sz w:val="24"/>
              <w:szCs w:val="24"/>
              <w:lang w:eastAsia="en-GB"/>
            </w:rPr>
          </w:pPr>
          <w:hyperlink w:anchor="_Toc234829736" w:history="1">
            <w:r w:rsidRPr="00A41AF9">
              <w:rPr>
                <w:rStyle w:val="Hyperlink"/>
                <w:rFonts w:ascii="Arial" w:hAnsi="Arial"/>
                <w:noProof/>
              </w:rPr>
              <w:t>3.4 – Research Validation</w:t>
            </w:r>
            <w:r>
              <w:rPr>
                <w:noProof/>
                <w:webHidden/>
              </w:rPr>
              <w:tab/>
            </w:r>
            <w:r>
              <w:rPr>
                <w:noProof/>
                <w:webHidden/>
              </w:rPr>
              <w:fldChar w:fldCharType="begin"/>
            </w:r>
            <w:r>
              <w:rPr>
                <w:noProof/>
                <w:webHidden/>
              </w:rPr>
              <w:instrText xml:space="preserve"> PAGEREF _Toc234829736 \h </w:instrText>
            </w:r>
            <w:r>
              <w:rPr>
                <w:noProof/>
                <w:webHidden/>
              </w:rPr>
            </w:r>
            <w:r>
              <w:rPr>
                <w:noProof/>
                <w:webHidden/>
              </w:rPr>
              <w:fldChar w:fldCharType="separate"/>
            </w:r>
            <w:r>
              <w:rPr>
                <w:noProof/>
                <w:webHidden/>
              </w:rPr>
              <w:t>23</w:t>
            </w:r>
            <w:r>
              <w:rPr>
                <w:noProof/>
                <w:webHidden/>
              </w:rPr>
              <w:fldChar w:fldCharType="end"/>
            </w:r>
          </w:hyperlink>
        </w:p>
        <w:p w14:paraId="46668A26" w14:textId="5219F3F6" w:rsidR="006C7FB9" w:rsidRDefault="006C7FB9">
          <w:pPr>
            <w:pStyle w:val="TOC2"/>
            <w:tabs>
              <w:tab w:val="right" w:leader="dot" w:pos="9016"/>
            </w:tabs>
            <w:rPr>
              <w:rFonts w:asciiTheme="minorHAnsi" w:hAnsiTheme="minorHAnsi"/>
              <w:noProof/>
              <w:sz w:val="24"/>
              <w:szCs w:val="24"/>
              <w:lang w:eastAsia="en-GB"/>
            </w:rPr>
          </w:pPr>
          <w:hyperlink w:anchor="_Toc234829737" w:history="1">
            <w:r w:rsidRPr="00A41AF9">
              <w:rPr>
                <w:rStyle w:val="Hyperlink"/>
                <w:rFonts w:ascii="Arial" w:hAnsi="Arial"/>
                <w:noProof/>
              </w:rPr>
              <w:t>3.5 - Inclusion and Exclusion Criteria</w:t>
            </w:r>
            <w:r>
              <w:rPr>
                <w:noProof/>
                <w:webHidden/>
              </w:rPr>
              <w:tab/>
            </w:r>
            <w:r>
              <w:rPr>
                <w:noProof/>
                <w:webHidden/>
              </w:rPr>
              <w:fldChar w:fldCharType="begin"/>
            </w:r>
            <w:r>
              <w:rPr>
                <w:noProof/>
                <w:webHidden/>
              </w:rPr>
              <w:instrText xml:space="preserve"> PAGEREF _Toc234829737 \h </w:instrText>
            </w:r>
            <w:r>
              <w:rPr>
                <w:noProof/>
                <w:webHidden/>
              </w:rPr>
            </w:r>
            <w:r>
              <w:rPr>
                <w:noProof/>
                <w:webHidden/>
              </w:rPr>
              <w:fldChar w:fldCharType="separate"/>
            </w:r>
            <w:r>
              <w:rPr>
                <w:noProof/>
                <w:webHidden/>
              </w:rPr>
              <w:t>24</w:t>
            </w:r>
            <w:r>
              <w:rPr>
                <w:noProof/>
                <w:webHidden/>
              </w:rPr>
              <w:fldChar w:fldCharType="end"/>
            </w:r>
          </w:hyperlink>
        </w:p>
        <w:p w14:paraId="66CEBA4E" w14:textId="47ADB917" w:rsidR="006C7FB9" w:rsidRDefault="006C7FB9">
          <w:pPr>
            <w:pStyle w:val="TOC2"/>
            <w:tabs>
              <w:tab w:val="right" w:leader="dot" w:pos="9016"/>
            </w:tabs>
            <w:rPr>
              <w:rFonts w:asciiTheme="minorHAnsi" w:hAnsiTheme="minorHAnsi"/>
              <w:noProof/>
              <w:sz w:val="24"/>
              <w:szCs w:val="24"/>
              <w:lang w:eastAsia="en-GB"/>
            </w:rPr>
          </w:pPr>
          <w:hyperlink w:anchor="_Toc234829738" w:history="1">
            <w:r w:rsidRPr="00A41AF9">
              <w:rPr>
                <w:rStyle w:val="Hyperlink"/>
                <w:rFonts w:ascii="Arial" w:hAnsi="Arial"/>
                <w:noProof/>
              </w:rPr>
              <w:t>3.6 – Analysing Research</w:t>
            </w:r>
            <w:r>
              <w:rPr>
                <w:noProof/>
                <w:webHidden/>
              </w:rPr>
              <w:tab/>
            </w:r>
            <w:r>
              <w:rPr>
                <w:noProof/>
                <w:webHidden/>
              </w:rPr>
              <w:fldChar w:fldCharType="begin"/>
            </w:r>
            <w:r>
              <w:rPr>
                <w:noProof/>
                <w:webHidden/>
              </w:rPr>
              <w:instrText xml:space="preserve"> PAGEREF _Toc234829738 \h </w:instrText>
            </w:r>
            <w:r>
              <w:rPr>
                <w:noProof/>
                <w:webHidden/>
              </w:rPr>
            </w:r>
            <w:r>
              <w:rPr>
                <w:noProof/>
                <w:webHidden/>
              </w:rPr>
              <w:fldChar w:fldCharType="separate"/>
            </w:r>
            <w:r>
              <w:rPr>
                <w:noProof/>
                <w:webHidden/>
              </w:rPr>
              <w:t>24</w:t>
            </w:r>
            <w:r>
              <w:rPr>
                <w:noProof/>
                <w:webHidden/>
              </w:rPr>
              <w:fldChar w:fldCharType="end"/>
            </w:r>
          </w:hyperlink>
        </w:p>
        <w:p w14:paraId="23CE2EC2" w14:textId="6DA77149" w:rsidR="006C7FB9" w:rsidRDefault="006C7FB9">
          <w:pPr>
            <w:pStyle w:val="TOC2"/>
            <w:tabs>
              <w:tab w:val="right" w:leader="dot" w:pos="9016"/>
            </w:tabs>
            <w:rPr>
              <w:rFonts w:asciiTheme="minorHAnsi" w:hAnsiTheme="minorHAnsi"/>
              <w:noProof/>
              <w:sz w:val="24"/>
              <w:szCs w:val="24"/>
              <w:lang w:eastAsia="en-GB"/>
            </w:rPr>
          </w:pPr>
          <w:hyperlink w:anchor="_Toc234829739" w:history="1">
            <w:r w:rsidRPr="00A41AF9">
              <w:rPr>
                <w:rStyle w:val="Hyperlink"/>
                <w:rFonts w:ascii="Arial" w:hAnsi="Arial"/>
                <w:noProof/>
              </w:rPr>
              <w:t>3.7 – Ethical Considerations</w:t>
            </w:r>
            <w:r>
              <w:rPr>
                <w:noProof/>
                <w:webHidden/>
              </w:rPr>
              <w:tab/>
            </w:r>
            <w:r>
              <w:rPr>
                <w:noProof/>
                <w:webHidden/>
              </w:rPr>
              <w:fldChar w:fldCharType="begin"/>
            </w:r>
            <w:r>
              <w:rPr>
                <w:noProof/>
                <w:webHidden/>
              </w:rPr>
              <w:instrText xml:space="preserve"> PAGEREF _Toc234829739 \h </w:instrText>
            </w:r>
            <w:r>
              <w:rPr>
                <w:noProof/>
                <w:webHidden/>
              </w:rPr>
            </w:r>
            <w:r>
              <w:rPr>
                <w:noProof/>
                <w:webHidden/>
              </w:rPr>
              <w:fldChar w:fldCharType="separate"/>
            </w:r>
            <w:r>
              <w:rPr>
                <w:noProof/>
                <w:webHidden/>
              </w:rPr>
              <w:t>25</w:t>
            </w:r>
            <w:r>
              <w:rPr>
                <w:noProof/>
                <w:webHidden/>
              </w:rPr>
              <w:fldChar w:fldCharType="end"/>
            </w:r>
          </w:hyperlink>
        </w:p>
        <w:p w14:paraId="37E49BF3" w14:textId="07006CB7" w:rsidR="006C7FB9" w:rsidRDefault="006C7FB9">
          <w:pPr>
            <w:pStyle w:val="TOC2"/>
            <w:tabs>
              <w:tab w:val="right" w:leader="dot" w:pos="9016"/>
            </w:tabs>
            <w:rPr>
              <w:rFonts w:asciiTheme="minorHAnsi" w:hAnsiTheme="minorHAnsi"/>
              <w:noProof/>
              <w:sz w:val="24"/>
              <w:szCs w:val="24"/>
              <w:lang w:eastAsia="en-GB"/>
            </w:rPr>
          </w:pPr>
          <w:hyperlink w:anchor="_Toc234829740" w:history="1">
            <w:r w:rsidRPr="00A41AF9">
              <w:rPr>
                <w:rStyle w:val="Hyperlink"/>
                <w:rFonts w:ascii="Arial" w:hAnsi="Arial"/>
                <w:noProof/>
              </w:rPr>
              <w:t>3.8 – Chapter Conclusion</w:t>
            </w:r>
            <w:r>
              <w:rPr>
                <w:noProof/>
                <w:webHidden/>
              </w:rPr>
              <w:tab/>
            </w:r>
            <w:r>
              <w:rPr>
                <w:noProof/>
                <w:webHidden/>
              </w:rPr>
              <w:fldChar w:fldCharType="begin"/>
            </w:r>
            <w:r>
              <w:rPr>
                <w:noProof/>
                <w:webHidden/>
              </w:rPr>
              <w:instrText xml:space="preserve"> PAGEREF _Toc234829740 \h </w:instrText>
            </w:r>
            <w:r>
              <w:rPr>
                <w:noProof/>
                <w:webHidden/>
              </w:rPr>
            </w:r>
            <w:r>
              <w:rPr>
                <w:noProof/>
                <w:webHidden/>
              </w:rPr>
              <w:fldChar w:fldCharType="separate"/>
            </w:r>
            <w:r>
              <w:rPr>
                <w:noProof/>
                <w:webHidden/>
              </w:rPr>
              <w:t>25</w:t>
            </w:r>
            <w:r>
              <w:rPr>
                <w:noProof/>
                <w:webHidden/>
              </w:rPr>
              <w:fldChar w:fldCharType="end"/>
            </w:r>
          </w:hyperlink>
        </w:p>
        <w:p w14:paraId="583F7A17" w14:textId="5152AD75" w:rsidR="006C7FB9" w:rsidRDefault="006C7FB9">
          <w:pPr>
            <w:pStyle w:val="TOC1"/>
            <w:tabs>
              <w:tab w:val="right" w:leader="dot" w:pos="9016"/>
            </w:tabs>
            <w:rPr>
              <w:rFonts w:asciiTheme="minorHAnsi" w:hAnsiTheme="minorHAnsi"/>
              <w:noProof/>
              <w:sz w:val="24"/>
              <w:szCs w:val="24"/>
              <w:lang w:eastAsia="en-GB"/>
            </w:rPr>
          </w:pPr>
          <w:hyperlink w:anchor="_Toc234829741" w:history="1">
            <w:r w:rsidRPr="00A41AF9">
              <w:rPr>
                <w:rStyle w:val="Hyperlink"/>
                <w:noProof/>
                <w:lang w:bidi="en-GB"/>
              </w:rPr>
              <w:t>CHAPTER 4 – Findings and Discussion</w:t>
            </w:r>
            <w:r>
              <w:rPr>
                <w:noProof/>
                <w:webHidden/>
              </w:rPr>
              <w:tab/>
            </w:r>
            <w:r>
              <w:rPr>
                <w:noProof/>
                <w:webHidden/>
              </w:rPr>
              <w:fldChar w:fldCharType="begin"/>
            </w:r>
            <w:r>
              <w:rPr>
                <w:noProof/>
                <w:webHidden/>
              </w:rPr>
              <w:instrText xml:space="preserve"> PAGEREF _Toc234829741 \h </w:instrText>
            </w:r>
            <w:r>
              <w:rPr>
                <w:noProof/>
                <w:webHidden/>
              </w:rPr>
            </w:r>
            <w:r>
              <w:rPr>
                <w:noProof/>
                <w:webHidden/>
              </w:rPr>
              <w:fldChar w:fldCharType="separate"/>
            </w:r>
            <w:r>
              <w:rPr>
                <w:noProof/>
                <w:webHidden/>
              </w:rPr>
              <w:t>26</w:t>
            </w:r>
            <w:r>
              <w:rPr>
                <w:noProof/>
                <w:webHidden/>
              </w:rPr>
              <w:fldChar w:fldCharType="end"/>
            </w:r>
          </w:hyperlink>
        </w:p>
        <w:p w14:paraId="163BA2C5" w14:textId="71352F67" w:rsidR="006C7FB9" w:rsidRDefault="006C7FB9">
          <w:pPr>
            <w:pStyle w:val="TOC2"/>
            <w:tabs>
              <w:tab w:val="right" w:leader="dot" w:pos="9016"/>
            </w:tabs>
            <w:rPr>
              <w:rFonts w:asciiTheme="minorHAnsi" w:hAnsiTheme="minorHAnsi"/>
              <w:noProof/>
              <w:sz w:val="24"/>
              <w:szCs w:val="24"/>
              <w:lang w:eastAsia="en-GB"/>
            </w:rPr>
          </w:pPr>
          <w:hyperlink w:anchor="_Toc234829742" w:history="1">
            <w:r w:rsidRPr="00A41AF9">
              <w:rPr>
                <w:rStyle w:val="Hyperlink"/>
                <w:rFonts w:ascii="Arial" w:hAnsi="Arial"/>
                <w:noProof/>
              </w:rPr>
              <w:t>4.1 – Introduction</w:t>
            </w:r>
            <w:r>
              <w:rPr>
                <w:noProof/>
                <w:webHidden/>
              </w:rPr>
              <w:tab/>
            </w:r>
            <w:r>
              <w:rPr>
                <w:noProof/>
                <w:webHidden/>
              </w:rPr>
              <w:fldChar w:fldCharType="begin"/>
            </w:r>
            <w:r>
              <w:rPr>
                <w:noProof/>
                <w:webHidden/>
              </w:rPr>
              <w:instrText xml:space="preserve"> PAGEREF _Toc234829742 \h </w:instrText>
            </w:r>
            <w:r>
              <w:rPr>
                <w:noProof/>
                <w:webHidden/>
              </w:rPr>
            </w:r>
            <w:r>
              <w:rPr>
                <w:noProof/>
                <w:webHidden/>
              </w:rPr>
              <w:fldChar w:fldCharType="separate"/>
            </w:r>
            <w:r>
              <w:rPr>
                <w:noProof/>
                <w:webHidden/>
              </w:rPr>
              <w:t>26</w:t>
            </w:r>
            <w:r>
              <w:rPr>
                <w:noProof/>
                <w:webHidden/>
              </w:rPr>
              <w:fldChar w:fldCharType="end"/>
            </w:r>
          </w:hyperlink>
        </w:p>
        <w:p w14:paraId="08E00DF3" w14:textId="60DB8860" w:rsidR="006C7FB9" w:rsidRDefault="006C7FB9">
          <w:pPr>
            <w:pStyle w:val="TOC2"/>
            <w:tabs>
              <w:tab w:val="right" w:leader="dot" w:pos="9016"/>
            </w:tabs>
            <w:rPr>
              <w:rFonts w:asciiTheme="minorHAnsi" w:hAnsiTheme="minorHAnsi"/>
              <w:noProof/>
              <w:sz w:val="24"/>
              <w:szCs w:val="24"/>
              <w:lang w:eastAsia="en-GB"/>
            </w:rPr>
          </w:pPr>
          <w:hyperlink w:anchor="_Toc234829743" w:history="1">
            <w:r w:rsidRPr="00A41AF9">
              <w:rPr>
                <w:rStyle w:val="Hyperlink"/>
                <w:rFonts w:ascii="Arial" w:hAnsi="Arial"/>
                <w:noProof/>
              </w:rPr>
              <w:t>4.2 – Thematic Analysis</w:t>
            </w:r>
            <w:r>
              <w:rPr>
                <w:noProof/>
                <w:webHidden/>
              </w:rPr>
              <w:tab/>
            </w:r>
            <w:r>
              <w:rPr>
                <w:noProof/>
                <w:webHidden/>
              </w:rPr>
              <w:fldChar w:fldCharType="begin"/>
            </w:r>
            <w:r>
              <w:rPr>
                <w:noProof/>
                <w:webHidden/>
              </w:rPr>
              <w:instrText xml:space="preserve"> PAGEREF _Toc234829743 \h </w:instrText>
            </w:r>
            <w:r>
              <w:rPr>
                <w:noProof/>
                <w:webHidden/>
              </w:rPr>
            </w:r>
            <w:r>
              <w:rPr>
                <w:noProof/>
                <w:webHidden/>
              </w:rPr>
              <w:fldChar w:fldCharType="separate"/>
            </w:r>
            <w:r>
              <w:rPr>
                <w:noProof/>
                <w:webHidden/>
              </w:rPr>
              <w:t>26</w:t>
            </w:r>
            <w:r>
              <w:rPr>
                <w:noProof/>
                <w:webHidden/>
              </w:rPr>
              <w:fldChar w:fldCharType="end"/>
            </w:r>
          </w:hyperlink>
        </w:p>
        <w:p w14:paraId="1683E777" w14:textId="17646A86" w:rsidR="006C7FB9" w:rsidRDefault="006C7FB9">
          <w:pPr>
            <w:pStyle w:val="TOC2"/>
            <w:tabs>
              <w:tab w:val="right" w:leader="dot" w:pos="9016"/>
            </w:tabs>
            <w:rPr>
              <w:rFonts w:asciiTheme="minorHAnsi" w:hAnsiTheme="minorHAnsi"/>
              <w:noProof/>
              <w:sz w:val="24"/>
              <w:szCs w:val="24"/>
              <w:lang w:eastAsia="en-GB"/>
            </w:rPr>
          </w:pPr>
          <w:hyperlink w:anchor="_Toc234829744" w:history="1">
            <w:r w:rsidRPr="00A41AF9">
              <w:rPr>
                <w:rStyle w:val="Hyperlink"/>
                <w:rFonts w:ascii="Arial" w:hAnsi="Arial"/>
                <w:noProof/>
              </w:rPr>
              <w:t>4.3 – Theme 1: Clinical And Cognitive Markers That Help Distinguish Normal Ageing From Early Dementia</w:t>
            </w:r>
            <w:r>
              <w:rPr>
                <w:noProof/>
                <w:webHidden/>
              </w:rPr>
              <w:tab/>
            </w:r>
            <w:r>
              <w:rPr>
                <w:noProof/>
                <w:webHidden/>
              </w:rPr>
              <w:fldChar w:fldCharType="begin"/>
            </w:r>
            <w:r>
              <w:rPr>
                <w:noProof/>
                <w:webHidden/>
              </w:rPr>
              <w:instrText xml:space="preserve"> PAGEREF _Toc234829744 \h </w:instrText>
            </w:r>
            <w:r>
              <w:rPr>
                <w:noProof/>
                <w:webHidden/>
              </w:rPr>
            </w:r>
            <w:r>
              <w:rPr>
                <w:noProof/>
                <w:webHidden/>
              </w:rPr>
              <w:fldChar w:fldCharType="separate"/>
            </w:r>
            <w:r>
              <w:rPr>
                <w:noProof/>
                <w:webHidden/>
              </w:rPr>
              <w:t>27</w:t>
            </w:r>
            <w:r>
              <w:rPr>
                <w:noProof/>
                <w:webHidden/>
              </w:rPr>
              <w:fldChar w:fldCharType="end"/>
            </w:r>
          </w:hyperlink>
        </w:p>
        <w:p w14:paraId="5D537EF2" w14:textId="6D81E723" w:rsidR="006C7FB9" w:rsidRDefault="006C7FB9">
          <w:pPr>
            <w:pStyle w:val="TOC3"/>
            <w:tabs>
              <w:tab w:val="right" w:leader="dot" w:pos="9016"/>
            </w:tabs>
            <w:rPr>
              <w:rFonts w:asciiTheme="minorHAnsi" w:hAnsiTheme="minorHAnsi"/>
              <w:noProof/>
              <w:sz w:val="24"/>
              <w:szCs w:val="24"/>
              <w:lang w:eastAsia="en-GB"/>
            </w:rPr>
          </w:pPr>
          <w:hyperlink w:anchor="_Toc234829745" w:history="1">
            <w:r w:rsidRPr="00A41AF9">
              <w:rPr>
                <w:rStyle w:val="Hyperlink"/>
                <w:rFonts w:ascii="Arial" w:hAnsi="Arial" w:cs="Arial"/>
                <w:noProof/>
              </w:rPr>
              <w:t>Definition</w:t>
            </w:r>
            <w:r>
              <w:rPr>
                <w:noProof/>
                <w:webHidden/>
              </w:rPr>
              <w:tab/>
            </w:r>
            <w:r>
              <w:rPr>
                <w:noProof/>
                <w:webHidden/>
              </w:rPr>
              <w:fldChar w:fldCharType="begin"/>
            </w:r>
            <w:r>
              <w:rPr>
                <w:noProof/>
                <w:webHidden/>
              </w:rPr>
              <w:instrText xml:space="preserve"> PAGEREF _Toc234829745 \h </w:instrText>
            </w:r>
            <w:r>
              <w:rPr>
                <w:noProof/>
                <w:webHidden/>
              </w:rPr>
            </w:r>
            <w:r>
              <w:rPr>
                <w:noProof/>
                <w:webHidden/>
              </w:rPr>
              <w:fldChar w:fldCharType="separate"/>
            </w:r>
            <w:r>
              <w:rPr>
                <w:noProof/>
                <w:webHidden/>
              </w:rPr>
              <w:t>27</w:t>
            </w:r>
            <w:r>
              <w:rPr>
                <w:noProof/>
                <w:webHidden/>
              </w:rPr>
              <w:fldChar w:fldCharType="end"/>
            </w:r>
          </w:hyperlink>
        </w:p>
        <w:p w14:paraId="6739E506" w14:textId="5D0D58FB" w:rsidR="006C7FB9" w:rsidRDefault="006C7FB9">
          <w:pPr>
            <w:pStyle w:val="TOC3"/>
            <w:tabs>
              <w:tab w:val="right" w:leader="dot" w:pos="9016"/>
            </w:tabs>
            <w:rPr>
              <w:rFonts w:asciiTheme="minorHAnsi" w:hAnsiTheme="minorHAnsi"/>
              <w:noProof/>
              <w:sz w:val="24"/>
              <w:szCs w:val="24"/>
              <w:lang w:eastAsia="en-GB"/>
            </w:rPr>
          </w:pPr>
          <w:hyperlink w:anchor="_Toc234829746" w:history="1">
            <w:r w:rsidRPr="00A41AF9">
              <w:rPr>
                <w:rStyle w:val="Hyperlink"/>
                <w:rFonts w:ascii="Arial" w:hAnsi="Arial" w:cs="Arial"/>
                <w:noProof/>
              </w:rPr>
              <w:t>Background Information</w:t>
            </w:r>
            <w:r>
              <w:rPr>
                <w:noProof/>
                <w:webHidden/>
              </w:rPr>
              <w:tab/>
            </w:r>
            <w:r>
              <w:rPr>
                <w:noProof/>
                <w:webHidden/>
              </w:rPr>
              <w:fldChar w:fldCharType="begin"/>
            </w:r>
            <w:r>
              <w:rPr>
                <w:noProof/>
                <w:webHidden/>
              </w:rPr>
              <w:instrText xml:space="preserve"> PAGEREF _Toc234829746 \h </w:instrText>
            </w:r>
            <w:r>
              <w:rPr>
                <w:noProof/>
                <w:webHidden/>
              </w:rPr>
            </w:r>
            <w:r>
              <w:rPr>
                <w:noProof/>
                <w:webHidden/>
              </w:rPr>
              <w:fldChar w:fldCharType="separate"/>
            </w:r>
            <w:r>
              <w:rPr>
                <w:noProof/>
                <w:webHidden/>
              </w:rPr>
              <w:t>27</w:t>
            </w:r>
            <w:r>
              <w:rPr>
                <w:noProof/>
                <w:webHidden/>
              </w:rPr>
              <w:fldChar w:fldCharType="end"/>
            </w:r>
          </w:hyperlink>
        </w:p>
        <w:p w14:paraId="33141296" w14:textId="0B8D6A35" w:rsidR="006C7FB9" w:rsidRDefault="006C7FB9">
          <w:pPr>
            <w:pStyle w:val="TOC3"/>
            <w:tabs>
              <w:tab w:val="right" w:leader="dot" w:pos="9016"/>
            </w:tabs>
            <w:rPr>
              <w:rFonts w:asciiTheme="minorHAnsi" w:hAnsiTheme="minorHAnsi"/>
              <w:noProof/>
              <w:sz w:val="24"/>
              <w:szCs w:val="24"/>
              <w:lang w:eastAsia="en-GB"/>
            </w:rPr>
          </w:pPr>
          <w:hyperlink w:anchor="_Toc234829747" w:history="1">
            <w:r w:rsidRPr="00A41AF9">
              <w:rPr>
                <w:rStyle w:val="Hyperlink"/>
                <w:rFonts w:ascii="Arial" w:hAnsi="Arial" w:cs="Arial"/>
                <w:noProof/>
              </w:rPr>
              <w:t>Impact on Research Question</w:t>
            </w:r>
            <w:r>
              <w:rPr>
                <w:noProof/>
                <w:webHidden/>
              </w:rPr>
              <w:tab/>
            </w:r>
            <w:r>
              <w:rPr>
                <w:noProof/>
                <w:webHidden/>
              </w:rPr>
              <w:fldChar w:fldCharType="begin"/>
            </w:r>
            <w:r>
              <w:rPr>
                <w:noProof/>
                <w:webHidden/>
              </w:rPr>
              <w:instrText xml:space="preserve"> PAGEREF _Toc234829747 \h </w:instrText>
            </w:r>
            <w:r>
              <w:rPr>
                <w:noProof/>
                <w:webHidden/>
              </w:rPr>
            </w:r>
            <w:r>
              <w:rPr>
                <w:noProof/>
                <w:webHidden/>
              </w:rPr>
              <w:fldChar w:fldCharType="separate"/>
            </w:r>
            <w:r>
              <w:rPr>
                <w:noProof/>
                <w:webHidden/>
              </w:rPr>
              <w:t>27</w:t>
            </w:r>
            <w:r>
              <w:rPr>
                <w:noProof/>
                <w:webHidden/>
              </w:rPr>
              <w:fldChar w:fldCharType="end"/>
            </w:r>
          </w:hyperlink>
        </w:p>
        <w:p w14:paraId="2419E48D" w14:textId="13E2A7BC" w:rsidR="006C7FB9" w:rsidRDefault="006C7FB9">
          <w:pPr>
            <w:pStyle w:val="TOC3"/>
            <w:tabs>
              <w:tab w:val="right" w:leader="dot" w:pos="9016"/>
            </w:tabs>
            <w:rPr>
              <w:rFonts w:asciiTheme="minorHAnsi" w:hAnsiTheme="minorHAnsi"/>
              <w:noProof/>
              <w:sz w:val="24"/>
              <w:szCs w:val="24"/>
              <w:lang w:eastAsia="en-GB"/>
            </w:rPr>
          </w:pPr>
          <w:hyperlink w:anchor="_Toc234829748" w:history="1">
            <w:r w:rsidRPr="00A41AF9">
              <w:rPr>
                <w:rStyle w:val="Hyperlink"/>
                <w:rFonts w:ascii="Arial" w:hAnsi="Arial" w:cs="Arial"/>
                <w:noProof/>
              </w:rPr>
              <w:t>Theories, Policies, and Legislation</w:t>
            </w:r>
            <w:r>
              <w:rPr>
                <w:noProof/>
                <w:webHidden/>
              </w:rPr>
              <w:tab/>
            </w:r>
            <w:r>
              <w:rPr>
                <w:noProof/>
                <w:webHidden/>
              </w:rPr>
              <w:fldChar w:fldCharType="begin"/>
            </w:r>
            <w:r>
              <w:rPr>
                <w:noProof/>
                <w:webHidden/>
              </w:rPr>
              <w:instrText xml:space="preserve"> PAGEREF _Toc234829748 \h </w:instrText>
            </w:r>
            <w:r>
              <w:rPr>
                <w:noProof/>
                <w:webHidden/>
              </w:rPr>
            </w:r>
            <w:r>
              <w:rPr>
                <w:noProof/>
                <w:webHidden/>
              </w:rPr>
              <w:fldChar w:fldCharType="separate"/>
            </w:r>
            <w:r>
              <w:rPr>
                <w:noProof/>
                <w:webHidden/>
              </w:rPr>
              <w:t>28</w:t>
            </w:r>
            <w:r>
              <w:rPr>
                <w:noProof/>
                <w:webHidden/>
              </w:rPr>
              <w:fldChar w:fldCharType="end"/>
            </w:r>
          </w:hyperlink>
        </w:p>
        <w:p w14:paraId="1061C9D2" w14:textId="165D7418" w:rsidR="006C7FB9" w:rsidRDefault="006C7FB9">
          <w:pPr>
            <w:pStyle w:val="TOC3"/>
            <w:tabs>
              <w:tab w:val="right" w:leader="dot" w:pos="9016"/>
            </w:tabs>
            <w:rPr>
              <w:rFonts w:asciiTheme="minorHAnsi" w:hAnsiTheme="minorHAnsi"/>
              <w:noProof/>
              <w:sz w:val="24"/>
              <w:szCs w:val="24"/>
              <w:lang w:eastAsia="en-GB"/>
            </w:rPr>
          </w:pPr>
          <w:hyperlink w:anchor="_Toc234829749" w:history="1">
            <w:r w:rsidRPr="00A41AF9">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_Toc234829749 \h </w:instrText>
            </w:r>
            <w:r>
              <w:rPr>
                <w:noProof/>
                <w:webHidden/>
              </w:rPr>
            </w:r>
            <w:r>
              <w:rPr>
                <w:noProof/>
                <w:webHidden/>
              </w:rPr>
              <w:fldChar w:fldCharType="separate"/>
            </w:r>
            <w:r>
              <w:rPr>
                <w:noProof/>
                <w:webHidden/>
              </w:rPr>
              <w:t>29</w:t>
            </w:r>
            <w:r>
              <w:rPr>
                <w:noProof/>
                <w:webHidden/>
              </w:rPr>
              <w:fldChar w:fldCharType="end"/>
            </w:r>
          </w:hyperlink>
        </w:p>
        <w:p w14:paraId="1288338A" w14:textId="77C46362" w:rsidR="006C7FB9" w:rsidRDefault="006C7FB9">
          <w:pPr>
            <w:pStyle w:val="TOC3"/>
            <w:tabs>
              <w:tab w:val="right" w:leader="dot" w:pos="9016"/>
            </w:tabs>
            <w:rPr>
              <w:rFonts w:asciiTheme="minorHAnsi" w:hAnsiTheme="minorHAnsi"/>
              <w:noProof/>
              <w:sz w:val="24"/>
              <w:szCs w:val="24"/>
              <w:lang w:eastAsia="en-GB"/>
            </w:rPr>
          </w:pPr>
          <w:hyperlink w:anchor="_Toc234829750" w:history="1">
            <w:r w:rsidRPr="00A41AF9">
              <w:rPr>
                <w:rStyle w:val="Hyperlink"/>
                <w:rFonts w:ascii="Arial" w:hAnsi="Arial" w:cs="Arial"/>
                <w:noProof/>
              </w:rPr>
              <w:t>Examples from Your Articles</w:t>
            </w:r>
            <w:r>
              <w:rPr>
                <w:noProof/>
                <w:webHidden/>
              </w:rPr>
              <w:tab/>
            </w:r>
            <w:r>
              <w:rPr>
                <w:noProof/>
                <w:webHidden/>
              </w:rPr>
              <w:fldChar w:fldCharType="begin"/>
            </w:r>
            <w:r>
              <w:rPr>
                <w:noProof/>
                <w:webHidden/>
              </w:rPr>
              <w:instrText xml:space="preserve"> PAGEREF _Toc234829750 \h </w:instrText>
            </w:r>
            <w:r>
              <w:rPr>
                <w:noProof/>
                <w:webHidden/>
              </w:rPr>
            </w:r>
            <w:r>
              <w:rPr>
                <w:noProof/>
                <w:webHidden/>
              </w:rPr>
              <w:fldChar w:fldCharType="separate"/>
            </w:r>
            <w:r>
              <w:rPr>
                <w:noProof/>
                <w:webHidden/>
              </w:rPr>
              <w:t>29</w:t>
            </w:r>
            <w:r>
              <w:rPr>
                <w:noProof/>
                <w:webHidden/>
              </w:rPr>
              <w:fldChar w:fldCharType="end"/>
            </w:r>
          </w:hyperlink>
        </w:p>
        <w:p w14:paraId="0E2DFC18" w14:textId="6FC86942" w:rsidR="006C7FB9" w:rsidRDefault="006C7FB9">
          <w:pPr>
            <w:pStyle w:val="TOC3"/>
            <w:tabs>
              <w:tab w:val="right" w:leader="dot" w:pos="9016"/>
            </w:tabs>
            <w:rPr>
              <w:rFonts w:asciiTheme="minorHAnsi" w:hAnsiTheme="minorHAnsi"/>
              <w:noProof/>
              <w:sz w:val="24"/>
              <w:szCs w:val="24"/>
              <w:lang w:eastAsia="en-GB"/>
            </w:rPr>
          </w:pPr>
          <w:hyperlink w:anchor="_Toc234829751" w:history="1">
            <w:r w:rsidRPr="00A41AF9">
              <w:rPr>
                <w:rStyle w:val="Hyperlink"/>
                <w:rFonts w:ascii="Arial" w:hAnsi="Arial" w:cs="Arial"/>
                <w:noProof/>
              </w:rPr>
              <w:t>Connections to Other Themes</w:t>
            </w:r>
            <w:r>
              <w:rPr>
                <w:noProof/>
                <w:webHidden/>
              </w:rPr>
              <w:tab/>
            </w:r>
            <w:r>
              <w:rPr>
                <w:noProof/>
                <w:webHidden/>
              </w:rPr>
              <w:fldChar w:fldCharType="begin"/>
            </w:r>
            <w:r>
              <w:rPr>
                <w:noProof/>
                <w:webHidden/>
              </w:rPr>
              <w:instrText xml:space="preserve"> PAGEREF _Toc234829751 \h </w:instrText>
            </w:r>
            <w:r>
              <w:rPr>
                <w:noProof/>
                <w:webHidden/>
              </w:rPr>
            </w:r>
            <w:r>
              <w:rPr>
                <w:noProof/>
                <w:webHidden/>
              </w:rPr>
              <w:fldChar w:fldCharType="separate"/>
            </w:r>
            <w:r>
              <w:rPr>
                <w:noProof/>
                <w:webHidden/>
              </w:rPr>
              <w:t>30</w:t>
            </w:r>
            <w:r>
              <w:rPr>
                <w:noProof/>
                <w:webHidden/>
              </w:rPr>
              <w:fldChar w:fldCharType="end"/>
            </w:r>
          </w:hyperlink>
        </w:p>
        <w:p w14:paraId="152CD8B9" w14:textId="66EB7499" w:rsidR="006C7FB9" w:rsidRDefault="006C7FB9">
          <w:pPr>
            <w:pStyle w:val="TOC2"/>
            <w:tabs>
              <w:tab w:val="right" w:leader="dot" w:pos="9016"/>
            </w:tabs>
            <w:rPr>
              <w:rFonts w:asciiTheme="minorHAnsi" w:hAnsiTheme="minorHAnsi"/>
              <w:noProof/>
              <w:sz w:val="24"/>
              <w:szCs w:val="24"/>
              <w:lang w:eastAsia="en-GB"/>
            </w:rPr>
          </w:pPr>
          <w:hyperlink w:anchor="_Toc234829752" w:history="1">
            <w:r w:rsidRPr="00A41AF9">
              <w:rPr>
                <w:rStyle w:val="Hyperlink"/>
                <w:rFonts w:ascii="Arial" w:hAnsi="Arial"/>
                <w:noProof/>
              </w:rPr>
              <w:t>4.4 – Theme 2: Screening Tools And Assessment Practices Used In Nursing Or Primary Care</w:t>
            </w:r>
            <w:r>
              <w:rPr>
                <w:noProof/>
                <w:webHidden/>
              </w:rPr>
              <w:tab/>
            </w:r>
            <w:r>
              <w:rPr>
                <w:noProof/>
                <w:webHidden/>
              </w:rPr>
              <w:fldChar w:fldCharType="begin"/>
            </w:r>
            <w:r>
              <w:rPr>
                <w:noProof/>
                <w:webHidden/>
              </w:rPr>
              <w:instrText xml:space="preserve"> PAGEREF _Toc234829752 \h </w:instrText>
            </w:r>
            <w:r>
              <w:rPr>
                <w:noProof/>
                <w:webHidden/>
              </w:rPr>
            </w:r>
            <w:r>
              <w:rPr>
                <w:noProof/>
                <w:webHidden/>
              </w:rPr>
              <w:fldChar w:fldCharType="separate"/>
            </w:r>
            <w:r>
              <w:rPr>
                <w:noProof/>
                <w:webHidden/>
              </w:rPr>
              <w:t>30</w:t>
            </w:r>
            <w:r>
              <w:rPr>
                <w:noProof/>
                <w:webHidden/>
              </w:rPr>
              <w:fldChar w:fldCharType="end"/>
            </w:r>
          </w:hyperlink>
        </w:p>
        <w:p w14:paraId="7482E6EE" w14:textId="7B8C21D4" w:rsidR="006C7FB9" w:rsidRDefault="006C7FB9">
          <w:pPr>
            <w:pStyle w:val="TOC3"/>
            <w:tabs>
              <w:tab w:val="right" w:leader="dot" w:pos="9016"/>
            </w:tabs>
            <w:rPr>
              <w:rFonts w:asciiTheme="minorHAnsi" w:hAnsiTheme="minorHAnsi"/>
              <w:noProof/>
              <w:sz w:val="24"/>
              <w:szCs w:val="24"/>
              <w:lang w:eastAsia="en-GB"/>
            </w:rPr>
          </w:pPr>
          <w:hyperlink w:anchor="_Toc234829753" w:history="1">
            <w:r w:rsidRPr="00A41AF9">
              <w:rPr>
                <w:rStyle w:val="Hyperlink"/>
                <w:rFonts w:ascii="Arial" w:hAnsi="Arial" w:cs="Arial"/>
                <w:noProof/>
              </w:rPr>
              <w:t>Definition</w:t>
            </w:r>
            <w:r>
              <w:rPr>
                <w:noProof/>
                <w:webHidden/>
              </w:rPr>
              <w:tab/>
            </w:r>
            <w:r>
              <w:rPr>
                <w:noProof/>
                <w:webHidden/>
              </w:rPr>
              <w:fldChar w:fldCharType="begin"/>
            </w:r>
            <w:r>
              <w:rPr>
                <w:noProof/>
                <w:webHidden/>
              </w:rPr>
              <w:instrText xml:space="preserve"> PAGEREF _Toc234829753 \h </w:instrText>
            </w:r>
            <w:r>
              <w:rPr>
                <w:noProof/>
                <w:webHidden/>
              </w:rPr>
            </w:r>
            <w:r>
              <w:rPr>
                <w:noProof/>
                <w:webHidden/>
              </w:rPr>
              <w:fldChar w:fldCharType="separate"/>
            </w:r>
            <w:r>
              <w:rPr>
                <w:noProof/>
                <w:webHidden/>
              </w:rPr>
              <w:t>30</w:t>
            </w:r>
            <w:r>
              <w:rPr>
                <w:noProof/>
                <w:webHidden/>
              </w:rPr>
              <w:fldChar w:fldCharType="end"/>
            </w:r>
          </w:hyperlink>
        </w:p>
        <w:p w14:paraId="5CE21B5D" w14:textId="30B255DB" w:rsidR="006C7FB9" w:rsidRDefault="006C7FB9">
          <w:pPr>
            <w:pStyle w:val="TOC3"/>
            <w:tabs>
              <w:tab w:val="right" w:leader="dot" w:pos="9016"/>
            </w:tabs>
            <w:rPr>
              <w:rFonts w:asciiTheme="minorHAnsi" w:hAnsiTheme="minorHAnsi"/>
              <w:noProof/>
              <w:sz w:val="24"/>
              <w:szCs w:val="24"/>
              <w:lang w:eastAsia="en-GB"/>
            </w:rPr>
          </w:pPr>
          <w:hyperlink w:anchor="_Toc234829754" w:history="1">
            <w:r w:rsidRPr="00A41AF9">
              <w:rPr>
                <w:rStyle w:val="Hyperlink"/>
                <w:rFonts w:ascii="Arial" w:hAnsi="Arial" w:cs="Arial"/>
                <w:noProof/>
              </w:rPr>
              <w:t>Background Information</w:t>
            </w:r>
            <w:r>
              <w:rPr>
                <w:noProof/>
                <w:webHidden/>
              </w:rPr>
              <w:tab/>
            </w:r>
            <w:r>
              <w:rPr>
                <w:noProof/>
                <w:webHidden/>
              </w:rPr>
              <w:fldChar w:fldCharType="begin"/>
            </w:r>
            <w:r>
              <w:rPr>
                <w:noProof/>
                <w:webHidden/>
              </w:rPr>
              <w:instrText xml:space="preserve"> PAGEREF _Toc234829754 \h </w:instrText>
            </w:r>
            <w:r>
              <w:rPr>
                <w:noProof/>
                <w:webHidden/>
              </w:rPr>
            </w:r>
            <w:r>
              <w:rPr>
                <w:noProof/>
                <w:webHidden/>
              </w:rPr>
              <w:fldChar w:fldCharType="separate"/>
            </w:r>
            <w:r>
              <w:rPr>
                <w:noProof/>
                <w:webHidden/>
              </w:rPr>
              <w:t>31</w:t>
            </w:r>
            <w:r>
              <w:rPr>
                <w:noProof/>
                <w:webHidden/>
              </w:rPr>
              <w:fldChar w:fldCharType="end"/>
            </w:r>
          </w:hyperlink>
        </w:p>
        <w:p w14:paraId="6940B5FE" w14:textId="0F31B561" w:rsidR="006C7FB9" w:rsidRDefault="006C7FB9">
          <w:pPr>
            <w:pStyle w:val="TOC3"/>
            <w:tabs>
              <w:tab w:val="right" w:leader="dot" w:pos="9016"/>
            </w:tabs>
            <w:rPr>
              <w:rFonts w:asciiTheme="minorHAnsi" w:hAnsiTheme="minorHAnsi"/>
              <w:noProof/>
              <w:sz w:val="24"/>
              <w:szCs w:val="24"/>
              <w:lang w:eastAsia="en-GB"/>
            </w:rPr>
          </w:pPr>
          <w:hyperlink w:anchor="_Toc234829755" w:history="1">
            <w:r w:rsidRPr="00A41AF9">
              <w:rPr>
                <w:rStyle w:val="Hyperlink"/>
                <w:rFonts w:ascii="Arial" w:hAnsi="Arial" w:cs="Arial"/>
                <w:noProof/>
              </w:rPr>
              <w:t>Impact on Research Question</w:t>
            </w:r>
            <w:r>
              <w:rPr>
                <w:noProof/>
                <w:webHidden/>
              </w:rPr>
              <w:tab/>
            </w:r>
            <w:r>
              <w:rPr>
                <w:noProof/>
                <w:webHidden/>
              </w:rPr>
              <w:fldChar w:fldCharType="begin"/>
            </w:r>
            <w:r>
              <w:rPr>
                <w:noProof/>
                <w:webHidden/>
              </w:rPr>
              <w:instrText xml:space="preserve"> PAGEREF _Toc234829755 \h </w:instrText>
            </w:r>
            <w:r>
              <w:rPr>
                <w:noProof/>
                <w:webHidden/>
              </w:rPr>
            </w:r>
            <w:r>
              <w:rPr>
                <w:noProof/>
                <w:webHidden/>
              </w:rPr>
              <w:fldChar w:fldCharType="separate"/>
            </w:r>
            <w:r>
              <w:rPr>
                <w:noProof/>
                <w:webHidden/>
              </w:rPr>
              <w:t>31</w:t>
            </w:r>
            <w:r>
              <w:rPr>
                <w:noProof/>
                <w:webHidden/>
              </w:rPr>
              <w:fldChar w:fldCharType="end"/>
            </w:r>
          </w:hyperlink>
        </w:p>
        <w:p w14:paraId="7292D119" w14:textId="2D2F698A" w:rsidR="006C7FB9" w:rsidRDefault="006C7FB9">
          <w:pPr>
            <w:pStyle w:val="TOC3"/>
            <w:tabs>
              <w:tab w:val="right" w:leader="dot" w:pos="9016"/>
            </w:tabs>
            <w:rPr>
              <w:rFonts w:asciiTheme="minorHAnsi" w:hAnsiTheme="minorHAnsi"/>
              <w:noProof/>
              <w:sz w:val="24"/>
              <w:szCs w:val="24"/>
              <w:lang w:eastAsia="en-GB"/>
            </w:rPr>
          </w:pPr>
          <w:hyperlink w:anchor="_Toc234829756" w:history="1">
            <w:r w:rsidRPr="00A41AF9">
              <w:rPr>
                <w:rStyle w:val="Hyperlink"/>
                <w:rFonts w:ascii="Arial" w:hAnsi="Arial" w:cs="Arial"/>
                <w:noProof/>
              </w:rPr>
              <w:t>Theories, Policies, and Legislation</w:t>
            </w:r>
            <w:r>
              <w:rPr>
                <w:noProof/>
                <w:webHidden/>
              </w:rPr>
              <w:tab/>
            </w:r>
            <w:r>
              <w:rPr>
                <w:noProof/>
                <w:webHidden/>
              </w:rPr>
              <w:fldChar w:fldCharType="begin"/>
            </w:r>
            <w:r>
              <w:rPr>
                <w:noProof/>
                <w:webHidden/>
              </w:rPr>
              <w:instrText xml:space="preserve"> PAGEREF _Toc234829756 \h </w:instrText>
            </w:r>
            <w:r>
              <w:rPr>
                <w:noProof/>
                <w:webHidden/>
              </w:rPr>
            </w:r>
            <w:r>
              <w:rPr>
                <w:noProof/>
                <w:webHidden/>
              </w:rPr>
              <w:fldChar w:fldCharType="separate"/>
            </w:r>
            <w:r>
              <w:rPr>
                <w:noProof/>
                <w:webHidden/>
              </w:rPr>
              <w:t>31</w:t>
            </w:r>
            <w:r>
              <w:rPr>
                <w:noProof/>
                <w:webHidden/>
              </w:rPr>
              <w:fldChar w:fldCharType="end"/>
            </w:r>
          </w:hyperlink>
        </w:p>
        <w:p w14:paraId="056CA7A5" w14:textId="3EA4F21C" w:rsidR="006C7FB9" w:rsidRDefault="006C7FB9">
          <w:pPr>
            <w:pStyle w:val="TOC3"/>
            <w:tabs>
              <w:tab w:val="right" w:leader="dot" w:pos="9016"/>
            </w:tabs>
            <w:rPr>
              <w:rFonts w:asciiTheme="minorHAnsi" w:hAnsiTheme="minorHAnsi"/>
              <w:noProof/>
              <w:sz w:val="24"/>
              <w:szCs w:val="24"/>
              <w:lang w:eastAsia="en-GB"/>
            </w:rPr>
          </w:pPr>
          <w:hyperlink w:anchor="_Toc234829757" w:history="1">
            <w:r w:rsidRPr="00A41AF9">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_Toc234829757 \h </w:instrText>
            </w:r>
            <w:r>
              <w:rPr>
                <w:noProof/>
                <w:webHidden/>
              </w:rPr>
            </w:r>
            <w:r>
              <w:rPr>
                <w:noProof/>
                <w:webHidden/>
              </w:rPr>
              <w:fldChar w:fldCharType="separate"/>
            </w:r>
            <w:r>
              <w:rPr>
                <w:noProof/>
                <w:webHidden/>
              </w:rPr>
              <w:t>32</w:t>
            </w:r>
            <w:r>
              <w:rPr>
                <w:noProof/>
                <w:webHidden/>
              </w:rPr>
              <w:fldChar w:fldCharType="end"/>
            </w:r>
          </w:hyperlink>
        </w:p>
        <w:p w14:paraId="34680649" w14:textId="7C28932C" w:rsidR="006C7FB9" w:rsidRDefault="006C7FB9">
          <w:pPr>
            <w:pStyle w:val="TOC3"/>
            <w:tabs>
              <w:tab w:val="right" w:leader="dot" w:pos="9016"/>
            </w:tabs>
            <w:rPr>
              <w:rFonts w:asciiTheme="minorHAnsi" w:hAnsiTheme="minorHAnsi"/>
              <w:noProof/>
              <w:sz w:val="24"/>
              <w:szCs w:val="24"/>
              <w:lang w:eastAsia="en-GB"/>
            </w:rPr>
          </w:pPr>
          <w:hyperlink w:anchor="_Toc234829758" w:history="1">
            <w:r w:rsidRPr="00A41AF9">
              <w:rPr>
                <w:rStyle w:val="Hyperlink"/>
                <w:rFonts w:ascii="Arial" w:hAnsi="Arial" w:cs="Arial"/>
                <w:noProof/>
              </w:rPr>
              <w:t>Examples from Your Articles</w:t>
            </w:r>
            <w:r>
              <w:rPr>
                <w:noProof/>
                <w:webHidden/>
              </w:rPr>
              <w:tab/>
            </w:r>
            <w:r>
              <w:rPr>
                <w:noProof/>
                <w:webHidden/>
              </w:rPr>
              <w:fldChar w:fldCharType="begin"/>
            </w:r>
            <w:r>
              <w:rPr>
                <w:noProof/>
                <w:webHidden/>
              </w:rPr>
              <w:instrText xml:space="preserve"> PAGEREF _Toc234829758 \h </w:instrText>
            </w:r>
            <w:r>
              <w:rPr>
                <w:noProof/>
                <w:webHidden/>
              </w:rPr>
            </w:r>
            <w:r>
              <w:rPr>
                <w:noProof/>
                <w:webHidden/>
              </w:rPr>
              <w:fldChar w:fldCharType="separate"/>
            </w:r>
            <w:r>
              <w:rPr>
                <w:noProof/>
                <w:webHidden/>
              </w:rPr>
              <w:t>33</w:t>
            </w:r>
            <w:r>
              <w:rPr>
                <w:noProof/>
                <w:webHidden/>
              </w:rPr>
              <w:fldChar w:fldCharType="end"/>
            </w:r>
          </w:hyperlink>
        </w:p>
        <w:p w14:paraId="15C5F1D8" w14:textId="78B71413" w:rsidR="006C7FB9" w:rsidRDefault="006C7FB9">
          <w:pPr>
            <w:pStyle w:val="TOC3"/>
            <w:tabs>
              <w:tab w:val="right" w:leader="dot" w:pos="9016"/>
            </w:tabs>
            <w:rPr>
              <w:rFonts w:asciiTheme="minorHAnsi" w:hAnsiTheme="minorHAnsi"/>
              <w:noProof/>
              <w:sz w:val="24"/>
              <w:szCs w:val="24"/>
              <w:lang w:eastAsia="en-GB"/>
            </w:rPr>
          </w:pPr>
          <w:hyperlink w:anchor="_Toc234829759" w:history="1">
            <w:r w:rsidRPr="00A41AF9">
              <w:rPr>
                <w:rStyle w:val="Hyperlink"/>
                <w:rFonts w:ascii="Arial" w:hAnsi="Arial" w:cs="Arial"/>
                <w:noProof/>
              </w:rPr>
              <w:t>Connections to Other Themes</w:t>
            </w:r>
            <w:r>
              <w:rPr>
                <w:noProof/>
                <w:webHidden/>
              </w:rPr>
              <w:tab/>
            </w:r>
            <w:r>
              <w:rPr>
                <w:noProof/>
                <w:webHidden/>
              </w:rPr>
              <w:fldChar w:fldCharType="begin"/>
            </w:r>
            <w:r>
              <w:rPr>
                <w:noProof/>
                <w:webHidden/>
              </w:rPr>
              <w:instrText xml:space="preserve"> PAGEREF _Toc234829759 \h </w:instrText>
            </w:r>
            <w:r>
              <w:rPr>
                <w:noProof/>
                <w:webHidden/>
              </w:rPr>
            </w:r>
            <w:r>
              <w:rPr>
                <w:noProof/>
                <w:webHidden/>
              </w:rPr>
              <w:fldChar w:fldCharType="separate"/>
            </w:r>
            <w:r>
              <w:rPr>
                <w:noProof/>
                <w:webHidden/>
              </w:rPr>
              <w:t>33</w:t>
            </w:r>
            <w:r>
              <w:rPr>
                <w:noProof/>
                <w:webHidden/>
              </w:rPr>
              <w:fldChar w:fldCharType="end"/>
            </w:r>
          </w:hyperlink>
        </w:p>
        <w:p w14:paraId="65DB9E58" w14:textId="284BFDF8" w:rsidR="006C7FB9" w:rsidRDefault="006C7FB9">
          <w:pPr>
            <w:pStyle w:val="TOC2"/>
            <w:tabs>
              <w:tab w:val="right" w:leader="dot" w:pos="9016"/>
            </w:tabs>
            <w:rPr>
              <w:rFonts w:asciiTheme="minorHAnsi" w:hAnsiTheme="minorHAnsi"/>
              <w:noProof/>
              <w:sz w:val="24"/>
              <w:szCs w:val="24"/>
              <w:lang w:eastAsia="en-GB"/>
            </w:rPr>
          </w:pPr>
          <w:hyperlink w:anchor="_Toc234829760" w:history="1">
            <w:r w:rsidRPr="00A41AF9">
              <w:rPr>
                <w:rStyle w:val="Hyperlink"/>
                <w:rFonts w:ascii="Arial" w:hAnsi="Arial"/>
                <w:noProof/>
              </w:rPr>
              <w:t>4.5 – Theme 3: Effectiveness And Limitations Of Early Recognition Strategies, Service Readiness, And Implementation Barriers</w:t>
            </w:r>
            <w:r>
              <w:rPr>
                <w:noProof/>
                <w:webHidden/>
              </w:rPr>
              <w:tab/>
            </w:r>
            <w:r>
              <w:rPr>
                <w:noProof/>
                <w:webHidden/>
              </w:rPr>
              <w:fldChar w:fldCharType="begin"/>
            </w:r>
            <w:r>
              <w:rPr>
                <w:noProof/>
                <w:webHidden/>
              </w:rPr>
              <w:instrText xml:space="preserve"> PAGEREF _Toc234829760 \h </w:instrText>
            </w:r>
            <w:r>
              <w:rPr>
                <w:noProof/>
                <w:webHidden/>
              </w:rPr>
            </w:r>
            <w:r>
              <w:rPr>
                <w:noProof/>
                <w:webHidden/>
              </w:rPr>
              <w:fldChar w:fldCharType="separate"/>
            </w:r>
            <w:r>
              <w:rPr>
                <w:noProof/>
                <w:webHidden/>
              </w:rPr>
              <w:t>34</w:t>
            </w:r>
            <w:r>
              <w:rPr>
                <w:noProof/>
                <w:webHidden/>
              </w:rPr>
              <w:fldChar w:fldCharType="end"/>
            </w:r>
          </w:hyperlink>
        </w:p>
        <w:p w14:paraId="35567C9F" w14:textId="6463B67E" w:rsidR="006C7FB9" w:rsidRDefault="006C7FB9">
          <w:pPr>
            <w:pStyle w:val="TOC3"/>
            <w:tabs>
              <w:tab w:val="right" w:leader="dot" w:pos="9016"/>
            </w:tabs>
            <w:rPr>
              <w:rFonts w:asciiTheme="minorHAnsi" w:hAnsiTheme="minorHAnsi"/>
              <w:noProof/>
              <w:sz w:val="24"/>
              <w:szCs w:val="24"/>
              <w:lang w:eastAsia="en-GB"/>
            </w:rPr>
          </w:pPr>
          <w:hyperlink w:anchor="_Toc234829761" w:history="1">
            <w:r w:rsidRPr="00A41AF9">
              <w:rPr>
                <w:rStyle w:val="Hyperlink"/>
                <w:rFonts w:ascii="Arial" w:hAnsi="Arial" w:cs="Arial"/>
                <w:noProof/>
              </w:rPr>
              <w:t>Definition</w:t>
            </w:r>
            <w:r>
              <w:rPr>
                <w:noProof/>
                <w:webHidden/>
              </w:rPr>
              <w:tab/>
            </w:r>
            <w:r>
              <w:rPr>
                <w:noProof/>
                <w:webHidden/>
              </w:rPr>
              <w:fldChar w:fldCharType="begin"/>
            </w:r>
            <w:r>
              <w:rPr>
                <w:noProof/>
                <w:webHidden/>
              </w:rPr>
              <w:instrText xml:space="preserve"> PAGEREF _Toc234829761 \h </w:instrText>
            </w:r>
            <w:r>
              <w:rPr>
                <w:noProof/>
                <w:webHidden/>
              </w:rPr>
            </w:r>
            <w:r>
              <w:rPr>
                <w:noProof/>
                <w:webHidden/>
              </w:rPr>
              <w:fldChar w:fldCharType="separate"/>
            </w:r>
            <w:r>
              <w:rPr>
                <w:noProof/>
                <w:webHidden/>
              </w:rPr>
              <w:t>34</w:t>
            </w:r>
            <w:r>
              <w:rPr>
                <w:noProof/>
                <w:webHidden/>
              </w:rPr>
              <w:fldChar w:fldCharType="end"/>
            </w:r>
          </w:hyperlink>
        </w:p>
        <w:p w14:paraId="51F7B3C1" w14:textId="67F7EC78" w:rsidR="006C7FB9" w:rsidRDefault="006C7FB9">
          <w:pPr>
            <w:pStyle w:val="TOC3"/>
            <w:tabs>
              <w:tab w:val="right" w:leader="dot" w:pos="9016"/>
            </w:tabs>
            <w:rPr>
              <w:rFonts w:asciiTheme="minorHAnsi" w:hAnsiTheme="minorHAnsi"/>
              <w:noProof/>
              <w:sz w:val="24"/>
              <w:szCs w:val="24"/>
              <w:lang w:eastAsia="en-GB"/>
            </w:rPr>
          </w:pPr>
          <w:hyperlink w:anchor="_Toc234829762" w:history="1">
            <w:r w:rsidRPr="00A41AF9">
              <w:rPr>
                <w:rStyle w:val="Hyperlink"/>
                <w:rFonts w:ascii="Arial" w:hAnsi="Arial" w:cs="Arial"/>
                <w:noProof/>
              </w:rPr>
              <w:t>Background Information</w:t>
            </w:r>
            <w:r>
              <w:rPr>
                <w:noProof/>
                <w:webHidden/>
              </w:rPr>
              <w:tab/>
            </w:r>
            <w:r>
              <w:rPr>
                <w:noProof/>
                <w:webHidden/>
              </w:rPr>
              <w:fldChar w:fldCharType="begin"/>
            </w:r>
            <w:r>
              <w:rPr>
                <w:noProof/>
                <w:webHidden/>
              </w:rPr>
              <w:instrText xml:space="preserve"> PAGEREF _Toc234829762 \h </w:instrText>
            </w:r>
            <w:r>
              <w:rPr>
                <w:noProof/>
                <w:webHidden/>
              </w:rPr>
            </w:r>
            <w:r>
              <w:rPr>
                <w:noProof/>
                <w:webHidden/>
              </w:rPr>
              <w:fldChar w:fldCharType="separate"/>
            </w:r>
            <w:r>
              <w:rPr>
                <w:noProof/>
                <w:webHidden/>
              </w:rPr>
              <w:t>34</w:t>
            </w:r>
            <w:r>
              <w:rPr>
                <w:noProof/>
                <w:webHidden/>
              </w:rPr>
              <w:fldChar w:fldCharType="end"/>
            </w:r>
          </w:hyperlink>
        </w:p>
        <w:p w14:paraId="26B7E4B5" w14:textId="4A03A7C7" w:rsidR="006C7FB9" w:rsidRDefault="006C7FB9">
          <w:pPr>
            <w:pStyle w:val="TOC3"/>
            <w:tabs>
              <w:tab w:val="right" w:leader="dot" w:pos="9016"/>
            </w:tabs>
            <w:rPr>
              <w:rFonts w:asciiTheme="minorHAnsi" w:hAnsiTheme="minorHAnsi"/>
              <w:noProof/>
              <w:sz w:val="24"/>
              <w:szCs w:val="24"/>
              <w:lang w:eastAsia="en-GB"/>
            </w:rPr>
          </w:pPr>
          <w:hyperlink w:anchor="_Toc234829763" w:history="1">
            <w:r w:rsidRPr="00A41AF9">
              <w:rPr>
                <w:rStyle w:val="Hyperlink"/>
                <w:rFonts w:ascii="Arial" w:hAnsi="Arial" w:cs="Arial"/>
                <w:noProof/>
              </w:rPr>
              <w:t>Impact on Research Question</w:t>
            </w:r>
            <w:r>
              <w:rPr>
                <w:noProof/>
                <w:webHidden/>
              </w:rPr>
              <w:tab/>
            </w:r>
            <w:r>
              <w:rPr>
                <w:noProof/>
                <w:webHidden/>
              </w:rPr>
              <w:fldChar w:fldCharType="begin"/>
            </w:r>
            <w:r>
              <w:rPr>
                <w:noProof/>
                <w:webHidden/>
              </w:rPr>
              <w:instrText xml:space="preserve"> PAGEREF _Toc234829763 \h </w:instrText>
            </w:r>
            <w:r>
              <w:rPr>
                <w:noProof/>
                <w:webHidden/>
              </w:rPr>
            </w:r>
            <w:r>
              <w:rPr>
                <w:noProof/>
                <w:webHidden/>
              </w:rPr>
              <w:fldChar w:fldCharType="separate"/>
            </w:r>
            <w:r>
              <w:rPr>
                <w:noProof/>
                <w:webHidden/>
              </w:rPr>
              <w:t>34</w:t>
            </w:r>
            <w:r>
              <w:rPr>
                <w:noProof/>
                <w:webHidden/>
              </w:rPr>
              <w:fldChar w:fldCharType="end"/>
            </w:r>
          </w:hyperlink>
        </w:p>
        <w:p w14:paraId="77CDB550" w14:textId="377FE24F" w:rsidR="006C7FB9" w:rsidRDefault="006C7FB9">
          <w:pPr>
            <w:pStyle w:val="TOC3"/>
            <w:tabs>
              <w:tab w:val="right" w:leader="dot" w:pos="9016"/>
            </w:tabs>
            <w:rPr>
              <w:rFonts w:asciiTheme="minorHAnsi" w:hAnsiTheme="minorHAnsi"/>
              <w:noProof/>
              <w:sz w:val="24"/>
              <w:szCs w:val="24"/>
              <w:lang w:eastAsia="en-GB"/>
            </w:rPr>
          </w:pPr>
          <w:hyperlink w:anchor="_Toc234829764" w:history="1">
            <w:r w:rsidRPr="00A41AF9">
              <w:rPr>
                <w:rStyle w:val="Hyperlink"/>
                <w:rFonts w:ascii="Arial" w:hAnsi="Arial" w:cs="Arial"/>
                <w:noProof/>
              </w:rPr>
              <w:t>Theories, Policies, and Legislation</w:t>
            </w:r>
            <w:r>
              <w:rPr>
                <w:noProof/>
                <w:webHidden/>
              </w:rPr>
              <w:tab/>
            </w:r>
            <w:r>
              <w:rPr>
                <w:noProof/>
                <w:webHidden/>
              </w:rPr>
              <w:fldChar w:fldCharType="begin"/>
            </w:r>
            <w:r>
              <w:rPr>
                <w:noProof/>
                <w:webHidden/>
              </w:rPr>
              <w:instrText xml:space="preserve"> PAGEREF _Toc234829764 \h </w:instrText>
            </w:r>
            <w:r>
              <w:rPr>
                <w:noProof/>
                <w:webHidden/>
              </w:rPr>
            </w:r>
            <w:r>
              <w:rPr>
                <w:noProof/>
                <w:webHidden/>
              </w:rPr>
              <w:fldChar w:fldCharType="separate"/>
            </w:r>
            <w:r>
              <w:rPr>
                <w:noProof/>
                <w:webHidden/>
              </w:rPr>
              <w:t>35</w:t>
            </w:r>
            <w:r>
              <w:rPr>
                <w:noProof/>
                <w:webHidden/>
              </w:rPr>
              <w:fldChar w:fldCharType="end"/>
            </w:r>
          </w:hyperlink>
        </w:p>
        <w:p w14:paraId="29B1BBCB" w14:textId="36F21386" w:rsidR="006C7FB9" w:rsidRDefault="006C7FB9">
          <w:pPr>
            <w:pStyle w:val="TOC3"/>
            <w:tabs>
              <w:tab w:val="right" w:leader="dot" w:pos="9016"/>
            </w:tabs>
            <w:rPr>
              <w:rFonts w:asciiTheme="minorHAnsi" w:hAnsiTheme="minorHAnsi"/>
              <w:noProof/>
              <w:sz w:val="24"/>
              <w:szCs w:val="24"/>
              <w:lang w:eastAsia="en-GB"/>
            </w:rPr>
          </w:pPr>
          <w:hyperlink w:anchor="_Toc234829765" w:history="1">
            <w:r w:rsidRPr="00A41AF9">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_Toc234829765 \h </w:instrText>
            </w:r>
            <w:r>
              <w:rPr>
                <w:noProof/>
                <w:webHidden/>
              </w:rPr>
            </w:r>
            <w:r>
              <w:rPr>
                <w:noProof/>
                <w:webHidden/>
              </w:rPr>
              <w:fldChar w:fldCharType="separate"/>
            </w:r>
            <w:r>
              <w:rPr>
                <w:noProof/>
                <w:webHidden/>
              </w:rPr>
              <w:t>36</w:t>
            </w:r>
            <w:r>
              <w:rPr>
                <w:noProof/>
                <w:webHidden/>
              </w:rPr>
              <w:fldChar w:fldCharType="end"/>
            </w:r>
          </w:hyperlink>
        </w:p>
        <w:p w14:paraId="227E2CCB" w14:textId="60D11484" w:rsidR="006C7FB9" w:rsidRDefault="006C7FB9">
          <w:pPr>
            <w:pStyle w:val="TOC3"/>
            <w:tabs>
              <w:tab w:val="right" w:leader="dot" w:pos="9016"/>
            </w:tabs>
            <w:rPr>
              <w:rFonts w:asciiTheme="minorHAnsi" w:hAnsiTheme="minorHAnsi"/>
              <w:noProof/>
              <w:sz w:val="24"/>
              <w:szCs w:val="24"/>
              <w:lang w:eastAsia="en-GB"/>
            </w:rPr>
          </w:pPr>
          <w:hyperlink w:anchor="_Toc234829766" w:history="1">
            <w:r w:rsidRPr="00A41AF9">
              <w:rPr>
                <w:rStyle w:val="Hyperlink"/>
                <w:rFonts w:ascii="Arial" w:hAnsi="Arial" w:cs="Arial"/>
                <w:noProof/>
              </w:rPr>
              <w:t>Examples from Your Articles</w:t>
            </w:r>
            <w:r>
              <w:rPr>
                <w:noProof/>
                <w:webHidden/>
              </w:rPr>
              <w:tab/>
            </w:r>
            <w:r>
              <w:rPr>
                <w:noProof/>
                <w:webHidden/>
              </w:rPr>
              <w:fldChar w:fldCharType="begin"/>
            </w:r>
            <w:r>
              <w:rPr>
                <w:noProof/>
                <w:webHidden/>
              </w:rPr>
              <w:instrText xml:space="preserve"> PAGEREF _Toc234829766 \h </w:instrText>
            </w:r>
            <w:r>
              <w:rPr>
                <w:noProof/>
                <w:webHidden/>
              </w:rPr>
            </w:r>
            <w:r>
              <w:rPr>
                <w:noProof/>
                <w:webHidden/>
              </w:rPr>
              <w:fldChar w:fldCharType="separate"/>
            </w:r>
            <w:r>
              <w:rPr>
                <w:noProof/>
                <w:webHidden/>
              </w:rPr>
              <w:t>36</w:t>
            </w:r>
            <w:r>
              <w:rPr>
                <w:noProof/>
                <w:webHidden/>
              </w:rPr>
              <w:fldChar w:fldCharType="end"/>
            </w:r>
          </w:hyperlink>
        </w:p>
        <w:p w14:paraId="5D893D9D" w14:textId="1B0EE074" w:rsidR="006C7FB9" w:rsidRDefault="006C7FB9">
          <w:pPr>
            <w:pStyle w:val="TOC3"/>
            <w:tabs>
              <w:tab w:val="right" w:leader="dot" w:pos="9016"/>
            </w:tabs>
            <w:rPr>
              <w:rFonts w:asciiTheme="minorHAnsi" w:hAnsiTheme="minorHAnsi"/>
              <w:noProof/>
              <w:sz w:val="24"/>
              <w:szCs w:val="24"/>
              <w:lang w:eastAsia="en-GB"/>
            </w:rPr>
          </w:pPr>
          <w:hyperlink w:anchor="_Toc234829767" w:history="1">
            <w:r w:rsidRPr="00A41AF9">
              <w:rPr>
                <w:rStyle w:val="Hyperlink"/>
                <w:rFonts w:ascii="Arial" w:hAnsi="Arial" w:cs="Arial"/>
                <w:noProof/>
              </w:rPr>
              <w:t>Connections to Other Themes</w:t>
            </w:r>
            <w:r>
              <w:rPr>
                <w:noProof/>
                <w:webHidden/>
              </w:rPr>
              <w:tab/>
            </w:r>
            <w:r>
              <w:rPr>
                <w:noProof/>
                <w:webHidden/>
              </w:rPr>
              <w:fldChar w:fldCharType="begin"/>
            </w:r>
            <w:r>
              <w:rPr>
                <w:noProof/>
                <w:webHidden/>
              </w:rPr>
              <w:instrText xml:space="preserve"> PAGEREF _Toc234829767 \h </w:instrText>
            </w:r>
            <w:r>
              <w:rPr>
                <w:noProof/>
                <w:webHidden/>
              </w:rPr>
            </w:r>
            <w:r>
              <w:rPr>
                <w:noProof/>
                <w:webHidden/>
              </w:rPr>
              <w:fldChar w:fldCharType="separate"/>
            </w:r>
            <w:r>
              <w:rPr>
                <w:noProof/>
                <w:webHidden/>
              </w:rPr>
              <w:t>37</w:t>
            </w:r>
            <w:r>
              <w:rPr>
                <w:noProof/>
                <w:webHidden/>
              </w:rPr>
              <w:fldChar w:fldCharType="end"/>
            </w:r>
          </w:hyperlink>
        </w:p>
        <w:p w14:paraId="750D9004" w14:textId="48772677" w:rsidR="006C7FB9" w:rsidRDefault="006C7FB9">
          <w:pPr>
            <w:pStyle w:val="TOC2"/>
            <w:tabs>
              <w:tab w:val="right" w:leader="dot" w:pos="9016"/>
            </w:tabs>
            <w:rPr>
              <w:rFonts w:asciiTheme="minorHAnsi" w:hAnsiTheme="minorHAnsi"/>
              <w:noProof/>
              <w:sz w:val="24"/>
              <w:szCs w:val="24"/>
              <w:lang w:eastAsia="en-GB"/>
            </w:rPr>
          </w:pPr>
          <w:hyperlink w:anchor="_Toc234829768" w:history="1">
            <w:r w:rsidRPr="00A41AF9">
              <w:rPr>
                <w:rStyle w:val="Hyperlink"/>
                <w:rFonts w:ascii="Arial" w:hAnsi="Arial"/>
                <w:noProof/>
              </w:rPr>
              <w:t>4.6 – Chapter Conclusion</w:t>
            </w:r>
            <w:r>
              <w:rPr>
                <w:noProof/>
                <w:webHidden/>
              </w:rPr>
              <w:tab/>
            </w:r>
            <w:r>
              <w:rPr>
                <w:noProof/>
                <w:webHidden/>
              </w:rPr>
              <w:fldChar w:fldCharType="begin"/>
            </w:r>
            <w:r>
              <w:rPr>
                <w:noProof/>
                <w:webHidden/>
              </w:rPr>
              <w:instrText xml:space="preserve"> PAGEREF _Toc234829768 \h </w:instrText>
            </w:r>
            <w:r>
              <w:rPr>
                <w:noProof/>
                <w:webHidden/>
              </w:rPr>
            </w:r>
            <w:r>
              <w:rPr>
                <w:noProof/>
                <w:webHidden/>
              </w:rPr>
              <w:fldChar w:fldCharType="separate"/>
            </w:r>
            <w:r>
              <w:rPr>
                <w:noProof/>
                <w:webHidden/>
              </w:rPr>
              <w:t>37</w:t>
            </w:r>
            <w:r>
              <w:rPr>
                <w:noProof/>
                <w:webHidden/>
              </w:rPr>
              <w:fldChar w:fldCharType="end"/>
            </w:r>
          </w:hyperlink>
        </w:p>
        <w:p w14:paraId="245ADD72" w14:textId="382BFFD6" w:rsidR="006C7FB9" w:rsidRDefault="006C7FB9">
          <w:pPr>
            <w:pStyle w:val="TOC1"/>
            <w:tabs>
              <w:tab w:val="right" w:leader="dot" w:pos="9016"/>
            </w:tabs>
            <w:rPr>
              <w:rFonts w:asciiTheme="minorHAnsi" w:hAnsiTheme="minorHAnsi"/>
              <w:noProof/>
              <w:sz w:val="24"/>
              <w:szCs w:val="24"/>
              <w:lang w:eastAsia="en-GB"/>
            </w:rPr>
          </w:pPr>
          <w:hyperlink w:anchor="_Toc234829769" w:history="1">
            <w:r w:rsidRPr="00A41AF9">
              <w:rPr>
                <w:rStyle w:val="Hyperlink"/>
                <w:noProof/>
                <w:lang w:bidi="en-GB"/>
              </w:rPr>
              <w:t>CHAPTER 5: Conclusion and Recommendations</w:t>
            </w:r>
            <w:r>
              <w:rPr>
                <w:noProof/>
                <w:webHidden/>
              </w:rPr>
              <w:tab/>
            </w:r>
            <w:r>
              <w:rPr>
                <w:noProof/>
                <w:webHidden/>
              </w:rPr>
              <w:fldChar w:fldCharType="begin"/>
            </w:r>
            <w:r>
              <w:rPr>
                <w:noProof/>
                <w:webHidden/>
              </w:rPr>
              <w:instrText xml:space="preserve"> PAGEREF _Toc234829769 \h </w:instrText>
            </w:r>
            <w:r>
              <w:rPr>
                <w:noProof/>
                <w:webHidden/>
              </w:rPr>
            </w:r>
            <w:r>
              <w:rPr>
                <w:noProof/>
                <w:webHidden/>
              </w:rPr>
              <w:fldChar w:fldCharType="separate"/>
            </w:r>
            <w:r>
              <w:rPr>
                <w:noProof/>
                <w:webHidden/>
              </w:rPr>
              <w:t>38</w:t>
            </w:r>
            <w:r>
              <w:rPr>
                <w:noProof/>
                <w:webHidden/>
              </w:rPr>
              <w:fldChar w:fldCharType="end"/>
            </w:r>
          </w:hyperlink>
        </w:p>
        <w:p w14:paraId="4CEE18C8" w14:textId="79059FC0" w:rsidR="006C7FB9" w:rsidRDefault="006C7FB9">
          <w:pPr>
            <w:pStyle w:val="TOC2"/>
            <w:tabs>
              <w:tab w:val="right" w:leader="dot" w:pos="9016"/>
            </w:tabs>
            <w:rPr>
              <w:rFonts w:asciiTheme="minorHAnsi" w:hAnsiTheme="minorHAnsi"/>
              <w:noProof/>
              <w:sz w:val="24"/>
              <w:szCs w:val="24"/>
              <w:lang w:eastAsia="en-GB"/>
            </w:rPr>
          </w:pPr>
          <w:hyperlink w:anchor="_Toc234829770" w:history="1">
            <w:r w:rsidRPr="00A41AF9">
              <w:rPr>
                <w:rStyle w:val="Hyperlink"/>
                <w:rFonts w:ascii="Arial" w:hAnsi="Arial"/>
                <w:noProof/>
              </w:rPr>
              <w:t>5.1 – Overall Conclusion</w:t>
            </w:r>
            <w:r>
              <w:rPr>
                <w:noProof/>
                <w:webHidden/>
              </w:rPr>
              <w:tab/>
            </w:r>
            <w:r>
              <w:rPr>
                <w:noProof/>
                <w:webHidden/>
              </w:rPr>
              <w:fldChar w:fldCharType="begin"/>
            </w:r>
            <w:r>
              <w:rPr>
                <w:noProof/>
                <w:webHidden/>
              </w:rPr>
              <w:instrText xml:space="preserve"> PAGEREF _Toc234829770 \h </w:instrText>
            </w:r>
            <w:r>
              <w:rPr>
                <w:noProof/>
                <w:webHidden/>
              </w:rPr>
            </w:r>
            <w:r>
              <w:rPr>
                <w:noProof/>
                <w:webHidden/>
              </w:rPr>
              <w:fldChar w:fldCharType="separate"/>
            </w:r>
            <w:r>
              <w:rPr>
                <w:noProof/>
                <w:webHidden/>
              </w:rPr>
              <w:t>38</w:t>
            </w:r>
            <w:r>
              <w:rPr>
                <w:noProof/>
                <w:webHidden/>
              </w:rPr>
              <w:fldChar w:fldCharType="end"/>
            </w:r>
          </w:hyperlink>
        </w:p>
        <w:p w14:paraId="65399D9A" w14:textId="788E5437" w:rsidR="006C7FB9" w:rsidRDefault="006C7FB9">
          <w:pPr>
            <w:pStyle w:val="TOC2"/>
            <w:tabs>
              <w:tab w:val="right" w:leader="dot" w:pos="9016"/>
            </w:tabs>
            <w:rPr>
              <w:rFonts w:asciiTheme="minorHAnsi" w:hAnsiTheme="minorHAnsi"/>
              <w:noProof/>
              <w:sz w:val="24"/>
              <w:szCs w:val="24"/>
              <w:lang w:eastAsia="en-GB"/>
            </w:rPr>
          </w:pPr>
          <w:hyperlink w:anchor="_Toc234829771" w:history="1">
            <w:r w:rsidRPr="00A41AF9">
              <w:rPr>
                <w:rStyle w:val="Hyperlink"/>
                <w:rFonts w:ascii="Arial" w:hAnsi="Arial"/>
                <w:noProof/>
              </w:rPr>
              <w:t>5.2 – Recommendations</w:t>
            </w:r>
            <w:r>
              <w:rPr>
                <w:noProof/>
                <w:webHidden/>
              </w:rPr>
              <w:tab/>
            </w:r>
            <w:r>
              <w:rPr>
                <w:noProof/>
                <w:webHidden/>
              </w:rPr>
              <w:fldChar w:fldCharType="begin"/>
            </w:r>
            <w:r>
              <w:rPr>
                <w:noProof/>
                <w:webHidden/>
              </w:rPr>
              <w:instrText xml:space="preserve"> PAGEREF _Toc234829771 \h </w:instrText>
            </w:r>
            <w:r>
              <w:rPr>
                <w:noProof/>
                <w:webHidden/>
              </w:rPr>
            </w:r>
            <w:r>
              <w:rPr>
                <w:noProof/>
                <w:webHidden/>
              </w:rPr>
              <w:fldChar w:fldCharType="separate"/>
            </w:r>
            <w:r>
              <w:rPr>
                <w:noProof/>
                <w:webHidden/>
              </w:rPr>
              <w:t>38</w:t>
            </w:r>
            <w:r>
              <w:rPr>
                <w:noProof/>
                <w:webHidden/>
              </w:rPr>
              <w:fldChar w:fldCharType="end"/>
            </w:r>
          </w:hyperlink>
        </w:p>
        <w:p w14:paraId="6E5FFAD4" w14:textId="7CEF22FE" w:rsidR="006C7FB9" w:rsidRDefault="006C7FB9">
          <w:pPr>
            <w:pStyle w:val="TOC3"/>
            <w:tabs>
              <w:tab w:val="right" w:leader="dot" w:pos="9016"/>
            </w:tabs>
            <w:rPr>
              <w:rFonts w:asciiTheme="minorHAnsi" w:hAnsiTheme="minorHAnsi"/>
              <w:noProof/>
              <w:sz w:val="24"/>
              <w:szCs w:val="24"/>
              <w:lang w:eastAsia="en-GB"/>
            </w:rPr>
          </w:pPr>
          <w:hyperlink w:anchor="_Toc234829772" w:history="1">
            <w:r w:rsidRPr="00A41AF9">
              <w:rPr>
                <w:rStyle w:val="Hyperlink"/>
                <w:rFonts w:ascii="Arial" w:hAnsi="Arial" w:cs="Arial"/>
                <w:noProof/>
              </w:rPr>
              <w:t>5.2.1 – Recommendation 1</w:t>
            </w:r>
            <w:r>
              <w:rPr>
                <w:noProof/>
                <w:webHidden/>
              </w:rPr>
              <w:tab/>
            </w:r>
            <w:r>
              <w:rPr>
                <w:noProof/>
                <w:webHidden/>
              </w:rPr>
              <w:fldChar w:fldCharType="begin"/>
            </w:r>
            <w:r>
              <w:rPr>
                <w:noProof/>
                <w:webHidden/>
              </w:rPr>
              <w:instrText xml:space="preserve"> PAGEREF _Toc234829772 \h </w:instrText>
            </w:r>
            <w:r>
              <w:rPr>
                <w:noProof/>
                <w:webHidden/>
              </w:rPr>
            </w:r>
            <w:r>
              <w:rPr>
                <w:noProof/>
                <w:webHidden/>
              </w:rPr>
              <w:fldChar w:fldCharType="separate"/>
            </w:r>
            <w:r>
              <w:rPr>
                <w:noProof/>
                <w:webHidden/>
              </w:rPr>
              <w:t>38</w:t>
            </w:r>
            <w:r>
              <w:rPr>
                <w:noProof/>
                <w:webHidden/>
              </w:rPr>
              <w:fldChar w:fldCharType="end"/>
            </w:r>
          </w:hyperlink>
        </w:p>
        <w:p w14:paraId="732687B4" w14:textId="12CDBD4F" w:rsidR="006C7FB9" w:rsidRDefault="006C7FB9">
          <w:pPr>
            <w:pStyle w:val="TOC3"/>
            <w:tabs>
              <w:tab w:val="right" w:leader="dot" w:pos="9016"/>
            </w:tabs>
            <w:rPr>
              <w:rFonts w:asciiTheme="minorHAnsi" w:hAnsiTheme="minorHAnsi"/>
              <w:noProof/>
              <w:sz w:val="24"/>
              <w:szCs w:val="24"/>
              <w:lang w:eastAsia="en-GB"/>
            </w:rPr>
          </w:pPr>
          <w:hyperlink w:anchor="_Toc234829773" w:history="1">
            <w:r w:rsidRPr="00A41AF9">
              <w:rPr>
                <w:rStyle w:val="Hyperlink"/>
                <w:rFonts w:ascii="Arial" w:hAnsi="Arial" w:cs="Arial"/>
                <w:noProof/>
              </w:rPr>
              <w:t>5.2.2 – Recommendation 2</w:t>
            </w:r>
            <w:r>
              <w:rPr>
                <w:noProof/>
                <w:webHidden/>
              </w:rPr>
              <w:tab/>
            </w:r>
            <w:r>
              <w:rPr>
                <w:noProof/>
                <w:webHidden/>
              </w:rPr>
              <w:fldChar w:fldCharType="begin"/>
            </w:r>
            <w:r>
              <w:rPr>
                <w:noProof/>
                <w:webHidden/>
              </w:rPr>
              <w:instrText xml:space="preserve"> PAGEREF _Toc234829773 \h </w:instrText>
            </w:r>
            <w:r>
              <w:rPr>
                <w:noProof/>
                <w:webHidden/>
              </w:rPr>
            </w:r>
            <w:r>
              <w:rPr>
                <w:noProof/>
                <w:webHidden/>
              </w:rPr>
              <w:fldChar w:fldCharType="separate"/>
            </w:r>
            <w:r>
              <w:rPr>
                <w:noProof/>
                <w:webHidden/>
              </w:rPr>
              <w:t>39</w:t>
            </w:r>
            <w:r>
              <w:rPr>
                <w:noProof/>
                <w:webHidden/>
              </w:rPr>
              <w:fldChar w:fldCharType="end"/>
            </w:r>
          </w:hyperlink>
        </w:p>
        <w:p w14:paraId="28310BCA" w14:textId="446381CF" w:rsidR="006C7FB9" w:rsidRDefault="006C7FB9">
          <w:pPr>
            <w:pStyle w:val="TOC3"/>
            <w:tabs>
              <w:tab w:val="right" w:leader="dot" w:pos="9016"/>
            </w:tabs>
            <w:rPr>
              <w:rFonts w:asciiTheme="minorHAnsi" w:hAnsiTheme="minorHAnsi"/>
              <w:noProof/>
              <w:sz w:val="24"/>
              <w:szCs w:val="24"/>
              <w:lang w:eastAsia="en-GB"/>
            </w:rPr>
          </w:pPr>
          <w:hyperlink w:anchor="_Toc234829774" w:history="1">
            <w:r w:rsidRPr="00A41AF9">
              <w:rPr>
                <w:rStyle w:val="Hyperlink"/>
                <w:rFonts w:ascii="Arial" w:hAnsi="Arial" w:cs="Arial"/>
                <w:noProof/>
              </w:rPr>
              <w:t>5.2.3 – Recommendation 3</w:t>
            </w:r>
            <w:r>
              <w:rPr>
                <w:noProof/>
                <w:webHidden/>
              </w:rPr>
              <w:tab/>
            </w:r>
            <w:r>
              <w:rPr>
                <w:noProof/>
                <w:webHidden/>
              </w:rPr>
              <w:fldChar w:fldCharType="begin"/>
            </w:r>
            <w:r>
              <w:rPr>
                <w:noProof/>
                <w:webHidden/>
              </w:rPr>
              <w:instrText xml:space="preserve"> PAGEREF _Toc234829774 \h </w:instrText>
            </w:r>
            <w:r>
              <w:rPr>
                <w:noProof/>
                <w:webHidden/>
              </w:rPr>
            </w:r>
            <w:r>
              <w:rPr>
                <w:noProof/>
                <w:webHidden/>
              </w:rPr>
              <w:fldChar w:fldCharType="separate"/>
            </w:r>
            <w:r>
              <w:rPr>
                <w:noProof/>
                <w:webHidden/>
              </w:rPr>
              <w:t>39</w:t>
            </w:r>
            <w:r>
              <w:rPr>
                <w:noProof/>
                <w:webHidden/>
              </w:rPr>
              <w:fldChar w:fldCharType="end"/>
            </w:r>
          </w:hyperlink>
        </w:p>
        <w:p w14:paraId="7C9E008C" w14:textId="669D8479" w:rsidR="006C7FB9" w:rsidRDefault="006C7FB9">
          <w:pPr>
            <w:pStyle w:val="TOC3"/>
            <w:tabs>
              <w:tab w:val="right" w:leader="dot" w:pos="9016"/>
            </w:tabs>
            <w:rPr>
              <w:rFonts w:asciiTheme="minorHAnsi" w:hAnsiTheme="minorHAnsi"/>
              <w:noProof/>
              <w:sz w:val="24"/>
              <w:szCs w:val="24"/>
              <w:lang w:eastAsia="en-GB"/>
            </w:rPr>
          </w:pPr>
          <w:hyperlink w:anchor="_Toc234829775" w:history="1">
            <w:r w:rsidRPr="00A41AF9">
              <w:rPr>
                <w:rStyle w:val="Hyperlink"/>
                <w:rFonts w:ascii="Arial" w:hAnsi="Arial" w:cs="Arial"/>
                <w:noProof/>
              </w:rPr>
              <w:t>5.2.4 – Recommendation 4</w:t>
            </w:r>
            <w:r>
              <w:rPr>
                <w:noProof/>
                <w:webHidden/>
              </w:rPr>
              <w:tab/>
            </w:r>
            <w:r>
              <w:rPr>
                <w:noProof/>
                <w:webHidden/>
              </w:rPr>
              <w:fldChar w:fldCharType="begin"/>
            </w:r>
            <w:r>
              <w:rPr>
                <w:noProof/>
                <w:webHidden/>
              </w:rPr>
              <w:instrText xml:space="preserve"> PAGEREF _Toc234829775 \h </w:instrText>
            </w:r>
            <w:r>
              <w:rPr>
                <w:noProof/>
                <w:webHidden/>
              </w:rPr>
            </w:r>
            <w:r>
              <w:rPr>
                <w:noProof/>
                <w:webHidden/>
              </w:rPr>
              <w:fldChar w:fldCharType="separate"/>
            </w:r>
            <w:r>
              <w:rPr>
                <w:noProof/>
                <w:webHidden/>
              </w:rPr>
              <w:t>40</w:t>
            </w:r>
            <w:r>
              <w:rPr>
                <w:noProof/>
                <w:webHidden/>
              </w:rPr>
              <w:fldChar w:fldCharType="end"/>
            </w:r>
          </w:hyperlink>
        </w:p>
        <w:p w14:paraId="5487F597" w14:textId="68E5DEB9" w:rsidR="006C7FB9" w:rsidRDefault="006C7FB9">
          <w:pPr>
            <w:pStyle w:val="TOC1"/>
            <w:tabs>
              <w:tab w:val="right" w:leader="dot" w:pos="9016"/>
            </w:tabs>
            <w:rPr>
              <w:rFonts w:asciiTheme="minorHAnsi" w:hAnsiTheme="minorHAnsi"/>
              <w:noProof/>
              <w:sz w:val="24"/>
              <w:szCs w:val="24"/>
              <w:lang w:eastAsia="en-GB"/>
            </w:rPr>
          </w:pPr>
          <w:hyperlink w:anchor="_Toc234829776" w:history="1">
            <w:r w:rsidRPr="00A41AF9">
              <w:rPr>
                <w:rStyle w:val="Hyperlink"/>
                <w:noProof/>
                <w:lang w:bidi="en-GB"/>
              </w:rPr>
              <w:t>CHAPTER 6: References and Appendices</w:t>
            </w:r>
            <w:r>
              <w:rPr>
                <w:noProof/>
                <w:webHidden/>
              </w:rPr>
              <w:tab/>
            </w:r>
            <w:r>
              <w:rPr>
                <w:noProof/>
                <w:webHidden/>
              </w:rPr>
              <w:fldChar w:fldCharType="begin"/>
            </w:r>
            <w:r>
              <w:rPr>
                <w:noProof/>
                <w:webHidden/>
              </w:rPr>
              <w:instrText xml:space="preserve"> PAGEREF _Toc234829776 \h </w:instrText>
            </w:r>
            <w:r>
              <w:rPr>
                <w:noProof/>
                <w:webHidden/>
              </w:rPr>
            </w:r>
            <w:r>
              <w:rPr>
                <w:noProof/>
                <w:webHidden/>
              </w:rPr>
              <w:fldChar w:fldCharType="separate"/>
            </w:r>
            <w:r>
              <w:rPr>
                <w:noProof/>
                <w:webHidden/>
              </w:rPr>
              <w:t>41</w:t>
            </w:r>
            <w:r>
              <w:rPr>
                <w:noProof/>
                <w:webHidden/>
              </w:rPr>
              <w:fldChar w:fldCharType="end"/>
            </w:r>
          </w:hyperlink>
        </w:p>
        <w:p w14:paraId="7EE59012" w14:textId="37CA904D" w:rsidR="006C7FB9" w:rsidRDefault="006C7FB9">
          <w:pPr>
            <w:pStyle w:val="TOC1"/>
            <w:tabs>
              <w:tab w:val="right" w:leader="dot" w:pos="9016"/>
            </w:tabs>
            <w:rPr>
              <w:rFonts w:asciiTheme="minorHAnsi" w:hAnsiTheme="minorHAnsi"/>
              <w:noProof/>
              <w:sz w:val="24"/>
              <w:szCs w:val="24"/>
              <w:lang w:eastAsia="en-GB"/>
            </w:rPr>
          </w:pPr>
          <w:hyperlink w:anchor="_Toc234829777" w:history="1">
            <w:r w:rsidRPr="00A41AF9">
              <w:rPr>
                <w:rStyle w:val="Hyperlink"/>
                <w:noProof/>
                <w:lang w:bidi="en-GB"/>
              </w:rPr>
              <w:t>6.1 – References</w:t>
            </w:r>
            <w:r>
              <w:rPr>
                <w:noProof/>
                <w:webHidden/>
              </w:rPr>
              <w:tab/>
            </w:r>
            <w:r>
              <w:rPr>
                <w:noProof/>
                <w:webHidden/>
              </w:rPr>
              <w:fldChar w:fldCharType="begin"/>
            </w:r>
            <w:r>
              <w:rPr>
                <w:noProof/>
                <w:webHidden/>
              </w:rPr>
              <w:instrText xml:space="preserve"> PAGEREF _Toc234829777 \h </w:instrText>
            </w:r>
            <w:r>
              <w:rPr>
                <w:noProof/>
                <w:webHidden/>
              </w:rPr>
            </w:r>
            <w:r>
              <w:rPr>
                <w:noProof/>
                <w:webHidden/>
              </w:rPr>
              <w:fldChar w:fldCharType="separate"/>
            </w:r>
            <w:r>
              <w:rPr>
                <w:noProof/>
                <w:webHidden/>
              </w:rPr>
              <w:t>41</w:t>
            </w:r>
            <w:r>
              <w:rPr>
                <w:noProof/>
                <w:webHidden/>
              </w:rPr>
              <w:fldChar w:fldCharType="end"/>
            </w:r>
          </w:hyperlink>
        </w:p>
        <w:p w14:paraId="47D50A29" w14:textId="598B6176" w:rsidR="006C7FB9" w:rsidRDefault="006C7FB9">
          <w:pPr>
            <w:pStyle w:val="TOC1"/>
            <w:tabs>
              <w:tab w:val="right" w:leader="dot" w:pos="9016"/>
            </w:tabs>
            <w:rPr>
              <w:rFonts w:asciiTheme="minorHAnsi" w:hAnsiTheme="minorHAnsi"/>
              <w:noProof/>
              <w:sz w:val="24"/>
              <w:szCs w:val="24"/>
              <w:lang w:eastAsia="en-GB"/>
            </w:rPr>
          </w:pPr>
          <w:hyperlink w:anchor="_Toc234829778" w:history="1">
            <w:r w:rsidRPr="00A41AF9">
              <w:rPr>
                <w:rStyle w:val="Hyperlink"/>
                <w:noProof/>
                <w:lang w:bidi="en-GB"/>
              </w:rPr>
              <w:t>6.2 – Appendices</w:t>
            </w:r>
            <w:r>
              <w:rPr>
                <w:noProof/>
                <w:webHidden/>
              </w:rPr>
              <w:tab/>
            </w:r>
            <w:r>
              <w:rPr>
                <w:noProof/>
                <w:webHidden/>
              </w:rPr>
              <w:fldChar w:fldCharType="begin"/>
            </w:r>
            <w:r>
              <w:rPr>
                <w:noProof/>
                <w:webHidden/>
              </w:rPr>
              <w:instrText xml:space="preserve"> PAGEREF _Toc234829778 \h </w:instrText>
            </w:r>
            <w:r>
              <w:rPr>
                <w:noProof/>
                <w:webHidden/>
              </w:rPr>
            </w:r>
            <w:r>
              <w:rPr>
                <w:noProof/>
                <w:webHidden/>
              </w:rPr>
              <w:fldChar w:fldCharType="separate"/>
            </w:r>
            <w:r>
              <w:rPr>
                <w:noProof/>
                <w:webHidden/>
              </w:rPr>
              <w:t>49</w:t>
            </w:r>
            <w:r>
              <w:rPr>
                <w:noProof/>
                <w:webHidden/>
              </w:rPr>
              <w:fldChar w:fldCharType="end"/>
            </w:r>
          </w:hyperlink>
        </w:p>
        <w:p w14:paraId="52F3980B" w14:textId="130270D7" w:rsidR="006C7FB9" w:rsidRDefault="006C7FB9">
          <w:pPr>
            <w:pStyle w:val="TOC2"/>
            <w:tabs>
              <w:tab w:val="right" w:leader="dot" w:pos="9016"/>
            </w:tabs>
            <w:rPr>
              <w:rFonts w:asciiTheme="minorHAnsi" w:hAnsiTheme="minorHAnsi"/>
              <w:noProof/>
              <w:sz w:val="24"/>
              <w:szCs w:val="24"/>
              <w:lang w:eastAsia="en-GB"/>
            </w:rPr>
          </w:pPr>
          <w:hyperlink w:anchor="_Toc234829779" w:history="1">
            <w:r w:rsidRPr="00A41AF9">
              <w:rPr>
                <w:rStyle w:val="Hyperlink"/>
                <w:noProof/>
              </w:rPr>
              <w:t>Appendix 1: Source Tracking Table</w:t>
            </w:r>
            <w:r>
              <w:rPr>
                <w:noProof/>
                <w:webHidden/>
              </w:rPr>
              <w:tab/>
            </w:r>
            <w:r>
              <w:rPr>
                <w:noProof/>
                <w:webHidden/>
              </w:rPr>
              <w:fldChar w:fldCharType="begin"/>
            </w:r>
            <w:r>
              <w:rPr>
                <w:noProof/>
                <w:webHidden/>
              </w:rPr>
              <w:instrText xml:space="preserve"> PAGEREF _Toc234829779 \h </w:instrText>
            </w:r>
            <w:r>
              <w:rPr>
                <w:noProof/>
                <w:webHidden/>
              </w:rPr>
            </w:r>
            <w:r>
              <w:rPr>
                <w:noProof/>
                <w:webHidden/>
              </w:rPr>
              <w:fldChar w:fldCharType="separate"/>
            </w:r>
            <w:r>
              <w:rPr>
                <w:noProof/>
                <w:webHidden/>
              </w:rPr>
              <w:t>49</w:t>
            </w:r>
            <w:r>
              <w:rPr>
                <w:noProof/>
                <w:webHidden/>
              </w:rPr>
              <w:fldChar w:fldCharType="end"/>
            </w:r>
          </w:hyperlink>
        </w:p>
        <w:p w14:paraId="661CACF8" w14:textId="711E1BB5" w:rsidR="006C7FB9" w:rsidRDefault="006C7FB9">
          <w:pPr>
            <w:pStyle w:val="TOC2"/>
            <w:tabs>
              <w:tab w:val="right" w:leader="dot" w:pos="9016"/>
            </w:tabs>
            <w:rPr>
              <w:rFonts w:asciiTheme="minorHAnsi" w:hAnsiTheme="minorHAnsi"/>
              <w:noProof/>
              <w:sz w:val="24"/>
              <w:szCs w:val="24"/>
              <w:lang w:eastAsia="en-GB"/>
            </w:rPr>
          </w:pPr>
          <w:hyperlink w:anchor="_Toc234829780" w:history="1">
            <w:r w:rsidRPr="00A41AF9">
              <w:rPr>
                <w:rStyle w:val="Hyperlink"/>
                <w:noProof/>
              </w:rPr>
              <w:t>Appendix 2: CRAAP Test</w:t>
            </w:r>
            <w:r>
              <w:rPr>
                <w:noProof/>
                <w:webHidden/>
              </w:rPr>
              <w:tab/>
            </w:r>
            <w:r>
              <w:rPr>
                <w:noProof/>
                <w:webHidden/>
              </w:rPr>
              <w:fldChar w:fldCharType="begin"/>
            </w:r>
            <w:r>
              <w:rPr>
                <w:noProof/>
                <w:webHidden/>
              </w:rPr>
              <w:instrText xml:space="preserve"> PAGEREF _Toc234829780 \h </w:instrText>
            </w:r>
            <w:r>
              <w:rPr>
                <w:noProof/>
                <w:webHidden/>
              </w:rPr>
            </w:r>
            <w:r>
              <w:rPr>
                <w:noProof/>
                <w:webHidden/>
              </w:rPr>
              <w:fldChar w:fldCharType="separate"/>
            </w:r>
            <w:r>
              <w:rPr>
                <w:noProof/>
                <w:webHidden/>
              </w:rPr>
              <w:t>54</w:t>
            </w:r>
            <w:r>
              <w:rPr>
                <w:noProof/>
                <w:webHidden/>
              </w:rPr>
              <w:fldChar w:fldCharType="end"/>
            </w:r>
          </w:hyperlink>
        </w:p>
        <w:p w14:paraId="21CE1B2E" w14:textId="7524912A" w:rsidR="00D232D3" w:rsidRDefault="00D232D3">
          <w:r>
            <w:rPr>
              <w:b/>
              <w:bCs/>
              <w:noProof/>
            </w:rPr>
            <w:fldChar w:fldCharType="end"/>
          </w:r>
        </w:p>
      </w:sdtContent>
    </w:sdt>
    <w:p w14:paraId="756C3EE0" w14:textId="20F79D65" w:rsidR="00804B94" w:rsidRDefault="00804B94" w:rsidP="00AC01F9"/>
    <w:p w14:paraId="565DF4AC" w14:textId="77777777" w:rsidR="00AC01F9" w:rsidRDefault="00AC01F9" w:rsidP="00AC01F9"/>
    <w:p w14:paraId="3C16BC88" w14:textId="4F4B909C" w:rsidR="00804B94" w:rsidRDefault="00AC01F9" w:rsidP="00AC01F9">
      <w:pPr>
        <w:spacing w:line="259" w:lineRule="auto"/>
        <w:jc w:val="left"/>
      </w:pPr>
      <w:r>
        <w:br w:type="page"/>
      </w:r>
    </w:p>
    <w:p w14:paraId="69941E5D" w14:textId="3646B24C" w:rsidR="00EF6341" w:rsidRPr="00AC01F9" w:rsidRDefault="00730C3C" w:rsidP="004620D2">
      <w:pPr>
        <w:pStyle w:val="Heading1"/>
      </w:pPr>
      <w:bookmarkStart w:id="4" w:name="_Hlk231933991"/>
      <w:bookmarkStart w:id="5" w:name="_Toc234829717"/>
      <w:r w:rsidRPr="00730C3C">
        <w:lastRenderedPageBreak/>
        <w:t>CHAPTER 1: Introducti</w:t>
      </w:r>
      <w:r w:rsidR="00AC01F9">
        <w:t>on</w:t>
      </w:r>
      <w:bookmarkEnd w:id="5"/>
    </w:p>
    <w:p w14:paraId="18072CD8" w14:textId="3B8ADF0B" w:rsidR="00BD2909" w:rsidRPr="009E1AC9" w:rsidRDefault="00BD2909" w:rsidP="00AE0BB5">
      <w:pPr>
        <w:pStyle w:val="Heading2"/>
        <w:rPr>
          <w:rStyle w:val="normaltextrun"/>
          <w:rFonts w:ascii="Arial" w:hAnsi="Arial"/>
        </w:rPr>
      </w:pPr>
      <w:bookmarkStart w:id="6" w:name="_Toc234829718"/>
      <w:r w:rsidRPr="009E1AC9">
        <w:rPr>
          <w:rStyle w:val="normaltextrun"/>
          <w:rFonts w:ascii="Arial" w:hAnsi="Arial"/>
        </w:rPr>
        <w:t>1.1 Introduction</w:t>
      </w:r>
      <w:bookmarkEnd w:id="6"/>
    </w:p>
    <w:p w14:paraId="6FBDE580" w14:textId="1AFA668B" w:rsidR="00F312F7" w:rsidRPr="000635E6" w:rsidRDefault="00F312F7" w:rsidP="008D126F">
      <w:pPr>
        <w:rPr>
          <w:rFonts w:ascii="Arial" w:hAnsi="Arial" w:cs="Arial"/>
        </w:rPr>
      </w:pPr>
      <w:r w:rsidRPr="000635E6">
        <w:rPr>
          <w:rFonts w:ascii="Arial" w:hAnsi="Arial" w:cs="Arial"/>
        </w:rPr>
        <w:t>Early diagnosis of older adults with dementia has emerged as a fast-growing healthcare issue because of the rapid increase in the ageing population and the greater prevalence of cognitive disorders on the global scene. The prevalence of dementia is high: more than 57 million individuals are diagnosed annually worldwide, and the numbers are likely to increase tremendously in the next decades (World Health Organisation, 2025). Normal cognitive ageing involves mild, non-progressive changes such as slower processing and minor memory decline, changing without affecting everyday functioning, but on the other hand, early-stage dementia is linked to gradual and progressive deterioration in cognitive functions, accompanied by a loss in functional capabilities. The distinction between normal ageing and early-stage dementia is often unclear, as early symptoms can be subtle and are often mistaken for branches of normal ageing, making intervention and diagnosis slow.</w:t>
      </w:r>
    </w:p>
    <w:p w14:paraId="631A4E78" w14:textId="77777777" w:rsidR="00F312F7" w:rsidRDefault="00F312F7" w:rsidP="00F312F7">
      <w:pPr>
        <w:keepNext/>
        <w:jc w:val="center"/>
      </w:pPr>
      <w:r>
        <w:rPr>
          <w:noProof/>
        </w:rPr>
        <w:drawing>
          <wp:inline distT="0" distB="0" distL="0" distR="0" wp14:anchorId="29881560" wp14:editId="64A8C4FC">
            <wp:extent cx="2999489" cy="26515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003450" cy="2655048"/>
                    </a:xfrm>
                    <a:prstGeom prst="rect">
                      <a:avLst/>
                    </a:prstGeom>
                    <a:noFill/>
                  </pic:spPr>
                </pic:pic>
              </a:graphicData>
            </a:graphic>
          </wp:inline>
        </w:drawing>
      </w:r>
    </w:p>
    <w:p w14:paraId="03412BE3" w14:textId="5F9CFD23" w:rsidR="00F312F7" w:rsidRDefault="00F312F7" w:rsidP="00F312F7">
      <w:pPr>
        <w:pStyle w:val="Caption"/>
        <w:jc w:val="center"/>
      </w:pPr>
      <w:r>
        <w:t xml:space="preserve">Figure </w:t>
      </w:r>
      <w:fldSimple w:instr=" SEQ Figure \* ARABIC ">
        <w:r w:rsidR="00813F71">
          <w:rPr>
            <w:noProof/>
          </w:rPr>
          <w:t>1</w:t>
        </w:r>
      </w:fldSimple>
      <w:r>
        <w:t xml:space="preserve"> </w:t>
      </w:r>
      <w:r w:rsidRPr="00796FED">
        <w:t>(Springer, 2023)</w:t>
      </w:r>
    </w:p>
    <w:p w14:paraId="763D5238" w14:textId="53024EA3" w:rsidR="00F312F7" w:rsidRPr="00A514B4" w:rsidRDefault="00F312F7" w:rsidP="008D126F">
      <w:r w:rsidRPr="000635E6">
        <w:rPr>
          <w:rFonts w:ascii="Arial" w:hAnsi="Arial" w:cs="Arial"/>
        </w:rPr>
        <w:t xml:space="preserve">Cognitive impairment must be detected promptly because its early detection was associated with planning care, improved symptom management and a better-quality life; better outcomes were reported for both patients and caregivers (Fowler </w:t>
      </w:r>
      <w:r w:rsidRPr="000635E6">
        <w:rPr>
          <w:rFonts w:ascii="Arial" w:hAnsi="Arial" w:cs="Arial"/>
          <w:i/>
          <w:iCs/>
        </w:rPr>
        <w:t>et al.,</w:t>
      </w:r>
      <w:r w:rsidRPr="000635E6">
        <w:rPr>
          <w:rFonts w:ascii="Arial" w:hAnsi="Arial" w:cs="Arial"/>
        </w:rPr>
        <w:t xml:space="preserve"> 2025). This process is significant because nursing practitioners spend most of their time with older adults, which puts them in an advantageous position to notice the initial changes in their behaviour and cognition. The structured tools of cognitive assessment, including the Mini-Mental State Examination and Montreal Cognitive Assessment, have been extensively implemented to supplement clinical judgement, but the issues with sensitivity and practicability are still present (Wang </w:t>
      </w:r>
      <w:r w:rsidRPr="000635E6">
        <w:rPr>
          <w:rFonts w:ascii="Arial" w:hAnsi="Arial" w:cs="Arial"/>
          <w:i/>
          <w:iCs/>
        </w:rPr>
        <w:t>et al</w:t>
      </w:r>
      <w:r w:rsidRPr="000635E6">
        <w:rPr>
          <w:rFonts w:ascii="Arial" w:hAnsi="Arial" w:cs="Arial"/>
        </w:rPr>
        <w:t>., 2022).</w:t>
      </w:r>
      <w:r w:rsidRPr="000413AC">
        <w:t xml:space="preserve"> </w:t>
      </w:r>
      <w:r w:rsidRPr="000635E6">
        <w:rPr>
          <w:rFonts w:ascii="Arial" w:hAnsi="Arial" w:cs="Arial"/>
        </w:rPr>
        <w:t xml:space="preserve">This dissertation will be primarily aimed at critically reviewing evidence-based methods of </w:t>
      </w:r>
      <w:r w:rsidRPr="000635E6">
        <w:rPr>
          <w:rFonts w:ascii="Arial" w:hAnsi="Arial" w:cs="Arial"/>
        </w:rPr>
        <w:lastRenderedPageBreak/>
        <w:t xml:space="preserve">differentiating between normal cognitive and early-stage dementia, particularly in how nursing </w:t>
      </w:r>
      <w:r w:rsidR="000635E6">
        <w:rPr>
          <w:rFonts w:ascii="Arial" w:hAnsi="Arial" w:cs="Arial"/>
        </w:rPr>
        <w:t>practice</w:t>
      </w:r>
      <w:r w:rsidRPr="000635E6">
        <w:rPr>
          <w:rFonts w:ascii="Arial" w:hAnsi="Arial" w:cs="Arial"/>
        </w:rPr>
        <w:t xml:space="preserve"> can enhance the accuracy of diagnosis.</w:t>
      </w:r>
    </w:p>
    <w:p w14:paraId="599B79FE" w14:textId="77777777" w:rsidR="00AE0BB5" w:rsidRPr="009E1AC9" w:rsidRDefault="00AE0BB5" w:rsidP="00AE0BB5">
      <w:pPr>
        <w:rPr>
          <w:rFonts w:ascii="Arial" w:hAnsi="Arial" w:cs="Arial"/>
        </w:rPr>
      </w:pPr>
    </w:p>
    <w:p w14:paraId="4BC66D2F" w14:textId="3F78ED37" w:rsidR="00BD2909" w:rsidRPr="009E1AC9" w:rsidRDefault="00BD2909" w:rsidP="00AE0BB5">
      <w:pPr>
        <w:pStyle w:val="Heading2"/>
        <w:rPr>
          <w:rStyle w:val="normaltextrun"/>
          <w:rFonts w:ascii="Arial" w:hAnsi="Arial"/>
        </w:rPr>
      </w:pPr>
      <w:bookmarkStart w:id="7" w:name="_Toc234829719"/>
      <w:r w:rsidRPr="009E1AC9">
        <w:rPr>
          <w:rStyle w:val="normaltextrun"/>
          <w:rFonts w:ascii="Arial" w:hAnsi="Arial"/>
        </w:rPr>
        <w:t>1.2 Definitions and Terminology</w:t>
      </w:r>
      <w:bookmarkEnd w:id="7"/>
    </w:p>
    <w:p w14:paraId="6C568B97" w14:textId="3DCEF249" w:rsidR="00B956B3" w:rsidRPr="000635E6" w:rsidRDefault="00B956B3" w:rsidP="00042579">
      <w:pPr>
        <w:rPr>
          <w:rFonts w:ascii="Arial" w:hAnsi="Arial" w:cs="Arial"/>
        </w:rPr>
      </w:pPr>
      <w:r w:rsidRPr="000635E6">
        <w:rPr>
          <w:rFonts w:ascii="Arial" w:hAnsi="Arial" w:cs="Arial"/>
        </w:rPr>
        <w:t xml:space="preserve">The definition of Terminology and Concepts is vital in the identification of early stages of dementia in nursing practice. Dementia is a condition marked by progressive cognitive deterioration, which includes loss of memory, impaired thought </w:t>
      </w:r>
      <w:r w:rsidR="009E1AC9">
        <w:rPr>
          <w:rFonts w:ascii="Arial" w:hAnsi="Arial" w:cs="Arial"/>
        </w:rPr>
        <w:t>processes</w:t>
      </w:r>
      <w:r w:rsidRPr="000635E6">
        <w:rPr>
          <w:rFonts w:ascii="Arial" w:hAnsi="Arial" w:cs="Arial"/>
        </w:rPr>
        <w:t xml:space="preserve">, lack of proper orientation, and poor decision-making, which impacts daily life activities (World Health Organisation, 2025). In contrast, age-related cognitive decline entails non-pathological changes, such as slowed processing speed and occasional forgetting, without any significant impact on autonomy. Mild Cognitive Impairment (MCI) entails a condition between normal ageing and dementia, with cognitive dysfunction but with preserved functionality (Bradfield, 2023). </w:t>
      </w:r>
    </w:p>
    <w:p w14:paraId="4F360C80" w14:textId="77777777" w:rsidR="00B956B3" w:rsidRDefault="00B956B3" w:rsidP="00B956B3">
      <w:pPr>
        <w:keepNext/>
        <w:jc w:val="center"/>
      </w:pPr>
      <w:r>
        <w:rPr>
          <w:noProof/>
        </w:rPr>
        <w:drawing>
          <wp:inline distT="0" distB="0" distL="0" distR="0" wp14:anchorId="4B63A2C1" wp14:editId="4867910B">
            <wp:extent cx="3292426" cy="3002508"/>
            <wp:effectExtent l="0" t="0" r="3810" b="7620"/>
            <wp:docPr id="1" name="Picture 1" descr="https://continentalhospitals.com/uploads/mceu_11376608911700805494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https://continentalhospitals.com/uploads/mceu_11376608911700805494857.jp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325959" cy="3033088"/>
                    </a:xfrm>
                    <a:prstGeom prst="rect">
                      <a:avLst/>
                    </a:prstGeom>
                    <a:noFill/>
                    <a:ln>
                      <a:noFill/>
                    </a:ln>
                  </pic:spPr>
                </pic:pic>
              </a:graphicData>
            </a:graphic>
          </wp:inline>
        </w:drawing>
      </w:r>
    </w:p>
    <w:p w14:paraId="678A7306" w14:textId="6F383D2E" w:rsidR="00B956B3" w:rsidRPr="008E72A3" w:rsidRDefault="00B956B3" w:rsidP="00B956B3">
      <w:pPr>
        <w:pStyle w:val="Caption"/>
        <w:jc w:val="center"/>
        <w:rPr>
          <w:highlight w:val="yellow"/>
        </w:rPr>
      </w:pPr>
      <w:r>
        <w:t xml:space="preserve">Figure </w:t>
      </w:r>
      <w:fldSimple w:instr=" SEQ Figure \* ARABIC ">
        <w:r w:rsidR="00813F71">
          <w:rPr>
            <w:noProof/>
          </w:rPr>
          <w:t>2</w:t>
        </w:r>
      </w:fldSimple>
      <w:r>
        <w:t xml:space="preserve"> (Continental Hospital, 2025)</w:t>
      </w:r>
    </w:p>
    <w:p w14:paraId="456B95EE" w14:textId="77777777" w:rsidR="00B956B3" w:rsidRPr="00C3607E" w:rsidRDefault="00B956B3" w:rsidP="00042579">
      <w:pPr>
        <w:rPr>
          <w:highlight w:val="yellow"/>
        </w:rPr>
      </w:pPr>
      <w:r w:rsidRPr="000635E6">
        <w:rPr>
          <w:rFonts w:ascii="Arial" w:hAnsi="Arial" w:cs="Arial"/>
        </w:rPr>
        <w:t xml:space="preserve">Differentiating among the above conditions is fundamental in identifying early stages of dementia, when symptoms are subtle, however progressive. Cognitive assessment is the systematic evaluation of brain functions such as memory, concentration, and language, utilising evidence-based assessment tools (Cubillos and Rienzo, 2023). Cognitive assessment within nursing practice enables the differentiation of normal and pathological cognitive decline. The most common screening tools used in clinical settings are the Mini-Mental State Examination (MMSE) and Montreal Cognitive Assessment (MoCA) (Wang </w:t>
      </w:r>
      <w:r w:rsidRPr="000635E6">
        <w:rPr>
          <w:rFonts w:ascii="Arial" w:hAnsi="Arial" w:cs="Arial"/>
          <w:i/>
          <w:iCs/>
        </w:rPr>
        <w:t>et al.,</w:t>
      </w:r>
      <w:r w:rsidRPr="000635E6">
        <w:rPr>
          <w:rFonts w:ascii="Arial" w:hAnsi="Arial" w:cs="Arial"/>
        </w:rPr>
        <w:t xml:space="preserve"> 2022). </w:t>
      </w:r>
      <w:r w:rsidRPr="000635E6">
        <w:rPr>
          <w:rFonts w:ascii="Arial" w:hAnsi="Arial" w:cs="Arial"/>
        </w:rPr>
        <w:lastRenderedPageBreak/>
        <w:t>Abbreviations commonly utilised include MCI (Mild Cognitive Impairment) and AD (Alzheimer’s disease).</w:t>
      </w:r>
      <w:r>
        <w:t xml:space="preserve"> </w:t>
      </w:r>
    </w:p>
    <w:p w14:paraId="1D312ECD" w14:textId="77777777" w:rsidR="00F312F7" w:rsidRPr="00F312F7" w:rsidRDefault="00F312F7" w:rsidP="00F312F7"/>
    <w:p w14:paraId="75E17D56" w14:textId="02DD1D75" w:rsidR="00BD2909" w:rsidRPr="009E1AC9" w:rsidRDefault="00BD2909" w:rsidP="00AE0BB5">
      <w:pPr>
        <w:pStyle w:val="Heading2"/>
        <w:rPr>
          <w:rStyle w:val="normaltextrun"/>
          <w:rFonts w:ascii="Arial" w:hAnsi="Arial"/>
        </w:rPr>
      </w:pPr>
      <w:bookmarkStart w:id="8" w:name="_Toc234829720"/>
      <w:r w:rsidRPr="009E1AC9">
        <w:rPr>
          <w:rStyle w:val="normaltextrun"/>
          <w:rFonts w:ascii="Arial" w:hAnsi="Arial"/>
        </w:rPr>
        <w:t>1.3 Rationale for Research</w:t>
      </w:r>
      <w:bookmarkEnd w:id="8"/>
    </w:p>
    <w:p w14:paraId="1E0B3545" w14:textId="69733EC0" w:rsidR="005F78FB" w:rsidRPr="000635E6" w:rsidRDefault="005F78FB" w:rsidP="005F78FB">
      <w:pPr>
        <w:rPr>
          <w:rFonts w:ascii="Arial" w:hAnsi="Arial" w:cs="Arial"/>
        </w:rPr>
      </w:pPr>
      <w:r w:rsidRPr="000635E6">
        <w:rPr>
          <w:rFonts w:ascii="Arial" w:hAnsi="Arial" w:cs="Arial"/>
        </w:rPr>
        <w:t xml:space="preserve">This study is justified by the growing need to identify dementia in older adults at an early age more accurately. With the increasing life expectancy among the global population, dementia remains on the rise, posing a big challenge to healthcare systems and highlighting the importance of timely diagnosis and treatment (World Health Organisation, 2025). It is especially applicable to nursing practise because nurses often care for older patients and are better placed to identify early signs of cognitive and behavioural change. Nevertheless, the signs of dementia are often insidious and easily confused with age, so they are not promptly diagnosed and thus do not leave a chance to plan and arrange care </w:t>
      </w:r>
      <w:r w:rsidR="000635E6">
        <w:rPr>
          <w:rFonts w:ascii="Arial" w:hAnsi="Arial" w:cs="Arial"/>
        </w:rPr>
        <w:t>before</w:t>
      </w:r>
      <w:r w:rsidRPr="000635E6">
        <w:rPr>
          <w:rFonts w:ascii="Arial" w:hAnsi="Arial" w:cs="Arial"/>
        </w:rPr>
        <w:t xml:space="preserve"> its onset (Fowler </w:t>
      </w:r>
      <w:r w:rsidRPr="000635E6">
        <w:rPr>
          <w:rFonts w:ascii="Arial" w:hAnsi="Arial" w:cs="Arial"/>
          <w:i/>
          <w:iCs/>
        </w:rPr>
        <w:t>et al.,</w:t>
      </w:r>
      <w:r w:rsidRPr="000635E6">
        <w:rPr>
          <w:rFonts w:ascii="Arial" w:hAnsi="Arial" w:cs="Arial"/>
        </w:rPr>
        <w:t xml:space="preserve"> 2025).</w:t>
      </w:r>
    </w:p>
    <w:p w14:paraId="77BFC0B5" w14:textId="48CCA3EE" w:rsidR="00F312F7" w:rsidRPr="000635E6" w:rsidRDefault="005F78FB" w:rsidP="005F78FB">
      <w:pPr>
        <w:rPr>
          <w:rFonts w:ascii="Arial" w:hAnsi="Arial" w:cs="Arial"/>
        </w:rPr>
      </w:pPr>
      <w:r w:rsidRPr="000635E6">
        <w:rPr>
          <w:rFonts w:ascii="Arial" w:hAnsi="Arial" w:cs="Arial"/>
        </w:rPr>
        <w:t>Existing literature points to relevant gaps in the diagnosis and appraisal of early-stage dementia. Even though cognitive screening instruments, including MMSE and MoCA, are applicable and popular, the sensitivity of these tests and cultural bias, along with inconsistent implementation in practice, can limit their effectiveness (</w:t>
      </w:r>
      <w:proofErr w:type="spellStart"/>
      <w:r w:rsidRPr="000635E6">
        <w:rPr>
          <w:rFonts w:ascii="Arial" w:hAnsi="Arial" w:cs="Arial"/>
        </w:rPr>
        <w:t>Chithiramohan</w:t>
      </w:r>
      <w:proofErr w:type="spellEnd"/>
      <w:r w:rsidRPr="000635E6">
        <w:rPr>
          <w:rFonts w:ascii="Arial" w:hAnsi="Arial" w:cs="Arial"/>
        </w:rPr>
        <w:t xml:space="preserve"> </w:t>
      </w:r>
      <w:r w:rsidRPr="000635E6">
        <w:rPr>
          <w:rFonts w:ascii="Arial" w:hAnsi="Arial" w:cs="Arial"/>
          <w:i/>
          <w:iCs/>
        </w:rPr>
        <w:t>et al.,</w:t>
      </w:r>
      <w:r w:rsidRPr="000635E6">
        <w:rPr>
          <w:rFonts w:ascii="Arial" w:hAnsi="Arial" w:cs="Arial"/>
        </w:rPr>
        <w:t xml:space="preserve"> 2024). It has been indicated that nursing professionals do not have sufficient resources to train and feel confident about the use of those tools, and this aspect can impact the diagnostic accuracy and patient results (Alharbi </w:t>
      </w:r>
      <w:r w:rsidRPr="000635E6">
        <w:rPr>
          <w:rFonts w:ascii="Arial" w:hAnsi="Arial" w:cs="Arial"/>
          <w:i/>
          <w:iCs/>
        </w:rPr>
        <w:t>et al</w:t>
      </w:r>
      <w:r w:rsidRPr="000635E6">
        <w:rPr>
          <w:rFonts w:ascii="Arial" w:hAnsi="Arial" w:cs="Arial"/>
        </w:rPr>
        <w:t>., 2025). Also, no consensus exists regarding particular clinical indicators that can best differentiate normal ageing and early cognitive impairment. The current study fills in the existing gaps, however, critically assesses current findings on the assessment strategies and determines the best practises. There is limited consistency in how early-stage dementia is identified in clinical practices, particularly nursing assessments.</w:t>
      </w:r>
    </w:p>
    <w:p w14:paraId="6DB9C9E9" w14:textId="77777777" w:rsidR="005F78FB" w:rsidRPr="000635E6" w:rsidRDefault="005F78FB" w:rsidP="005F78FB">
      <w:pPr>
        <w:rPr>
          <w:rFonts w:ascii="Arial" w:hAnsi="Arial" w:cs="Arial"/>
        </w:rPr>
      </w:pPr>
    </w:p>
    <w:p w14:paraId="7FA3F3C5" w14:textId="1250CA3C" w:rsidR="00BD2909" w:rsidRPr="009E1AC9" w:rsidRDefault="00BD2909" w:rsidP="00AE0BB5">
      <w:pPr>
        <w:pStyle w:val="Heading2"/>
        <w:rPr>
          <w:rStyle w:val="normaltextrun"/>
          <w:rFonts w:ascii="Arial" w:hAnsi="Arial"/>
        </w:rPr>
      </w:pPr>
      <w:bookmarkStart w:id="9" w:name="_Toc234829721"/>
      <w:r w:rsidRPr="009E1AC9">
        <w:rPr>
          <w:rStyle w:val="normaltextrun"/>
          <w:rFonts w:ascii="Arial" w:hAnsi="Arial"/>
        </w:rPr>
        <w:t>1.4 Aim and Objectives</w:t>
      </w:r>
      <w:bookmarkEnd w:id="9"/>
    </w:p>
    <w:p w14:paraId="5DD45948" w14:textId="77777777" w:rsidR="005F78FB" w:rsidRPr="009E1AC9" w:rsidRDefault="005F78FB" w:rsidP="00705FBB">
      <w:pPr>
        <w:pStyle w:val="Heading3"/>
        <w:rPr>
          <w:rFonts w:ascii="Arial" w:hAnsi="Arial" w:cs="Arial"/>
        </w:rPr>
      </w:pPr>
      <w:bookmarkStart w:id="10" w:name="_Toc234829722"/>
      <w:r w:rsidRPr="009E1AC9">
        <w:rPr>
          <w:rFonts w:ascii="Arial" w:hAnsi="Arial" w:cs="Arial"/>
        </w:rPr>
        <w:t>Research Aim</w:t>
      </w:r>
      <w:bookmarkEnd w:id="10"/>
    </w:p>
    <w:p w14:paraId="50F67771" w14:textId="7BB9318F" w:rsidR="005F78FB" w:rsidRPr="000635E6" w:rsidRDefault="005F78FB" w:rsidP="005F78FB">
      <w:pPr>
        <w:rPr>
          <w:rFonts w:ascii="Arial" w:hAnsi="Arial" w:cs="Arial"/>
        </w:rPr>
      </w:pPr>
      <w:r w:rsidRPr="000635E6">
        <w:rPr>
          <w:rFonts w:ascii="Arial" w:hAnsi="Arial" w:cs="Arial"/>
        </w:rPr>
        <w:t>The purpose of this research is to critically examine evidence-based approaches to effectively distinguishing normal cognitive ageing from early-stage dementia in older individuals, with a specific emphasis on the role of nursing practitioners in using clinical tools to enhance diagnostic accuracy.</w:t>
      </w:r>
    </w:p>
    <w:p w14:paraId="1A51058A" w14:textId="77777777" w:rsidR="005F78FB" w:rsidRPr="009E1AC9" w:rsidRDefault="005F78FB" w:rsidP="00705FBB">
      <w:pPr>
        <w:pStyle w:val="Heading3"/>
        <w:rPr>
          <w:rFonts w:ascii="Arial" w:hAnsi="Arial" w:cs="Arial"/>
        </w:rPr>
      </w:pPr>
      <w:bookmarkStart w:id="11" w:name="_Toc234829723"/>
      <w:r w:rsidRPr="009E1AC9">
        <w:rPr>
          <w:rFonts w:ascii="Arial" w:hAnsi="Arial" w:cs="Arial"/>
        </w:rPr>
        <w:lastRenderedPageBreak/>
        <w:t>Research Objectives</w:t>
      </w:r>
      <w:bookmarkEnd w:id="11"/>
    </w:p>
    <w:p w14:paraId="314E50A8" w14:textId="32C7496A" w:rsidR="005F78FB" w:rsidRPr="000635E6" w:rsidRDefault="005F78FB" w:rsidP="000635E6">
      <w:pPr>
        <w:pStyle w:val="ListParagraph"/>
        <w:numPr>
          <w:ilvl w:val="0"/>
          <w:numId w:val="108"/>
        </w:numPr>
        <w:spacing w:line="360" w:lineRule="auto"/>
        <w:ind w:left="714" w:hanging="357"/>
        <w:jc w:val="both"/>
        <w:rPr>
          <w:rFonts w:ascii="Arial" w:hAnsi="Arial" w:cs="Arial"/>
        </w:rPr>
      </w:pPr>
      <w:r w:rsidRPr="000635E6">
        <w:rPr>
          <w:rFonts w:ascii="Arial" w:hAnsi="Arial" w:cs="Arial"/>
        </w:rPr>
        <w:t>Define and examine the clinical and cognitive markers that differentiate normal ageing from early-stage dementia in older adults.</w:t>
      </w:r>
    </w:p>
    <w:p w14:paraId="2479087C" w14:textId="22582FD1" w:rsidR="005F78FB" w:rsidRPr="000635E6" w:rsidRDefault="005F78FB" w:rsidP="000635E6">
      <w:pPr>
        <w:pStyle w:val="ListParagraph"/>
        <w:numPr>
          <w:ilvl w:val="0"/>
          <w:numId w:val="108"/>
        </w:numPr>
        <w:spacing w:line="360" w:lineRule="auto"/>
        <w:ind w:left="714" w:hanging="357"/>
        <w:jc w:val="both"/>
        <w:rPr>
          <w:rFonts w:ascii="Arial" w:hAnsi="Arial" w:cs="Arial"/>
        </w:rPr>
      </w:pPr>
      <w:r w:rsidRPr="000635E6">
        <w:rPr>
          <w:rFonts w:ascii="Arial" w:hAnsi="Arial" w:cs="Arial"/>
        </w:rPr>
        <w:t>Analyse current screening tools and assessment practices used in nursing to detect cognitive impairment.</w:t>
      </w:r>
    </w:p>
    <w:p w14:paraId="52475383" w14:textId="2C2F2345" w:rsidR="005F78FB" w:rsidRPr="000635E6" w:rsidRDefault="005F78FB" w:rsidP="000635E6">
      <w:pPr>
        <w:pStyle w:val="ListParagraph"/>
        <w:numPr>
          <w:ilvl w:val="0"/>
          <w:numId w:val="108"/>
        </w:numPr>
        <w:spacing w:line="360" w:lineRule="auto"/>
        <w:ind w:left="714" w:hanging="357"/>
        <w:jc w:val="both"/>
        <w:rPr>
          <w:rFonts w:ascii="Arial" w:hAnsi="Arial" w:cs="Arial"/>
        </w:rPr>
      </w:pPr>
      <w:r w:rsidRPr="000635E6">
        <w:rPr>
          <w:rFonts w:ascii="Arial" w:hAnsi="Arial" w:cs="Arial"/>
        </w:rPr>
        <w:t>Evaluate the effectiveness and limitations of early recognition strategies in improving patient outcomes.</w:t>
      </w:r>
    </w:p>
    <w:p w14:paraId="155BB9F6" w14:textId="2768C657" w:rsidR="005F78FB" w:rsidRPr="000635E6" w:rsidRDefault="005F78FB" w:rsidP="000635E6">
      <w:pPr>
        <w:pStyle w:val="ListParagraph"/>
        <w:numPr>
          <w:ilvl w:val="0"/>
          <w:numId w:val="108"/>
        </w:numPr>
        <w:spacing w:line="360" w:lineRule="auto"/>
        <w:ind w:left="714" w:hanging="357"/>
        <w:jc w:val="both"/>
        <w:rPr>
          <w:rFonts w:ascii="Arial" w:hAnsi="Arial" w:cs="Arial"/>
        </w:rPr>
      </w:pPr>
      <w:r w:rsidRPr="000635E6">
        <w:rPr>
          <w:rFonts w:ascii="Arial" w:hAnsi="Arial" w:cs="Arial"/>
        </w:rPr>
        <w:t>Provide evidence-based recommendations to enhance nursing assessment, training, and early intervention for older adults at risk of dementia.</w:t>
      </w:r>
    </w:p>
    <w:p w14:paraId="406B082F" w14:textId="77777777" w:rsidR="00F312F7" w:rsidRPr="009E1AC9" w:rsidRDefault="00F312F7" w:rsidP="00F312F7">
      <w:pPr>
        <w:rPr>
          <w:rFonts w:ascii="Arial" w:hAnsi="Arial" w:cs="Arial"/>
        </w:rPr>
      </w:pPr>
    </w:p>
    <w:p w14:paraId="1E1A58B1" w14:textId="6525C93D" w:rsidR="00804B94" w:rsidRPr="009E1AC9" w:rsidRDefault="00BD2909" w:rsidP="00AE0BB5">
      <w:pPr>
        <w:pStyle w:val="Heading2"/>
        <w:rPr>
          <w:rStyle w:val="normaltextrun"/>
          <w:rFonts w:ascii="Arial" w:hAnsi="Arial"/>
        </w:rPr>
      </w:pPr>
      <w:bookmarkStart w:id="12" w:name="_Toc234829724"/>
      <w:r w:rsidRPr="009E1AC9">
        <w:rPr>
          <w:rStyle w:val="normaltextrun"/>
          <w:rFonts w:ascii="Arial" w:hAnsi="Arial"/>
        </w:rPr>
        <w:t>1.5 Conclusion</w:t>
      </w:r>
      <w:bookmarkEnd w:id="12"/>
    </w:p>
    <w:p w14:paraId="75A62503" w14:textId="7DD4B746" w:rsidR="00F312F7" w:rsidRPr="000635E6" w:rsidRDefault="00C773EE" w:rsidP="00C773EE">
      <w:pPr>
        <w:rPr>
          <w:rFonts w:ascii="Arial" w:hAnsi="Arial" w:cs="Arial"/>
        </w:rPr>
      </w:pPr>
      <w:r w:rsidRPr="000635E6">
        <w:rPr>
          <w:rFonts w:ascii="Arial" w:hAnsi="Arial" w:cs="Arial"/>
        </w:rPr>
        <w:t xml:space="preserve">Chapter 1 has presented the focus of the research on recognising dementia in older adults at its early stages in relation to the significance of differentiating between the normal ageing of cognitive functions and the condition of early-stage cognitive impairment in nursing practice. It identified the main ideas, defined the terms clearly, and explained the topicality of the topic against the backdrop of the increasing prevalence of dementia and clinical difficulties. The research </w:t>
      </w:r>
      <w:r w:rsidR="000635E6" w:rsidRPr="000635E6">
        <w:rPr>
          <w:rFonts w:ascii="Arial" w:hAnsi="Arial" w:cs="Arial"/>
        </w:rPr>
        <w:t>aims</w:t>
      </w:r>
      <w:r w:rsidRPr="000635E6">
        <w:rPr>
          <w:rFonts w:ascii="Arial" w:hAnsi="Arial" w:cs="Arial"/>
        </w:rPr>
        <w:t xml:space="preserve"> and objectives were also provided in the chapter, where there is a requirement to compare existing assessment tools</w:t>
      </w:r>
      <w:r w:rsidR="000635E6">
        <w:rPr>
          <w:rFonts w:ascii="Arial" w:hAnsi="Arial" w:cs="Arial"/>
        </w:rPr>
        <w:t xml:space="preserve"> and</w:t>
      </w:r>
      <w:r w:rsidRPr="000635E6">
        <w:rPr>
          <w:rFonts w:ascii="Arial" w:hAnsi="Arial" w:cs="Arial"/>
        </w:rPr>
        <w:t xml:space="preserve"> clinical markers, and improve early detection modalities. All these factors show the importance of upgrading the knowledge and practise of nursing to aid correct and prompt diagnosis. The chapter that follows will give a background and analysis of the subject by looking at the available literature, theoretical viewpoints, and the current practises surrounding dementia recognition. It will provide a solid evidence </w:t>
      </w:r>
      <w:r w:rsidR="000635E6">
        <w:rPr>
          <w:rFonts w:ascii="Arial" w:hAnsi="Arial" w:cs="Arial"/>
        </w:rPr>
        <w:t>base</w:t>
      </w:r>
      <w:r w:rsidRPr="000635E6">
        <w:rPr>
          <w:rFonts w:ascii="Arial" w:hAnsi="Arial" w:cs="Arial"/>
        </w:rPr>
        <w:t xml:space="preserve"> on which to justify the research and find some important themes to guide further analysis.</w:t>
      </w:r>
    </w:p>
    <w:p w14:paraId="5E3C622C" w14:textId="77777777" w:rsidR="00AE0BB5" w:rsidRDefault="00AE0BB5" w:rsidP="00AE0BB5"/>
    <w:p w14:paraId="20976BAD" w14:textId="6C0A8FBB" w:rsidR="00AE0BB5" w:rsidRPr="00AE0BB5" w:rsidRDefault="00AE0BB5" w:rsidP="00AE0BB5">
      <w:pPr>
        <w:spacing w:line="259" w:lineRule="auto"/>
        <w:jc w:val="left"/>
      </w:pPr>
      <w:r>
        <w:br w:type="page"/>
      </w:r>
    </w:p>
    <w:p w14:paraId="6BA7DF87" w14:textId="1BA221A4" w:rsidR="00BD2909" w:rsidRPr="004463E6" w:rsidRDefault="000D0641" w:rsidP="004463E6">
      <w:pPr>
        <w:pStyle w:val="Heading1"/>
      </w:pPr>
      <w:bookmarkStart w:id="13" w:name="_Toc234829725"/>
      <w:r w:rsidRPr="000D0641">
        <w:lastRenderedPageBreak/>
        <w:t>CHAPTER 2</w:t>
      </w:r>
      <w:r w:rsidR="00D41129">
        <w:t>:</w:t>
      </w:r>
      <w:r w:rsidRPr="000D0641">
        <w:t xml:space="preserve"> </w:t>
      </w:r>
      <w:r w:rsidR="00BD2909">
        <w:t xml:space="preserve">Background </w:t>
      </w:r>
      <w:r w:rsidR="00F44833">
        <w:t xml:space="preserve">Information and </w:t>
      </w:r>
      <w:r w:rsidR="00BD2909">
        <w:t>Analysis</w:t>
      </w:r>
      <w:bookmarkEnd w:id="13"/>
    </w:p>
    <w:p w14:paraId="56551CA0" w14:textId="19CF8F58" w:rsidR="004463E6" w:rsidRPr="009E1AC9" w:rsidRDefault="00BD2909" w:rsidP="004463E6">
      <w:pPr>
        <w:pStyle w:val="Heading2"/>
        <w:rPr>
          <w:rStyle w:val="eop"/>
          <w:rFonts w:ascii="Arial" w:eastAsia="Calibri Light" w:hAnsi="Arial"/>
          <w:sz w:val="22"/>
          <w:szCs w:val="22"/>
        </w:rPr>
      </w:pPr>
      <w:bookmarkStart w:id="14" w:name="_Toc234829726"/>
      <w:r w:rsidRPr="009E1AC9">
        <w:rPr>
          <w:rStyle w:val="normaltextrun"/>
          <w:rFonts w:ascii="Arial" w:hAnsi="Arial"/>
        </w:rPr>
        <w:t>2.1 Introduction</w:t>
      </w:r>
      <w:bookmarkEnd w:id="14"/>
    </w:p>
    <w:p w14:paraId="453ADE30" w14:textId="77777777" w:rsidR="004463E6" w:rsidRPr="000635E6" w:rsidRDefault="004463E6" w:rsidP="004463E6">
      <w:pPr>
        <w:rPr>
          <w:rFonts w:ascii="Arial" w:hAnsi="Arial" w:cs="Arial"/>
        </w:rPr>
      </w:pPr>
      <w:r w:rsidRPr="000635E6">
        <w:rPr>
          <w:rFonts w:ascii="Arial" w:hAnsi="Arial" w:cs="Arial"/>
        </w:rPr>
        <w:t xml:space="preserve">The chapter is designed to give an in-depth background of the research area, which forms the basis for the conceptualisation of early detection of dementia among the geriatric population. It explores the history of dementia research, including the most significant achievements and milestones that have influenced the modern state of knowledge and clinical practises. The chapter also examines appropriate theoretical frameworks that support the diagnostic differentiation of normal ageing and early-stage cognitive impairment, which offers a critical understanding of models that inform assessment and intervention. </w:t>
      </w:r>
    </w:p>
    <w:p w14:paraId="7E6AB731" w14:textId="77777777" w:rsidR="004463E6" w:rsidRDefault="004463E6" w:rsidP="004463E6">
      <w:pPr>
        <w:keepNext/>
        <w:jc w:val="center"/>
      </w:pPr>
      <w:r>
        <w:rPr>
          <w:noProof/>
          <w:highlight w:val="yellow"/>
        </w:rPr>
        <w:drawing>
          <wp:inline distT="0" distB="0" distL="0" distR="0" wp14:anchorId="1ED6C9E1" wp14:editId="310B7AB5">
            <wp:extent cx="3223762" cy="466419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233804" cy="4678718"/>
                    </a:xfrm>
                    <a:prstGeom prst="rect">
                      <a:avLst/>
                    </a:prstGeom>
                    <a:noFill/>
                  </pic:spPr>
                </pic:pic>
              </a:graphicData>
            </a:graphic>
          </wp:inline>
        </w:drawing>
      </w:r>
    </w:p>
    <w:p w14:paraId="5F02D83F" w14:textId="61C369F4" w:rsidR="004463E6" w:rsidRDefault="004463E6" w:rsidP="004463E6">
      <w:pPr>
        <w:pStyle w:val="Caption"/>
        <w:jc w:val="center"/>
        <w:rPr>
          <w:highlight w:val="yellow"/>
        </w:rPr>
      </w:pPr>
      <w:r>
        <w:t xml:space="preserve">Figure </w:t>
      </w:r>
      <w:fldSimple w:instr=" SEQ Figure \* ARABIC ">
        <w:r w:rsidR="00813F71">
          <w:rPr>
            <w:noProof/>
          </w:rPr>
          <w:t>3</w:t>
        </w:r>
      </w:fldSimple>
      <w:r>
        <w:t xml:space="preserve"> (Taylor &amp; Francis, 2025)</w:t>
      </w:r>
    </w:p>
    <w:p w14:paraId="0B2ED610" w14:textId="77777777" w:rsidR="004463E6" w:rsidRPr="00A75049" w:rsidRDefault="004463E6" w:rsidP="004463E6">
      <w:r w:rsidRPr="000635E6">
        <w:rPr>
          <w:rFonts w:ascii="Arial" w:hAnsi="Arial" w:cs="Arial"/>
        </w:rPr>
        <w:t xml:space="preserve">Secondly, it contextualises the subject matter at the international and national levels, as well as in policies, practises, and emerging practises that shape dementia care and nursing participation. This chapter provides the research with a solid conceptual foundation by including historical, theoretical, and contextual information, proving the applicability of early </w:t>
      </w:r>
      <w:r w:rsidRPr="000635E6">
        <w:rPr>
          <w:rFonts w:ascii="Arial" w:hAnsi="Arial" w:cs="Arial"/>
        </w:rPr>
        <w:lastRenderedPageBreak/>
        <w:t>recognition in enhancing patient outcomes. This background knowledge will be used in the next chapter, which will make up the research methodology.</w:t>
      </w:r>
    </w:p>
    <w:p w14:paraId="4ABADDA3" w14:textId="77777777" w:rsidR="004463E6" w:rsidRPr="004463E6" w:rsidRDefault="004463E6" w:rsidP="004463E6"/>
    <w:p w14:paraId="17F08F5F" w14:textId="329CF86A" w:rsidR="004463E6" w:rsidRPr="009E1AC9" w:rsidRDefault="00BD2909" w:rsidP="004463E6">
      <w:pPr>
        <w:pStyle w:val="Heading2"/>
        <w:rPr>
          <w:rStyle w:val="eop"/>
          <w:rFonts w:ascii="Arial" w:eastAsia="Calibri Light" w:hAnsi="Arial"/>
          <w:sz w:val="22"/>
          <w:szCs w:val="22"/>
        </w:rPr>
      </w:pPr>
      <w:bookmarkStart w:id="15" w:name="_Toc234829727"/>
      <w:r w:rsidRPr="009E1AC9">
        <w:rPr>
          <w:rStyle w:val="normaltextrun"/>
          <w:rFonts w:ascii="Arial" w:hAnsi="Arial"/>
        </w:rPr>
        <w:t>2.2 Historical Background</w:t>
      </w:r>
      <w:bookmarkEnd w:id="15"/>
    </w:p>
    <w:p w14:paraId="78FA7300" w14:textId="77777777" w:rsidR="00CE55A9" w:rsidRPr="000635E6" w:rsidRDefault="00CE55A9" w:rsidP="00CE55A9">
      <w:pPr>
        <w:rPr>
          <w:rFonts w:ascii="Arial" w:hAnsi="Arial" w:cs="Arial"/>
        </w:rPr>
      </w:pPr>
      <w:r w:rsidRPr="000635E6">
        <w:rPr>
          <w:rFonts w:ascii="Arial" w:hAnsi="Arial" w:cs="Arial"/>
        </w:rPr>
        <w:t>The history of dementia recognition has changed substantially over the years, from the initial descriptive observations to systematic clinical judgement methods employed in contemporary practice. The word dementia finds its origins in Latin demens, which translates to out of mind, and was previously a generalised label of cognitive decline in relation to ageing. Dementia started to be distinguished in the 19</w:t>
      </w:r>
      <w:r w:rsidRPr="000635E6">
        <w:rPr>
          <w:rFonts w:ascii="Arial" w:hAnsi="Arial" w:cs="Arial"/>
          <w:vertAlign w:val="superscript"/>
        </w:rPr>
        <w:t>th</w:t>
      </w:r>
      <w:r w:rsidRPr="000635E6">
        <w:rPr>
          <w:rFonts w:ascii="Arial" w:hAnsi="Arial" w:cs="Arial"/>
        </w:rPr>
        <w:t xml:space="preserve"> and early 20</w:t>
      </w:r>
      <w:r w:rsidRPr="000635E6">
        <w:rPr>
          <w:rFonts w:ascii="Arial" w:hAnsi="Arial" w:cs="Arial"/>
          <w:vertAlign w:val="superscript"/>
        </w:rPr>
        <w:t>th</w:t>
      </w:r>
      <w:r w:rsidRPr="000635E6">
        <w:rPr>
          <w:rFonts w:ascii="Arial" w:hAnsi="Arial" w:cs="Arial"/>
        </w:rPr>
        <w:t xml:space="preserve"> centuries, with Alois Alzheimer discovering new neuropathological signs, such as amyloid plaques and tangles of neurofibrils in a patient who had progressive memory impairment (Behl, 2023). This was a decisive point in clarifying the difference between the pathological failure of cognitive processing and the passage of age. Earlier research in the 1970s and 1980s broke this notion, and nowadays, dementia has become a separate clinical phenomenon that needs diagnosis and treatment (Collins and Fletcher, 2024).</w:t>
      </w:r>
    </w:p>
    <w:p w14:paraId="3B1AAE2D" w14:textId="77777777" w:rsidR="00CE55A9" w:rsidRDefault="00CE55A9" w:rsidP="00CE55A9">
      <w:pPr>
        <w:keepNext/>
        <w:jc w:val="center"/>
      </w:pPr>
      <w:r>
        <w:rPr>
          <w:noProof/>
        </w:rPr>
        <w:drawing>
          <wp:inline distT="0" distB="0" distL="0" distR="0" wp14:anchorId="654A2F1B" wp14:editId="69FE1CC3">
            <wp:extent cx="5877041" cy="23064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927279" cy="2326188"/>
                    </a:xfrm>
                    <a:prstGeom prst="rect">
                      <a:avLst/>
                    </a:prstGeom>
                    <a:noFill/>
                  </pic:spPr>
                </pic:pic>
              </a:graphicData>
            </a:graphic>
          </wp:inline>
        </w:drawing>
      </w:r>
    </w:p>
    <w:p w14:paraId="0998D2D6" w14:textId="72A31683" w:rsidR="00CE55A9" w:rsidRDefault="00CE55A9" w:rsidP="00CE55A9">
      <w:pPr>
        <w:pStyle w:val="Caption"/>
        <w:jc w:val="center"/>
      </w:pPr>
      <w:r>
        <w:t xml:space="preserve">Figure </w:t>
      </w:r>
      <w:fldSimple w:instr=" SEQ Figure \* ARABIC ">
        <w:r w:rsidR="00813F71">
          <w:rPr>
            <w:noProof/>
          </w:rPr>
          <w:t>4</w:t>
        </w:r>
      </w:fldSimple>
      <w:r>
        <w:t xml:space="preserve"> (</w:t>
      </w:r>
      <w:r w:rsidRPr="001B619E">
        <w:t>The University of Queensland</w:t>
      </w:r>
      <w:r>
        <w:t>, 2017)</w:t>
      </w:r>
    </w:p>
    <w:p w14:paraId="46DD1117" w14:textId="32E812B9" w:rsidR="00CE55A9" w:rsidRPr="000635E6" w:rsidRDefault="00CE55A9" w:rsidP="00CE55A9">
      <w:pPr>
        <w:rPr>
          <w:rFonts w:ascii="Arial" w:hAnsi="Arial" w:cs="Arial"/>
        </w:rPr>
      </w:pPr>
      <w:r w:rsidRPr="000635E6">
        <w:rPr>
          <w:rFonts w:ascii="Arial" w:hAnsi="Arial" w:cs="Arial"/>
        </w:rPr>
        <w:t xml:space="preserve">The field was further enhanced by the development of the standardised diagnostic criteria. With the introduction of the Diagnostic and Statistical Manual of Mental Disorders (DSM) criteria and the International Classification of Diseases (ICD), the dementia classification and diagnosis became more consistent. Simultaneously, </w:t>
      </w:r>
      <w:r w:rsidR="000635E6">
        <w:rPr>
          <w:rFonts w:ascii="Arial" w:hAnsi="Arial" w:cs="Arial"/>
        </w:rPr>
        <w:t>clinicians</w:t>
      </w:r>
      <w:r w:rsidRPr="000635E6">
        <w:rPr>
          <w:rFonts w:ascii="Arial" w:hAnsi="Arial" w:cs="Arial"/>
        </w:rPr>
        <w:t xml:space="preserve"> received a convenient way of measuring cognitive impairment through cognitive screening tests, including the Mini-Mental State Examination (MMSE) (Wang </w:t>
      </w:r>
      <w:r w:rsidRPr="000635E6">
        <w:rPr>
          <w:rFonts w:ascii="Arial" w:hAnsi="Arial" w:cs="Arial"/>
          <w:i/>
          <w:iCs/>
        </w:rPr>
        <w:t>et al.,</w:t>
      </w:r>
      <w:r w:rsidRPr="000635E6">
        <w:rPr>
          <w:rFonts w:ascii="Arial" w:hAnsi="Arial" w:cs="Arial"/>
        </w:rPr>
        <w:t xml:space="preserve"> 2022). More recently, a new assessment </w:t>
      </w:r>
      <w:r w:rsidR="000635E6">
        <w:rPr>
          <w:rFonts w:ascii="Arial" w:hAnsi="Arial" w:cs="Arial"/>
        </w:rPr>
        <w:t>was introduced: the Montreal Cognitive Assessment (MoCA), to enhance sensitivity in identifying mild cognitive impairment and early-stage dementia and to overcome shortcomings of</w:t>
      </w:r>
      <w:r w:rsidRPr="000635E6">
        <w:rPr>
          <w:rFonts w:ascii="Arial" w:hAnsi="Arial" w:cs="Arial"/>
        </w:rPr>
        <w:t xml:space="preserve"> other </w:t>
      </w:r>
      <w:r w:rsidRPr="000635E6">
        <w:rPr>
          <w:rFonts w:ascii="Arial" w:hAnsi="Arial" w:cs="Arial"/>
        </w:rPr>
        <w:lastRenderedPageBreak/>
        <w:t xml:space="preserve">instruments (Carton </w:t>
      </w:r>
      <w:r w:rsidRPr="000635E6">
        <w:rPr>
          <w:rFonts w:ascii="Arial" w:hAnsi="Arial" w:cs="Arial"/>
          <w:i/>
          <w:iCs/>
        </w:rPr>
        <w:t>et al.,</w:t>
      </w:r>
      <w:r w:rsidRPr="000635E6">
        <w:rPr>
          <w:rFonts w:ascii="Arial" w:hAnsi="Arial" w:cs="Arial"/>
        </w:rPr>
        <w:t xml:space="preserve"> 2025). The developments have played a critical role in </w:t>
      </w:r>
      <w:r w:rsidR="000635E6">
        <w:rPr>
          <w:rFonts w:ascii="Arial" w:hAnsi="Arial" w:cs="Arial"/>
        </w:rPr>
        <w:t>shifting the emphasis to early detection and in distinguishing</w:t>
      </w:r>
      <w:r w:rsidRPr="000635E6">
        <w:rPr>
          <w:rFonts w:ascii="Arial" w:hAnsi="Arial" w:cs="Arial"/>
        </w:rPr>
        <w:t xml:space="preserve"> between normal ageing of the mind and cognitive ageing.</w:t>
      </w:r>
    </w:p>
    <w:p w14:paraId="29E585C9" w14:textId="5CBB48CD" w:rsidR="00CE55A9" w:rsidRPr="000635E6" w:rsidRDefault="00CE55A9" w:rsidP="00CE55A9">
      <w:pPr>
        <w:rPr>
          <w:rFonts w:ascii="Arial" w:hAnsi="Arial" w:cs="Arial"/>
        </w:rPr>
      </w:pPr>
      <w:r w:rsidRPr="000635E6">
        <w:rPr>
          <w:rFonts w:ascii="Arial" w:hAnsi="Arial" w:cs="Arial"/>
        </w:rPr>
        <w:t xml:space="preserve">Organisational contributions have also been influential to present-day knowledge and practise. The World Health Organisation has been at the forefront in stating dementia as a global public health priority to promote early diagnosis and integrated care approaches (World Health Organisation, 2025). Likewise, the Alzheimer's Association and Alzheimer's Disease International have helped to raise awareness, finance research and come up with clinical guidelines that help support early recognition and intervention. These organisations have particularly focused on how timely diagnosis is relevant to achieving a better outcome and less burden on healthcare systems. Altogether, the progress in history has turned dementia, a poorly comprehended side effect of ageing, into a clear clinical picture with a developed diagnostic system. The work of major players, diagnostic systems, and organisations has provided the basis of modern nursing practise in which early identification and proper distinction between normal ageing and the </w:t>
      </w:r>
      <w:r w:rsidR="000635E6">
        <w:rPr>
          <w:rFonts w:ascii="Arial" w:hAnsi="Arial" w:cs="Arial"/>
        </w:rPr>
        <w:t>disease</w:t>
      </w:r>
      <w:r w:rsidRPr="000635E6">
        <w:rPr>
          <w:rFonts w:ascii="Arial" w:hAnsi="Arial" w:cs="Arial"/>
        </w:rPr>
        <w:t xml:space="preserve"> are now viewed as vital aspects of quality care.</w:t>
      </w:r>
    </w:p>
    <w:p w14:paraId="4AF2B9BD" w14:textId="77777777" w:rsidR="004463E6" w:rsidRPr="004463E6" w:rsidRDefault="004463E6" w:rsidP="004463E6"/>
    <w:p w14:paraId="1787DF7C" w14:textId="11EC4A13" w:rsidR="00BD2909" w:rsidRPr="009E1AC9" w:rsidRDefault="00BD2909" w:rsidP="004463E6">
      <w:pPr>
        <w:pStyle w:val="Heading2"/>
        <w:rPr>
          <w:rStyle w:val="normaltextrun"/>
          <w:rFonts w:ascii="Arial" w:hAnsi="Arial"/>
        </w:rPr>
      </w:pPr>
      <w:bookmarkStart w:id="16" w:name="_Toc234829728"/>
      <w:r w:rsidRPr="009E1AC9">
        <w:rPr>
          <w:rStyle w:val="normaltextrun"/>
          <w:rFonts w:ascii="Arial" w:hAnsi="Arial"/>
        </w:rPr>
        <w:t>2.3 Theoretical Backgroun</w:t>
      </w:r>
      <w:r w:rsidR="004463E6" w:rsidRPr="009E1AC9">
        <w:rPr>
          <w:rStyle w:val="normaltextrun"/>
          <w:rFonts w:ascii="Arial" w:hAnsi="Arial"/>
        </w:rPr>
        <w:t>d</w:t>
      </w:r>
      <w:bookmarkEnd w:id="16"/>
    </w:p>
    <w:p w14:paraId="17A31DCE" w14:textId="5F364F91" w:rsidR="00C42324" w:rsidRPr="000635E6" w:rsidRDefault="00C42324" w:rsidP="00C42324">
      <w:pPr>
        <w:rPr>
          <w:rFonts w:ascii="Arial" w:hAnsi="Arial" w:cs="Arial"/>
        </w:rPr>
      </w:pPr>
      <w:r w:rsidRPr="000635E6">
        <w:rPr>
          <w:rFonts w:ascii="Arial" w:hAnsi="Arial" w:cs="Arial"/>
        </w:rPr>
        <w:t xml:space="preserve">The conceptual literature that underlies the early identification of dementia includes </w:t>
      </w:r>
      <w:r w:rsidR="000635E6">
        <w:rPr>
          <w:rFonts w:ascii="Arial" w:hAnsi="Arial" w:cs="Arial"/>
        </w:rPr>
        <w:t>several</w:t>
      </w:r>
      <w:r w:rsidRPr="000635E6">
        <w:rPr>
          <w:rFonts w:ascii="Arial" w:hAnsi="Arial" w:cs="Arial"/>
        </w:rPr>
        <w:t xml:space="preserve"> important models that describe cognitive ageing, impairment, and </w:t>
      </w:r>
      <w:r w:rsidR="009E1AC9">
        <w:rPr>
          <w:rFonts w:ascii="Arial" w:hAnsi="Arial" w:cs="Arial"/>
        </w:rPr>
        <w:t>progression</w:t>
      </w:r>
      <w:r w:rsidRPr="000635E6">
        <w:rPr>
          <w:rFonts w:ascii="Arial" w:hAnsi="Arial" w:cs="Arial"/>
        </w:rPr>
        <w:t xml:space="preserve"> to dementia. The cognitive reserve theory is one of the most referenced models that may imply that academically cultured individuals with occupations related to rather complicated roles </w:t>
      </w:r>
      <w:r w:rsidR="000635E6" w:rsidRPr="000635E6">
        <w:rPr>
          <w:rFonts w:ascii="Arial" w:hAnsi="Arial" w:cs="Arial"/>
        </w:rPr>
        <w:t>can withstand</w:t>
      </w:r>
      <w:r w:rsidRPr="000635E6">
        <w:rPr>
          <w:rFonts w:ascii="Arial" w:hAnsi="Arial" w:cs="Arial"/>
        </w:rPr>
        <w:t xml:space="preserve"> underlying neuropathology, thus putting off the expression of the symptoms of dementia (Oosterhuis </w:t>
      </w:r>
      <w:r w:rsidRPr="000635E6">
        <w:rPr>
          <w:rFonts w:ascii="Arial" w:hAnsi="Arial" w:cs="Arial"/>
          <w:i/>
          <w:iCs/>
        </w:rPr>
        <w:t>et al</w:t>
      </w:r>
      <w:r w:rsidRPr="000635E6">
        <w:rPr>
          <w:rFonts w:ascii="Arial" w:hAnsi="Arial" w:cs="Arial"/>
        </w:rPr>
        <w:t xml:space="preserve">., 2023). The theory is especially useful in explaining why some geriatric patients with severe brain lesions can have periods of functional independence. Nevertheless, cognitive reserve theory has faced criticism on its variability and difficulties in operationalising the concept in clinical practise. Akimova </w:t>
      </w:r>
      <w:r w:rsidRPr="000635E6">
        <w:rPr>
          <w:rFonts w:ascii="Arial" w:hAnsi="Arial" w:cs="Arial"/>
          <w:i/>
          <w:iCs/>
        </w:rPr>
        <w:t>et al.</w:t>
      </w:r>
      <w:r w:rsidRPr="000635E6">
        <w:rPr>
          <w:rFonts w:ascii="Arial" w:hAnsi="Arial" w:cs="Arial"/>
        </w:rPr>
        <w:t xml:space="preserve"> (2025) state that while cognitive reserve theory explains delayed symptom onset, it may make early detection more difficult in individuals with high cognitive resilience. This is directly relevant to this study as it highlights the importance of accurate early detection in nursing practice.</w:t>
      </w:r>
    </w:p>
    <w:p w14:paraId="67BB18D6" w14:textId="77777777" w:rsidR="00C42324" w:rsidRDefault="00C42324" w:rsidP="00C42324">
      <w:pPr>
        <w:keepNext/>
        <w:jc w:val="center"/>
      </w:pPr>
      <w:r>
        <w:rPr>
          <w:noProof/>
        </w:rPr>
        <w:lastRenderedPageBreak/>
        <w:drawing>
          <wp:inline distT="0" distB="0" distL="0" distR="0" wp14:anchorId="64B1D081" wp14:editId="1498D269">
            <wp:extent cx="5943600" cy="6201266"/>
            <wp:effectExtent l="0" t="0" r="0" b="9525"/>
            <wp:docPr id="7" name="Picture 7" descr="https://static.cambridge.org/binary/version/id/urn:cambridge.org:id:binary:20190710091318913-0820:S1355617719000250:S1355617719000250_fig1g.gif?pub-status=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descr="https://static.cambridge.org/binary/version/id/urn:cambridge.org:id:binary:20190710091318913-0820:S1355617719000250:S1355617719000250_fig1g.gif?pub-status=live"/>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43600" cy="6201266"/>
                    </a:xfrm>
                    <a:prstGeom prst="rect">
                      <a:avLst/>
                    </a:prstGeom>
                    <a:noFill/>
                    <a:ln>
                      <a:noFill/>
                    </a:ln>
                  </pic:spPr>
                </pic:pic>
              </a:graphicData>
            </a:graphic>
          </wp:inline>
        </w:drawing>
      </w:r>
    </w:p>
    <w:p w14:paraId="0FB4C201" w14:textId="612DBE24" w:rsidR="00C42324" w:rsidRDefault="00C42324" w:rsidP="00C42324">
      <w:pPr>
        <w:pStyle w:val="Caption"/>
        <w:jc w:val="center"/>
      </w:pPr>
      <w:r>
        <w:t xml:space="preserve">Figure </w:t>
      </w:r>
      <w:fldSimple w:instr=" SEQ Figure \* ARABIC ">
        <w:r w:rsidR="00813F71">
          <w:rPr>
            <w:noProof/>
          </w:rPr>
          <w:t>5</w:t>
        </w:r>
      </w:fldSimple>
      <w:r>
        <w:t xml:space="preserve"> (Cambridge University Press</w:t>
      </w:r>
      <w:r>
        <w:rPr>
          <w:noProof/>
        </w:rPr>
        <w:t>, 2019)</w:t>
      </w:r>
    </w:p>
    <w:p w14:paraId="2483684C" w14:textId="14D4F9C1" w:rsidR="00C42324" w:rsidRPr="009E1AC9" w:rsidRDefault="00C42324" w:rsidP="00C42324">
      <w:pPr>
        <w:rPr>
          <w:rFonts w:ascii="Arial" w:hAnsi="Arial" w:cs="Arial"/>
        </w:rPr>
      </w:pPr>
      <w:r w:rsidRPr="000635E6">
        <w:rPr>
          <w:rFonts w:ascii="Arial" w:hAnsi="Arial" w:cs="Arial"/>
        </w:rPr>
        <w:t xml:space="preserve">The other paradigm on which it is based is the neurodegenerative disease model, which focuses on the biological processes that underlie dementia, especially Alzheimer's disease. This model emphasises the beta-amyloid sheet aggregates, tau </w:t>
      </w:r>
      <w:r w:rsidR="000635E6">
        <w:rPr>
          <w:rFonts w:ascii="Arial" w:hAnsi="Arial" w:cs="Arial"/>
        </w:rPr>
        <w:t>pathology</w:t>
      </w:r>
      <w:r w:rsidRPr="000635E6">
        <w:rPr>
          <w:rFonts w:ascii="Arial" w:hAnsi="Arial" w:cs="Arial"/>
        </w:rPr>
        <w:t xml:space="preserve">, and neuronal death as the major factors of cognitive impairments (Chai </w:t>
      </w:r>
      <w:r w:rsidRPr="000635E6">
        <w:rPr>
          <w:rFonts w:ascii="Arial" w:hAnsi="Arial" w:cs="Arial"/>
          <w:i/>
          <w:iCs/>
        </w:rPr>
        <w:t>et al</w:t>
      </w:r>
      <w:r w:rsidRPr="000635E6">
        <w:rPr>
          <w:rFonts w:ascii="Arial" w:hAnsi="Arial" w:cs="Arial"/>
        </w:rPr>
        <w:t xml:space="preserve">., 2022). Its robustness </w:t>
      </w:r>
      <w:r w:rsidR="000635E6">
        <w:rPr>
          <w:rFonts w:ascii="Arial" w:hAnsi="Arial" w:cs="Arial"/>
        </w:rPr>
        <w:t>lies in providing</w:t>
      </w:r>
      <w:r w:rsidRPr="000635E6">
        <w:rPr>
          <w:rFonts w:ascii="Arial" w:hAnsi="Arial" w:cs="Arial"/>
        </w:rPr>
        <w:t xml:space="preserve"> quantifiable and objective indicators that can inform early detection priorities and biomarker interventions. Nevertheless, critics suggest that the neurodegenerative model is reductionist, in which it overemphasises pathology and underestimates the environmental and psychosocial factors</w:t>
      </w:r>
      <w:r w:rsidRPr="00762742">
        <w:t xml:space="preserve"> (</w:t>
      </w:r>
      <w:r w:rsidRPr="000635E6">
        <w:rPr>
          <w:rFonts w:ascii="Arial" w:hAnsi="Arial" w:cs="Arial"/>
        </w:rPr>
        <w:t xml:space="preserve">Pasko </w:t>
      </w:r>
      <w:r w:rsidRPr="000635E6">
        <w:rPr>
          <w:rFonts w:ascii="Arial" w:hAnsi="Arial" w:cs="Arial"/>
          <w:i/>
          <w:iCs/>
        </w:rPr>
        <w:t>et al.,</w:t>
      </w:r>
      <w:r w:rsidRPr="000635E6">
        <w:rPr>
          <w:rFonts w:ascii="Arial" w:hAnsi="Arial" w:cs="Arial"/>
        </w:rPr>
        <w:t xml:space="preserve"> 2022).</w:t>
      </w:r>
      <w:r w:rsidRPr="00762742">
        <w:t xml:space="preserve"> </w:t>
      </w:r>
      <w:r w:rsidRPr="009E1AC9">
        <w:rPr>
          <w:rFonts w:ascii="Arial" w:hAnsi="Arial" w:cs="Arial"/>
        </w:rPr>
        <w:t xml:space="preserve">In addition, not every individual with severe </w:t>
      </w:r>
      <w:r w:rsidRPr="009E1AC9">
        <w:rPr>
          <w:rFonts w:ascii="Arial" w:hAnsi="Arial" w:cs="Arial"/>
        </w:rPr>
        <w:lastRenderedPageBreak/>
        <w:t>neuropathology has severe cognitive impairment, which questions the predictive validity of a purely biological approach.</w:t>
      </w:r>
    </w:p>
    <w:p w14:paraId="6044ED78" w14:textId="77777777" w:rsidR="00C42324" w:rsidRDefault="00C42324" w:rsidP="00C42324">
      <w:pPr>
        <w:keepNext/>
        <w:jc w:val="center"/>
      </w:pPr>
      <w:r>
        <w:rPr>
          <w:noProof/>
        </w:rPr>
        <w:drawing>
          <wp:inline distT="0" distB="0" distL="0" distR="0" wp14:anchorId="45CCCF0D" wp14:editId="5D2FF572">
            <wp:extent cx="5454618" cy="3491345"/>
            <wp:effectExtent l="0" t="0" r="0" b="0"/>
            <wp:docPr id="8" name="Picture 8" descr="https://www.labtoo.com/hubfs/Neuro_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descr="https://www.labtoo.com/hubfs/Neuro_EN-1.png"/>
                    <pic:cNvPicPr>
                      <a:picLocks noChangeAspect="1" noChangeArrowheads="1"/>
                    </pic:cNvPicPr>
                  </pic:nvPicPr>
                  <pic:blipFill>
                    <a:blip r:embed="rId17">
                      <a:extLst>
                        <a:ext uri="{28A0092B-C50C-407E-A947-70E740481C1C}">
                          <a14:useLocalDpi xmlns:a14="http://schemas.microsoft.com/office/drawing/2010/main" val="0"/>
                        </a:ext>
                      </a:extLst>
                    </a:blip>
                    <a:srcRect b="9614"/>
                    <a:stretch>
                      <a:fillRect/>
                    </a:stretch>
                  </pic:blipFill>
                  <pic:spPr bwMode="auto">
                    <a:xfrm>
                      <a:off x="0" y="0"/>
                      <a:ext cx="5454650" cy="3491366"/>
                    </a:xfrm>
                    <a:prstGeom prst="rect">
                      <a:avLst/>
                    </a:prstGeom>
                    <a:noFill/>
                    <a:ln>
                      <a:noFill/>
                    </a:ln>
                    <a:extLst>
                      <a:ext uri="{53640926-AAD7-44D8-BBD7-CCE9431645EC}">
                        <a14:shadowObscured xmlns:a14="http://schemas.microsoft.com/office/drawing/2010/main"/>
                      </a:ext>
                    </a:extLst>
                  </pic:spPr>
                </pic:pic>
              </a:graphicData>
            </a:graphic>
          </wp:inline>
        </w:drawing>
      </w:r>
    </w:p>
    <w:p w14:paraId="4F5707D5" w14:textId="339C47CE" w:rsidR="00C42324" w:rsidRDefault="00C42324" w:rsidP="00C42324">
      <w:pPr>
        <w:pStyle w:val="Caption"/>
        <w:jc w:val="center"/>
      </w:pPr>
      <w:r>
        <w:t xml:space="preserve">Figure </w:t>
      </w:r>
      <w:fldSimple w:instr=" SEQ Figure \* ARABIC ">
        <w:r w:rsidR="00813F71">
          <w:rPr>
            <w:noProof/>
          </w:rPr>
          <w:t>6</w:t>
        </w:r>
      </w:fldSimple>
      <w:r>
        <w:t xml:space="preserve"> (</w:t>
      </w:r>
      <w:proofErr w:type="spellStart"/>
      <w:r>
        <w:t>Labtoo</w:t>
      </w:r>
      <w:proofErr w:type="spellEnd"/>
      <w:r>
        <w:t>, 2022)</w:t>
      </w:r>
    </w:p>
    <w:p w14:paraId="58D45E27" w14:textId="77777777" w:rsidR="00C42324" w:rsidRPr="009E1AC9" w:rsidRDefault="00C42324" w:rsidP="00C42324">
      <w:pPr>
        <w:rPr>
          <w:rFonts w:ascii="Arial" w:hAnsi="Arial" w:cs="Arial"/>
        </w:rPr>
      </w:pPr>
      <w:r w:rsidRPr="009E1AC9">
        <w:rPr>
          <w:rFonts w:ascii="Arial" w:hAnsi="Arial" w:cs="Arial"/>
        </w:rPr>
        <w:t xml:space="preserve">The continuum model of cognitive ageing is relevant to these views by theorising normal ageing, mild cognitive impairment (MCI), and dementia as existing along a scale and not as separate features (O'Connor </w:t>
      </w:r>
      <w:r w:rsidRPr="009E1AC9">
        <w:rPr>
          <w:rFonts w:ascii="Arial" w:hAnsi="Arial" w:cs="Arial"/>
          <w:i/>
          <w:iCs/>
        </w:rPr>
        <w:t>et al</w:t>
      </w:r>
      <w:r w:rsidRPr="009E1AC9">
        <w:rPr>
          <w:rFonts w:ascii="Arial" w:hAnsi="Arial" w:cs="Arial"/>
        </w:rPr>
        <w:t xml:space="preserve">., 2023). This paradigm led to the creation of sensitive cognitive screening instruments, including the Montreal Cognitive Assessment (MoCA), which is meant to identify minor functional impairments in people before much deterioration has impacted their functions (Wang </w:t>
      </w:r>
      <w:r w:rsidRPr="009E1AC9">
        <w:rPr>
          <w:rFonts w:ascii="Arial" w:hAnsi="Arial" w:cs="Arial"/>
          <w:i/>
          <w:iCs/>
        </w:rPr>
        <w:t>et al.,</w:t>
      </w:r>
      <w:r w:rsidRPr="009E1AC9">
        <w:rPr>
          <w:rFonts w:ascii="Arial" w:hAnsi="Arial" w:cs="Arial"/>
        </w:rPr>
        <w:t xml:space="preserve"> 2022). However, the continuum model is discussed, and opponents state that it might result in unclear demarcation of diagnoses, and thus, possibly in overdiagnosis and providing patients and their caregivers with unwarranted anxiety. Studies also show that the use of this model might lead to inconsistent interpretation by practitioners, especially those nurses who lack any specialist training in cognitive assessment (Visser </w:t>
      </w:r>
      <w:r w:rsidRPr="009E1AC9">
        <w:rPr>
          <w:rFonts w:ascii="Arial" w:hAnsi="Arial" w:cs="Arial"/>
          <w:i/>
          <w:iCs/>
        </w:rPr>
        <w:t>et al.,</w:t>
      </w:r>
      <w:r w:rsidRPr="009E1AC9">
        <w:rPr>
          <w:rFonts w:ascii="Arial" w:hAnsi="Arial" w:cs="Arial"/>
        </w:rPr>
        <w:t xml:space="preserve"> 2025).</w:t>
      </w:r>
    </w:p>
    <w:p w14:paraId="662CEDF5" w14:textId="77777777" w:rsidR="00C42324" w:rsidRDefault="00C42324" w:rsidP="00C42324">
      <w:r w:rsidRPr="009E1AC9">
        <w:rPr>
          <w:rFonts w:ascii="Arial" w:hAnsi="Arial" w:cs="Arial"/>
        </w:rPr>
        <w:t xml:space="preserve">These theories are used in combination and also have limitations as shown by their empirical applications. An example is that papers that combine cognitive and neurodegenerative theories indicate that some individuals who have a larger reserve can be diagnosed with progressive pathology but with similar functional capabilities, making them difficult to detect earlier (Huang </w:t>
      </w:r>
      <w:r w:rsidRPr="009E1AC9">
        <w:rPr>
          <w:rFonts w:ascii="Arial" w:hAnsi="Arial" w:cs="Arial"/>
          <w:i/>
          <w:iCs/>
        </w:rPr>
        <w:t>et al</w:t>
      </w:r>
      <w:r w:rsidRPr="009E1AC9">
        <w:rPr>
          <w:rFonts w:ascii="Arial" w:hAnsi="Arial" w:cs="Arial"/>
        </w:rPr>
        <w:t xml:space="preserve">., 2025). Longitudinal studies have also utilised the continuum model to determine the progression between MCI and dementia, which points to the usefulness of the </w:t>
      </w:r>
      <w:r w:rsidRPr="009E1AC9">
        <w:rPr>
          <w:rFonts w:ascii="Arial" w:hAnsi="Arial" w:cs="Arial"/>
        </w:rPr>
        <w:lastRenderedPageBreak/>
        <w:t>model in research but raises practical issues related to clinical classification (Lee, 2023). Overall, these theories explain the understanding of dementia and its progression on a fundamental level; however, the limitation reduces the reliability of the model in distinguishing between normal ageing and early-stage dementia in clinical settings.</w:t>
      </w:r>
      <w:r>
        <w:t xml:space="preserve"> </w:t>
      </w:r>
    </w:p>
    <w:p w14:paraId="30E262C4" w14:textId="77777777" w:rsidR="004463E6" w:rsidRPr="004463E6" w:rsidRDefault="004463E6" w:rsidP="004463E6"/>
    <w:p w14:paraId="302C6B72" w14:textId="77F3C4F4" w:rsidR="00BD2909" w:rsidRPr="009E1AC9" w:rsidRDefault="00BD2909" w:rsidP="004463E6">
      <w:pPr>
        <w:pStyle w:val="Heading2"/>
        <w:rPr>
          <w:rStyle w:val="normaltextrun"/>
          <w:rFonts w:ascii="Arial" w:hAnsi="Arial"/>
        </w:rPr>
      </w:pPr>
      <w:bookmarkStart w:id="17" w:name="_Toc234829729"/>
      <w:r w:rsidRPr="009E1AC9">
        <w:rPr>
          <w:rStyle w:val="normaltextrun"/>
          <w:rFonts w:ascii="Arial" w:hAnsi="Arial"/>
        </w:rPr>
        <w:t>2.4 International Context</w:t>
      </w:r>
      <w:bookmarkEnd w:id="17"/>
    </w:p>
    <w:p w14:paraId="6306A874" w14:textId="77777777" w:rsidR="00C42324" w:rsidRPr="009E1AC9" w:rsidRDefault="00C42324" w:rsidP="00C42324">
      <w:pPr>
        <w:rPr>
          <w:rFonts w:ascii="Arial" w:hAnsi="Arial" w:cs="Arial"/>
        </w:rPr>
      </w:pPr>
      <w:r w:rsidRPr="009E1AC9">
        <w:rPr>
          <w:rFonts w:ascii="Arial" w:hAnsi="Arial" w:cs="Arial"/>
        </w:rPr>
        <w:t xml:space="preserve">Dementia has begun to be accepted as a problem by global public health, and there is a marked diversity in Forms of addressing early recognition, care, and support of affected individuals across nations. Such innovations as dementia-specific villages have been created in the Netherlands, where residents have safe and stimulating conditions, and people can become independent in these villages, although adequate care is offered (Chadborn </w:t>
      </w:r>
      <w:r w:rsidRPr="009E1AC9">
        <w:rPr>
          <w:rFonts w:ascii="Arial" w:hAnsi="Arial" w:cs="Arial"/>
          <w:i/>
          <w:iCs/>
        </w:rPr>
        <w:t>et al.,</w:t>
      </w:r>
      <w:r w:rsidRPr="009E1AC9">
        <w:rPr>
          <w:rFonts w:ascii="Arial" w:hAnsi="Arial" w:cs="Arial"/>
        </w:rPr>
        <w:t xml:space="preserve"> 2024). This model is a person-centred method which places emphasis on quality of life and social interrelationships and shows how the environment and society can be modified to assist people with cognitive impairment. Likewise, other nations like Japan and Sweden have established community-based memory clinics and systematic home-visit schemes to access early detection and continued supervision of elderly people, as it has been observed that primary healthcare is critical in identifying dementia at its early stages (Baba </w:t>
      </w:r>
      <w:r w:rsidRPr="009E1AC9">
        <w:rPr>
          <w:rFonts w:ascii="Arial" w:hAnsi="Arial" w:cs="Arial"/>
          <w:i/>
          <w:iCs/>
        </w:rPr>
        <w:t>et al</w:t>
      </w:r>
      <w:r w:rsidRPr="009E1AC9">
        <w:rPr>
          <w:rFonts w:ascii="Arial" w:hAnsi="Arial" w:cs="Arial"/>
        </w:rPr>
        <w:t>., 2024). Overall, these approaches demonstrated that early detection strategies must be adapted to healthcare systems and resource availability.</w:t>
      </w:r>
    </w:p>
    <w:p w14:paraId="117963C1" w14:textId="17BBAA14" w:rsidR="00C42324" w:rsidRPr="009E1AC9" w:rsidRDefault="00C42324" w:rsidP="00C42324">
      <w:pPr>
        <w:rPr>
          <w:rFonts w:ascii="Arial" w:hAnsi="Arial" w:cs="Arial"/>
        </w:rPr>
      </w:pPr>
      <w:r w:rsidRPr="009E1AC9">
        <w:rPr>
          <w:rFonts w:ascii="Arial" w:hAnsi="Arial" w:cs="Arial"/>
        </w:rPr>
        <w:t>Early diagnosis and early intervention are becoming a priority in policies internationally. Global Action Plan on the Public Health Response to Dementia 20172025 by the World Health Organisation proposes early identification, follow-up care trajectories, and staff education to enhance the management of dementia globally (World Health Organisation, 2017). Nations vary in how much these recommendations are operationalised</w:t>
      </w:r>
      <w:r w:rsidR="009E1AC9">
        <w:rPr>
          <w:rFonts w:ascii="Arial" w:hAnsi="Arial" w:cs="Arial"/>
        </w:rPr>
        <w:t>;</w:t>
      </w:r>
      <w:r w:rsidRPr="009E1AC9">
        <w:rPr>
          <w:rFonts w:ascii="Arial" w:hAnsi="Arial" w:cs="Arial"/>
        </w:rPr>
        <w:t xml:space="preserve"> the UK has invested in memory assessment services as well as national dementia strategies, whilst the low- and middle-income countries may have issues in terms of resources, lack of awareness, and untrained staff (Smith and Surr, 2024).</w:t>
      </w:r>
    </w:p>
    <w:p w14:paraId="78F48F05" w14:textId="15CFF9FD" w:rsidR="00C42324" w:rsidRDefault="00C42324" w:rsidP="00C42324">
      <w:r w:rsidRPr="009E1AC9">
        <w:rPr>
          <w:rFonts w:ascii="Arial" w:hAnsi="Arial" w:cs="Arial"/>
        </w:rPr>
        <w:t xml:space="preserve">Comparison brings out similarities and differences. Higher-income countries tend to use structured screening and early intervention and multidisciplinary models, and the setting with fewer resources will have to depend more on family caregivers and community awareness of cognitive impairment. The European Dementia Monitor and Alzheimer's Disease International efforts are cross-national initiatives that strive to exchange best practices, standardise policies, and fund research on a novel care model (Saunders </w:t>
      </w:r>
      <w:r w:rsidRPr="009E1AC9">
        <w:rPr>
          <w:rFonts w:ascii="Arial" w:hAnsi="Arial" w:cs="Arial"/>
          <w:i/>
          <w:iCs/>
        </w:rPr>
        <w:t>et al</w:t>
      </w:r>
      <w:r w:rsidRPr="009E1AC9">
        <w:rPr>
          <w:rFonts w:ascii="Arial" w:hAnsi="Arial" w:cs="Arial"/>
        </w:rPr>
        <w:t>., 2022). Primary care nurse training at the national level in Denmark has enhanced the rate of early identification, whereas in India,</w:t>
      </w:r>
      <w:r w:rsidRPr="00E15D0F">
        <w:t xml:space="preserve"> </w:t>
      </w:r>
      <w:r w:rsidRPr="009E1AC9">
        <w:rPr>
          <w:rFonts w:ascii="Arial" w:hAnsi="Arial" w:cs="Arial"/>
        </w:rPr>
        <w:lastRenderedPageBreak/>
        <w:t xml:space="preserve">pilots with mobile technology can be used to perform cognitive screening on the rural population, but cultural stigma and lack of awareness pose obstacles (Bray </w:t>
      </w:r>
      <w:r w:rsidRPr="009E1AC9">
        <w:rPr>
          <w:rFonts w:ascii="Arial" w:hAnsi="Arial" w:cs="Arial"/>
          <w:i/>
          <w:iCs/>
        </w:rPr>
        <w:t>et al.,</w:t>
      </w:r>
      <w:r w:rsidRPr="009E1AC9">
        <w:rPr>
          <w:rFonts w:ascii="Arial" w:hAnsi="Arial" w:cs="Arial"/>
        </w:rPr>
        <w:t xml:space="preserve"> 2025). The Dutch dementia villages, Japanese community clinics and UK memory services all share the essentials of a contextual, situation-specific approach that considers early detection, patient autonomy and support of the caregivers. In general, these international experiences have highlighted that although the objective is to recognise dementia at its early stages, strategies need to consider cultural, economic and healthcare system contexts.</w:t>
      </w:r>
    </w:p>
    <w:p w14:paraId="5DD7B6FB" w14:textId="77777777" w:rsidR="004463E6" w:rsidRPr="004463E6" w:rsidRDefault="004463E6" w:rsidP="004463E6"/>
    <w:p w14:paraId="09099AFE" w14:textId="37939C37" w:rsidR="00BD2909" w:rsidRPr="009E1AC9" w:rsidRDefault="00BD2909" w:rsidP="004463E6">
      <w:pPr>
        <w:pStyle w:val="Heading2"/>
        <w:rPr>
          <w:rStyle w:val="normaltextrun"/>
          <w:rFonts w:ascii="Arial" w:hAnsi="Arial"/>
        </w:rPr>
      </w:pPr>
      <w:bookmarkStart w:id="18" w:name="_Toc234829730"/>
      <w:r w:rsidRPr="009E1AC9">
        <w:rPr>
          <w:rStyle w:val="normaltextrun"/>
          <w:rFonts w:ascii="Arial" w:hAnsi="Arial"/>
        </w:rPr>
        <w:t>2.5 National/Local UK Context</w:t>
      </w:r>
      <w:bookmarkEnd w:id="18"/>
    </w:p>
    <w:p w14:paraId="5FCB7298" w14:textId="5D3008ED" w:rsidR="00C42324" w:rsidRPr="009E1AC9" w:rsidRDefault="00C42324" w:rsidP="00C42324">
      <w:pPr>
        <w:rPr>
          <w:rFonts w:ascii="Arial" w:hAnsi="Arial" w:cs="Arial"/>
        </w:rPr>
      </w:pPr>
      <w:r w:rsidRPr="009E1AC9">
        <w:rPr>
          <w:rFonts w:ascii="Arial" w:hAnsi="Arial" w:cs="Arial"/>
        </w:rPr>
        <w:t xml:space="preserve">Dementia has recently assumed a central role as a public health concern in the United Kingdom due to the rising incidence of age-associated cancer and the rising prevalence of </w:t>
      </w:r>
      <w:r w:rsidR="009E1AC9">
        <w:rPr>
          <w:rFonts w:ascii="Arial" w:hAnsi="Arial" w:cs="Arial"/>
        </w:rPr>
        <w:t>age-related mental</w:t>
      </w:r>
      <w:r w:rsidRPr="009E1AC9">
        <w:rPr>
          <w:rFonts w:ascii="Arial" w:hAnsi="Arial" w:cs="Arial"/>
        </w:rPr>
        <w:t xml:space="preserve"> illnesses. Dementia influences more than 900,000 individuals in the UK, with the estimates suggesting its increase to above 1.5 million by 2040 (Reeves </w:t>
      </w:r>
      <w:r w:rsidRPr="009E1AC9">
        <w:rPr>
          <w:rFonts w:ascii="Arial" w:hAnsi="Arial" w:cs="Arial"/>
          <w:i/>
          <w:iCs/>
        </w:rPr>
        <w:t>et al</w:t>
      </w:r>
      <w:r w:rsidRPr="009E1AC9">
        <w:rPr>
          <w:rFonts w:ascii="Arial" w:hAnsi="Arial" w:cs="Arial"/>
        </w:rPr>
        <w:t xml:space="preserve">., 2023). National strategies revolve around early recognition and early diagnosis because early intervention has the potential to enhance planning of care, access to support services, and quality of life </w:t>
      </w:r>
      <w:r w:rsidR="009E1AC9">
        <w:rPr>
          <w:rFonts w:ascii="Arial" w:hAnsi="Arial" w:cs="Arial"/>
        </w:rPr>
        <w:t>for</w:t>
      </w:r>
      <w:r w:rsidRPr="009E1AC9">
        <w:rPr>
          <w:rFonts w:ascii="Arial" w:hAnsi="Arial" w:cs="Arial"/>
        </w:rPr>
        <w:t xml:space="preserve"> both the patients and caregivers. The UK strategy focuses on individual care provision, multidisciplinary teamwork, and </w:t>
      </w:r>
      <w:r w:rsidR="009E1AC9">
        <w:rPr>
          <w:rFonts w:ascii="Arial" w:hAnsi="Arial" w:cs="Arial"/>
        </w:rPr>
        <w:t>integration</w:t>
      </w:r>
      <w:r w:rsidRPr="009E1AC9">
        <w:rPr>
          <w:rFonts w:ascii="Arial" w:hAnsi="Arial" w:cs="Arial"/>
        </w:rPr>
        <w:t xml:space="preserve"> of health and social care services to deal efficiently with cognitive impairment. The major role in this arrangement is played by nursing practitioners, who often perform assessments, oversee cognitive alterations, and plan care both in primary and secondary care (</w:t>
      </w:r>
      <w:proofErr w:type="spellStart"/>
      <w:r w:rsidRPr="009E1AC9">
        <w:rPr>
          <w:rFonts w:ascii="Arial" w:hAnsi="Arial" w:cs="Arial"/>
        </w:rPr>
        <w:t>Sorsgaard</w:t>
      </w:r>
      <w:proofErr w:type="spellEnd"/>
      <w:r w:rsidRPr="009E1AC9">
        <w:rPr>
          <w:rFonts w:ascii="Arial" w:hAnsi="Arial" w:cs="Arial"/>
        </w:rPr>
        <w:t xml:space="preserve"> </w:t>
      </w:r>
      <w:r w:rsidRPr="009E1AC9">
        <w:rPr>
          <w:rFonts w:ascii="Arial" w:hAnsi="Arial" w:cs="Arial"/>
          <w:i/>
          <w:iCs/>
        </w:rPr>
        <w:t>et al.,</w:t>
      </w:r>
      <w:r w:rsidRPr="009E1AC9">
        <w:rPr>
          <w:rFonts w:ascii="Arial" w:hAnsi="Arial" w:cs="Arial"/>
        </w:rPr>
        <w:t xml:space="preserve"> 2024).</w:t>
      </w:r>
    </w:p>
    <w:p w14:paraId="1AF82D74" w14:textId="2353C5EA" w:rsidR="00C42324" w:rsidRPr="009E1AC9" w:rsidRDefault="00C42324" w:rsidP="00C42324">
      <w:pPr>
        <w:rPr>
          <w:rFonts w:ascii="Arial" w:hAnsi="Arial" w:cs="Arial"/>
        </w:rPr>
      </w:pPr>
      <w:r w:rsidRPr="009E1AC9">
        <w:rPr>
          <w:rFonts w:ascii="Arial" w:hAnsi="Arial" w:cs="Arial"/>
        </w:rPr>
        <w:t xml:space="preserve">Dementia care is influenced by policies and legislation on a national level. The Prime Minister's Challenge on Dementia 2020 updated the National Dementia Strategy that encourages early diagnosis, training of the workforce, and interventions in the community (Giebel et al., 2025). Such undertakings promote standardised cognitive assessment </w:t>
      </w:r>
      <w:r w:rsidR="009E1AC9">
        <w:rPr>
          <w:rFonts w:ascii="Arial" w:hAnsi="Arial" w:cs="Arial"/>
        </w:rPr>
        <w:t>in</w:t>
      </w:r>
      <w:r w:rsidRPr="009E1AC9">
        <w:rPr>
          <w:rFonts w:ascii="Arial" w:hAnsi="Arial" w:cs="Arial"/>
        </w:rPr>
        <w:t xml:space="preserve"> primary care and development of memory clinics offering organised routes of assessment, surveillance and referral. Besides, both the Care Act 2014 and the Health and Social Care Act 2012 introduce the statutory obligations of the local authorities and healthcare organisations to deliver appropriate care, protection, and person-centred treatment of older adults with cognitive impairment (England, 2022). All these policies support the significance of early assessment and health care providers, especially nurses, in adopting evidence-based assessment and intervention practises. On a local level, the implementation is provided differently in regions based on resource availability, services, and demographics of the population. </w:t>
      </w:r>
    </w:p>
    <w:p w14:paraId="3DF474C3" w14:textId="77777777" w:rsidR="00C42324" w:rsidRPr="009E1AC9" w:rsidRDefault="00C42324" w:rsidP="00C42324">
      <w:pPr>
        <w:rPr>
          <w:rFonts w:ascii="Arial" w:hAnsi="Arial" w:cs="Arial"/>
        </w:rPr>
      </w:pPr>
      <w:r w:rsidRPr="009E1AC9">
        <w:rPr>
          <w:rFonts w:ascii="Arial" w:hAnsi="Arial" w:cs="Arial"/>
        </w:rPr>
        <w:t xml:space="preserve">For example, London and Manchester have incorporated nurse-led cognitive screening into their memory assessment services that can be performed during primary care and enhance </w:t>
      </w:r>
      <w:r w:rsidRPr="009E1AC9">
        <w:rPr>
          <w:rFonts w:ascii="Arial" w:hAnsi="Arial" w:cs="Arial"/>
        </w:rPr>
        <w:lastRenderedPageBreak/>
        <w:t>the rate of early diagnosis and referrals (Smith and Surr, 2024). Rural settings, in its turn, are characterised by such issues as insufficient access to expert services, shortages of staff, and deficient patient and caregiver awareness. Community-based cognitive health programmes, collaboration with voluntary organisations, and dementia-friendly hospital programmes are local initiatives that are meant to address these disparities and build specific support to cater to the needs of the regions (</w:t>
      </w:r>
      <w:proofErr w:type="spellStart"/>
      <w:r w:rsidRPr="009E1AC9">
        <w:rPr>
          <w:rFonts w:ascii="Arial" w:hAnsi="Arial" w:cs="Arial"/>
        </w:rPr>
        <w:t>Agbana</w:t>
      </w:r>
      <w:proofErr w:type="spellEnd"/>
      <w:r w:rsidRPr="009E1AC9">
        <w:rPr>
          <w:rFonts w:ascii="Arial" w:hAnsi="Arial" w:cs="Arial"/>
        </w:rPr>
        <w:t>, 2025). The UK situation, at large, depicts a full implementation of dementia awareness and intervention strategies that integrate the national policy frameworks, systematic clinical pathways, and locally-oriented efforts and interventions. Although some achievements have been realised in terms of standardisation of early detection and care, there are still issues in equitable access, especially in the underserved areas. The nursing practise, policy and community support integration remain significant in improving the overall results and promoting earlier identification of individuals with dementia risk.</w:t>
      </w:r>
    </w:p>
    <w:p w14:paraId="34DCCC70" w14:textId="77777777" w:rsidR="004463E6" w:rsidRPr="004463E6" w:rsidRDefault="004463E6" w:rsidP="004463E6"/>
    <w:p w14:paraId="44658AF6" w14:textId="159BB217" w:rsidR="00BD2909" w:rsidRPr="009E1AC9" w:rsidRDefault="00BD2909" w:rsidP="004463E6">
      <w:pPr>
        <w:pStyle w:val="Heading2"/>
        <w:rPr>
          <w:rStyle w:val="normaltextrun"/>
          <w:rFonts w:ascii="Arial" w:hAnsi="Arial"/>
        </w:rPr>
      </w:pPr>
      <w:bookmarkStart w:id="19" w:name="_Toc234829731"/>
      <w:r w:rsidRPr="009E1AC9">
        <w:rPr>
          <w:rStyle w:val="normaltextrun"/>
          <w:rFonts w:ascii="Arial" w:hAnsi="Arial"/>
        </w:rPr>
        <w:t>2.6 Conclusion</w:t>
      </w:r>
      <w:bookmarkEnd w:id="19"/>
    </w:p>
    <w:p w14:paraId="60D9F7F6" w14:textId="7FC306E9" w:rsidR="00C42324" w:rsidRPr="009E1AC9" w:rsidRDefault="00C42324" w:rsidP="00C42324">
      <w:pPr>
        <w:rPr>
          <w:rFonts w:ascii="Arial" w:hAnsi="Arial" w:cs="Arial"/>
        </w:rPr>
      </w:pPr>
      <w:r w:rsidRPr="009E1AC9">
        <w:rPr>
          <w:rFonts w:ascii="Arial" w:hAnsi="Arial" w:cs="Arial"/>
        </w:rPr>
        <w:t>The background chapter has presented an in-depth summary of the historical, theoretical, global, and country-specific situation in early dementia recognition. It made a notable emphasis on the progression of the study on dementia, pivotal figures, and how clinical assessment models have evolved to guide nursing practise. The chapter is also critical of foundational theories, illustrating how they have been used and constrained to inform early detection strategies. The comparisons of international practises, such as innovative care models and international initiatives, with the UK policies and local approaches highlighted the significance of context-specific planning for effective dementia management. This literature review is a full scope that can be used to formulate a knowledge base and inform the research design, which involves selecting methods and evaluation approaches to be used. This understanding would inform the systematic section in Chapter 3, where the research would be based on known evidence and be able to fill gaps in the nursing practise.</w:t>
      </w:r>
    </w:p>
    <w:p w14:paraId="110BE830" w14:textId="77777777" w:rsidR="004463E6" w:rsidRPr="004463E6" w:rsidRDefault="004463E6" w:rsidP="004463E6"/>
    <w:p w14:paraId="0A075791" w14:textId="385AB4F0" w:rsidR="00880B2D" w:rsidRDefault="00880B2D"/>
    <w:p w14:paraId="0ADC38C7" w14:textId="3D7AD8C0" w:rsidR="00E65AF0" w:rsidRDefault="00E65AF0">
      <w:pPr>
        <w:spacing w:line="259" w:lineRule="auto"/>
        <w:jc w:val="left"/>
      </w:pPr>
      <w:r>
        <w:br w:type="page"/>
      </w:r>
    </w:p>
    <w:p w14:paraId="6F7343CF" w14:textId="77777777" w:rsidR="00E65AF0" w:rsidRDefault="00E65AF0" w:rsidP="00E65AF0">
      <w:pPr>
        <w:pStyle w:val="Heading1"/>
      </w:pPr>
      <w:bookmarkStart w:id="20" w:name="_Toc234829732"/>
      <w:r>
        <w:lastRenderedPageBreak/>
        <w:t>CHAPTER 3: Methods and Search Strategy</w:t>
      </w:r>
      <w:bookmarkEnd w:id="20"/>
      <w:r>
        <w:t xml:space="preserve"> </w:t>
      </w:r>
    </w:p>
    <w:p w14:paraId="33FD598E" w14:textId="77777777" w:rsidR="00E65AF0" w:rsidRPr="009E1AC9" w:rsidRDefault="00E65AF0" w:rsidP="009E1AC9">
      <w:pPr>
        <w:pStyle w:val="Heading2"/>
        <w:jc w:val="both"/>
        <w:rPr>
          <w:rFonts w:ascii="Arial" w:hAnsi="Arial"/>
          <w:sz w:val="22"/>
          <w:szCs w:val="22"/>
        </w:rPr>
      </w:pPr>
      <w:bookmarkStart w:id="21" w:name="_Toc234829733"/>
      <w:r w:rsidRPr="009E1AC9">
        <w:rPr>
          <w:rFonts w:ascii="Arial" w:hAnsi="Arial"/>
          <w:sz w:val="22"/>
          <w:szCs w:val="22"/>
        </w:rPr>
        <w:t>3.1 – Introduction</w:t>
      </w:r>
      <w:bookmarkEnd w:id="21"/>
    </w:p>
    <w:p w14:paraId="19617215" w14:textId="77777777" w:rsidR="00E65AF0" w:rsidRPr="009E1AC9" w:rsidRDefault="00E65AF0" w:rsidP="009E1AC9">
      <w:pPr>
        <w:rPr>
          <w:rFonts w:ascii="Arial" w:hAnsi="Arial" w:cs="Arial"/>
        </w:rPr>
      </w:pPr>
      <w:r w:rsidRPr="009E1AC9">
        <w:rPr>
          <w:rFonts w:ascii="Arial" w:hAnsi="Arial" w:cs="Arial"/>
        </w:rPr>
        <w:t>This chapter discusses the process used for the secondary research investigation of early dementia identification among older adults. The study uses a descriptive and literature-based approach, systematic identification, selection and analysis of peer-reviewed academic literature related to dementia recognition, assessment of cognition and nursing practice. This chapter details each of the student's research steps; the academic methodology poster offers a visual overview of the research process. Secondary research is suitable for compiling together the knowledge that has been generated before and looking for patterns of studies (Ralph and Baltes, 2022). The methods discussed will inform the thematic findings and analysis presented in Chapter 4.</w:t>
      </w:r>
    </w:p>
    <w:p w14:paraId="4A624CC5" w14:textId="77777777" w:rsidR="00E65AF0" w:rsidRPr="009E1AC9" w:rsidRDefault="00E65AF0" w:rsidP="009E1AC9">
      <w:pPr>
        <w:rPr>
          <w:rFonts w:ascii="Arial" w:hAnsi="Arial" w:cs="Arial"/>
        </w:rPr>
      </w:pPr>
    </w:p>
    <w:p w14:paraId="382803CC" w14:textId="77777777" w:rsidR="00E65AF0" w:rsidRPr="009E1AC9" w:rsidRDefault="00E65AF0" w:rsidP="009E1AC9">
      <w:pPr>
        <w:pStyle w:val="Heading2"/>
        <w:jc w:val="both"/>
        <w:rPr>
          <w:rFonts w:ascii="Arial" w:hAnsi="Arial"/>
          <w:sz w:val="22"/>
          <w:szCs w:val="22"/>
        </w:rPr>
      </w:pPr>
      <w:bookmarkStart w:id="22" w:name="_Toc234829734"/>
      <w:r w:rsidRPr="009E1AC9">
        <w:rPr>
          <w:rFonts w:ascii="Arial" w:hAnsi="Arial"/>
          <w:sz w:val="22"/>
          <w:szCs w:val="22"/>
        </w:rPr>
        <w:t>3.2 – Search Strategy</w:t>
      </w:r>
      <w:bookmarkEnd w:id="22"/>
    </w:p>
    <w:p w14:paraId="722687F7" w14:textId="32510301" w:rsidR="00E65AF0" w:rsidRPr="009E1AC9" w:rsidRDefault="00E65AF0" w:rsidP="009E1AC9">
      <w:pPr>
        <w:rPr>
          <w:rFonts w:ascii="Arial" w:hAnsi="Arial" w:cs="Arial"/>
        </w:rPr>
      </w:pPr>
      <w:r w:rsidRPr="009E1AC9">
        <w:rPr>
          <w:rFonts w:ascii="Arial" w:hAnsi="Arial" w:cs="Arial"/>
        </w:rPr>
        <w:t>The research title and objectives were used to create a structured search strategy using the following keywords: “dementia”, “normal ageing”, “cognitive impairment”, “early recognition”, “nursing practice”, “cognitive assessment”. To enhance search sensitivity, additional search terms were used related to the profession, including “mild cognitive impairment,” “screening tools,” and “older adults.” Boolean operators were used to narrow results down</w:t>
      </w:r>
      <w:r w:rsidR="009E1AC9">
        <w:rPr>
          <w:rFonts w:ascii="Arial" w:hAnsi="Arial" w:cs="Arial"/>
        </w:rPr>
        <w:t>:</w:t>
      </w:r>
      <w:r w:rsidRPr="009E1AC9">
        <w:rPr>
          <w:rFonts w:ascii="Arial" w:hAnsi="Arial" w:cs="Arial"/>
        </w:rPr>
        <w:t xml:space="preserve"> "AND" added concepts to combine and "OR" added alternatives of terms, and "NOT" was added to exclude irrelevant studies. </w:t>
      </w:r>
      <w:r w:rsidR="0099107C" w:rsidRPr="009E1AC9">
        <w:rPr>
          <w:rFonts w:ascii="Arial" w:hAnsi="Arial" w:cs="Arial"/>
        </w:rPr>
        <w:t xml:space="preserve">The literature search methodology adopted was deemed most suitable as it allowed for the identification of literature directly relevant to the research objective of differentiating normal cognitive ageing from early dementia, whilst concentrating specifically on nursing assessments and clinical practice. </w:t>
      </w:r>
      <w:r w:rsidRPr="009E1AC9">
        <w:rPr>
          <w:rFonts w:ascii="Arial" w:hAnsi="Arial" w:cs="Arial"/>
        </w:rPr>
        <w:t xml:space="preserve">A systematic approach to searching was employed to capture combinations of keywords, database outputs, and articles that would be relevant to the process of reviewing to provide transparency and consistency in the search process (Haddaway </w:t>
      </w:r>
      <w:r w:rsidRPr="009E1AC9">
        <w:rPr>
          <w:rFonts w:ascii="Arial" w:hAnsi="Arial" w:cs="Arial"/>
          <w:i/>
          <w:iCs/>
        </w:rPr>
        <w:t>et al</w:t>
      </w:r>
      <w:r w:rsidRPr="009E1AC9">
        <w:rPr>
          <w:rFonts w:ascii="Arial" w:hAnsi="Arial" w:cs="Arial"/>
        </w:rPr>
        <w:t>., 2022).</w:t>
      </w:r>
    </w:p>
    <w:p w14:paraId="4B3B0D49" w14:textId="77777777" w:rsidR="00E65AF0" w:rsidRPr="009E1AC9" w:rsidRDefault="00E65AF0" w:rsidP="009E1AC9">
      <w:pPr>
        <w:rPr>
          <w:rFonts w:ascii="Arial" w:hAnsi="Arial" w:cs="Arial"/>
        </w:rPr>
      </w:pPr>
    </w:p>
    <w:p w14:paraId="33797B6B" w14:textId="77777777" w:rsidR="00E65AF0" w:rsidRPr="009E1AC9" w:rsidRDefault="00E65AF0" w:rsidP="009E1AC9">
      <w:pPr>
        <w:pStyle w:val="Heading2"/>
        <w:jc w:val="both"/>
        <w:rPr>
          <w:rFonts w:ascii="Arial" w:hAnsi="Arial"/>
          <w:sz w:val="22"/>
          <w:szCs w:val="22"/>
        </w:rPr>
      </w:pPr>
      <w:bookmarkStart w:id="23" w:name="_Toc234829735"/>
      <w:r w:rsidRPr="009E1AC9">
        <w:rPr>
          <w:rFonts w:ascii="Arial" w:hAnsi="Arial"/>
          <w:sz w:val="22"/>
          <w:szCs w:val="22"/>
        </w:rPr>
        <w:t>3.3 – Searching for Information</w:t>
      </w:r>
      <w:bookmarkEnd w:id="23"/>
    </w:p>
    <w:p w14:paraId="2C530526" w14:textId="4663B4B6" w:rsidR="0002337B" w:rsidRPr="009E1AC9" w:rsidRDefault="0002337B" w:rsidP="009E1AC9">
      <w:pPr>
        <w:rPr>
          <w:rFonts w:ascii="Arial" w:hAnsi="Arial" w:cs="Arial"/>
          <w:highlight w:val="yellow"/>
        </w:rPr>
      </w:pPr>
      <w:r w:rsidRPr="009E1AC9">
        <w:rPr>
          <w:rFonts w:ascii="Arial" w:hAnsi="Arial" w:cs="Arial"/>
        </w:rPr>
        <w:t>Academic literature was identified using well-established databases within the healthcare and multidisciplinary fields</w:t>
      </w:r>
      <w:r w:rsidR="009E1AC9">
        <w:rPr>
          <w:rFonts w:ascii="Arial" w:hAnsi="Arial" w:cs="Arial"/>
        </w:rPr>
        <w:t>,</w:t>
      </w:r>
      <w:r w:rsidRPr="009E1AC9">
        <w:rPr>
          <w:rFonts w:ascii="Arial" w:hAnsi="Arial" w:cs="Arial"/>
        </w:rPr>
        <w:t xml:space="preserve"> such as PubMed, CINAHL, PsycINFO and Google Scholar. These databases were selected due to their credibility in the literature that is presented</w:t>
      </w:r>
      <w:r w:rsidR="009E1AC9">
        <w:rPr>
          <w:rFonts w:ascii="Arial" w:hAnsi="Arial" w:cs="Arial"/>
        </w:rPr>
        <w:t>,</w:t>
      </w:r>
      <w:r w:rsidRPr="009E1AC9">
        <w:rPr>
          <w:rFonts w:ascii="Arial" w:hAnsi="Arial" w:cs="Arial"/>
        </w:rPr>
        <w:t xml:space="preserve"> and they are appropriate to answering the research question as they focus on quality evidence that is </w:t>
      </w:r>
      <w:r w:rsidRPr="009E1AC9">
        <w:rPr>
          <w:rFonts w:ascii="Arial" w:hAnsi="Arial" w:cs="Arial"/>
        </w:rPr>
        <w:lastRenderedPageBreak/>
        <w:t>relevant to the study of nursing, medicine, psychology, ageing and dementia care. PubMed and CINAHL were particularly helpful in finding evidence-based nursing and clinical studies on the recognition of dementia, cognitive assessment and health-care interventions, while PsycINFO was valuable for cognitive and behavioural studies on psychological aspects of cognitive impairment and dementia. The search was extended to Google Scholar to help identify additional relevant studies, and to make sure that potentially relevant peer-reviewed studies that had not been found in one search were included.</w:t>
      </w:r>
    </w:p>
    <w:p w14:paraId="4735D456" w14:textId="5462161B" w:rsidR="0002337B" w:rsidRPr="009E1AC9" w:rsidRDefault="00E83DB5" w:rsidP="009E1AC9">
      <w:pPr>
        <w:rPr>
          <w:rFonts w:ascii="Arial" w:hAnsi="Arial" w:cs="Arial"/>
          <w:highlight w:val="yellow"/>
        </w:rPr>
      </w:pPr>
      <w:r w:rsidRPr="009E1AC9">
        <w:rPr>
          <w:rFonts w:ascii="Arial" w:hAnsi="Arial" w:cs="Arial"/>
        </w:rPr>
        <w:t xml:space="preserve">Employing several databases allowed the literature review process to be comprehensive and reliable (Shaheen </w:t>
      </w:r>
      <w:r w:rsidRPr="009E1AC9">
        <w:rPr>
          <w:rFonts w:ascii="Arial" w:hAnsi="Arial" w:cs="Arial"/>
          <w:i/>
          <w:iCs/>
        </w:rPr>
        <w:t>et al.,</w:t>
      </w:r>
      <w:r w:rsidRPr="009E1AC9">
        <w:rPr>
          <w:rFonts w:ascii="Arial" w:hAnsi="Arial" w:cs="Arial"/>
        </w:rPr>
        <w:t xml:space="preserve"> 2023). Multiple filters were used to improve the relevance and quality of results. The articles </w:t>
      </w:r>
      <w:r w:rsidR="009E1AC9">
        <w:rPr>
          <w:rFonts w:ascii="Arial" w:hAnsi="Arial" w:cs="Arial"/>
        </w:rPr>
        <w:t xml:space="preserve">were </w:t>
      </w:r>
      <w:r w:rsidRPr="009E1AC9">
        <w:rPr>
          <w:rFonts w:ascii="Arial" w:hAnsi="Arial" w:cs="Arial"/>
        </w:rPr>
        <w:t xml:space="preserve">required to be peer-reviewed, published in English within the last 10 years, in an online format and focused on the detection or cognition assessment of older people with a diagnosis of dementia. In the search process, keywords/phrases were modified when the search results were either too general or too specific to improve the relevance of the retrieved studies and minimise irrelevant results. A comprehensive record of databases visited, search terms used, inclusion/exclusion of studies and selected studies </w:t>
      </w:r>
      <w:r w:rsidR="009E1AC9">
        <w:rPr>
          <w:rFonts w:ascii="Arial" w:hAnsi="Arial" w:cs="Arial"/>
        </w:rPr>
        <w:t>was</w:t>
      </w:r>
      <w:r w:rsidRPr="009E1AC9">
        <w:rPr>
          <w:rFonts w:ascii="Arial" w:hAnsi="Arial" w:cs="Arial"/>
        </w:rPr>
        <w:t xml:space="preserve"> recorded in Appendix 1: Source Tracking Table to enable transparency and organisation of the review process.</w:t>
      </w:r>
    </w:p>
    <w:p w14:paraId="4CF70EAC" w14:textId="77777777" w:rsidR="00933490" w:rsidRPr="009E1AC9" w:rsidRDefault="00933490" w:rsidP="009E1AC9">
      <w:pPr>
        <w:rPr>
          <w:rFonts w:ascii="Arial" w:hAnsi="Arial" w:cs="Arial"/>
        </w:rPr>
      </w:pPr>
    </w:p>
    <w:p w14:paraId="054963B3" w14:textId="77777777" w:rsidR="00E65AF0" w:rsidRPr="009E1AC9" w:rsidRDefault="00E65AF0" w:rsidP="009E1AC9">
      <w:pPr>
        <w:pStyle w:val="Heading2"/>
        <w:jc w:val="both"/>
        <w:rPr>
          <w:rFonts w:ascii="Arial" w:hAnsi="Arial"/>
          <w:sz w:val="22"/>
          <w:szCs w:val="22"/>
        </w:rPr>
      </w:pPr>
      <w:bookmarkStart w:id="24" w:name="_Toc234829736"/>
      <w:r w:rsidRPr="009E1AC9">
        <w:rPr>
          <w:rFonts w:ascii="Arial" w:hAnsi="Arial"/>
          <w:sz w:val="22"/>
          <w:szCs w:val="22"/>
        </w:rPr>
        <w:t>3.4 – Research Validation</w:t>
      </w:r>
      <w:bookmarkEnd w:id="24"/>
    </w:p>
    <w:p w14:paraId="6B826D2B" w14:textId="183E6FFA" w:rsidR="00E65AF0" w:rsidRPr="009E1AC9" w:rsidRDefault="00E65AF0" w:rsidP="009E1AC9">
      <w:pPr>
        <w:rPr>
          <w:rFonts w:ascii="Arial" w:hAnsi="Arial" w:cs="Arial"/>
        </w:rPr>
      </w:pPr>
      <w:r w:rsidRPr="009E1AC9">
        <w:rPr>
          <w:rFonts w:ascii="Arial" w:hAnsi="Arial" w:cs="Arial"/>
        </w:rPr>
        <w:t xml:space="preserve">Research validation was carried out to make sure that the study included only credible and relevant sources. Initial screening included reading the titles, abstracts, introduction and conclusions of articles to determine their relevance to dementia diagnosis, cognitive screening and nursing practice. This process was very effective </w:t>
      </w:r>
      <w:r w:rsidR="009E1AC9">
        <w:rPr>
          <w:rFonts w:ascii="Arial" w:hAnsi="Arial" w:cs="Arial"/>
        </w:rPr>
        <w:t>in excluding</w:t>
      </w:r>
      <w:r w:rsidRPr="009E1AC9">
        <w:rPr>
          <w:rFonts w:ascii="Arial" w:hAnsi="Arial" w:cs="Arial"/>
        </w:rPr>
        <w:t xml:space="preserve"> unrelated or poor-quality studies. Then, the selected literature was evaluated using the CRAAP test instrument, designed to measure the quality and reliability of the literature. The results of the assessment were written and documented in Appendix 2: CRAAP Test Table (Muis </w:t>
      </w:r>
      <w:r w:rsidRPr="009E1AC9">
        <w:rPr>
          <w:rFonts w:ascii="Arial" w:hAnsi="Arial" w:cs="Arial"/>
          <w:i/>
          <w:iCs/>
        </w:rPr>
        <w:t>et al.,</w:t>
      </w:r>
      <w:r w:rsidRPr="009E1AC9">
        <w:rPr>
          <w:rFonts w:ascii="Arial" w:hAnsi="Arial" w:cs="Arial"/>
        </w:rPr>
        <w:t xml:space="preserve"> 2022). Sources that highly matched the standards for currency, relevance and authority were prioritised. Peer-reviewed studies from the last ten years by reputable health sciences researchers were deemed to be more appropriate than more dated or non-academic studies with less evidence or methodological clarity.</w:t>
      </w:r>
    </w:p>
    <w:p w14:paraId="05A2EBBB" w14:textId="77777777" w:rsidR="00E65AF0" w:rsidRPr="009E1AC9" w:rsidRDefault="00E65AF0" w:rsidP="009E1AC9">
      <w:pPr>
        <w:rPr>
          <w:rFonts w:ascii="Arial" w:hAnsi="Arial" w:cs="Arial"/>
        </w:rPr>
      </w:pPr>
    </w:p>
    <w:p w14:paraId="2E89E4B5" w14:textId="77777777" w:rsidR="009E1AC9" w:rsidRDefault="009E1AC9" w:rsidP="009E1AC9">
      <w:pPr>
        <w:pStyle w:val="Heading2"/>
        <w:jc w:val="both"/>
        <w:rPr>
          <w:rFonts w:ascii="Arial" w:hAnsi="Arial"/>
          <w:sz w:val="22"/>
          <w:szCs w:val="22"/>
        </w:rPr>
      </w:pPr>
    </w:p>
    <w:p w14:paraId="5B7EEEA8" w14:textId="77777777" w:rsidR="009E1AC9" w:rsidRDefault="009E1AC9" w:rsidP="009E1AC9">
      <w:pPr>
        <w:pStyle w:val="Heading2"/>
        <w:jc w:val="both"/>
        <w:rPr>
          <w:rFonts w:ascii="Arial" w:hAnsi="Arial"/>
          <w:sz w:val="22"/>
          <w:szCs w:val="22"/>
        </w:rPr>
      </w:pPr>
    </w:p>
    <w:p w14:paraId="563A27FE" w14:textId="7B17CF76" w:rsidR="00E65AF0" w:rsidRPr="009E1AC9" w:rsidRDefault="00E65AF0" w:rsidP="009E1AC9">
      <w:pPr>
        <w:pStyle w:val="Heading2"/>
        <w:jc w:val="both"/>
        <w:rPr>
          <w:rFonts w:ascii="Arial" w:hAnsi="Arial"/>
          <w:sz w:val="22"/>
          <w:szCs w:val="22"/>
        </w:rPr>
      </w:pPr>
      <w:bookmarkStart w:id="25" w:name="_Toc234829737"/>
      <w:r w:rsidRPr="009E1AC9">
        <w:rPr>
          <w:rFonts w:ascii="Arial" w:hAnsi="Arial"/>
          <w:sz w:val="22"/>
          <w:szCs w:val="22"/>
        </w:rPr>
        <w:lastRenderedPageBreak/>
        <w:t>3.5 - Inclusion and Exclusion Criteria</w:t>
      </w:r>
      <w:bookmarkEnd w:id="25"/>
    </w:p>
    <w:p w14:paraId="322AE9D0" w14:textId="2A5EFCB0" w:rsidR="000130ED" w:rsidRPr="009E1AC9" w:rsidRDefault="008B643A" w:rsidP="009E1AC9">
      <w:pPr>
        <w:rPr>
          <w:rFonts w:ascii="Arial" w:hAnsi="Arial" w:cs="Arial"/>
        </w:rPr>
      </w:pPr>
      <w:r w:rsidRPr="009E1AC9">
        <w:rPr>
          <w:rFonts w:ascii="Arial" w:hAnsi="Arial" w:cs="Arial"/>
        </w:rPr>
        <w:t xml:space="preserve">The inclusion criteria used were developed to select studies that best answered the research question. All studies included were peer-reviewed, English-language journal articles published in the last 10 years, available online and related to either the detection of dementia or cognitive assessment of older adults. Studies pertinent to healthcare and nursing practice were given preference in the United Kingdom to ensure that they would </w:t>
      </w:r>
      <w:r w:rsidR="009E1AC9">
        <w:rPr>
          <w:rFonts w:ascii="Arial" w:hAnsi="Arial" w:cs="Arial"/>
        </w:rPr>
        <w:t>apply</w:t>
      </w:r>
      <w:r w:rsidRPr="009E1AC9">
        <w:rPr>
          <w:rFonts w:ascii="Arial" w:hAnsi="Arial" w:cs="Arial"/>
        </w:rPr>
        <w:t xml:space="preserve"> to the research context. </w:t>
      </w:r>
      <w:r w:rsidR="000130ED" w:rsidRPr="009E1AC9">
        <w:rPr>
          <w:rFonts w:ascii="Arial" w:hAnsi="Arial" w:cs="Arial"/>
        </w:rPr>
        <w:t xml:space="preserve">The criteria for exclusion </w:t>
      </w:r>
      <w:r w:rsidR="009E1AC9" w:rsidRPr="009E1AC9">
        <w:rPr>
          <w:rFonts w:ascii="Arial" w:hAnsi="Arial" w:cs="Arial"/>
        </w:rPr>
        <w:t>were</w:t>
      </w:r>
      <w:r w:rsidR="000130ED" w:rsidRPr="009E1AC9">
        <w:rPr>
          <w:rFonts w:ascii="Arial" w:hAnsi="Arial" w:cs="Arial"/>
        </w:rPr>
        <w:t xml:space="preserve"> non-peer-reviewed papers, opinion blogs, papers published older than 10 years, papers that were not relevant to the context in the UK and those that were not available online. By applying these criteria, the quality, reliability, and focus of the research were ensured, and only current and academically credible evidence informed the study findings (Shaheen </w:t>
      </w:r>
      <w:r w:rsidR="000130ED" w:rsidRPr="009E1AC9">
        <w:rPr>
          <w:rFonts w:ascii="Arial" w:hAnsi="Arial" w:cs="Arial"/>
          <w:i/>
          <w:iCs/>
        </w:rPr>
        <w:t>et al</w:t>
      </w:r>
      <w:r w:rsidR="000130ED" w:rsidRPr="009E1AC9">
        <w:rPr>
          <w:rFonts w:ascii="Arial" w:hAnsi="Arial" w:cs="Arial"/>
        </w:rPr>
        <w:t>., 2023).</w:t>
      </w:r>
    </w:p>
    <w:p w14:paraId="485664EA" w14:textId="77777777" w:rsidR="006961D2" w:rsidRPr="009E1AC9" w:rsidRDefault="006961D2" w:rsidP="009E1AC9">
      <w:pPr>
        <w:rPr>
          <w:rFonts w:ascii="Arial" w:hAnsi="Arial" w:cs="Arial"/>
        </w:rPr>
      </w:pPr>
    </w:p>
    <w:p w14:paraId="20EDE7D4" w14:textId="77777777" w:rsidR="00E65AF0" w:rsidRPr="009E1AC9" w:rsidRDefault="00E65AF0" w:rsidP="009E1AC9">
      <w:pPr>
        <w:pStyle w:val="Heading2"/>
        <w:jc w:val="both"/>
        <w:rPr>
          <w:rFonts w:ascii="Arial" w:hAnsi="Arial"/>
          <w:sz w:val="22"/>
          <w:szCs w:val="22"/>
        </w:rPr>
      </w:pPr>
      <w:bookmarkStart w:id="26" w:name="_Toc234829738"/>
      <w:r w:rsidRPr="009E1AC9">
        <w:rPr>
          <w:rFonts w:ascii="Arial" w:hAnsi="Arial"/>
          <w:sz w:val="22"/>
          <w:szCs w:val="22"/>
        </w:rPr>
        <w:t>3.6 – Analysing Research</w:t>
      </w:r>
      <w:bookmarkEnd w:id="26"/>
    </w:p>
    <w:p w14:paraId="298C950A" w14:textId="22C405A7" w:rsidR="00DB7D9B" w:rsidRPr="009E1AC9" w:rsidRDefault="002C630C" w:rsidP="009E1AC9">
      <w:pPr>
        <w:rPr>
          <w:rFonts w:ascii="Arial" w:hAnsi="Arial" w:cs="Arial"/>
        </w:rPr>
      </w:pPr>
      <w:r w:rsidRPr="009E1AC9">
        <w:rPr>
          <w:rFonts w:ascii="Arial" w:hAnsi="Arial" w:cs="Arial"/>
        </w:rPr>
        <w:t xml:space="preserve">Selected literature was analysed by using a thematic coding technique in a structured and organised manner. </w:t>
      </w:r>
      <w:r w:rsidR="009E1AC9" w:rsidRPr="009E1AC9">
        <w:rPr>
          <w:rFonts w:ascii="Arial" w:hAnsi="Arial" w:cs="Arial"/>
        </w:rPr>
        <w:t>To</w:t>
      </w:r>
      <w:r w:rsidRPr="009E1AC9">
        <w:rPr>
          <w:rFonts w:ascii="Arial" w:hAnsi="Arial" w:cs="Arial"/>
        </w:rPr>
        <w:t xml:space="preserve"> identify concepts, findings and issues of recognition of dementia, cognitive assessment and nursing practice in each article, each of the articles was analysed in detail to find repeated concepts, findings and issues. Words, phrases and patterns were found to be recurring in the </w:t>
      </w:r>
      <w:r w:rsidR="009E1AC9" w:rsidRPr="009E1AC9">
        <w:rPr>
          <w:rFonts w:ascii="Arial" w:hAnsi="Arial" w:cs="Arial"/>
        </w:rPr>
        <w:t>studies,</w:t>
      </w:r>
      <w:r w:rsidRPr="009E1AC9">
        <w:rPr>
          <w:rFonts w:ascii="Arial" w:hAnsi="Arial" w:cs="Arial"/>
        </w:rPr>
        <w:t xml:space="preserve"> and initial codes were created from these recurring words and phrases. The codes included recognition memory, screening accuracy, barriers to diagnosis, readiness to provide services, cultural factors and dementia care. These initial codes were subsequently systematically analysed in all the included studies, and codes that were presented repeatedly, or represented similar concepts, were clustered </w:t>
      </w:r>
      <w:r w:rsidR="009E1AC9">
        <w:rPr>
          <w:rFonts w:ascii="Arial" w:hAnsi="Arial" w:cs="Arial"/>
        </w:rPr>
        <w:t>based on</w:t>
      </w:r>
      <w:r w:rsidRPr="009E1AC9">
        <w:rPr>
          <w:rFonts w:ascii="Arial" w:hAnsi="Arial" w:cs="Arial"/>
        </w:rPr>
        <w:t xml:space="preserve"> conceptual similarity and relevance to the research aim and objectives. Once coded, similar codes were combined into themes that focused on the general research purpose and research goals. This process was repeated so new themes would be based on the evidence, and not on any individual study, and would also have a clear and organised basis for the findings presented in Chapter 4. They identified key themes regarding clinical/cognitive markers, assessment tools used in primary care and effectiveness and challenges of early recognition strategies. Codes were documented in tables and spreadsheets to ensure organisation and consistency and to provide for comparison of codes across studies and for tracking the development of the themes.</w:t>
      </w:r>
    </w:p>
    <w:p w14:paraId="6098E671" w14:textId="77777777" w:rsidR="00D86CA5" w:rsidRDefault="00D86CA5" w:rsidP="009E1AC9">
      <w:pPr>
        <w:rPr>
          <w:rFonts w:ascii="Arial" w:hAnsi="Arial" w:cs="Arial"/>
        </w:rPr>
      </w:pPr>
    </w:p>
    <w:p w14:paraId="64FB52D3" w14:textId="77777777" w:rsidR="009E1AC9" w:rsidRPr="009E1AC9" w:rsidRDefault="009E1AC9" w:rsidP="009E1AC9">
      <w:pPr>
        <w:rPr>
          <w:rFonts w:ascii="Arial" w:hAnsi="Arial" w:cs="Arial"/>
        </w:rPr>
      </w:pPr>
    </w:p>
    <w:p w14:paraId="26BDDAA1" w14:textId="77777777" w:rsidR="00E65AF0" w:rsidRPr="009E1AC9" w:rsidRDefault="00E65AF0" w:rsidP="009E1AC9">
      <w:pPr>
        <w:pStyle w:val="Heading2"/>
        <w:jc w:val="both"/>
        <w:rPr>
          <w:rFonts w:ascii="Arial" w:hAnsi="Arial"/>
          <w:sz w:val="22"/>
          <w:szCs w:val="22"/>
        </w:rPr>
      </w:pPr>
      <w:bookmarkStart w:id="27" w:name="_Toc234829739"/>
      <w:r w:rsidRPr="009E1AC9">
        <w:rPr>
          <w:rFonts w:ascii="Arial" w:hAnsi="Arial"/>
          <w:sz w:val="22"/>
          <w:szCs w:val="22"/>
        </w:rPr>
        <w:lastRenderedPageBreak/>
        <w:t>3.7 – Ethical Considerations</w:t>
      </w:r>
      <w:bookmarkEnd w:id="27"/>
    </w:p>
    <w:p w14:paraId="5C791519" w14:textId="04A239D7" w:rsidR="00E65AF0" w:rsidRPr="009E1AC9" w:rsidRDefault="00E65AF0" w:rsidP="009E1AC9">
      <w:pPr>
        <w:rPr>
          <w:rFonts w:ascii="Arial" w:hAnsi="Arial" w:cs="Arial"/>
        </w:rPr>
      </w:pPr>
      <w:r w:rsidRPr="009E1AC9">
        <w:rPr>
          <w:rFonts w:ascii="Arial" w:hAnsi="Arial" w:cs="Arial"/>
        </w:rPr>
        <w:t xml:space="preserve">This study was secondary, and no primary data were collected from the participants, thereby reducing the ethical risks of primary research. Ethical responsibility was upheld by giving appropriate credit to all sources, using a Harvard </w:t>
      </w:r>
      <w:r w:rsidR="009E1AC9" w:rsidRPr="009E1AC9">
        <w:rPr>
          <w:rFonts w:ascii="Arial" w:hAnsi="Arial" w:cs="Arial"/>
        </w:rPr>
        <w:t>referencing system</w:t>
      </w:r>
      <w:r w:rsidRPr="009E1AC9">
        <w:rPr>
          <w:rFonts w:ascii="Arial" w:hAnsi="Arial" w:cs="Arial"/>
        </w:rPr>
        <w:t xml:space="preserve"> and avoiding plagiarism or misquoting of findings. The research also sought to provide transparency in a systematic literature selection and an objective presentation of evidence without violating the rules of logic or the personal biases of the researchers. Academic integrity and fairness in interpreting published research are fundamental to ensuring credibility, reliability and trustworthiness in secondary research within academic investigation (</w:t>
      </w:r>
      <w:proofErr w:type="spellStart"/>
      <w:r w:rsidRPr="009E1AC9">
        <w:rPr>
          <w:rFonts w:ascii="Arial" w:hAnsi="Arial" w:cs="Arial"/>
        </w:rPr>
        <w:t>Zhaksylyk</w:t>
      </w:r>
      <w:proofErr w:type="spellEnd"/>
      <w:r w:rsidRPr="009E1AC9">
        <w:rPr>
          <w:rFonts w:ascii="Arial" w:hAnsi="Arial" w:cs="Arial"/>
        </w:rPr>
        <w:t xml:space="preserve"> </w:t>
      </w:r>
      <w:r w:rsidRPr="009E1AC9">
        <w:rPr>
          <w:rFonts w:ascii="Arial" w:hAnsi="Arial" w:cs="Arial"/>
          <w:i/>
          <w:iCs/>
        </w:rPr>
        <w:t>et al</w:t>
      </w:r>
      <w:r w:rsidRPr="009E1AC9">
        <w:rPr>
          <w:rFonts w:ascii="Arial" w:hAnsi="Arial" w:cs="Arial"/>
        </w:rPr>
        <w:t>., 2023).</w:t>
      </w:r>
    </w:p>
    <w:p w14:paraId="2C2B4C48" w14:textId="77777777" w:rsidR="00E65AF0" w:rsidRPr="009E1AC9" w:rsidRDefault="00E65AF0" w:rsidP="009E1AC9">
      <w:pPr>
        <w:rPr>
          <w:rFonts w:ascii="Arial" w:hAnsi="Arial" w:cs="Arial"/>
        </w:rPr>
      </w:pPr>
    </w:p>
    <w:p w14:paraId="141A24B9" w14:textId="77777777" w:rsidR="00E65AF0" w:rsidRPr="009E1AC9" w:rsidRDefault="00E65AF0" w:rsidP="009E1AC9">
      <w:pPr>
        <w:pStyle w:val="Heading2"/>
        <w:jc w:val="both"/>
        <w:rPr>
          <w:rFonts w:ascii="Arial" w:hAnsi="Arial"/>
          <w:sz w:val="22"/>
          <w:szCs w:val="22"/>
        </w:rPr>
      </w:pPr>
      <w:bookmarkStart w:id="28" w:name="_Toc234829740"/>
      <w:r w:rsidRPr="009E1AC9">
        <w:rPr>
          <w:rFonts w:ascii="Arial" w:hAnsi="Arial"/>
          <w:sz w:val="22"/>
          <w:szCs w:val="22"/>
        </w:rPr>
        <w:t>3.8 – Chapter Conclusion</w:t>
      </w:r>
      <w:bookmarkEnd w:id="28"/>
    </w:p>
    <w:p w14:paraId="6592C15B" w14:textId="3F5AA9C6" w:rsidR="00A77835" w:rsidRPr="009E1AC9" w:rsidRDefault="00E65AF0" w:rsidP="009E1AC9">
      <w:pPr>
        <w:rPr>
          <w:rFonts w:ascii="Arial" w:hAnsi="Arial" w:cs="Arial"/>
        </w:rPr>
      </w:pPr>
      <w:r w:rsidRPr="009E1AC9">
        <w:rPr>
          <w:rFonts w:ascii="Arial" w:hAnsi="Arial" w:cs="Arial"/>
        </w:rPr>
        <w:t>The methodology employed in identifying, evaluating and analysing literature on early dementia recognition in older people was described in this chapter. It described how data were searched, how databases were chosen, inclusion and exclusion criteria, validation procedures, and ethical issues were observed to ensure the quality and relevance of research. Systematic searching and structured analysis were emphasised as helpful to credible findings for the chapter, as well. The results of the literature analysis will be presented in the fourth chapter and clearly organised in themes, directly related to the research aim and objectives.</w:t>
      </w:r>
    </w:p>
    <w:p w14:paraId="4B842BE9" w14:textId="666CFFC1" w:rsidR="00E65AF0" w:rsidRPr="009E1AC9" w:rsidRDefault="00E65AF0" w:rsidP="009E1AC9">
      <w:pPr>
        <w:rPr>
          <w:rFonts w:ascii="Arial" w:hAnsi="Arial" w:cs="Arial"/>
        </w:rPr>
      </w:pPr>
      <w:r w:rsidRPr="009E1AC9">
        <w:rPr>
          <w:rFonts w:ascii="Arial" w:hAnsi="Arial" w:cs="Arial"/>
        </w:rPr>
        <w:br w:type="page"/>
      </w:r>
    </w:p>
    <w:p w14:paraId="7991C57B" w14:textId="594B018D" w:rsidR="00636D9A" w:rsidRDefault="001C3AF6" w:rsidP="002F386A">
      <w:pPr>
        <w:pStyle w:val="Heading1"/>
      </w:pPr>
      <w:bookmarkStart w:id="29" w:name="_Toc234829741"/>
      <w:r w:rsidRPr="00636D9A">
        <w:lastRenderedPageBreak/>
        <w:t>C</w:t>
      </w:r>
      <w:r w:rsidR="00636D9A">
        <w:t>HAPTER</w:t>
      </w:r>
      <w:r w:rsidRPr="00636D9A">
        <w:t xml:space="preserve"> 4 – Findings and Discussion</w:t>
      </w:r>
      <w:bookmarkEnd w:id="29"/>
    </w:p>
    <w:p w14:paraId="29DB00E7" w14:textId="65D31EE4" w:rsidR="00407EB3" w:rsidRPr="009E1AC9" w:rsidRDefault="00407EB3" w:rsidP="009E1AC9">
      <w:pPr>
        <w:pStyle w:val="Heading2"/>
        <w:jc w:val="both"/>
        <w:rPr>
          <w:rFonts w:ascii="Arial" w:hAnsi="Arial"/>
        </w:rPr>
      </w:pPr>
      <w:bookmarkStart w:id="30" w:name="_Toc234829742"/>
      <w:r w:rsidRPr="009E1AC9">
        <w:rPr>
          <w:rFonts w:ascii="Arial" w:hAnsi="Arial"/>
        </w:rPr>
        <w:t>4.1 – Introduction</w:t>
      </w:r>
      <w:bookmarkEnd w:id="30"/>
    </w:p>
    <w:p w14:paraId="6F54F528" w14:textId="7A639E00" w:rsidR="000E5493" w:rsidRPr="009E1AC9" w:rsidRDefault="00AA63FF" w:rsidP="009E1AC9">
      <w:pPr>
        <w:rPr>
          <w:rFonts w:ascii="Arial" w:hAnsi="Arial" w:cs="Arial"/>
        </w:rPr>
      </w:pPr>
      <w:r w:rsidRPr="009E1AC9">
        <w:rPr>
          <w:rFonts w:ascii="Arial" w:hAnsi="Arial" w:cs="Arial"/>
        </w:rPr>
        <w:t>This chapter is a summary of secondary research findings and a discussion of early recognition of dementia in older adults. It reviews work across three broad themes: clinical and cognitive indicators of early dementia and normal ageing, screening processes and assessment practices in care settings, and the impact and challenges of early recognition strategies and readiness and implementation of services. Each theme is explored, and patterns, inconsistencies and implications for practice are identified. The findings are directly related to the research question and are underlined as being relevant to the diagnosis of dementia and nursing assessment.</w:t>
      </w:r>
    </w:p>
    <w:p w14:paraId="5AB15ABD" w14:textId="77777777" w:rsidR="008A2116" w:rsidRPr="009E1AC9" w:rsidRDefault="008A2116" w:rsidP="009E1AC9">
      <w:pPr>
        <w:rPr>
          <w:rFonts w:ascii="Arial" w:hAnsi="Arial" w:cs="Arial"/>
        </w:rPr>
      </w:pPr>
    </w:p>
    <w:p w14:paraId="51BE6925" w14:textId="294DE1B0" w:rsidR="00407EB3" w:rsidRPr="009E1AC9" w:rsidRDefault="00407EB3" w:rsidP="009E1AC9">
      <w:pPr>
        <w:pStyle w:val="Heading2"/>
        <w:jc w:val="both"/>
        <w:rPr>
          <w:rFonts w:ascii="Arial" w:hAnsi="Arial"/>
        </w:rPr>
      </w:pPr>
      <w:bookmarkStart w:id="31" w:name="_Toc234829743"/>
      <w:r w:rsidRPr="009E1AC9">
        <w:rPr>
          <w:rFonts w:ascii="Arial" w:hAnsi="Arial"/>
        </w:rPr>
        <w:t>4.2 – Thematic Analysis</w:t>
      </w:r>
      <w:bookmarkEnd w:id="31"/>
    </w:p>
    <w:p w14:paraId="2BD7F4FB" w14:textId="12F0FFD2" w:rsidR="000E5493" w:rsidRPr="009E1AC9" w:rsidRDefault="008A2116" w:rsidP="009E1AC9">
      <w:pPr>
        <w:rPr>
          <w:rFonts w:ascii="Arial" w:hAnsi="Arial" w:cs="Arial"/>
        </w:rPr>
      </w:pPr>
      <w:r w:rsidRPr="009E1AC9">
        <w:rPr>
          <w:rFonts w:ascii="Arial" w:hAnsi="Arial" w:cs="Arial"/>
        </w:rPr>
        <w:t xml:space="preserve">Thematic analysis is a qualitative analytical approach that helps identify, categorise and elaborate on themes or patterns in the data collected (Ahmed </w:t>
      </w:r>
      <w:r w:rsidRPr="009E1AC9">
        <w:rPr>
          <w:rFonts w:ascii="Arial" w:hAnsi="Arial" w:cs="Arial"/>
          <w:i/>
          <w:iCs/>
        </w:rPr>
        <w:t>et al</w:t>
      </w:r>
      <w:r w:rsidRPr="009E1AC9">
        <w:rPr>
          <w:rFonts w:ascii="Arial" w:hAnsi="Arial" w:cs="Arial"/>
        </w:rPr>
        <w:t>., 2025). Thematic analysis was used in the secondary research to analyse the findings from several studies for the purpose of identifying themes, relationships, and controversy in the research topic. This method was chosen as it enables structured evidence to be interpreted in relation to early recognition of dementia and evidence from different settings within the Healthcare and Nursing sector to be compared. The literature reviewed was examined using a coding procedure which involved identifying key findings, concepts that were repeated in the literature and key arguments. To maintain transparency and consistency in the analysis process, these categories were entered into the coding and results table in the appendices. Following this process, three major themes were identified. This comprises clinical and cognitive indicators of normal ageing from early dementia and screening, including strengths and weaknesses of dementia assessment practices in nursing and primary care, and implementation challenges and barriers to early recognition strategies. The following themes serve as the outline of the findings and discussion chapter.</w:t>
      </w:r>
    </w:p>
    <w:p w14:paraId="4292E64B" w14:textId="77777777" w:rsidR="008A2116" w:rsidRDefault="008A2116" w:rsidP="009E1AC9">
      <w:pPr>
        <w:rPr>
          <w:rFonts w:ascii="Arial" w:hAnsi="Arial" w:cs="Arial"/>
        </w:rPr>
      </w:pPr>
    </w:p>
    <w:p w14:paraId="29F72C0C" w14:textId="77777777" w:rsidR="00696990" w:rsidRDefault="00696990" w:rsidP="009E1AC9">
      <w:pPr>
        <w:rPr>
          <w:rFonts w:ascii="Arial" w:hAnsi="Arial" w:cs="Arial"/>
        </w:rPr>
      </w:pPr>
    </w:p>
    <w:p w14:paraId="5DA9BAEF" w14:textId="77777777" w:rsidR="00696990" w:rsidRPr="009E1AC9" w:rsidRDefault="00696990" w:rsidP="009E1AC9">
      <w:pPr>
        <w:rPr>
          <w:rFonts w:ascii="Arial" w:hAnsi="Arial" w:cs="Arial"/>
        </w:rPr>
      </w:pPr>
    </w:p>
    <w:p w14:paraId="10D4985F" w14:textId="4B69BE33" w:rsidR="00407EB3" w:rsidRPr="009E1AC9" w:rsidRDefault="00407EB3" w:rsidP="009E1AC9">
      <w:pPr>
        <w:pStyle w:val="Heading2"/>
        <w:jc w:val="both"/>
        <w:rPr>
          <w:rFonts w:ascii="Arial" w:hAnsi="Arial"/>
        </w:rPr>
      </w:pPr>
      <w:bookmarkStart w:id="32" w:name="_Toc234829744"/>
      <w:r w:rsidRPr="009E1AC9">
        <w:rPr>
          <w:rFonts w:ascii="Arial" w:hAnsi="Arial"/>
        </w:rPr>
        <w:lastRenderedPageBreak/>
        <w:t>4.3 – Theme 1</w:t>
      </w:r>
      <w:r w:rsidR="00EB3C2A" w:rsidRPr="009E1AC9">
        <w:rPr>
          <w:rFonts w:ascii="Arial" w:hAnsi="Arial"/>
        </w:rPr>
        <w:t>: Clinical And Cognitive Markers That Help Distinguish Normal Ageing From Early Dementia</w:t>
      </w:r>
      <w:bookmarkEnd w:id="32"/>
    </w:p>
    <w:p w14:paraId="46E62584" w14:textId="16DE0512" w:rsidR="00407EB3" w:rsidRPr="009E1AC9" w:rsidRDefault="00407EB3" w:rsidP="009E1AC9">
      <w:pPr>
        <w:pStyle w:val="Heading3"/>
        <w:rPr>
          <w:rFonts w:ascii="Arial" w:hAnsi="Arial" w:cs="Arial"/>
        </w:rPr>
      </w:pPr>
      <w:bookmarkStart w:id="33" w:name="_Toc234829745"/>
      <w:r w:rsidRPr="009E1AC9">
        <w:rPr>
          <w:rFonts w:ascii="Arial" w:hAnsi="Arial" w:cs="Arial"/>
        </w:rPr>
        <w:t>Definition</w:t>
      </w:r>
      <w:bookmarkEnd w:id="33"/>
    </w:p>
    <w:p w14:paraId="5E754CBE" w14:textId="59475F3F" w:rsidR="000E5493" w:rsidRPr="009E1AC9" w:rsidRDefault="008A2116" w:rsidP="009E1AC9">
      <w:pPr>
        <w:rPr>
          <w:rFonts w:ascii="Arial" w:hAnsi="Arial" w:cs="Arial"/>
        </w:rPr>
      </w:pPr>
      <w:r w:rsidRPr="009E1AC9">
        <w:rPr>
          <w:rFonts w:ascii="Arial" w:hAnsi="Arial" w:cs="Arial"/>
        </w:rPr>
        <w:t>Clinical and cognitive markers are neurological, behavioural and psychological observations that can be used to distinguish normal cognitive ageing from early dementia (</w:t>
      </w:r>
      <w:proofErr w:type="spellStart"/>
      <w:r w:rsidRPr="009E1AC9">
        <w:rPr>
          <w:rFonts w:ascii="Arial" w:hAnsi="Arial" w:cs="Arial"/>
        </w:rPr>
        <w:t>Kerminen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2024). The common features of normal ageing are slight forgetfulness, a slower rate of information processing, and forgetting names occasionally, whereas early dementia is marked by a gradual loss of memory, reasoning, language ability, and daily functioning. The initial symptoms of dementia may involve memory loss, problem-solving difficulties, and abnormal patterns of neural connections (</w:t>
      </w:r>
      <w:proofErr w:type="spellStart"/>
      <w:r w:rsidRPr="009E1AC9">
        <w:rPr>
          <w:rFonts w:ascii="Arial" w:hAnsi="Arial" w:cs="Arial"/>
        </w:rPr>
        <w:t>Ribarič</w:t>
      </w:r>
      <w:proofErr w:type="spellEnd"/>
      <w:r w:rsidRPr="009E1AC9">
        <w:rPr>
          <w:rFonts w:ascii="Arial" w:hAnsi="Arial" w:cs="Arial"/>
        </w:rPr>
        <w:t>, 2023). These signs are crucial as they may be overlooked as "old age", and a diagnosis and intervention are not made until later. As such, reliable markers have become a key focus of research and assessment practices for dementia in the context of ageing populations.</w:t>
      </w:r>
    </w:p>
    <w:p w14:paraId="663B3A81" w14:textId="77777777" w:rsidR="008A2116" w:rsidRPr="009E1AC9" w:rsidRDefault="008A2116" w:rsidP="009E1AC9">
      <w:pPr>
        <w:rPr>
          <w:rFonts w:ascii="Arial" w:hAnsi="Arial" w:cs="Arial"/>
        </w:rPr>
      </w:pPr>
    </w:p>
    <w:p w14:paraId="063A0ADB" w14:textId="550E009F" w:rsidR="00407EB3" w:rsidRPr="009E1AC9" w:rsidRDefault="00407EB3" w:rsidP="009E1AC9">
      <w:pPr>
        <w:pStyle w:val="Heading3"/>
        <w:rPr>
          <w:rFonts w:ascii="Arial" w:hAnsi="Arial" w:cs="Arial"/>
        </w:rPr>
      </w:pPr>
      <w:bookmarkStart w:id="34" w:name="_Toc234829746"/>
      <w:r w:rsidRPr="009E1AC9">
        <w:rPr>
          <w:rFonts w:ascii="Arial" w:hAnsi="Arial" w:cs="Arial"/>
        </w:rPr>
        <w:t>Background Information</w:t>
      </w:r>
      <w:bookmarkEnd w:id="34"/>
    </w:p>
    <w:p w14:paraId="153AA74F" w14:textId="747C1CA9" w:rsidR="000E5493" w:rsidRPr="009E1AC9" w:rsidRDefault="008A2116" w:rsidP="009E1AC9">
      <w:pPr>
        <w:rPr>
          <w:rFonts w:ascii="Arial" w:hAnsi="Arial" w:cs="Arial"/>
        </w:rPr>
      </w:pPr>
      <w:r w:rsidRPr="009E1AC9">
        <w:rPr>
          <w:rFonts w:ascii="Arial" w:hAnsi="Arial" w:cs="Arial"/>
        </w:rPr>
        <w:t xml:space="preserve">Traditionally, the diagnosis of dementia was made largely from behavioural observation and/or patient-reported symptoms, leading to the diagnosis being made only when functional impairments were substantial. With the development of neuroscience and neuroimaging, though, researchers have focused attention on earlier and more objective disease markers. Stothart </w:t>
      </w:r>
      <w:r w:rsidRPr="00696990">
        <w:rPr>
          <w:rFonts w:ascii="Arial" w:hAnsi="Arial" w:cs="Arial"/>
          <w:i/>
          <w:iCs/>
        </w:rPr>
        <w:t>et al</w:t>
      </w:r>
      <w:r w:rsidRPr="009E1AC9">
        <w:rPr>
          <w:rFonts w:ascii="Arial" w:hAnsi="Arial" w:cs="Arial"/>
        </w:rPr>
        <w:t xml:space="preserve"> (2021) suggest that conventional behavioural memory evaluations might not capture subtle memory loss due to effort, education, and patient understanding. In the same vein, Keshavan et al. (2021) argue that blood screening for biomarkers can detect Alzheimer's-related disease changes that occur in the absence of any observed symptoms. Similarly, </w:t>
      </w:r>
      <w:proofErr w:type="spellStart"/>
      <w:r w:rsidRPr="009E1AC9">
        <w:rPr>
          <w:rFonts w:ascii="Arial" w:hAnsi="Arial" w:cs="Arial"/>
        </w:rPr>
        <w:t>Ereira</w:t>
      </w:r>
      <w:proofErr w:type="spellEnd"/>
      <w:r w:rsidRPr="009E1AC9">
        <w:rPr>
          <w:rFonts w:ascii="Arial" w:hAnsi="Arial" w:cs="Arial"/>
        </w:rPr>
        <w:t xml:space="preserve"> </w:t>
      </w:r>
      <w:r w:rsidRPr="00696990">
        <w:rPr>
          <w:rFonts w:ascii="Arial" w:hAnsi="Arial" w:cs="Arial"/>
          <w:i/>
          <w:iCs/>
        </w:rPr>
        <w:t xml:space="preserve">et al. </w:t>
      </w:r>
      <w:r w:rsidRPr="009E1AC9">
        <w:rPr>
          <w:rFonts w:ascii="Arial" w:hAnsi="Arial" w:cs="Arial"/>
        </w:rPr>
        <w:t>(2024) proposed that changes in functional connectivity in the brain's default-mode network have predictive value for dementia several years ahead of the diagnosis. These studies all show a shift from observational diagnosis to biology-based detection strategies. However, issues surrounding access, cost and practicality of incorporating into regular nursing assessment remain.</w:t>
      </w:r>
    </w:p>
    <w:p w14:paraId="58646DC3" w14:textId="77777777" w:rsidR="008A2116" w:rsidRPr="009E1AC9" w:rsidRDefault="008A2116" w:rsidP="009E1AC9">
      <w:pPr>
        <w:rPr>
          <w:rFonts w:ascii="Arial" w:hAnsi="Arial" w:cs="Arial"/>
        </w:rPr>
      </w:pPr>
    </w:p>
    <w:p w14:paraId="7BBF1520" w14:textId="0631497C" w:rsidR="00407EB3" w:rsidRPr="009E1AC9" w:rsidRDefault="00407EB3" w:rsidP="009E1AC9">
      <w:pPr>
        <w:pStyle w:val="Heading3"/>
        <w:rPr>
          <w:rFonts w:ascii="Arial" w:hAnsi="Arial" w:cs="Arial"/>
        </w:rPr>
      </w:pPr>
      <w:bookmarkStart w:id="35" w:name="_Toc234829747"/>
      <w:r w:rsidRPr="009E1AC9">
        <w:rPr>
          <w:rFonts w:ascii="Arial" w:hAnsi="Arial" w:cs="Arial"/>
        </w:rPr>
        <w:t>Impact on Research Question</w:t>
      </w:r>
      <w:bookmarkEnd w:id="35"/>
    </w:p>
    <w:p w14:paraId="548E546E" w14:textId="17B329AD" w:rsidR="000E5493" w:rsidRPr="009E1AC9" w:rsidRDefault="00855A02" w:rsidP="009E1AC9">
      <w:pPr>
        <w:rPr>
          <w:rFonts w:ascii="Arial" w:hAnsi="Arial" w:cs="Arial"/>
        </w:rPr>
      </w:pPr>
      <w:r w:rsidRPr="009E1AC9">
        <w:rPr>
          <w:rFonts w:ascii="Arial" w:hAnsi="Arial" w:cs="Arial"/>
        </w:rPr>
        <w:t xml:space="preserve">This theme is directly related to the research question, as it is a discussion about how nurses and healthcare professionals may better differentiate normal ageing from early dementia. In </w:t>
      </w:r>
      <w:r w:rsidRPr="009E1AC9">
        <w:rPr>
          <w:rFonts w:ascii="Arial" w:hAnsi="Arial" w:cs="Arial"/>
        </w:rPr>
        <w:lastRenderedPageBreak/>
        <w:t xml:space="preserve">Alzheimer's disease, Stothart </w:t>
      </w:r>
      <w:r w:rsidRPr="00696990">
        <w:rPr>
          <w:rFonts w:ascii="Arial" w:hAnsi="Arial" w:cs="Arial"/>
          <w:i/>
          <w:iCs/>
        </w:rPr>
        <w:t>et al.</w:t>
      </w:r>
      <w:r w:rsidRPr="009E1AC9">
        <w:rPr>
          <w:rFonts w:ascii="Arial" w:hAnsi="Arial" w:cs="Arial"/>
        </w:rPr>
        <w:t xml:space="preserve"> (2021) showed that the Fastball EEG technology was able to reveal impairments in recognition memory despite minimal between-group differences on behavioural measures, indicating that objective neurological measures may provide earlier detection of pathology than traditional cognitive measures. Similarly, </w:t>
      </w:r>
      <w:proofErr w:type="spellStart"/>
      <w:r w:rsidRPr="009E1AC9">
        <w:rPr>
          <w:rFonts w:ascii="Arial" w:hAnsi="Arial" w:cs="Arial"/>
        </w:rPr>
        <w:t>Ereira</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(2024) showed that the default-mode network dysconnectivity also predicted future diagnostic dementia, years before any symptoms were observed. The results confirm the idea of offering a neurobiological signature as an additional biomarker in early detection processes. Keshavan </w:t>
      </w:r>
      <w:r w:rsidRPr="00696990">
        <w:rPr>
          <w:rFonts w:ascii="Arial" w:hAnsi="Arial" w:cs="Arial"/>
          <w:i/>
          <w:iCs/>
        </w:rPr>
        <w:t>et al</w:t>
      </w:r>
      <w:r w:rsidRPr="009E1AC9">
        <w:rPr>
          <w:rFonts w:ascii="Arial" w:hAnsi="Arial" w:cs="Arial"/>
        </w:rPr>
        <w:t>. (2021) challenge the notion of the equal effectiveness of all biomarker methods, however, and find that some blood-based screening techniques did not work as well as mass spectrometry techniques. This was a highlight of the continuing challenges with finding generally applicable diagnostic markers. Together, the research shows that behavioural manifestations alone may not always differentiate early dementia, highlighting the need to attend to cognitive, biological and neurological markers in nursing practice in addition to behaviour.</w:t>
      </w:r>
    </w:p>
    <w:p w14:paraId="4F5293A2" w14:textId="77777777" w:rsidR="00855A02" w:rsidRPr="009E1AC9" w:rsidRDefault="00855A02" w:rsidP="009E1AC9">
      <w:pPr>
        <w:rPr>
          <w:rFonts w:ascii="Arial" w:hAnsi="Arial" w:cs="Arial"/>
        </w:rPr>
      </w:pPr>
    </w:p>
    <w:p w14:paraId="77B5FC25" w14:textId="7349D06E" w:rsidR="00407EB3" w:rsidRPr="009E1AC9" w:rsidRDefault="00407EB3" w:rsidP="009E1AC9">
      <w:pPr>
        <w:pStyle w:val="Heading3"/>
        <w:rPr>
          <w:rFonts w:ascii="Arial" w:hAnsi="Arial" w:cs="Arial"/>
        </w:rPr>
      </w:pPr>
      <w:bookmarkStart w:id="36" w:name="_Toc234829748"/>
      <w:r w:rsidRPr="009E1AC9">
        <w:rPr>
          <w:rFonts w:ascii="Arial" w:hAnsi="Arial" w:cs="Arial"/>
        </w:rPr>
        <w:t>Theories, Policies, and Legislation</w:t>
      </w:r>
      <w:bookmarkEnd w:id="36"/>
    </w:p>
    <w:p w14:paraId="01701330" w14:textId="77777777" w:rsidR="00855A02" w:rsidRPr="009E1AC9" w:rsidRDefault="00855A02" w:rsidP="009E1AC9">
      <w:pPr>
        <w:rPr>
          <w:rFonts w:ascii="Arial" w:hAnsi="Arial" w:cs="Arial"/>
        </w:rPr>
      </w:pPr>
      <w:r w:rsidRPr="009E1AC9">
        <w:rPr>
          <w:rFonts w:ascii="Arial" w:hAnsi="Arial" w:cs="Arial"/>
        </w:rPr>
        <w:t xml:space="preserve">There are several theoretical approaches underlying the understanding of clinical and cognitive markers for dementia research. The neurodegenerative theory suggests that dementia is a result of the progressive loss of neurons due to pathological mechanisms such as the deposition of amyloid and abnormalities in tau proteins. This is supported by the results of Keshavan </w:t>
      </w:r>
      <w:r w:rsidRPr="00696990">
        <w:rPr>
          <w:rFonts w:ascii="Arial" w:hAnsi="Arial" w:cs="Arial"/>
          <w:i/>
          <w:iCs/>
        </w:rPr>
        <w:t>et al.</w:t>
      </w:r>
      <w:r w:rsidRPr="009E1AC9">
        <w:rPr>
          <w:rFonts w:ascii="Arial" w:hAnsi="Arial" w:cs="Arial"/>
        </w:rPr>
        <w:t xml:space="preserve"> (2021), which showed that plasma amyloid-beta levels could detect preclinical Alzheimer's disease. Likewise, </w:t>
      </w:r>
      <w:proofErr w:type="spellStart"/>
      <w:r w:rsidRPr="009E1AC9">
        <w:rPr>
          <w:rFonts w:ascii="Arial" w:hAnsi="Arial" w:cs="Arial"/>
        </w:rPr>
        <w:t>Ereira</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(2024) employ the connectivity-based theory of the brain, which posits that disturbance of the default-mode network is the first pathological change in the brain, before structural deterioration. Stothart </w:t>
      </w:r>
      <w:r w:rsidRPr="00696990">
        <w:rPr>
          <w:rFonts w:ascii="Arial" w:hAnsi="Arial" w:cs="Arial"/>
          <w:i/>
          <w:iCs/>
        </w:rPr>
        <w:t>et al</w:t>
      </w:r>
      <w:r w:rsidRPr="009E1AC9">
        <w:rPr>
          <w:rFonts w:ascii="Arial" w:hAnsi="Arial" w:cs="Arial"/>
        </w:rPr>
        <w:t>. (2021), on the other hand, question structural-only approaches by proposing that functional cognitive impairment could occur prior to the onset of traditional behavioural impairments.</w:t>
      </w:r>
    </w:p>
    <w:p w14:paraId="71CE0F4F" w14:textId="224F4CF2" w:rsidR="000E5493" w:rsidRPr="009E1AC9" w:rsidRDefault="00855A02" w:rsidP="009E1AC9">
      <w:pPr>
        <w:rPr>
          <w:rFonts w:ascii="Arial" w:hAnsi="Arial" w:cs="Arial"/>
        </w:rPr>
      </w:pPr>
      <w:r w:rsidRPr="009E1AC9">
        <w:rPr>
          <w:rFonts w:ascii="Arial" w:hAnsi="Arial" w:cs="Arial"/>
        </w:rPr>
        <w:t xml:space="preserve">Thus, their EEG method is in line with the theories of recognition memory disruption in the early period, which are central to cognitive processing theories. Policy frameworks continue to signal more and more the need for earlier diagnoses of dementia and interventions that prevent the onset of dementia. The National Dementia Strategy in the United Kingdom aims to ensure that dementia is diagnosed early, and there are increased opportunities for access to assessment services (GOV.UK, 2009). Similarly, the NHS Long Term Plan will back innovation in new technologies for diagnosis, and faster pathways to earlier interventions will be supported (GOV.UK, 2025). The difficulty, however, in implementing early detection is significant despite the policy support. EEG and other advanced neuro-imaging techniques, </w:t>
      </w:r>
      <w:r w:rsidR="00696990">
        <w:rPr>
          <w:rFonts w:ascii="Arial" w:hAnsi="Arial" w:cs="Arial"/>
        </w:rPr>
        <w:lastRenderedPageBreak/>
        <w:t xml:space="preserve">and </w:t>
      </w:r>
      <w:r w:rsidRPr="009E1AC9">
        <w:rPr>
          <w:rFonts w:ascii="Arial" w:hAnsi="Arial" w:cs="Arial"/>
        </w:rPr>
        <w:t xml:space="preserve">blood biomarker testing </w:t>
      </w:r>
      <w:r w:rsidR="00696990">
        <w:rPr>
          <w:rFonts w:ascii="Arial" w:hAnsi="Arial" w:cs="Arial"/>
        </w:rPr>
        <w:t>require</w:t>
      </w:r>
      <w:r w:rsidRPr="009E1AC9">
        <w:rPr>
          <w:rFonts w:ascii="Arial" w:hAnsi="Arial" w:cs="Arial"/>
        </w:rPr>
        <w:t xml:space="preserve"> special training and equipment and funding that is not consistently available throughout the healthcare environment.</w:t>
      </w:r>
    </w:p>
    <w:p w14:paraId="0B91A3A1" w14:textId="77777777" w:rsidR="00855A02" w:rsidRPr="009E1AC9" w:rsidRDefault="00855A02" w:rsidP="009E1AC9">
      <w:pPr>
        <w:rPr>
          <w:rFonts w:ascii="Arial" w:hAnsi="Arial" w:cs="Arial"/>
        </w:rPr>
      </w:pPr>
    </w:p>
    <w:p w14:paraId="1B970643" w14:textId="092E3394" w:rsidR="00407EB3" w:rsidRPr="009E1AC9" w:rsidRDefault="00407EB3" w:rsidP="009E1AC9">
      <w:pPr>
        <w:pStyle w:val="Heading3"/>
        <w:rPr>
          <w:rFonts w:ascii="Arial" w:hAnsi="Arial" w:cs="Arial"/>
        </w:rPr>
      </w:pPr>
      <w:bookmarkStart w:id="37" w:name="_Toc234829749"/>
      <w:r w:rsidRPr="009E1AC9">
        <w:rPr>
          <w:rFonts w:ascii="Arial" w:hAnsi="Arial" w:cs="Arial"/>
        </w:rPr>
        <w:t>Implications</w:t>
      </w:r>
      <w:bookmarkEnd w:id="37"/>
    </w:p>
    <w:p w14:paraId="4F053C72" w14:textId="77777777" w:rsidR="00855A02" w:rsidRPr="009E1AC9" w:rsidRDefault="00855A02" w:rsidP="009E1AC9">
      <w:pPr>
        <w:rPr>
          <w:rFonts w:ascii="Arial" w:hAnsi="Arial" w:cs="Arial"/>
        </w:rPr>
      </w:pPr>
      <w:r w:rsidRPr="009E1AC9">
        <w:rPr>
          <w:rFonts w:ascii="Arial" w:hAnsi="Arial" w:cs="Arial"/>
        </w:rPr>
        <w:t xml:space="preserve">It is crucial to identify reliable clinical and cognitive markers as they have implications for nursing assessment, patient outcomes and healthcare planning. However, the results of Stothart </w:t>
      </w:r>
      <w:r w:rsidRPr="00696990">
        <w:rPr>
          <w:rFonts w:ascii="Arial" w:hAnsi="Arial" w:cs="Arial"/>
          <w:i/>
          <w:iCs/>
        </w:rPr>
        <w:t xml:space="preserve">et al. </w:t>
      </w:r>
      <w:r w:rsidRPr="009E1AC9">
        <w:rPr>
          <w:rFonts w:ascii="Arial" w:hAnsi="Arial" w:cs="Arial"/>
        </w:rPr>
        <w:t xml:space="preserve">(2021) have good news: Passive assessment might decrease the need for patient effort or educational level, which could make it fairer and more accessible to diagnose. Similarly, </w:t>
      </w:r>
      <w:proofErr w:type="spellStart"/>
      <w:r w:rsidRPr="009E1AC9">
        <w:rPr>
          <w:rFonts w:ascii="Arial" w:hAnsi="Arial" w:cs="Arial"/>
        </w:rPr>
        <w:t>Ereira</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(2024) suggest that detecting brain connectivity changes years before diagnosis could allow for early support and preventative interventions for individuals at risk. These advances may help to enhance patient self-care, treatment decision-making and ongoing care management.</w:t>
      </w:r>
    </w:p>
    <w:p w14:paraId="4C7D5B34" w14:textId="145C8CD4" w:rsidR="000E5493" w:rsidRPr="009E1AC9" w:rsidRDefault="00855A02" w:rsidP="009E1AC9">
      <w:pPr>
        <w:rPr>
          <w:rFonts w:ascii="Arial" w:hAnsi="Arial" w:cs="Arial"/>
        </w:rPr>
      </w:pPr>
      <w:r w:rsidRPr="009E1AC9">
        <w:rPr>
          <w:rFonts w:ascii="Arial" w:hAnsi="Arial" w:cs="Arial"/>
        </w:rPr>
        <w:t xml:space="preserve">In addition, Keshavan </w:t>
      </w:r>
      <w:r w:rsidRPr="00696990">
        <w:rPr>
          <w:rFonts w:ascii="Arial" w:hAnsi="Arial" w:cs="Arial"/>
          <w:i/>
          <w:iCs/>
        </w:rPr>
        <w:t>et al</w:t>
      </w:r>
      <w:r w:rsidRPr="009E1AC9">
        <w:rPr>
          <w:rFonts w:ascii="Arial" w:hAnsi="Arial" w:cs="Arial"/>
        </w:rPr>
        <w:t xml:space="preserve">. (2021) show that blood testing could help cut down the number of unnecessary PET scans, which would make healthcare more efficient and help save money. However, the number of participants in each category was comparatively small, with only twenty in each category by Stothart </w:t>
      </w:r>
      <w:r w:rsidRPr="00696990">
        <w:rPr>
          <w:rFonts w:ascii="Arial" w:hAnsi="Arial" w:cs="Arial"/>
          <w:i/>
          <w:iCs/>
        </w:rPr>
        <w:t>et al.</w:t>
      </w:r>
      <w:r w:rsidRPr="009E1AC9">
        <w:rPr>
          <w:rFonts w:ascii="Arial" w:hAnsi="Arial" w:cs="Arial"/>
        </w:rPr>
        <w:t xml:space="preserve"> (2021), which may limit generalisability. In contrast to this, while the study by </w:t>
      </w:r>
      <w:proofErr w:type="spellStart"/>
      <w:r w:rsidRPr="009E1AC9">
        <w:rPr>
          <w:rFonts w:ascii="Arial" w:hAnsi="Arial" w:cs="Arial"/>
        </w:rPr>
        <w:t>Ereira</w:t>
      </w:r>
      <w:proofErr w:type="spellEnd"/>
      <w:r w:rsidRPr="009E1AC9">
        <w:rPr>
          <w:rFonts w:ascii="Arial" w:hAnsi="Arial" w:cs="Arial"/>
        </w:rPr>
        <w:t xml:space="preserve"> et al. (2024) included a large sample of the UK Biobank, one might question the feasibility of using neuroimaging techniques for clinical implementation due to the limitations of cost and technical complexity. Keshavan </w:t>
      </w:r>
      <w:r w:rsidRPr="00696990">
        <w:rPr>
          <w:rFonts w:ascii="Arial" w:hAnsi="Arial" w:cs="Arial"/>
          <w:i/>
          <w:iCs/>
        </w:rPr>
        <w:t>et al.</w:t>
      </w:r>
      <w:r w:rsidRPr="009E1AC9">
        <w:rPr>
          <w:rFonts w:ascii="Arial" w:hAnsi="Arial" w:cs="Arial"/>
        </w:rPr>
        <w:t xml:space="preserve"> (2021) also show discrepancies in the results of different biomarker methods, revealing that not all screening technologies have the same reliability.</w:t>
      </w:r>
    </w:p>
    <w:p w14:paraId="3D936726" w14:textId="77777777" w:rsidR="00855A02" w:rsidRPr="009E1AC9" w:rsidRDefault="00855A02" w:rsidP="009E1AC9">
      <w:pPr>
        <w:rPr>
          <w:rFonts w:ascii="Arial" w:hAnsi="Arial" w:cs="Arial"/>
        </w:rPr>
      </w:pPr>
    </w:p>
    <w:p w14:paraId="0BD804B2" w14:textId="0020BAB4" w:rsidR="00407EB3" w:rsidRPr="009E1AC9" w:rsidRDefault="00407EB3" w:rsidP="009E1AC9">
      <w:pPr>
        <w:pStyle w:val="Heading3"/>
        <w:rPr>
          <w:rFonts w:ascii="Arial" w:hAnsi="Arial" w:cs="Arial"/>
        </w:rPr>
      </w:pPr>
      <w:bookmarkStart w:id="38" w:name="_Toc234829750"/>
      <w:r w:rsidRPr="009E1AC9">
        <w:rPr>
          <w:rFonts w:ascii="Arial" w:hAnsi="Arial" w:cs="Arial"/>
        </w:rPr>
        <w:t>Examples from Your Articles</w:t>
      </w:r>
      <w:bookmarkEnd w:id="38"/>
    </w:p>
    <w:p w14:paraId="3CD20871" w14:textId="5B5F4909" w:rsidR="00855A02" w:rsidRPr="009E1AC9" w:rsidRDefault="00855A02" w:rsidP="009E1AC9">
      <w:pPr>
        <w:rPr>
          <w:rFonts w:ascii="Arial" w:hAnsi="Arial" w:cs="Arial"/>
        </w:rPr>
      </w:pPr>
      <w:r w:rsidRPr="009E1AC9">
        <w:rPr>
          <w:rFonts w:ascii="Arial" w:hAnsi="Arial" w:cs="Arial"/>
        </w:rPr>
        <w:t xml:space="preserve">The chosen studies offer good examples of the role that clinical and cognitive features can play in the early recognition of dementia. Stothart </w:t>
      </w:r>
      <w:r w:rsidRPr="00696990">
        <w:rPr>
          <w:rFonts w:ascii="Arial" w:hAnsi="Arial" w:cs="Arial"/>
          <w:i/>
          <w:iCs/>
        </w:rPr>
        <w:t>et al.</w:t>
      </w:r>
      <w:r w:rsidRPr="009E1AC9">
        <w:rPr>
          <w:rFonts w:ascii="Arial" w:hAnsi="Arial" w:cs="Arial"/>
        </w:rPr>
        <w:t xml:space="preserve"> (2021) studied recognition memory with the Fastball EEG technology in young, healthy older</w:t>
      </w:r>
      <w:r w:rsidR="00696990">
        <w:rPr>
          <w:rFonts w:ascii="Arial" w:hAnsi="Arial" w:cs="Arial"/>
        </w:rPr>
        <w:t xml:space="preserve"> adults and Alzheimer's patients</w:t>
      </w:r>
      <w:r w:rsidRPr="009E1AC9">
        <w:rPr>
          <w:rFonts w:ascii="Arial" w:hAnsi="Arial" w:cs="Arial"/>
        </w:rPr>
        <w:t xml:space="preserve">. Their results indicated that the ability of recognition memory in Alzheimer's patients was impaired, and there was a minimal level of differentiation among the groups in behavioural testing. This helps illustrate the point that objective neurological assessments can detect cognitive decline earlier than classical behavioural assessments. Likewise, a study by </w:t>
      </w:r>
      <w:proofErr w:type="spellStart"/>
      <w:r w:rsidRPr="009E1AC9">
        <w:rPr>
          <w:rFonts w:ascii="Arial" w:hAnsi="Arial" w:cs="Arial"/>
        </w:rPr>
        <w:t>Ereira</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(2024) revealed that dysconnectivity in the default-mode network was associated with a future diagnosis of dementia nine years prior. This contributes to the reliability of the findings and the capacity of neurobiological markers to predict at the population level.</w:t>
      </w:r>
    </w:p>
    <w:p w14:paraId="02A73295" w14:textId="7457E565" w:rsidR="000E5493" w:rsidRPr="009E1AC9" w:rsidRDefault="00855A02" w:rsidP="009E1AC9">
      <w:pPr>
        <w:rPr>
          <w:rFonts w:ascii="Arial" w:hAnsi="Arial" w:cs="Arial"/>
        </w:rPr>
      </w:pPr>
      <w:r w:rsidRPr="009E1AC9">
        <w:rPr>
          <w:rFonts w:ascii="Arial" w:hAnsi="Arial" w:cs="Arial"/>
        </w:rPr>
        <w:lastRenderedPageBreak/>
        <w:t xml:space="preserve">Likewise, Keshavan </w:t>
      </w:r>
      <w:r w:rsidRPr="00696990">
        <w:rPr>
          <w:rFonts w:ascii="Arial" w:hAnsi="Arial" w:cs="Arial"/>
          <w:i/>
          <w:iCs/>
        </w:rPr>
        <w:t>et al</w:t>
      </w:r>
      <w:r w:rsidRPr="009E1AC9">
        <w:rPr>
          <w:rFonts w:ascii="Arial" w:hAnsi="Arial" w:cs="Arial"/>
        </w:rPr>
        <w:t xml:space="preserve">. (2021) compared mass spectrometry-based plasma biomarkers against </w:t>
      </w:r>
      <w:r w:rsidR="00696990" w:rsidRPr="009E1AC9">
        <w:rPr>
          <w:rFonts w:ascii="Arial" w:hAnsi="Arial" w:cs="Arial"/>
        </w:rPr>
        <w:t>several</w:t>
      </w:r>
      <w:r w:rsidRPr="009E1AC9">
        <w:rPr>
          <w:rFonts w:ascii="Arial" w:hAnsi="Arial" w:cs="Arial"/>
        </w:rPr>
        <w:t xml:space="preserve"> other alternative methods of biomarker measurement in a British birth cohort. Unlike Stothart </w:t>
      </w:r>
      <w:r w:rsidRPr="00696990">
        <w:rPr>
          <w:rFonts w:ascii="Arial" w:hAnsi="Arial" w:cs="Arial"/>
          <w:i/>
          <w:iCs/>
        </w:rPr>
        <w:t>et al</w:t>
      </w:r>
      <w:r w:rsidRPr="009E1AC9">
        <w:rPr>
          <w:rFonts w:ascii="Arial" w:hAnsi="Arial" w:cs="Arial"/>
        </w:rPr>
        <w:t>. (2021), they also found that some of the blood biomarkers discussed were not superior to demographic risk models. This partly contradicts the notion that all biomarker technologies offer better diagnostic accuracy. The studies concur that the early diagnosis of dementia needs to be made much more sensitive than through a behavioural assessment alone. However, they are divided when it comes to the best and most practical solutions that are also reliable when it comes to technologies.</w:t>
      </w:r>
    </w:p>
    <w:p w14:paraId="738C1388" w14:textId="77777777" w:rsidR="00855A02" w:rsidRPr="009E1AC9" w:rsidRDefault="00855A02" w:rsidP="009E1AC9">
      <w:pPr>
        <w:rPr>
          <w:rFonts w:ascii="Arial" w:hAnsi="Arial" w:cs="Arial"/>
        </w:rPr>
      </w:pPr>
    </w:p>
    <w:p w14:paraId="7938D7A9" w14:textId="634C3188" w:rsidR="00407EB3" w:rsidRPr="009E1AC9" w:rsidRDefault="00407EB3" w:rsidP="009E1AC9">
      <w:pPr>
        <w:pStyle w:val="Heading3"/>
        <w:rPr>
          <w:rFonts w:ascii="Arial" w:hAnsi="Arial" w:cs="Arial"/>
        </w:rPr>
      </w:pPr>
      <w:bookmarkStart w:id="39" w:name="_Toc234829751"/>
      <w:r w:rsidRPr="009E1AC9">
        <w:rPr>
          <w:rFonts w:ascii="Arial" w:hAnsi="Arial" w:cs="Arial"/>
        </w:rPr>
        <w:t>Connections to Other Themes</w:t>
      </w:r>
      <w:bookmarkEnd w:id="39"/>
    </w:p>
    <w:p w14:paraId="7D15077B" w14:textId="100F58B7" w:rsidR="000E5493" w:rsidRPr="009E1AC9" w:rsidRDefault="00855A02" w:rsidP="009E1AC9">
      <w:pPr>
        <w:rPr>
          <w:rFonts w:ascii="Arial" w:hAnsi="Arial" w:cs="Arial"/>
        </w:rPr>
      </w:pPr>
      <w:r w:rsidRPr="009E1AC9">
        <w:rPr>
          <w:rFonts w:ascii="Arial" w:hAnsi="Arial" w:cs="Arial"/>
        </w:rPr>
        <w:t>This theme relates well to the following themes on screening tools, nursing assessment practices and obstacles to implementation. Screening tools are developed and evaluated on the basis of clinical markers and cognitive markers. The results, for instance, have implications for the design of cognitive assessments and biomarker screening procedures. Similarly, issues in implementation identified in this theme, such as technological complexity and resource constraints, are directly tied to the larger issues of service readiness and accessibility. Hence, knowledge of the clinical markers is vital to assess the effectiveness and feasibility of early dementia recognition strategies and their application to nursing practice in healthcare.</w:t>
      </w:r>
    </w:p>
    <w:p w14:paraId="37CB2D9C" w14:textId="77777777" w:rsidR="00855A02" w:rsidRPr="009E1AC9" w:rsidRDefault="00855A02" w:rsidP="009E1AC9">
      <w:pPr>
        <w:rPr>
          <w:rFonts w:ascii="Arial" w:hAnsi="Arial" w:cs="Arial"/>
        </w:rPr>
      </w:pPr>
    </w:p>
    <w:p w14:paraId="14B654AD" w14:textId="306AE411" w:rsidR="00407EB3" w:rsidRPr="009E1AC9" w:rsidRDefault="00407EB3" w:rsidP="009E1AC9">
      <w:pPr>
        <w:pStyle w:val="Heading2"/>
        <w:jc w:val="both"/>
        <w:rPr>
          <w:rFonts w:ascii="Arial" w:hAnsi="Arial"/>
        </w:rPr>
      </w:pPr>
      <w:bookmarkStart w:id="40" w:name="_Toc234829752"/>
      <w:r w:rsidRPr="009E1AC9">
        <w:rPr>
          <w:rFonts w:ascii="Arial" w:hAnsi="Arial"/>
        </w:rPr>
        <w:t>4.4 – Theme 2</w:t>
      </w:r>
      <w:r w:rsidR="00C142E3" w:rsidRPr="009E1AC9">
        <w:rPr>
          <w:rFonts w:ascii="Arial" w:hAnsi="Arial"/>
        </w:rPr>
        <w:t>: Screening Tools And Assessment Practices Used In Nursing Or Primary Care</w:t>
      </w:r>
      <w:bookmarkEnd w:id="40"/>
    </w:p>
    <w:p w14:paraId="0BF1A5FD" w14:textId="42D55BCF" w:rsidR="00855A02" w:rsidRPr="009E1AC9" w:rsidRDefault="00407EB3" w:rsidP="009E1AC9">
      <w:pPr>
        <w:pStyle w:val="Heading3"/>
        <w:rPr>
          <w:rFonts w:ascii="Arial" w:hAnsi="Arial" w:cs="Arial"/>
        </w:rPr>
      </w:pPr>
      <w:bookmarkStart w:id="41" w:name="_Toc234829753"/>
      <w:r w:rsidRPr="009E1AC9">
        <w:rPr>
          <w:rFonts w:ascii="Arial" w:hAnsi="Arial" w:cs="Arial"/>
        </w:rPr>
        <w:t>Definition</w:t>
      </w:r>
      <w:bookmarkEnd w:id="41"/>
    </w:p>
    <w:p w14:paraId="0E2FF649" w14:textId="37EF1C4E" w:rsidR="00855A02" w:rsidRPr="009E1AC9" w:rsidRDefault="00855A02" w:rsidP="009E1AC9">
      <w:pPr>
        <w:rPr>
          <w:rFonts w:ascii="Arial" w:hAnsi="Arial" w:cs="Arial"/>
        </w:rPr>
      </w:pPr>
      <w:r w:rsidRPr="009E1AC9">
        <w:rPr>
          <w:rFonts w:ascii="Arial" w:hAnsi="Arial" w:cs="Arial"/>
        </w:rPr>
        <w:t xml:space="preserve">Screening tests and assessment in dementia care are the systematic, clinical procedures used during assessment in primary care and nursing homes to determine if cognitive impairment is present or </w:t>
      </w:r>
      <w:r w:rsidR="00696990" w:rsidRPr="009E1AC9">
        <w:rPr>
          <w:rFonts w:ascii="Arial" w:hAnsi="Arial" w:cs="Arial"/>
        </w:rPr>
        <w:t>not and</w:t>
      </w:r>
      <w:r w:rsidRPr="009E1AC9">
        <w:rPr>
          <w:rFonts w:ascii="Arial" w:hAnsi="Arial" w:cs="Arial"/>
        </w:rPr>
        <w:t xml:space="preserve"> discern if it is a normal part of ageing or not (Fowler </w:t>
      </w:r>
      <w:r w:rsidRPr="00696990">
        <w:rPr>
          <w:rFonts w:ascii="Arial" w:hAnsi="Arial" w:cs="Arial"/>
          <w:i/>
          <w:iCs/>
        </w:rPr>
        <w:t>et al.,</w:t>
      </w:r>
      <w:r w:rsidRPr="009E1AC9">
        <w:rPr>
          <w:rFonts w:ascii="Arial" w:hAnsi="Arial" w:cs="Arial"/>
        </w:rPr>
        <w:t xml:space="preserve"> 2025). Some of these include the clinician's judgment, brief cognitive evaluation, and informant questionnaires for memory, orientation and functional decline. Early detection is supported by common tools like the General Practitioner (GP) clinical impression, Montreal Cognitive Assessment (MoCA), IQCODE, AD8, and </w:t>
      </w:r>
      <w:proofErr w:type="spellStart"/>
      <w:r w:rsidRPr="009E1AC9">
        <w:rPr>
          <w:rFonts w:ascii="Arial" w:hAnsi="Arial" w:cs="Arial"/>
        </w:rPr>
        <w:t>GPCOGi</w:t>
      </w:r>
      <w:proofErr w:type="spellEnd"/>
      <w:r w:rsidRPr="009E1AC9">
        <w:rPr>
          <w:rFonts w:ascii="Arial" w:hAnsi="Arial" w:cs="Arial"/>
        </w:rPr>
        <w:t xml:space="preserve">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In the context of this question, sensitivity is the ability of the test to detect cases of dementia, and specificity is the ability of the test to exclude non-dementia cases.</w:t>
      </w:r>
    </w:p>
    <w:p w14:paraId="1B9DD791" w14:textId="77777777" w:rsidR="00855A02" w:rsidRPr="009E1AC9" w:rsidRDefault="00855A02" w:rsidP="009E1AC9">
      <w:pPr>
        <w:rPr>
          <w:rFonts w:ascii="Arial" w:hAnsi="Arial" w:cs="Arial"/>
        </w:rPr>
      </w:pPr>
    </w:p>
    <w:p w14:paraId="3EB719B4" w14:textId="116388B5" w:rsidR="00407EB3" w:rsidRPr="009E1AC9" w:rsidRDefault="00407EB3" w:rsidP="009E1AC9">
      <w:pPr>
        <w:pStyle w:val="Heading3"/>
        <w:rPr>
          <w:rFonts w:ascii="Arial" w:hAnsi="Arial" w:cs="Arial"/>
        </w:rPr>
      </w:pPr>
      <w:bookmarkStart w:id="42" w:name="_Toc234829754"/>
      <w:r w:rsidRPr="009E1AC9">
        <w:rPr>
          <w:rFonts w:ascii="Arial" w:hAnsi="Arial" w:cs="Arial"/>
        </w:rPr>
        <w:lastRenderedPageBreak/>
        <w:t>Background Information</w:t>
      </w:r>
      <w:bookmarkEnd w:id="42"/>
    </w:p>
    <w:p w14:paraId="32802F9E" w14:textId="38C0736D" w:rsidR="00855A02" w:rsidRPr="009E1AC9" w:rsidRDefault="00855A02" w:rsidP="009E1AC9">
      <w:pPr>
        <w:rPr>
          <w:rFonts w:ascii="Arial" w:hAnsi="Arial" w:cs="Arial"/>
        </w:rPr>
      </w:pPr>
      <w:r w:rsidRPr="009E1AC9">
        <w:rPr>
          <w:rFonts w:ascii="Arial" w:hAnsi="Arial" w:cs="Arial"/>
        </w:rPr>
        <w:t xml:space="preserve">Traditionally, diagnosis of dementia in primary care was reliant on the GP's clinical judgement and patient presentation and was perceived as being variable across different GP practices. As time went on, more structured cognitive tools </w:t>
      </w:r>
      <w:r w:rsidR="00696990">
        <w:rPr>
          <w:rFonts w:ascii="Arial" w:hAnsi="Arial" w:cs="Arial"/>
        </w:rPr>
        <w:t xml:space="preserve">were </w:t>
      </w:r>
      <w:r w:rsidRPr="009E1AC9">
        <w:rPr>
          <w:rFonts w:ascii="Arial" w:hAnsi="Arial" w:cs="Arial"/>
        </w:rPr>
        <w:t xml:space="preserve">added to assess with more consistency and objectivity. Certainly, GP judgement, although very specific, fails to capture a large percentage of those that fall under the dementia group, as emphasised by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(2021), suggesting a degree of subjectivity in the assessment of dementia. Likewise,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show that a foreshortened cognitive test can have a negative impact on specificity while increasing sensitivity, resulting in some compromise in diagnostic accuracy. Similarly,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(2025) take up this debate and investigate informant-based tools, finding that they are good at excluding dementia but do not accurately identify the condition. These, as a group, illustrate a trend toward using multiple assessment methods in primary care, due to greater needs for early diagnosis. They also highlight current apprehensions about what tools are more accurate, time-efficient and practicable in real-world clinical settings.</w:t>
      </w:r>
    </w:p>
    <w:p w14:paraId="34FF15F3" w14:textId="77777777" w:rsidR="003E2DBA" w:rsidRPr="009E1AC9" w:rsidRDefault="003E2DBA" w:rsidP="009E1AC9">
      <w:pPr>
        <w:rPr>
          <w:rFonts w:ascii="Arial" w:hAnsi="Arial" w:cs="Arial"/>
        </w:rPr>
      </w:pPr>
    </w:p>
    <w:p w14:paraId="1161F053" w14:textId="38F9EE42" w:rsidR="00407EB3" w:rsidRPr="009E1AC9" w:rsidRDefault="00407EB3" w:rsidP="009E1AC9">
      <w:pPr>
        <w:pStyle w:val="Heading3"/>
        <w:rPr>
          <w:rFonts w:ascii="Arial" w:hAnsi="Arial" w:cs="Arial"/>
        </w:rPr>
      </w:pPr>
      <w:bookmarkStart w:id="43" w:name="_Toc234829755"/>
      <w:r w:rsidRPr="009E1AC9">
        <w:rPr>
          <w:rFonts w:ascii="Arial" w:hAnsi="Arial" w:cs="Arial"/>
        </w:rPr>
        <w:t>Impact on Research Question</w:t>
      </w:r>
      <w:bookmarkEnd w:id="43"/>
    </w:p>
    <w:p w14:paraId="754D6323" w14:textId="43084351" w:rsidR="00407EB3" w:rsidRPr="009E1AC9" w:rsidRDefault="003E2DBA" w:rsidP="009E1AC9">
      <w:pPr>
        <w:rPr>
          <w:rFonts w:ascii="Arial" w:hAnsi="Arial" w:cs="Arial"/>
        </w:rPr>
      </w:pPr>
      <w:r w:rsidRPr="009E1AC9">
        <w:rPr>
          <w:rFonts w:ascii="Arial" w:hAnsi="Arial" w:cs="Arial"/>
        </w:rPr>
        <w:t xml:space="preserve">This theme is of great relevance with respect to the aspects of healthcare diagnostic differences in the identification of dementia, in which the assessment tools can contribute to a variation in the detection of dementia in different populations. In a study by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(2021), GP clinical judgement was specific (89%) but with low sensitivity (56%), suggesting that cases might go undiagnosed in routine primary care settings. Likewise,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noted that tools such as MoCA demonstrated a high sensitivity, but very low specificity, which indicated a possible over-referral and inconsistent diagnostic pathways. Similarly,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concluded that informant questionnaires like IQCODE and AD8 could validly exclude dementia status but were not good at confirming dementia status. This is because the accuracy of the test may differ for certain groups, such as the BAME and the White British elderly, due to cultural differences, language barriers and informant availability. Consequently, inequities in screening directly affect the accuracy of dementia diagnoses.</w:t>
      </w:r>
    </w:p>
    <w:p w14:paraId="3070ADA5" w14:textId="77777777" w:rsidR="003E2DBA" w:rsidRPr="009E1AC9" w:rsidRDefault="003E2DBA" w:rsidP="009E1AC9">
      <w:pPr>
        <w:rPr>
          <w:rFonts w:ascii="Arial" w:hAnsi="Arial" w:cs="Arial"/>
        </w:rPr>
      </w:pPr>
    </w:p>
    <w:p w14:paraId="34E11E64" w14:textId="6DC252ED" w:rsidR="00407EB3" w:rsidRPr="009E1AC9" w:rsidRDefault="00407EB3" w:rsidP="009E1AC9">
      <w:pPr>
        <w:pStyle w:val="Heading3"/>
        <w:rPr>
          <w:rFonts w:ascii="Arial" w:hAnsi="Arial" w:cs="Arial"/>
        </w:rPr>
      </w:pPr>
      <w:bookmarkStart w:id="44" w:name="_Toc234829756"/>
      <w:r w:rsidRPr="009E1AC9">
        <w:rPr>
          <w:rFonts w:ascii="Arial" w:hAnsi="Arial" w:cs="Arial"/>
        </w:rPr>
        <w:t>Theories, Policies, and Legislation</w:t>
      </w:r>
      <w:bookmarkEnd w:id="44"/>
    </w:p>
    <w:p w14:paraId="711796C1" w14:textId="2F215D76" w:rsidR="003E2DBA" w:rsidRPr="009E1AC9" w:rsidRDefault="00696990" w:rsidP="009E1AC9">
      <w:pPr>
        <w:rPr>
          <w:rFonts w:ascii="Arial" w:hAnsi="Arial" w:cs="Arial"/>
        </w:rPr>
      </w:pPr>
      <w:r>
        <w:rPr>
          <w:rFonts w:ascii="Arial" w:hAnsi="Arial" w:cs="Arial"/>
        </w:rPr>
        <w:t>Several theoretical frameworks can</w:t>
      </w:r>
      <w:r w:rsidR="003E2DBA" w:rsidRPr="009E1AC9">
        <w:rPr>
          <w:rFonts w:ascii="Arial" w:hAnsi="Arial" w:cs="Arial"/>
        </w:rPr>
        <w:t xml:space="preserve"> account for the variation in screening and assessment practices. The diagnostic accuracy theory is used for assessing the accuracy of diagnoses, particularly the trade-off between false-positive and false-negative outcomes in the process of </w:t>
      </w:r>
      <w:r w:rsidR="003E2DBA" w:rsidRPr="009E1AC9">
        <w:rPr>
          <w:rFonts w:ascii="Arial" w:hAnsi="Arial" w:cs="Arial"/>
        </w:rPr>
        <w:lastRenderedPageBreak/>
        <w:t xml:space="preserve">clinical decision-making. This is supported by </w:t>
      </w:r>
      <w:proofErr w:type="spellStart"/>
      <w:r w:rsidR="003E2DBA" w:rsidRPr="009E1AC9">
        <w:rPr>
          <w:rFonts w:ascii="Arial" w:hAnsi="Arial" w:cs="Arial"/>
        </w:rPr>
        <w:t>Creavin</w:t>
      </w:r>
      <w:proofErr w:type="spellEnd"/>
      <w:r w:rsidR="003E2DBA" w:rsidRPr="009E1AC9">
        <w:rPr>
          <w:rFonts w:ascii="Arial" w:hAnsi="Arial" w:cs="Arial"/>
        </w:rPr>
        <w:t xml:space="preserve"> </w:t>
      </w:r>
      <w:r w:rsidR="003E2DBA" w:rsidRPr="00696990">
        <w:rPr>
          <w:rFonts w:ascii="Arial" w:hAnsi="Arial" w:cs="Arial"/>
          <w:i/>
          <w:iCs/>
        </w:rPr>
        <w:t>et al</w:t>
      </w:r>
      <w:r w:rsidR="003E2DBA" w:rsidRPr="009E1AC9">
        <w:rPr>
          <w:rFonts w:ascii="Arial" w:hAnsi="Arial" w:cs="Arial"/>
        </w:rPr>
        <w:t xml:space="preserve">. (2021), who showed that GP judgement is skewed in favour of specificity relative to sensitivity: they have a greater tendency to confirm than to exclude a dementia diagnosis. However, </w:t>
      </w:r>
      <w:proofErr w:type="spellStart"/>
      <w:r w:rsidR="003E2DBA" w:rsidRPr="009E1AC9">
        <w:rPr>
          <w:rFonts w:ascii="Arial" w:hAnsi="Arial" w:cs="Arial"/>
        </w:rPr>
        <w:t>Creavin</w:t>
      </w:r>
      <w:proofErr w:type="spellEnd"/>
      <w:r w:rsidR="003E2DBA" w:rsidRPr="009E1AC9">
        <w:rPr>
          <w:rFonts w:ascii="Arial" w:hAnsi="Arial" w:cs="Arial"/>
        </w:rPr>
        <w:t xml:space="preserve"> </w:t>
      </w:r>
      <w:r w:rsidR="003E2DBA" w:rsidRPr="00696990">
        <w:rPr>
          <w:rFonts w:ascii="Arial" w:hAnsi="Arial" w:cs="Arial"/>
          <w:i/>
          <w:iCs/>
        </w:rPr>
        <w:t>et al.</w:t>
      </w:r>
      <w:r w:rsidR="003E2DBA" w:rsidRPr="009E1AC9">
        <w:rPr>
          <w:rFonts w:ascii="Arial" w:hAnsi="Arial" w:cs="Arial"/>
        </w:rPr>
        <w:t xml:space="preserve"> (2023) demonstrate </w:t>
      </w:r>
      <w:r>
        <w:rPr>
          <w:rFonts w:ascii="Arial" w:hAnsi="Arial" w:cs="Arial"/>
        </w:rPr>
        <w:t xml:space="preserve">that </w:t>
      </w:r>
      <w:r w:rsidR="003E2DBA" w:rsidRPr="009E1AC9">
        <w:rPr>
          <w:rFonts w:ascii="Arial" w:hAnsi="Arial" w:cs="Arial"/>
        </w:rPr>
        <w:t xml:space="preserve">cognitive screening instruments like MoCA prioritise sensitivity, which aligns with the holistic framework of early detection theory (also called early detection science), which seeks to detect the condition as early as possible. </w:t>
      </w:r>
      <w:proofErr w:type="spellStart"/>
      <w:r w:rsidR="003E2DBA" w:rsidRPr="009E1AC9">
        <w:rPr>
          <w:rFonts w:ascii="Arial" w:hAnsi="Arial" w:cs="Arial"/>
        </w:rPr>
        <w:t>Chingono</w:t>
      </w:r>
      <w:proofErr w:type="spellEnd"/>
      <w:r w:rsidR="003E2DBA" w:rsidRPr="009E1AC9">
        <w:rPr>
          <w:rFonts w:ascii="Arial" w:hAnsi="Arial" w:cs="Arial"/>
        </w:rPr>
        <w:t xml:space="preserve"> </w:t>
      </w:r>
      <w:r w:rsidR="003E2DBA" w:rsidRPr="00696990">
        <w:rPr>
          <w:rFonts w:ascii="Arial" w:hAnsi="Arial" w:cs="Arial"/>
          <w:i/>
          <w:iCs/>
        </w:rPr>
        <w:t>et al.</w:t>
      </w:r>
      <w:r w:rsidR="003E2DBA" w:rsidRPr="009E1AC9">
        <w:rPr>
          <w:rFonts w:ascii="Arial" w:hAnsi="Arial" w:cs="Arial"/>
        </w:rPr>
        <w:t xml:space="preserve"> (2025) also built on informant reliability theory, which posits that proxy reports can complement clinical evaluations, but depends on the type of relationship and social </w:t>
      </w:r>
      <w:r>
        <w:rPr>
          <w:rFonts w:ascii="Arial" w:hAnsi="Arial" w:cs="Arial"/>
        </w:rPr>
        <w:t>distance</w:t>
      </w:r>
      <w:r w:rsidR="003E2DBA" w:rsidRPr="009E1AC9">
        <w:rPr>
          <w:rFonts w:ascii="Arial" w:hAnsi="Arial" w:cs="Arial"/>
        </w:rPr>
        <w:t>.</w:t>
      </w:r>
    </w:p>
    <w:p w14:paraId="52F452F2" w14:textId="4990CBF1" w:rsidR="003E2DBA" w:rsidRPr="009E1AC9" w:rsidRDefault="003E2DBA" w:rsidP="009E1AC9">
      <w:pPr>
        <w:rPr>
          <w:rFonts w:ascii="Arial" w:hAnsi="Arial" w:cs="Arial"/>
        </w:rPr>
      </w:pPr>
      <w:r w:rsidRPr="009E1AC9">
        <w:rPr>
          <w:rFonts w:ascii="Arial" w:hAnsi="Arial" w:cs="Arial"/>
        </w:rPr>
        <w:t xml:space="preserve">The NHS Long Term Plan (GOV.UK, 2009) and the National Dementia Strategy (GOV.UK, 2025) highlight the need to improve access to cognitive screening in primary care and to focus on early diagnosis. These policies promote GP-led assessment pathways and embedding cognitive testing as part of the routine assessment process. However, there are still some issues to be identified in terms of implementation, such as training, time </w:t>
      </w:r>
      <w:r w:rsidR="00696990">
        <w:rPr>
          <w:rFonts w:ascii="Arial" w:hAnsi="Arial" w:cs="Arial"/>
        </w:rPr>
        <w:t>limitations,</w:t>
      </w:r>
      <w:r w:rsidRPr="009E1AC9">
        <w:rPr>
          <w:rFonts w:ascii="Arial" w:hAnsi="Arial" w:cs="Arial"/>
        </w:rPr>
        <w:t xml:space="preserve"> and consistency in tool application. The Care Act 2014 also facilitates equitable access to diagnosis and care planning, which emphasises the need for accurate early detection (GOV.UK, 2014). Although policy supports, the studies collectively show that there is a disconnect between policy expectations and actual diagnostic accuracy in the real world.</w:t>
      </w:r>
    </w:p>
    <w:p w14:paraId="0EEFBA6D" w14:textId="77777777" w:rsidR="003E2DBA" w:rsidRPr="009E1AC9" w:rsidRDefault="003E2DBA" w:rsidP="009E1AC9">
      <w:pPr>
        <w:rPr>
          <w:rFonts w:ascii="Arial" w:hAnsi="Arial" w:cs="Arial"/>
        </w:rPr>
      </w:pPr>
    </w:p>
    <w:p w14:paraId="3B57B2BA" w14:textId="3930BC3A" w:rsidR="00407EB3" w:rsidRPr="009E1AC9" w:rsidRDefault="00407EB3" w:rsidP="009E1AC9">
      <w:pPr>
        <w:pStyle w:val="Heading3"/>
        <w:rPr>
          <w:rFonts w:ascii="Arial" w:hAnsi="Arial" w:cs="Arial"/>
        </w:rPr>
      </w:pPr>
      <w:bookmarkStart w:id="45" w:name="_Toc234829757"/>
      <w:r w:rsidRPr="009E1AC9">
        <w:rPr>
          <w:rFonts w:ascii="Arial" w:hAnsi="Arial" w:cs="Arial"/>
        </w:rPr>
        <w:t>Implications</w:t>
      </w:r>
      <w:bookmarkEnd w:id="45"/>
    </w:p>
    <w:p w14:paraId="514150D2" w14:textId="77777777" w:rsidR="003E2DBA" w:rsidRPr="009E1AC9" w:rsidRDefault="003E2DBA" w:rsidP="009E1AC9">
      <w:pPr>
        <w:rPr>
          <w:rFonts w:ascii="Arial" w:hAnsi="Arial" w:cs="Arial"/>
        </w:rPr>
      </w:pPr>
      <w:r w:rsidRPr="009E1AC9">
        <w:rPr>
          <w:rFonts w:ascii="Arial" w:hAnsi="Arial" w:cs="Arial"/>
        </w:rPr>
        <w:t xml:space="preserve">The results of the three studies reveal both good and bad news with respect to the diagnosis of dementia in primary care. Fortunately,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show that GP judgement, combined with cognitive tests, can improve diagnostic efficiency, which indicates that integrated assessment strategies may have an impact on early detection. Similarly,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suggest that informant instruments can be useful in excluding dementia, helping to avoid unnecessary referrals to specialists and healthcare burden. This research lends further endorsement to a multi-layered evaluation approach using clinical judgement, cognitive testing and informant information.</w:t>
      </w:r>
    </w:p>
    <w:p w14:paraId="1DB1C035" w14:textId="1AA34E22" w:rsidR="003E2DBA" w:rsidRPr="009E1AC9" w:rsidRDefault="003E2DBA" w:rsidP="009E1AC9">
      <w:pPr>
        <w:rPr>
          <w:rFonts w:ascii="Arial" w:hAnsi="Arial" w:cs="Arial"/>
        </w:rPr>
      </w:pPr>
      <w:r w:rsidRPr="009E1AC9">
        <w:rPr>
          <w:rFonts w:ascii="Arial" w:hAnsi="Arial" w:cs="Arial"/>
        </w:rPr>
        <w:t xml:space="preserve">However,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(2021) note that the low sensitivity of GP judgment can result in delayed treatment </w:t>
      </w:r>
      <w:r w:rsidR="00696990" w:rsidRPr="009E1AC9">
        <w:rPr>
          <w:rFonts w:ascii="Arial" w:hAnsi="Arial" w:cs="Arial"/>
        </w:rPr>
        <w:t>because of</w:t>
      </w:r>
      <w:r w:rsidRPr="009E1AC9">
        <w:rPr>
          <w:rFonts w:ascii="Arial" w:hAnsi="Arial" w:cs="Arial"/>
        </w:rPr>
        <w:t xml:space="preserve"> missed diagnosis. In the same way,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have demonstrated that the specificity of highly sensitive tools diminishes, raising false-positive rates and possibly leading to anxiety or unnecessary investigations.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also illustrate the inconsistencies in informant accuracy, as friends were more likely to be specific than family members, a concern that needs to be addressed in real-world applications. These restrictions indicate that none of these is a panacea for correct diagnosis. Thus, any </w:t>
      </w:r>
      <w:r w:rsidRPr="009E1AC9">
        <w:rPr>
          <w:rFonts w:ascii="Arial" w:hAnsi="Arial" w:cs="Arial"/>
        </w:rPr>
        <w:lastRenderedPageBreak/>
        <w:t>single approach can add to inequalities in diagnosis rates, especially if access to continual informants or trained practitioners is not uniform among different populations.</w:t>
      </w:r>
    </w:p>
    <w:p w14:paraId="3ADE736B" w14:textId="77777777" w:rsidR="003E2DBA" w:rsidRPr="009E1AC9" w:rsidRDefault="003E2DBA" w:rsidP="009E1AC9">
      <w:pPr>
        <w:rPr>
          <w:rFonts w:ascii="Arial" w:hAnsi="Arial" w:cs="Arial"/>
        </w:rPr>
      </w:pPr>
    </w:p>
    <w:p w14:paraId="2E705F97" w14:textId="589EF1D7" w:rsidR="00407EB3" w:rsidRPr="009E1AC9" w:rsidRDefault="00407EB3" w:rsidP="009E1AC9">
      <w:pPr>
        <w:pStyle w:val="Heading3"/>
        <w:rPr>
          <w:rFonts w:ascii="Arial" w:hAnsi="Arial" w:cs="Arial"/>
        </w:rPr>
      </w:pPr>
      <w:bookmarkStart w:id="46" w:name="_Toc234829758"/>
      <w:r w:rsidRPr="009E1AC9">
        <w:rPr>
          <w:rFonts w:ascii="Arial" w:hAnsi="Arial" w:cs="Arial"/>
        </w:rPr>
        <w:t>Examples from Your Articles</w:t>
      </w:r>
      <w:bookmarkEnd w:id="46"/>
    </w:p>
    <w:p w14:paraId="73C9F8A4" w14:textId="77777777" w:rsidR="003E2DBA" w:rsidRPr="009E1AC9" w:rsidRDefault="003E2DBA" w:rsidP="009E1AC9">
      <w:pPr>
        <w:rPr>
          <w:rFonts w:ascii="Arial" w:hAnsi="Arial" w:cs="Arial"/>
        </w:rPr>
      </w:pPr>
      <w:r w:rsidRPr="009E1AC9">
        <w:rPr>
          <w:rFonts w:ascii="Arial" w:hAnsi="Arial" w:cs="Arial"/>
        </w:rPr>
        <w:t xml:space="preserve">GP clinical judgement plays a crucial role in the diagnosis of dementia, as demonstrated by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(2021) in their findings, who reported that specificity for the condition was high at 89%, but sensitivity was low at 56%; nearly half of all cases of dementia were not detected in primary care.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similarly, extended this study to include 16 cognitive tests and discovered that MoCA had 100% sensitivity and 16% specificity, revealing a significant imbalance between sensitivity and specificity. Additionally,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investigated informant-based measures, including IQCODE, AD8 and </w:t>
      </w:r>
      <w:proofErr w:type="spellStart"/>
      <w:r w:rsidRPr="009E1AC9">
        <w:rPr>
          <w:rFonts w:ascii="Arial" w:hAnsi="Arial" w:cs="Arial"/>
        </w:rPr>
        <w:t>GPCOGi</w:t>
      </w:r>
      <w:proofErr w:type="spellEnd"/>
      <w:r w:rsidRPr="009E1AC9">
        <w:rPr>
          <w:rFonts w:ascii="Arial" w:hAnsi="Arial" w:cs="Arial"/>
        </w:rPr>
        <w:t>, all of which showed high sensitivity (up to 100%) and low specificity, especially among adult descendants.</w:t>
      </w:r>
    </w:p>
    <w:p w14:paraId="64B09E7E" w14:textId="18FB8D3B" w:rsidR="003E2DBA" w:rsidRPr="009E1AC9" w:rsidRDefault="003E2DBA" w:rsidP="009E1AC9">
      <w:pPr>
        <w:rPr>
          <w:rFonts w:ascii="Arial" w:hAnsi="Arial" w:cs="Arial"/>
        </w:rPr>
      </w:pPr>
      <w:r w:rsidRPr="009E1AC9">
        <w:rPr>
          <w:rFonts w:ascii="Arial" w:hAnsi="Arial" w:cs="Arial"/>
        </w:rPr>
        <w:t xml:space="preserve">In all three studies, there is a consistent trend that screening tools can help identify the possibility of dementia, but have a large variability in the rate of correctly diagnosing dementia. The studies agree that the addition of methods increases the diagnostic sensitivity, as reported by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(2023), who saw specificities increase to 87% when adding GP judgement to cognitive tests. They differ, however, in the emphasis imparted, with </w:t>
      </w:r>
      <w:proofErr w:type="spellStart"/>
      <w:r w:rsidRPr="009E1AC9">
        <w:rPr>
          <w:rFonts w:ascii="Arial" w:hAnsi="Arial" w:cs="Arial"/>
        </w:rPr>
        <w:t>Creavin</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(2021) emphasising the accuracy of clinical judgements, and </w:t>
      </w:r>
      <w:proofErr w:type="spellStart"/>
      <w:r w:rsidRPr="009E1AC9">
        <w:rPr>
          <w:rFonts w:ascii="Arial" w:hAnsi="Arial" w:cs="Arial"/>
        </w:rPr>
        <w:t>Chingono</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(2025) emphasising informant variability. Overall, the results of these studies suggest the need for multi-method evaluation in primary care to facilitate reliable diagnosis.</w:t>
      </w:r>
    </w:p>
    <w:p w14:paraId="0565D5D2" w14:textId="77777777" w:rsidR="003E2DBA" w:rsidRPr="009E1AC9" w:rsidRDefault="003E2DBA" w:rsidP="009E1AC9">
      <w:pPr>
        <w:rPr>
          <w:rFonts w:ascii="Arial" w:hAnsi="Arial" w:cs="Arial"/>
        </w:rPr>
      </w:pPr>
    </w:p>
    <w:p w14:paraId="280FEB6A" w14:textId="5FF23FAF" w:rsidR="00407EB3" w:rsidRPr="009E1AC9" w:rsidRDefault="00407EB3" w:rsidP="009E1AC9">
      <w:pPr>
        <w:pStyle w:val="Heading3"/>
        <w:rPr>
          <w:rFonts w:ascii="Arial" w:hAnsi="Arial" w:cs="Arial"/>
        </w:rPr>
      </w:pPr>
      <w:bookmarkStart w:id="47" w:name="_Toc234829759"/>
      <w:r w:rsidRPr="009E1AC9">
        <w:rPr>
          <w:rFonts w:ascii="Arial" w:hAnsi="Arial" w:cs="Arial"/>
        </w:rPr>
        <w:t>Connections to Other Themes</w:t>
      </w:r>
      <w:bookmarkEnd w:id="47"/>
    </w:p>
    <w:p w14:paraId="6B81F79C" w14:textId="5E34D9DE" w:rsidR="003E2DBA" w:rsidRPr="009E1AC9" w:rsidRDefault="003E2DBA" w:rsidP="009E1AC9">
      <w:pPr>
        <w:rPr>
          <w:rFonts w:ascii="Arial" w:hAnsi="Arial" w:cs="Arial"/>
        </w:rPr>
      </w:pPr>
      <w:r w:rsidRPr="009E1AC9">
        <w:rPr>
          <w:rFonts w:ascii="Arial" w:hAnsi="Arial" w:cs="Arial"/>
        </w:rPr>
        <w:t>This theme is closely linked to clinical and cognitive markers and barriers to the implementation of dementia diagnosis. Screening tools are based on altered cognitive and neurological functions documented in Theme 1, and therefore, their accuracy relies on the understanding and measurement of these altered functions. Similarly, the limitations in this theme, including but not limited to sensitivity and specificity, directly influence the effectiveness/limitation in Theme 3. Furthermore, methodological variation in assessment processes can impact service readiness and diagnostic processes, highlighting the interdependent relationships between biological markers, clinical tools and health system barriers in earlier dementia detection.</w:t>
      </w:r>
    </w:p>
    <w:p w14:paraId="2C97076B" w14:textId="77777777" w:rsidR="003E2DBA" w:rsidRPr="009E1AC9" w:rsidRDefault="003E2DBA" w:rsidP="009E1AC9">
      <w:pPr>
        <w:rPr>
          <w:rFonts w:ascii="Arial" w:hAnsi="Arial" w:cs="Arial"/>
        </w:rPr>
      </w:pPr>
    </w:p>
    <w:p w14:paraId="05C706E5" w14:textId="38395EDD" w:rsidR="00407EB3" w:rsidRPr="009E1AC9" w:rsidRDefault="00407EB3" w:rsidP="009E1AC9">
      <w:pPr>
        <w:pStyle w:val="Heading2"/>
        <w:jc w:val="both"/>
        <w:rPr>
          <w:rFonts w:ascii="Arial" w:hAnsi="Arial"/>
        </w:rPr>
      </w:pPr>
      <w:bookmarkStart w:id="48" w:name="_Toc234829760"/>
      <w:r w:rsidRPr="009E1AC9">
        <w:rPr>
          <w:rFonts w:ascii="Arial" w:hAnsi="Arial"/>
        </w:rPr>
        <w:lastRenderedPageBreak/>
        <w:t>4.5 – Theme 3</w:t>
      </w:r>
      <w:r w:rsidR="003E2DBA" w:rsidRPr="009E1AC9">
        <w:rPr>
          <w:rFonts w:ascii="Arial" w:hAnsi="Arial"/>
        </w:rPr>
        <w:t>: Effectiveness And Limitations Of Early Recognition Strategies, Service Readiness, And Implementation Barriers</w:t>
      </w:r>
      <w:bookmarkEnd w:id="48"/>
    </w:p>
    <w:p w14:paraId="4B6C9951" w14:textId="19C2DBCB" w:rsidR="00BE17DE" w:rsidRPr="009E1AC9" w:rsidRDefault="00407EB3" w:rsidP="009E1AC9">
      <w:pPr>
        <w:pStyle w:val="Heading3"/>
        <w:rPr>
          <w:rFonts w:ascii="Arial" w:hAnsi="Arial" w:cs="Arial"/>
        </w:rPr>
      </w:pPr>
      <w:bookmarkStart w:id="49" w:name="_Toc234829761"/>
      <w:r w:rsidRPr="009E1AC9">
        <w:rPr>
          <w:rFonts w:ascii="Arial" w:hAnsi="Arial" w:cs="Arial"/>
        </w:rPr>
        <w:t>Definition</w:t>
      </w:r>
      <w:bookmarkEnd w:id="49"/>
    </w:p>
    <w:p w14:paraId="6376BA22" w14:textId="05F9201C" w:rsidR="00BE17DE" w:rsidRPr="009E1AC9" w:rsidRDefault="00BE17DE" w:rsidP="009E1AC9">
      <w:pPr>
        <w:rPr>
          <w:rFonts w:ascii="Arial" w:hAnsi="Arial" w:cs="Arial"/>
        </w:rPr>
      </w:pPr>
      <w:r w:rsidRPr="009E1AC9">
        <w:rPr>
          <w:rFonts w:ascii="Arial" w:hAnsi="Arial" w:cs="Arial"/>
        </w:rPr>
        <w:t>The effectiveness of healthcare systems in recognising dementia early, readiness of services, and barriers to implementation are usefully categorised as early recognition strategies, service readiness, and implementation barriers, respectively (</w:t>
      </w:r>
      <w:proofErr w:type="spellStart"/>
      <w:r w:rsidRPr="009E1AC9">
        <w:rPr>
          <w:rFonts w:ascii="Arial" w:hAnsi="Arial" w:cs="Arial"/>
        </w:rPr>
        <w:t>Endalamaw</w:t>
      </w:r>
      <w:proofErr w:type="spellEnd"/>
      <w:r w:rsidRPr="009E1AC9">
        <w:rPr>
          <w:rFonts w:ascii="Arial" w:hAnsi="Arial" w:cs="Arial"/>
        </w:rPr>
        <w:t xml:space="preserve"> </w:t>
      </w:r>
      <w:r w:rsidRPr="00696990">
        <w:rPr>
          <w:rFonts w:ascii="Arial" w:hAnsi="Arial" w:cs="Arial"/>
          <w:i/>
          <w:iCs/>
        </w:rPr>
        <w:t>et al.,</w:t>
      </w:r>
      <w:r w:rsidRPr="009E1AC9">
        <w:rPr>
          <w:rFonts w:ascii="Arial" w:hAnsi="Arial" w:cs="Arial"/>
        </w:rPr>
        <w:t xml:space="preserve"> 2024). These early recognition strategies involve preventative discussions, risk identification and pathways of structured assessment. Service readiness is the ability of dementia by healthcare systems, such as </w:t>
      </w:r>
      <w:r w:rsidR="00696990">
        <w:rPr>
          <w:rFonts w:ascii="Arial" w:hAnsi="Arial" w:cs="Arial"/>
        </w:rPr>
        <w:t xml:space="preserve">the </w:t>
      </w:r>
      <w:r w:rsidRPr="009E1AC9">
        <w:rPr>
          <w:rFonts w:ascii="Arial" w:hAnsi="Arial" w:cs="Arial"/>
        </w:rPr>
        <w:t xml:space="preserve">workforce, training and infrastructure, to address dementia. Implementation barriers are factors that obstruct effective implementation of services, such as personnel shortages, stigma, resources, culture and organisation (Searby </w:t>
      </w:r>
      <w:r w:rsidRPr="00696990">
        <w:rPr>
          <w:rFonts w:ascii="Arial" w:hAnsi="Arial" w:cs="Arial"/>
          <w:i/>
          <w:iCs/>
        </w:rPr>
        <w:t>et al.,</w:t>
      </w:r>
      <w:r w:rsidRPr="009E1AC9">
        <w:rPr>
          <w:rFonts w:ascii="Arial" w:hAnsi="Arial" w:cs="Arial"/>
        </w:rPr>
        <w:t xml:space="preserve"> 2025). Together, these factors contribute to delayed diagnosis, disparities in access to services for care and services for dementia.</w:t>
      </w:r>
    </w:p>
    <w:p w14:paraId="157C7D6F" w14:textId="77777777" w:rsidR="00BE17DE" w:rsidRPr="009E1AC9" w:rsidRDefault="00BE17DE" w:rsidP="009E1AC9">
      <w:pPr>
        <w:rPr>
          <w:rFonts w:ascii="Arial" w:hAnsi="Arial" w:cs="Arial"/>
        </w:rPr>
      </w:pPr>
    </w:p>
    <w:p w14:paraId="69A9CE99" w14:textId="58FCF5B4" w:rsidR="00407EB3" w:rsidRPr="009E1AC9" w:rsidRDefault="00407EB3" w:rsidP="009E1AC9">
      <w:pPr>
        <w:pStyle w:val="Heading3"/>
        <w:rPr>
          <w:rFonts w:ascii="Arial" w:hAnsi="Arial" w:cs="Arial"/>
        </w:rPr>
      </w:pPr>
      <w:bookmarkStart w:id="50" w:name="_Toc234829762"/>
      <w:r w:rsidRPr="009E1AC9">
        <w:rPr>
          <w:rFonts w:ascii="Arial" w:hAnsi="Arial" w:cs="Arial"/>
        </w:rPr>
        <w:t>Background Information</w:t>
      </w:r>
      <w:bookmarkEnd w:id="50"/>
    </w:p>
    <w:p w14:paraId="7B6AEB87" w14:textId="68CBA018" w:rsidR="00BE17DE" w:rsidRPr="009E1AC9" w:rsidRDefault="00BE17DE" w:rsidP="009E1AC9">
      <w:pPr>
        <w:rPr>
          <w:rFonts w:ascii="Arial" w:hAnsi="Arial" w:cs="Arial"/>
        </w:rPr>
      </w:pPr>
      <w:r w:rsidRPr="009E1AC9">
        <w:rPr>
          <w:rFonts w:ascii="Arial" w:hAnsi="Arial" w:cs="Arial"/>
        </w:rPr>
        <w:t xml:space="preserve">Traditionally, dementia support systems in the UK and around the world have emphasised diagnosis rather than prevention and symptom recognition when there is functional change. The current policy, however, seeks to identify and prevent dementia early through consideration of risk reduction and better service integration. It is important to note that GPs recognise their responsibility in preventing dementia, yet they do not often discuss risk because of time limitations and limited training (Jones </w:t>
      </w:r>
      <w:r w:rsidRPr="00696990">
        <w:rPr>
          <w:rFonts w:ascii="Arial" w:hAnsi="Arial" w:cs="Arial"/>
          <w:i/>
          <w:iCs/>
        </w:rPr>
        <w:t>et al.</w:t>
      </w:r>
      <w:r w:rsidRPr="009E1AC9">
        <w:rPr>
          <w:rFonts w:ascii="Arial" w:hAnsi="Arial" w:cs="Arial"/>
        </w:rPr>
        <w:t xml:space="preserve"> 2023). Likewise, Bajwa </w:t>
      </w:r>
      <w:r w:rsidRPr="00696990">
        <w:rPr>
          <w:rFonts w:ascii="Arial" w:hAnsi="Arial" w:cs="Arial"/>
          <w:i/>
          <w:iCs/>
        </w:rPr>
        <w:t>et al</w:t>
      </w:r>
      <w:r w:rsidRPr="009E1AC9">
        <w:rPr>
          <w:rFonts w:ascii="Arial" w:hAnsi="Arial" w:cs="Arial"/>
        </w:rPr>
        <w:t xml:space="preserve">. (2025) report that there is awareness that dementia is a risk among various population groups, but limited awareness of formal dementia risk prediction tools. Similarly, Kelsey </w:t>
      </w:r>
      <w:r w:rsidRPr="00696990">
        <w:rPr>
          <w:rFonts w:ascii="Arial" w:hAnsi="Arial" w:cs="Arial"/>
          <w:i/>
          <w:iCs/>
        </w:rPr>
        <w:t>et al.</w:t>
      </w:r>
      <w:r w:rsidRPr="009E1AC9">
        <w:rPr>
          <w:rFonts w:ascii="Arial" w:hAnsi="Arial" w:cs="Arial"/>
        </w:rPr>
        <w:t xml:space="preserve"> (2026) show a substantial difference in the readiness of services in England, with differences in staffing and diagnostic resources affecting access to services. All these studies suggest an emerging trend in dementia care that is preventative in nature, but systemic implementation gaps, especially in resource-limited and rural settings, are also highlighted.</w:t>
      </w:r>
    </w:p>
    <w:p w14:paraId="66C9B925" w14:textId="77777777" w:rsidR="00BE17DE" w:rsidRPr="009E1AC9" w:rsidRDefault="00BE17DE" w:rsidP="009E1AC9">
      <w:pPr>
        <w:rPr>
          <w:rFonts w:ascii="Arial" w:hAnsi="Arial" w:cs="Arial"/>
        </w:rPr>
      </w:pPr>
    </w:p>
    <w:p w14:paraId="3267C4FC" w14:textId="56A437D7" w:rsidR="00407EB3" w:rsidRPr="009E1AC9" w:rsidRDefault="00407EB3" w:rsidP="009E1AC9">
      <w:pPr>
        <w:pStyle w:val="Heading3"/>
        <w:rPr>
          <w:rFonts w:ascii="Arial" w:hAnsi="Arial" w:cs="Arial"/>
        </w:rPr>
      </w:pPr>
      <w:bookmarkStart w:id="51" w:name="_Toc234829763"/>
      <w:r w:rsidRPr="009E1AC9">
        <w:rPr>
          <w:rFonts w:ascii="Arial" w:hAnsi="Arial" w:cs="Arial"/>
        </w:rPr>
        <w:t>Impact on Research Question</w:t>
      </w:r>
      <w:bookmarkEnd w:id="51"/>
    </w:p>
    <w:p w14:paraId="74FF28D1" w14:textId="4FE3DD5C" w:rsidR="00BE17DE" w:rsidRPr="009E1AC9" w:rsidRDefault="00BE17DE" w:rsidP="009E1AC9">
      <w:pPr>
        <w:rPr>
          <w:rFonts w:ascii="Arial" w:hAnsi="Arial" w:cs="Arial"/>
        </w:rPr>
      </w:pPr>
      <w:r w:rsidRPr="009E1AC9">
        <w:rPr>
          <w:rFonts w:ascii="Arial" w:hAnsi="Arial" w:cs="Arial"/>
        </w:rPr>
        <w:t xml:space="preserve">A key theme that builds on this is that the readiness and implementation barriers to services have a direct impact on diagnostic equity. Jones </w:t>
      </w:r>
      <w:r w:rsidRPr="00696990">
        <w:rPr>
          <w:rFonts w:ascii="Arial" w:hAnsi="Arial" w:cs="Arial"/>
          <w:i/>
          <w:iCs/>
        </w:rPr>
        <w:t>et al.</w:t>
      </w:r>
      <w:r w:rsidRPr="009E1AC9">
        <w:rPr>
          <w:rFonts w:ascii="Arial" w:hAnsi="Arial" w:cs="Arial"/>
        </w:rPr>
        <w:t xml:space="preserve"> (2023) identified that GPs may not always talk about the issue of dementia risk, and this could affect early detection of dementia, </w:t>
      </w:r>
      <w:r w:rsidRPr="009E1AC9">
        <w:rPr>
          <w:rFonts w:ascii="Arial" w:hAnsi="Arial" w:cs="Arial"/>
        </w:rPr>
        <w:lastRenderedPageBreak/>
        <w:t xml:space="preserve">especially within low health service engagement populations. Bajwa </w:t>
      </w:r>
      <w:r w:rsidRPr="00696990">
        <w:rPr>
          <w:rFonts w:ascii="Arial" w:hAnsi="Arial" w:cs="Arial"/>
          <w:i/>
          <w:iCs/>
        </w:rPr>
        <w:t xml:space="preserve">et al </w:t>
      </w:r>
      <w:r w:rsidRPr="009E1AC9">
        <w:rPr>
          <w:rFonts w:ascii="Arial" w:hAnsi="Arial" w:cs="Arial"/>
        </w:rPr>
        <w:t xml:space="preserve">(2025) suggest that language, stigma and cultural beliefs can have a marked impact on access to dementia services for ethnically diverse populations, which may be one reason behind the later diagnosis in BAME groups. In a similar vein, Kelsey </w:t>
      </w:r>
      <w:r w:rsidRPr="00696990">
        <w:rPr>
          <w:rFonts w:ascii="Arial" w:hAnsi="Arial" w:cs="Arial"/>
          <w:i/>
          <w:iCs/>
        </w:rPr>
        <w:t>et al.</w:t>
      </w:r>
      <w:r w:rsidRPr="009E1AC9">
        <w:rPr>
          <w:rFonts w:ascii="Arial" w:hAnsi="Arial" w:cs="Arial"/>
        </w:rPr>
        <w:t xml:space="preserve"> (2026) have noted geographical disparities in diagnostic status with lower levels of access to memory services in rural and under-resourced communities. These findings together indicate that unequal diagnosis of dementia isn't just the domain of clinical care, but is influenced by wider systemic, cultural and organisational factors. This has direct relevance to the understanding of differential diagnoses of ethnicity and socio-economic status in the UK.</w:t>
      </w:r>
    </w:p>
    <w:p w14:paraId="73AFE78A" w14:textId="77777777" w:rsidR="00BE17DE" w:rsidRPr="009E1AC9" w:rsidRDefault="00BE17DE" w:rsidP="009E1AC9">
      <w:pPr>
        <w:rPr>
          <w:rFonts w:ascii="Arial" w:hAnsi="Arial" w:cs="Arial"/>
        </w:rPr>
      </w:pPr>
    </w:p>
    <w:p w14:paraId="693648F0" w14:textId="3E528029" w:rsidR="00407EB3" w:rsidRPr="009E1AC9" w:rsidRDefault="00407EB3" w:rsidP="009E1AC9">
      <w:pPr>
        <w:pStyle w:val="Heading3"/>
        <w:rPr>
          <w:rFonts w:ascii="Arial" w:hAnsi="Arial" w:cs="Arial"/>
        </w:rPr>
      </w:pPr>
      <w:bookmarkStart w:id="52" w:name="_Toc234829764"/>
      <w:r w:rsidRPr="009E1AC9">
        <w:rPr>
          <w:rFonts w:ascii="Arial" w:hAnsi="Arial" w:cs="Arial"/>
        </w:rPr>
        <w:t>Theories, Policies, and Legislation</w:t>
      </w:r>
      <w:bookmarkEnd w:id="52"/>
    </w:p>
    <w:p w14:paraId="5B894E0E" w14:textId="25F6B6C6" w:rsidR="00BE17DE" w:rsidRPr="009E1AC9" w:rsidRDefault="00696990" w:rsidP="009E1AC9">
      <w:pPr>
        <w:rPr>
          <w:rFonts w:ascii="Arial" w:hAnsi="Arial" w:cs="Arial"/>
        </w:rPr>
      </w:pPr>
      <w:r>
        <w:rPr>
          <w:rFonts w:ascii="Arial" w:hAnsi="Arial" w:cs="Arial"/>
        </w:rPr>
        <w:t>Several theoretical models support</w:t>
      </w:r>
      <w:r w:rsidR="00BE17DE" w:rsidRPr="009E1AC9">
        <w:rPr>
          <w:rFonts w:ascii="Arial" w:hAnsi="Arial" w:cs="Arial"/>
        </w:rPr>
        <w:t xml:space="preserve"> the effectiveness of, and limitations on, early recognition strategies. The Health Belief Model is relevant, as its assumption is that preventive health behaviours are likely to be linked with perceived risk, benefits and barriers (Dr Faggot, 2022). This theory is supported by the results of Bajwa </w:t>
      </w:r>
      <w:r w:rsidR="00BE17DE" w:rsidRPr="00696990">
        <w:rPr>
          <w:rFonts w:ascii="Arial" w:hAnsi="Arial" w:cs="Arial"/>
          <w:i/>
          <w:iCs/>
        </w:rPr>
        <w:t>et al</w:t>
      </w:r>
      <w:r w:rsidR="00BE17DE" w:rsidRPr="009E1AC9">
        <w:rPr>
          <w:rFonts w:ascii="Arial" w:hAnsi="Arial" w:cs="Arial"/>
        </w:rPr>
        <w:t xml:space="preserve"> (2025), who found that people were cautiously optimistic about the use of risk prediction of dementia, but worried that potential psychological harm would lower the acceptance. Likewise, Jones </w:t>
      </w:r>
      <w:r w:rsidR="00BE17DE" w:rsidRPr="00696990">
        <w:rPr>
          <w:rFonts w:ascii="Arial" w:hAnsi="Arial" w:cs="Arial"/>
          <w:i/>
          <w:iCs/>
        </w:rPr>
        <w:t>et al.</w:t>
      </w:r>
      <w:r w:rsidR="00BE17DE" w:rsidRPr="009E1AC9">
        <w:rPr>
          <w:rFonts w:ascii="Arial" w:hAnsi="Arial" w:cs="Arial"/>
        </w:rPr>
        <w:t xml:space="preserve"> (2023) support the diffusion of innovation theory, suggesting that GP reluctance to have preventive conversations is due to uncertainty and a lack of confidence in new approaches. In addition to the above, Kelsey </w:t>
      </w:r>
      <w:r w:rsidR="00BE17DE" w:rsidRPr="00696990">
        <w:rPr>
          <w:rFonts w:ascii="Arial" w:hAnsi="Arial" w:cs="Arial"/>
          <w:i/>
          <w:iCs/>
        </w:rPr>
        <w:t>et al.</w:t>
      </w:r>
      <w:r w:rsidR="00BE17DE" w:rsidRPr="009E1AC9">
        <w:rPr>
          <w:rFonts w:ascii="Arial" w:hAnsi="Arial" w:cs="Arial"/>
        </w:rPr>
        <w:t xml:space="preserve"> (2026) provide further justification for systems theory by examining the factors that impact service delivery, including the characteristics of an organisation, staffing and resources available in a region.</w:t>
      </w:r>
    </w:p>
    <w:p w14:paraId="7E0B7570" w14:textId="17A0B5C1" w:rsidR="00BE17DE" w:rsidRPr="009E1AC9" w:rsidRDefault="00BE17DE" w:rsidP="009E1AC9">
      <w:pPr>
        <w:rPr>
          <w:rFonts w:ascii="Arial" w:hAnsi="Arial" w:cs="Arial"/>
        </w:rPr>
      </w:pPr>
      <w:r w:rsidRPr="009E1AC9">
        <w:rPr>
          <w:rFonts w:ascii="Arial" w:hAnsi="Arial" w:cs="Arial"/>
        </w:rPr>
        <w:t xml:space="preserve">Diagnosing, preventing and ensuring equal access to services early is reiterated in policy statements, including the NHS Long Term Plan, and the Prime Minister's Challenge on Dementia (GOV.UK, 2025; Department of Health, 2015). While this is the case, Jones et al. (2023) challenge the issues of implementation, for example, in the education of GPs and workload pressures. Bajwa </w:t>
      </w:r>
      <w:r w:rsidRPr="00696990">
        <w:rPr>
          <w:rFonts w:ascii="Arial" w:hAnsi="Arial" w:cs="Arial"/>
          <w:i/>
          <w:iCs/>
        </w:rPr>
        <w:t>et al.</w:t>
      </w:r>
      <w:r w:rsidRPr="009E1AC9">
        <w:rPr>
          <w:rFonts w:ascii="Arial" w:hAnsi="Arial" w:cs="Arial"/>
        </w:rPr>
        <w:t xml:space="preserve"> (2025) highlight the importance of culturally competent services that are based on the Equality Act 2010 and support people of all cultural backgrounds (GOV.UK, 2010). Even with policy support, Kelsey </w:t>
      </w:r>
      <w:r w:rsidRPr="00696990">
        <w:rPr>
          <w:rFonts w:ascii="Arial" w:hAnsi="Arial" w:cs="Arial"/>
          <w:i/>
          <w:iCs/>
        </w:rPr>
        <w:t>et al.</w:t>
      </w:r>
      <w:r w:rsidRPr="009E1AC9">
        <w:rPr>
          <w:rFonts w:ascii="Arial" w:hAnsi="Arial" w:cs="Arial"/>
        </w:rPr>
        <w:t xml:space="preserve"> (2026) find that regional differences still exist, suggesting that policy initiatives are not effective without resourcing and staffing them.</w:t>
      </w:r>
    </w:p>
    <w:p w14:paraId="0B696D2E" w14:textId="77777777" w:rsidR="00BE17DE" w:rsidRPr="009E1AC9" w:rsidRDefault="00BE17DE" w:rsidP="009E1AC9">
      <w:pPr>
        <w:rPr>
          <w:rFonts w:ascii="Arial" w:hAnsi="Arial" w:cs="Arial"/>
        </w:rPr>
      </w:pPr>
    </w:p>
    <w:p w14:paraId="629919C5" w14:textId="3D3BB89D" w:rsidR="00407EB3" w:rsidRPr="009E1AC9" w:rsidRDefault="00407EB3" w:rsidP="009E1AC9">
      <w:pPr>
        <w:pStyle w:val="Heading3"/>
        <w:rPr>
          <w:rFonts w:ascii="Arial" w:hAnsi="Arial" w:cs="Arial"/>
        </w:rPr>
      </w:pPr>
      <w:bookmarkStart w:id="53" w:name="_Toc234829765"/>
      <w:r w:rsidRPr="009E1AC9">
        <w:rPr>
          <w:rFonts w:ascii="Arial" w:hAnsi="Arial" w:cs="Arial"/>
        </w:rPr>
        <w:lastRenderedPageBreak/>
        <w:t>Implications</w:t>
      </w:r>
      <w:bookmarkEnd w:id="53"/>
    </w:p>
    <w:p w14:paraId="3179169D" w14:textId="77777777" w:rsidR="00BE17DE" w:rsidRPr="009E1AC9" w:rsidRDefault="00BE17DE" w:rsidP="009E1AC9">
      <w:pPr>
        <w:rPr>
          <w:rFonts w:ascii="Arial" w:hAnsi="Arial" w:cs="Arial"/>
        </w:rPr>
      </w:pPr>
      <w:r w:rsidRPr="009E1AC9">
        <w:rPr>
          <w:rFonts w:ascii="Arial" w:hAnsi="Arial" w:cs="Arial"/>
        </w:rPr>
        <w:t xml:space="preserve">The results of all three studies point to both positive and negative implications for providing care for dementia. Fortunately, Jones </w:t>
      </w:r>
      <w:r w:rsidRPr="00696990">
        <w:rPr>
          <w:rFonts w:ascii="Arial" w:hAnsi="Arial" w:cs="Arial"/>
          <w:i/>
          <w:iCs/>
        </w:rPr>
        <w:t>et al.</w:t>
      </w:r>
      <w:r w:rsidRPr="009E1AC9">
        <w:rPr>
          <w:rFonts w:ascii="Arial" w:hAnsi="Arial" w:cs="Arial"/>
        </w:rPr>
        <w:t xml:space="preserve"> (2023) propose that incorporating dementia prevention into GP practice, including health checks and medication reviews, may help to improve early detection and risk communication. Similarly, Bajwa </w:t>
      </w:r>
      <w:r w:rsidRPr="00696990">
        <w:rPr>
          <w:rFonts w:ascii="Arial" w:hAnsi="Arial" w:cs="Arial"/>
          <w:i/>
          <w:iCs/>
        </w:rPr>
        <w:t>et al.</w:t>
      </w:r>
      <w:r w:rsidRPr="009E1AC9">
        <w:rPr>
          <w:rFonts w:ascii="Arial" w:hAnsi="Arial" w:cs="Arial"/>
        </w:rPr>
        <w:t xml:space="preserve"> (2025) suggest that culturally adapted interventions and community-based outreach could help increase awareness and access to services for ethnically diverse communities. Correspondingly, Kelsey </w:t>
      </w:r>
      <w:r w:rsidRPr="00696990">
        <w:rPr>
          <w:rFonts w:ascii="Arial" w:hAnsi="Arial" w:cs="Arial"/>
          <w:i/>
          <w:iCs/>
        </w:rPr>
        <w:t>et al.</w:t>
      </w:r>
      <w:r w:rsidRPr="009E1AC9">
        <w:rPr>
          <w:rFonts w:ascii="Arial" w:hAnsi="Arial" w:cs="Arial"/>
        </w:rPr>
        <w:t xml:space="preserve"> (2026) show that higher staffing levels are associated with improved diagnostic rates, highlighting the importance of workforce investment.</w:t>
      </w:r>
    </w:p>
    <w:p w14:paraId="372640F8" w14:textId="4DD9E015" w:rsidR="00BE17DE" w:rsidRPr="009E1AC9" w:rsidRDefault="00BE17DE" w:rsidP="009E1AC9">
      <w:pPr>
        <w:rPr>
          <w:rFonts w:ascii="Arial" w:hAnsi="Arial" w:cs="Arial"/>
        </w:rPr>
      </w:pPr>
      <w:r w:rsidRPr="009E1AC9">
        <w:rPr>
          <w:rFonts w:ascii="Arial" w:hAnsi="Arial" w:cs="Arial"/>
        </w:rPr>
        <w:t xml:space="preserve">There are considerable shortcomings, though. The challenges of limited consultation time, lack of training, and reluctance to use the term “dementia” can hinder early intervention (Jones </w:t>
      </w:r>
      <w:r w:rsidRPr="00696990">
        <w:rPr>
          <w:rFonts w:ascii="Arial" w:hAnsi="Arial" w:cs="Arial"/>
          <w:i/>
          <w:iCs/>
        </w:rPr>
        <w:t>et al.,</w:t>
      </w:r>
      <w:r w:rsidRPr="009E1AC9">
        <w:rPr>
          <w:rFonts w:ascii="Arial" w:hAnsi="Arial" w:cs="Arial"/>
        </w:rPr>
        <w:t xml:space="preserve"> 2023). Bajwa </w:t>
      </w:r>
      <w:r w:rsidRPr="00696990">
        <w:rPr>
          <w:rFonts w:ascii="Arial" w:hAnsi="Arial" w:cs="Arial"/>
          <w:i/>
          <w:iCs/>
        </w:rPr>
        <w:t>et al.</w:t>
      </w:r>
      <w:r w:rsidRPr="009E1AC9">
        <w:rPr>
          <w:rFonts w:ascii="Arial" w:hAnsi="Arial" w:cs="Arial"/>
        </w:rPr>
        <w:t xml:space="preserve"> (2025) also note stigma, language barriers and cultural misunderstandings, which have a disproportionate impact on BAME communities. In this study, Kelsey </w:t>
      </w:r>
      <w:r w:rsidRPr="00696990">
        <w:rPr>
          <w:rFonts w:ascii="Arial" w:hAnsi="Arial" w:cs="Arial"/>
          <w:i/>
          <w:iCs/>
        </w:rPr>
        <w:t>et al</w:t>
      </w:r>
      <w:r w:rsidRPr="009E1AC9">
        <w:rPr>
          <w:rFonts w:ascii="Arial" w:hAnsi="Arial" w:cs="Arial"/>
        </w:rPr>
        <w:t>. (2026) found that there are structural inequalities, meaning that those living in rural and under-resourced areas in Uganda may have less access to diagnostic services and psychological help. The restrictions indicate that although early diagnosis is an area of focus in policy, it is not well implemented in practice. It is therefore important to recognise the risk of inequalities in service readiness, which could lead to inequalities in dementia diagnosis rates for BAME and White British older people, as this will support the argument for system change.</w:t>
      </w:r>
    </w:p>
    <w:p w14:paraId="33647B5B" w14:textId="77777777" w:rsidR="00533397" w:rsidRPr="009E1AC9" w:rsidRDefault="00533397" w:rsidP="009E1AC9">
      <w:pPr>
        <w:rPr>
          <w:rFonts w:ascii="Arial" w:hAnsi="Arial" w:cs="Arial"/>
        </w:rPr>
      </w:pPr>
    </w:p>
    <w:p w14:paraId="267E7AB4" w14:textId="23D255F2" w:rsidR="00407EB3" w:rsidRPr="009E1AC9" w:rsidRDefault="00407EB3" w:rsidP="009E1AC9">
      <w:pPr>
        <w:pStyle w:val="Heading3"/>
        <w:rPr>
          <w:rFonts w:ascii="Arial" w:hAnsi="Arial" w:cs="Arial"/>
        </w:rPr>
      </w:pPr>
      <w:bookmarkStart w:id="54" w:name="_Toc234829766"/>
      <w:r w:rsidRPr="009E1AC9">
        <w:rPr>
          <w:rFonts w:ascii="Arial" w:hAnsi="Arial" w:cs="Arial"/>
        </w:rPr>
        <w:t>Examples from Your Articles</w:t>
      </w:r>
      <w:bookmarkEnd w:id="54"/>
    </w:p>
    <w:p w14:paraId="0170AE85" w14:textId="77777777" w:rsidR="00533397" w:rsidRPr="009E1AC9" w:rsidRDefault="00533397" w:rsidP="009E1AC9">
      <w:pPr>
        <w:rPr>
          <w:rFonts w:ascii="Arial" w:hAnsi="Arial" w:cs="Arial"/>
        </w:rPr>
      </w:pPr>
      <w:r w:rsidRPr="009E1AC9">
        <w:rPr>
          <w:rFonts w:ascii="Arial" w:hAnsi="Arial" w:cs="Arial"/>
        </w:rPr>
        <w:t xml:space="preserve">Jones </w:t>
      </w:r>
      <w:r w:rsidRPr="00696990">
        <w:rPr>
          <w:rFonts w:ascii="Arial" w:hAnsi="Arial" w:cs="Arial"/>
          <w:i/>
          <w:iCs/>
        </w:rPr>
        <w:t>et al.</w:t>
      </w:r>
      <w:r w:rsidRPr="009E1AC9">
        <w:rPr>
          <w:rFonts w:ascii="Arial" w:hAnsi="Arial" w:cs="Arial"/>
        </w:rPr>
        <w:t xml:space="preserve"> (2023) evidence that GPs acknowledge that prevention should be part of their duty, but they very rarely raise the matter with their patients because of time pressure and anxiety, causing concern. Their qualitative interview study with 11 UK GPs points to the existence of barriers in primary care that impede the use of early recognition strategies. Similarly, a large qualitative task group investigated by Bajwa </w:t>
      </w:r>
      <w:r w:rsidRPr="006C7FB9">
        <w:rPr>
          <w:rFonts w:ascii="Arial" w:hAnsi="Arial" w:cs="Arial"/>
          <w:i/>
          <w:iCs/>
        </w:rPr>
        <w:t>et al.</w:t>
      </w:r>
      <w:r w:rsidRPr="009E1AC9">
        <w:rPr>
          <w:rFonts w:ascii="Arial" w:hAnsi="Arial" w:cs="Arial"/>
        </w:rPr>
        <w:t xml:space="preserve"> (2025) revealed that knowledge of dementia risk factors exists, although risk prediction tools are not widely understood and are influenced by cultural and linguistic barriers. In this study, culturally responsive communication is highlighted as essential for access to services.</w:t>
      </w:r>
    </w:p>
    <w:p w14:paraId="5737FBC1" w14:textId="0643DA4E" w:rsidR="00533397" w:rsidRPr="009E1AC9" w:rsidRDefault="00533397" w:rsidP="009E1AC9">
      <w:pPr>
        <w:rPr>
          <w:rFonts w:ascii="Arial" w:hAnsi="Arial" w:cs="Arial"/>
        </w:rPr>
      </w:pPr>
      <w:r w:rsidRPr="009E1AC9">
        <w:rPr>
          <w:rFonts w:ascii="Arial" w:hAnsi="Arial" w:cs="Arial"/>
        </w:rPr>
        <w:t xml:space="preserve">Likewise, Kelsey </w:t>
      </w:r>
      <w:r w:rsidRPr="006C7FB9">
        <w:rPr>
          <w:rFonts w:ascii="Arial" w:hAnsi="Arial" w:cs="Arial"/>
          <w:i/>
          <w:iCs/>
        </w:rPr>
        <w:t>et al</w:t>
      </w:r>
      <w:r w:rsidRPr="009E1AC9">
        <w:rPr>
          <w:rFonts w:ascii="Arial" w:hAnsi="Arial" w:cs="Arial"/>
        </w:rPr>
        <w:t xml:space="preserve">. (2026) carried out a national survey of 139 memory services in England and found marked regional variability in the diagnosis of dementia, staffing and preparedness for implementation of disease-changing drugs. Their quantitative approach is able to reinforce the evidence based on structural inequalities in service delivery. Jones </w:t>
      </w:r>
      <w:r w:rsidRPr="006C7FB9">
        <w:rPr>
          <w:rFonts w:ascii="Arial" w:hAnsi="Arial" w:cs="Arial"/>
          <w:i/>
          <w:iCs/>
        </w:rPr>
        <w:t>et al.</w:t>
      </w:r>
      <w:r w:rsidRPr="009E1AC9">
        <w:rPr>
          <w:rFonts w:ascii="Arial" w:hAnsi="Arial" w:cs="Arial"/>
        </w:rPr>
        <w:t xml:space="preserve"> (2023) discuss </w:t>
      </w:r>
      <w:r w:rsidRPr="009E1AC9">
        <w:rPr>
          <w:rFonts w:ascii="Arial" w:hAnsi="Arial" w:cs="Arial"/>
        </w:rPr>
        <w:lastRenderedPageBreak/>
        <w:t xml:space="preserve">practitioners' barriers, Bajwa </w:t>
      </w:r>
      <w:r w:rsidRPr="006C7FB9">
        <w:rPr>
          <w:rFonts w:ascii="Arial" w:hAnsi="Arial" w:cs="Arial"/>
          <w:i/>
          <w:iCs/>
        </w:rPr>
        <w:t>et al.</w:t>
      </w:r>
      <w:r w:rsidRPr="009E1AC9">
        <w:rPr>
          <w:rFonts w:ascii="Arial" w:hAnsi="Arial" w:cs="Arial"/>
        </w:rPr>
        <w:t xml:space="preserve"> (2025) tackle patient barriers, and Kelsey </w:t>
      </w:r>
      <w:r w:rsidRPr="006C7FB9">
        <w:rPr>
          <w:rFonts w:ascii="Arial" w:hAnsi="Arial" w:cs="Arial"/>
          <w:i/>
          <w:iCs/>
        </w:rPr>
        <w:t>et al.</w:t>
      </w:r>
      <w:r w:rsidRPr="009E1AC9">
        <w:rPr>
          <w:rFonts w:ascii="Arial" w:hAnsi="Arial" w:cs="Arial"/>
        </w:rPr>
        <w:t xml:space="preserve"> (2026) show system barriers. The studies share a similar idea that several interacting factors are important for the early recognition, but the domains of the professional, patient and organisational are different.</w:t>
      </w:r>
    </w:p>
    <w:p w14:paraId="741A9D87" w14:textId="77777777" w:rsidR="00625F7A" w:rsidRPr="009E1AC9" w:rsidRDefault="00625F7A" w:rsidP="009E1AC9">
      <w:pPr>
        <w:rPr>
          <w:rFonts w:ascii="Arial" w:hAnsi="Arial" w:cs="Arial"/>
        </w:rPr>
      </w:pPr>
    </w:p>
    <w:p w14:paraId="5D360097" w14:textId="53D35800" w:rsidR="00407EB3" w:rsidRPr="009E1AC9" w:rsidRDefault="00407EB3" w:rsidP="009E1AC9">
      <w:pPr>
        <w:pStyle w:val="Heading3"/>
        <w:rPr>
          <w:rFonts w:ascii="Arial" w:hAnsi="Arial" w:cs="Arial"/>
        </w:rPr>
      </w:pPr>
      <w:bookmarkStart w:id="55" w:name="_Toc234829767"/>
      <w:r w:rsidRPr="009E1AC9">
        <w:rPr>
          <w:rFonts w:ascii="Arial" w:hAnsi="Arial" w:cs="Arial"/>
        </w:rPr>
        <w:t>Connections to Other Themes</w:t>
      </w:r>
      <w:bookmarkEnd w:id="55"/>
    </w:p>
    <w:p w14:paraId="6DE3CD6A" w14:textId="1953DE65" w:rsidR="00625F7A" w:rsidRPr="009E1AC9" w:rsidRDefault="00625F7A" w:rsidP="009E1AC9">
      <w:pPr>
        <w:rPr>
          <w:rFonts w:ascii="Arial" w:hAnsi="Arial" w:cs="Arial"/>
        </w:rPr>
      </w:pPr>
      <w:r w:rsidRPr="009E1AC9">
        <w:rPr>
          <w:rFonts w:ascii="Arial" w:hAnsi="Arial" w:cs="Arial"/>
        </w:rPr>
        <w:t>The theme is closely related to earlier themes, screening tools and clinical markers. The value of early recognition strategies is reliant on the availability and validity of cognitive assessments and biomarkers referred to in Themes 1 and 2. In the same way, barriers to implementation, including workforce capacity and cultural considerations, impact the implementation of screening tools. Moreover, the readiness of the service influences the incorporation of clinical markers into clinical pathways in everyday care. This theme thus brings together all three aspects: biological detection, clinical practice of the assessment, and the capacity of the Health Care System providing services, and links their inter-dependencies in the diagnosis and care of dementia.</w:t>
      </w:r>
    </w:p>
    <w:p w14:paraId="4187775F" w14:textId="77777777" w:rsidR="00625F7A" w:rsidRPr="009E1AC9" w:rsidRDefault="00625F7A" w:rsidP="009E1AC9">
      <w:pPr>
        <w:rPr>
          <w:rFonts w:ascii="Arial" w:hAnsi="Arial" w:cs="Arial"/>
        </w:rPr>
      </w:pPr>
    </w:p>
    <w:p w14:paraId="1C2DDA9A" w14:textId="26280D6E" w:rsidR="00407EB3" w:rsidRPr="009E1AC9" w:rsidRDefault="00407EB3" w:rsidP="009E1AC9">
      <w:pPr>
        <w:pStyle w:val="Heading2"/>
        <w:jc w:val="both"/>
        <w:rPr>
          <w:rFonts w:ascii="Arial" w:hAnsi="Arial"/>
        </w:rPr>
      </w:pPr>
      <w:bookmarkStart w:id="56" w:name="_Toc234829768"/>
      <w:r w:rsidRPr="009E1AC9">
        <w:rPr>
          <w:rFonts w:ascii="Arial" w:hAnsi="Arial"/>
        </w:rPr>
        <w:t>4.6 – Chapter Conclusion</w:t>
      </w:r>
      <w:bookmarkEnd w:id="56"/>
    </w:p>
    <w:p w14:paraId="58A4490A" w14:textId="661CBD38" w:rsidR="00407EB3" w:rsidRPr="009E1AC9" w:rsidRDefault="00625F7A" w:rsidP="009E1AC9">
      <w:pPr>
        <w:rPr>
          <w:rFonts w:ascii="Arial" w:hAnsi="Arial" w:cs="Arial"/>
        </w:rPr>
      </w:pPr>
      <w:r w:rsidRPr="009E1AC9">
        <w:rPr>
          <w:rFonts w:ascii="Arial" w:hAnsi="Arial" w:cs="Arial"/>
        </w:rPr>
        <w:t>The findings from the literature used for this chapter have been analysed and discussed in detail. It investigated the following three areas: clinical and cognitive markers, screening and assessment practices, and effectiveness and limitations of early recognition strategies within health systems. In both these themes, the evidence pointed to both advances in diagnostic practice and continuing issues of service capacity and the accuracy and consistency of that practice. The discussion highlighted that while new tools and frameworks exist to enhance early diagnosis, the potential for inequitable and delayed diagnosis still exists, particularly amongst different population groups and healthcare settings. The findings have been used to critically link to the research question, providing a glimpse of the existing practices and gaps in the recognition of dementia. A review of literature will be conducted following the research aim, and critical analysis of its strengths and weaknesses as well as implications for practice and future research in dementia care.</w:t>
      </w:r>
    </w:p>
    <w:p w14:paraId="779406F3" w14:textId="77777777" w:rsidR="00625F7A" w:rsidRPr="009E1AC9" w:rsidRDefault="00625F7A" w:rsidP="009E1AC9">
      <w:pPr>
        <w:rPr>
          <w:rFonts w:ascii="Arial" w:hAnsi="Arial" w:cs="Arial"/>
        </w:rPr>
      </w:pPr>
    </w:p>
    <w:p w14:paraId="710F1CED" w14:textId="77777777" w:rsidR="00407EB3" w:rsidRPr="009E1AC9" w:rsidRDefault="00407EB3" w:rsidP="009E1AC9">
      <w:pPr>
        <w:rPr>
          <w:rFonts w:ascii="Arial" w:hAnsi="Arial" w:cs="Arial"/>
        </w:rPr>
      </w:pPr>
    </w:p>
    <w:p w14:paraId="428FA09F" w14:textId="537600F2" w:rsidR="007638E3" w:rsidRPr="009E1AC9" w:rsidRDefault="007638E3" w:rsidP="009E1AC9">
      <w:pPr>
        <w:rPr>
          <w:rFonts w:ascii="Arial" w:hAnsi="Arial" w:cs="Arial"/>
        </w:rPr>
      </w:pPr>
      <w:r w:rsidRPr="009E1AC9">
        <w:rPr>
          <w:rFonts w:ascii="Arial" w:hAnsi="Arial" w:cs="Arial"/>
        </w:rPr>
        <w:br w:type="page"/>
      </w:r>
    </w:p>
    <w:p w14:paraId="6606D9A4" w14:textId="5D28613C" w:rsidR="00636D9A" w:rsidRPr="005C5E80" w:rsidRDefault="00636D9A" w:rsidP="00D57587">
      <w:pPr>
        <w:pStyle w:val="Heading1"/>
      </w:pPr>
      <w:bookmarkStart w:id="57" w:name="_Toc234829769"/>
      <w:r w:rsidRPr="00636D9A">
        <w:lastRenderedPageBreak/>
        <w:t>C</w:t>
      </w:r>
      <w:r>
        <w:t>HAPTER</w:t>
      </w:r>
      <w:r w:rsidRPr="00636D9A">
        <w:t xml:space="preserve"> </w:t>
      </w:r>
      <w:r>
        <w:t>5</w:t>
      </w:r>
      <w:r w:rsidR="00E04FB8">
        <w:t xml:space="preserve">: </w:t>
      </w:r>
      <w:r>
        <w:t>Conclusion and Recommendation</w:t>
      </w:r>
      <w:r w:rsidR="00625F7A">
        <w:t>s</w:t>
      </w:r>
      <w:bookmarkEnd w:id="57"/>
    </w:p>
    <w:p w14:paraId="3628F6DF" w14:textId="27BCC3F8" w:rsidR="00292A36" w:rsidRPr="006C7FB9" w:rsidRDefault="00636D9A" w:rsidP="006C7FB9">
      <w:pPr>
        <w:pStyle w:val="Heading2"/>
        <w:jc w:val="both"/>
        <w:rPr>
          <w:rFonts w:ascii="Arial" w:hAnsi="Arial"/>
        </w:rPr>
      </w:pPr>
      <w:bookmarkStart w:id="58" w:name="_Toc234829770"/>
      <w:r w:rsidRPr="006C7FB9">
        <w:rPr>
          <w:rFonts w:ascii="Arial" w:hAnsi="Arial"/>
        </w:rPr>
        <w:t>5.1 – Overall Conclusion</w:t>
      </w:r>
      <w:bookmarkEnd w:id="58"/>
    </w:p>
    <w:p w14:paraId="18B25B73" w14:textId="77777777" w:rsidR="00D57587" w:rsidRPr="006C7FB9" w:rsidRDefault="00D57587" w:rsidP="006C7FB9">
      <w:pPr>
        <w:rPr>
          <w:rFonts w:ascii="Arial" w:hAnsi="Arial" w:cs="Arial"/>
        </w:rPr>
      </w:pPr>
      <w:r w:rsidRPr="006C7FB9">
        <w:rPr>
          <w:rFonts w:ascii="Arial" w:hAnsi="Arial" w:cs="Arial"/>
        </w:rPr>
        <w:t>The dissertation critically reviewed the evidence base for early identification and differential diagnosis between normal cognitive ageing and early dementia, with specific attention to the contribution of nursing practitioners. The study aimed to investigate clinical and cognitive hallmarks of early dementia and considered the possibilities of neurological, behavioural and functional manifestations to help distinguish from normal ageing. It also examined a variety of screening tools and assessment practices utilised in the nursing and primary care settings and found that although many tools help identify patients earlier, no single tool is entirely diagnostic. Moreover, the effectiveness and constraints of existing early recognition approaches were explored, and key barriers to successful implementation included workforce capacity, culture, training, and healthcare disparities.</w:t>
      </w:r>
    </w:p>
    <w:p w14:paraId="0FB6BF36" w14:textId="37E22003" w:rsidR="00D57587" w:rsidRPr="006C7FB9" w:rsidRDefault="00D57587" w:rsidP="006C7FB9">
      <w:pPr>
        <w:rPr>
          <w:rFonts w:ascii="Arial" w:hAnsi="Arial" w:cs="Arial"/>
        </w:rPr>
      </w:pPr>
      <w:r w:rsidRPr="006C7FB9">
        <w:rPr>
          <w:rFonts w:ascii="Arial" w:hAnsi="Arial" w:cs="Arial"/>
        </w:rPr>
        <w:t>The results revealed that there is potential to enhance dementia recognition and patient outcomes using objective assessment methods alongside professional judgement and structured care pathways. Current literature was themed to answer each research question in chapter 1, thereby providing a comprehensive overview of assessment practices, problems and opportunities for service improvement. In summary, the dissertation has shown that early dementia detection and investigation needs to be undertaken in a multidisciplinary and evidence-based way, to assist nurses and health care professionals in providing timely accurate and person-centred care to older people.</w:t>
      </w:r>
    </w:p>
    <w:p w14:paraId="7BE42F2D" w14:textId="77777777" w:rsidR="00FF5043" w:rsidRPr="006C7FB9" w:rsidRDefault="00FF5043" w:rsidP="006C7FB9">
      <w:pPr>
        <w:rPr>
          <w:rFonts w:ascii="Arial" w:hAnsi="Arial" w:cs="Arial"/>
        </w:rPr>
      </w:pPr>
    </w:p>
    <w:p w14:paraId="6599D6CF" w14:textId="14EACA52" w:rsidR="005C5E80" w:rsidRPr="006C7FB9" w:rsidRDefault="00636D9A" w:rsidP="006C7FB9">
      <w:pPr>
        <w:pStyle w:val="Heading2"/>
        <w:jc w:val="both"/>
        <w:rPr>
          <w:rFonts w:ascii="Arial" w:hAnsi="Arial"/>
        </w:rPr>
      </w:pPr>
      <w:bookmarkStart w:id="59" w:name="_Toc234829771"/>
      <w:r w:rsidRPr="006C7FB9">
        <w:rPr>
          <w:rFonts w:ascii="Arial" w:hAnsi="Arial"/>
        </w:rPr>
        <w:t>5.</w:t>
      </w:r>
      <w:r w:rsidR="005C5E80" w:rsidRPr="006C7FB9">
        <w:rPr>
          <w:rFonts w:ascii="Arial" w:hAnsi="Arial"/>
        </w:rPr>
        <w:t>2</w:t>
      </w:r>
      <w:r w:rsidRPr="006C7FB9">
        <w:rPr>
          <w:rFonts w:ascii="Arial" w:hAnsi="Arial"/>
        </w:rPr>
        <w:t xml:space="preserve"> – </w:t>
      </w:r>
      <w:r w:rsidR="005C5E80" w:rsidRPr="006C7FB9">
        <w:rPr>
          <w:rFonts w:ascii="Arial" w:hAnsi="Arial"/>
        </w:rPr>
        <w:t>Recommendations</w:t>
      </w:r>
      <w:bookmarkEnd w:id="59"/>
    </w:p>
    <w:p w14:paraId="41573EC8" w14:textId="24AB3A6E" w:rsidR="00274A6C" w:rsidRPr="006C7FB9" w:rsidRDefault="005C5E80" w:rsidP="006C7FB9">
      <w:pPr>
        <w:pStyle w:val="Heading3"/>
        <w:rPr>
          <w:rFonts w:ascii="Arial" w:hAnsi="Arial" w:cs="Arial"/>
        </w:rPr>
      </w:pPr>
      <w:bookmarkStart w:id="60" w:name="_Toc234829772"/>
      <w:r w:rsidRPr="006C7FB9">
        <w:rPr>
          <w:rFonts w:ascii="Arial" w:hAnsi="Arial" w:cs="Arial"/>
        </w:rPr>
        <w:t>5.2.1 – Recommendation 1</w:t>
      </w:r>
      <w:bookmarkEnd w:id="60"/>
    </w:p>
    <w:p w14:paraId="469A650C" w14:textId="77777777" w:rsidR="00FF5043" w:rsidRPr="006C7FB9" w:rsidRDefault="00FF5043" w:rsidP="006C7FB9">
      <w:pPr>
        <w:rPr>
          <w:rFonts w:ascii="Arial" w:hAnsi="Arial" w:cs="Arial"/>
        </w:rPr>
      </w:pPr>
      <w:r w:rsidRPr="006C7FB9">
        <w:rPr>
          <w:rFonts w:ascii="Arial" w:hAnsi="Arial" w:cs="Arial"/>
        </w:rPr>
        <w:t>Healthcare organisations need to enhance dementia-specific training for nurses and Primary Care professionals to increase confidence/d consistency to assess cognitively in their early work. Pupils should be taught to differentiate normal ageing from early dementia, how to use cognitive screening tools, communication, and culturally blind assessment practices. Further professional training would aid in the more precise identification of the fine distinctions in cognitive changes and minimise the delay in referral and diagnosis. This proposal is feasible as it can be embedded within current professional development programmes and implemented in workshops, online learning and simulation-based learning.</w:t>
      </w:r>
    </w:p>
    <w:p w14:paraId="57ED43C2" w14:textId="1D7C7A78" w:rsidR="00FF5043" w:rsidRPr="006C7FB9" w:rsidRDefault="00FF5043" w:rsidP="006C7FB9">
      <w:pPr>
        <w:rPr>
          <w:rFonts w:ascii="Arial" w:hAnsi="Arial" w:cs="Arial"/>
        </w:rPr>
      </w:pPr>
      <w:r w:rsidRPr="006C7FB9">
        <w:rPr>
          <w:rFonts w:ascii="Arial" w:hAnsi="Arial" w:cs="Arial"/>
        </w:rPr>
        <w:lastRenderedPageBreak/>
        <w:t>In healthcare environments, however, limited staffing, time pressure and financial constraints can diminish participation in extra training activities. Dementia education might not always be given priority when competing services are available or are required. Flexible training formats, protected learning time and mandatory dementia awareness elements in continuing professional development can help deal with these challenges. Healthcare leadership and integration in the organisation would further facilitate implementation and provide nursing practitioners with the knowledge and skills needed for effective early dementia recognition.</w:t>
      </w:r>
    </w:p>
    <w:p w14:paraId="18331906" w14:textId="77777777" w:rsidR="00FF5043" w:rsidRPr="006C7FB9" w:rsidRDefault="00FF5043" w:rsidP="006C7FB9">
      <w:pPr>
        <w:rPr>
          <w:rFonts w:ascii="Arial" w:hAnsi="Arial" w:cs="Arial"/>
        </w:rPr>
      </w:pPr>
    </w:p>
    <w:p w14:paraId="1F80D6A6" w14:textId="7B53B46C" w:rsidR="005C5E80" w:rsidRPr="006C7FB9" w:rsidRDefault="005C5E80" w:rsidP="006C7FB9">
      <w:pPr>
        <w:pStyle w:val="Heading3"/>
        <w:rPr>
          <w:rFonts w:ascii="Arial" w:hAnsi="Arial" w:cs="Arial"/>
        </w:rPr>
      </w:pPr>
      <w:bookmarkStart w:id="61" w:name="_Toc234829773"/>
      <w:r w:rsidRPr="006C7FB9">
        <w:rPr>
          <w:rFonts w:ascii="Arial" w:hAnsi="Arial" w:cs="Arial"/>
        </w:rPr>
        <w:t>5.2.2 – Recommendation 2</w:t>
      </w:r>
      <w:bookmarkEnd w:id="61"/>
    </w:p>
    <w:p w14:paraId="07EAAB60" w14:textId="77777777" w:rsidR="00FF5043" w:rsidRPr="006C7FB9" w:rsidRDefault="00FF5043" w:rsidP="006C7FB9">
      <w:pPr>
        <w:rPr>
          <w:rFonts w:ascii="Arial" w:hAnsi="Arial" w:cs="Arial"/>
        </w:rPr>
      </w:pPr>
      <w:r w:rsidRPr="006C7FB9">
        <w:rPr>
          <w:rFonts w:ascii="Arial" w:hAnsi="Arial" w:cs="Arial"/>
        </w:rPr>
        <w:t>A more cohesive, uniform assessment pathway, using clinical judgement, cognitive screening, and informant-based evaluation, should be encouraged at the primary-care level. Combining multiple assessment methods would help increase the degree of accuracy in diagnosis and minimise the constraints of using a single instrument or professional opinion. Consistency in healthcare settings and the improved referral process to specialist memory services could also be supported by a standardised pathway. The rationale for this recommendation is that a large number of the tools needed are already available in primary care practice and can be integrated into current cognitive screening practices in primary care for older adults with cognitive complaints.</w:t>
      </w:r>
    </w:p>
    <w:p w14:paraId="553D8ABE" w14:textId="04B1DB03" w:rsidR="00FF5043" w:rsidRPr="006C7FB9" w:rsidRDefault="00FF5043" w:rsidP="006C7FB9">
      <w:pPr>
        <w:rPr>
          <w:rFonts w:ascii="Arial" w:hAnsi="Arial" w:cs="Arial"/>
        </w:rPr>
      </w:pPr>
      <w:r w:rsidRPr="006C7FB9">
        <w:rPr>
          <w:rFonts w:ascii="Arial" w:hAnsi="Arial" w:cs="Arial"/>
        </w:rPr>
        <w:t>Overcoming the time pressures is one main challenge to implementation, especially in primary care systems. Some practitioner-level skill differences may also occur, and there might be some confusion about the interpretation of results. Some of these restrictions might be alleviated if clinical guidelines were simplified, if assessment templates were done electronically, and if support systems were developed to help with things from multiple angles. Screening cognitive function as part of established pathways for older adults' health checks would also make it easier to reduce extra workload and encourage earlier detection of cognitive deterioration.</w:t>
      </w:r>
    </w:p>
    <w:p w14:paraId="362BA861" w14:textId="77777777" w:rsidR="00FF5043" w:rsidRPr="006C7FB9" w:rsidRDefault="00FF5043" w:rsidP="006C7FB9">
      <w:pPr>
        <w:rPr>
          <w:rFonts w:ascii="Arial" w:hAnsi="Arial" w:cs="Arial"/>
        </w:rPr>
      </w:pPr>
    </w:p>
    <w:p w14:paraId="6DEFF1C6" w14:textId="38A4B61E" w:rsidR="005C5E80" w:rsidRPr="006C7FB9" w:rsidRDefault="005C5E80" w:rsidP="006C7FB9">
      <w:pPr>
        <w:pStyle w:val="Heading3"/>
        <w:rPr>
          <w:rFonts w:ascii="Arial" w:hAnsi="Arial" w:cs="Arial"/>
        </w:rPr>
      </w:pPr>
      <w:bookmarkStart w:id="62" w:name="_Toc234829774"/>
      <w:r w:rsidRPr="006C7FB9">
        <w:rPr>
          <w:rFonts w:ascii="Arial" w:hAnsi="Arial" w:cs="Arial"/>
        </w:rPr>
        <w:t>5.2.3 – Recommendation 3</w:t>
      </w:r>
      <w:bookmarkEnd w:id="62"/>
    </w:p>
    <w:p w14:paraId="1B3E7AF8" w14:textId="77777777" w:rsidR="00FF5043" w:rsidRPr="006C7FB9" w:rsidRDefault="00FF5043" w:rsidP="006C7FB9">
      <w:pPr>
        <w:rPr>
          <w:rFonts w:ascii="Arial" w:hAnsi="Arial" w:cs="Arial"/>
        </w:rPr>
      </w:pPr>
      <w:r w:rsidRPr="006C7FB9">
        <w:rPr>
          <w:rFonts w:ascii="Arial" w:hAnsi="Arial" w:cs="Arial"/>
        </w:rPr>
        <w:t xml:space="preserve">Culturally committed approaches to delivering dementia care are needed to reduce inequities in the diagnosis of dementia and access to care across diverse groups. Services should ensure that information resources are translated, support is provided from an interpreter, and culturally responsive communication strategies are provided to engage people from diverse ethnic and linguistic backgrounds. Community outreach initiatives using local support services, </w:t>
      </w:r>
      <w:r w:rsidRPr="006C7FB9">
        <w:rPr>
          <w:rFonts w:ascii="Arial" w:hAnsi="Arial" w:cs="Arial"/>
        </w:rPr>
        <w:lastRenderedPageBreak/>
        <w:t>faith communities and organisations should be created to raise awareness about dementia symptoms and stigma associated with a diagnosis. Improving cultural competence in healthcare services would help people seek assistance more promptly, as well as build trust between health services and communities.</w:t>
      </w:r>
    </w:p>
    <w:p w14:paraId="61CD43C9" w14:textId="6D5EA383" w:rsidR="00211184" w:rsidRPr="006C7FB9" w:rsidRDefault="00FF5043" w:rsidP="006C7FB9">
      <w:pPr>
        <w:rPr>
          <w:rFonts w:ascii="Arial" w:hAnsi="Arial" w:cs="Arial"/>
        </w:rPr>
      </w:pPr>
      <w:r w:rsidRPr="006C7FB9">
        <w:rPr>
          <w:rFonts w:ascii="Arial" w:hAnsi="Arial" w:cs="Arial"/>
        </w:rPr>
        <w:t>However, it has been challenged for several reasons, such as not enough funding, staff who do not know multiple languages, and different communities' cultural perspectives of dementia. There might also be stigma or fear related to the condition that might prevent some from accessing services. Partnerships with community organisations, specific awareness campaigns and training the workforce on inclusive communication and cultural awareness can overcome these barriers. Long-term planning and partnership working at the local level would go a long way towards ensuring accessibility, equity and responsiveness of dementia services to the needs of different populations within the UK.</w:t>
      </w:r>
    </w:p>
    <w:p w14:paraId="62B3B8A5" w14:textId="0351B08A" w:rsidR="00FF5043" w:rsidRPr="006C7FB9" w:rsidRDefault="00FF5043" w:rsidP="006C7FB9">
      <w:pPr>
        <w:rPr>
          <w:rFonts w:ascii="Arial" w:hAnsi="Arial" w:cs="Arial"/>
        </w:rPr>
      </w:pPr>
    </w:p>
    <w:p w14:paraId="2405A7A0" w14:textId="7333D6F0" w:rsidR="00FF5043" w:rsidRPr="006C7FB9" w:rsidRDefault="00FF5043" w:rsidP="006C7FB9">
      <w:pPr>
        <w:pStyle w:val="Heading3"/>
        <w:rPr>
          <w:rFonts w:ascii="Arial" w:hAnsi="Arial" w:cs="Arial"/>
        </w:rPr>
      </w:pPr>
      <w:bookmarkStart w:id="63" w:name="_Toc234829775"/>
      <w:r w:rsidRPr="006C7FB9">
        <w:rPr>
          <w:rFonts w:ascii="Arial" w:hAnsi="Arial" w:cs="Arial"/>
        </w:rPr>
        <w:t>5.2.4 – Recommendation 4</w:t>
      </w:r>
      <w:bookmarkEnd w:id="63"/>
    </w:p>
    <w:p w14:paraId="2078220C" w14:textId="77777777" w:rsidR="001D1954" w:rsidRPr="006C7FB9" w:rsidRDefault="001D1954" w:rsidP="006C7FB9">
      <w:pPr>
        <w:rPr>
          <w:rFonts w:ascii="Arial" w:hAnsi="Arial" w:cs="Arial"/>
        </w:rPr>
      </w:pPr>
      <w:r w:rsidRPr="006C7FB9">
        <w:rPr>
          <w:rFonts w:ascii="Arial" w:hAnsi="Arial" w:cs="Arial"/>
        </w:rPr>
        <w:t>Improving memory services and increasing access to early diagnosis support in urban and rural health care should be a priority. Better levels of access to specialist assessment technologies, better linking between primary care and memory clinics, and increased staffing would benefit in reducing waiting times and helping to ensure continuity of care. Increased provision of nurse-led cognitive assessment services could also help to facilitate timely interventions and help alleviate the burden on specialist teams. This advice is sensible as dementia care arrangements and memory service provision do not need to be completely changed, but can be expanded on.</w:t>
      </w:r>
    </w:p>
    <w:p w14:paraId="6FEE4CCF" w14:textId="27BCCA1E" w:rsidR="00FF5043" w:rsidRPr="006C7FB9" w:rsidRDefault="001D1954" w:rsidP="006C7FB9">
      <w:pPr>
        <w:rPr>
          <w:rFonts w:ascii="Arial" w:hAnsi="Arial" w:cs="Arial"/>
        </w:rPr>
      </w:pPr>
      <w:r w:rsidRPr="006C7FB9">
        <w:rPr>
          <w:rFonts w:ascii="Arial" w:hAnsi="Arial" w:cs="Arial"/>
        </w:rPr>
        <w:t>The primary challenges are financial constraints, a shortage of personnel, and disparities in healthcare delivery among regions. There could be a lack of specialists in rural areas, which can be an issue, or a lack of advanced diagnostic resources, which can be an issue. Addressing these challenges, in part, through specific funding, the use of remote assessment technology, and the growing community-based dementia service provision. Better working together among healthcare professionals, policy makers and local authorities would also enhance service planning and resource allocation. Improving the readiness of services in this way will help dementia to be recognised earlier, and the patient's experience will be enhanced in care settings.</w:t>
      </w:r>
    </w:p>
    <w:bookmarkEnd w:id="4"/>
    <w:p w14:paraId="70917620" w14:textId="176D9FDD" w:rsidR="000400E4" w:rsidRPr="006C7FB9" w:rsidRDefault="00811A7A" w:rsidP="006C7FB9">
      <w:pPr>
        <w:rPr>
          <w:rFonts w:ascii="Arial" w:hAnsi="Arial" w:cs="Arial"/>
        </w:rPr>
      </w:pPr>
      <w:r w:rsidRPr="006C7FB9">
        <w:rPr>
          <w:rFonts w:ascii="Arial" w:hAnsi="Arial" w:cs="Arial"/>
        </w:rPr>
        <w:br w:type="page"/>
      </w:r>
    </w:p>
    <w:p w14:paraId="2EE69DD1" w14:textId="5FF68BD3" w:rsidR="00211184" w:rsidRDefault="00211184" w:rsidP="001D1954">
      <w:pPr>
        <w:pStyle w:val="Heading1"/>
      </w:pPr>
      <w:bookmarkStart w:id="64" w:name="_Toc234829776"/>
      <w:r w:rsidRPr="00636D9A">
        <w:lastRenderedPageBreak/>
        <w:t>C</w:t>
      </w:r>
      <w:r>
        <w:t>HAPTER</w:t>
      </w:r>
      <w:r w:rsidRPr="00636D9A">
        <w:t xml:space="preserve"> </w:t>
      </w:r>
      <w:r>
        <w:t>6</w:t>
      </w:r>
      <w:r w:rsidR="001D1954">
        <w:t xml:space="preserve">: </w:t>
      </w:r>
      <w:r>
        <w:t>References and Appendices</w:t>
      </w:r>
      <w:bookmarkEnd w:id="64"/>
    </w:p>
    <w:p w14:paraId="3C7AA80C" w14:textId="18417183" w:rsidR="00621776" w:rsidRDefault="00621776" w:rsidP="001D1954">
      <w:pPr>
        <w:pStyle w:val="Heading1"/>
      </w:pPr>
      <w:bookmarkStart w:id="65" w:name="_Toc234829777"/>
      <w:r w:rsidRPr="008C38C3">
        <w:t xml:space="preserve">6.1 – </w:t>
      </w:r>
      <w:bookmarkStart w:id="66" w:name="_Hlk231933992"/>
      <w:r w:rsidRPr="008C38C3">
        <w:t>References</w:t>
      </w:r>
      <w:bookmarkEnd w:id="65"/>
    </w:p>
    <w:p w14:paraId="4019E1B3" w14:textId="6F85CB5A" w:rsidR="002F432B" w:rsidRPr="00B12316" w:rsidRDefault="002F432B" w:rsidP="00E62DF5">
      <w:pPr>
        <w:ind w:left="720" w:hanging="720"/>
        <w:rPr>
          <w:rFonts w:cs="Times New Roman"/>
          <w:szCs w:val="20"/>
          <w:shd w:val="clear" w:color="auto" w:fill="FFFFFF"/>
        </w:rPr>
      </w:pPr>
      <w:proofErr w:type="spellStart"/>
      <w:r w:rsidRPr="00B12316">
        <w:rPr>
          <w:rFonts w:cs="Times New Roman"/>
          <w:szCs w:val="20"/>
          <w:shd w:val="clear" w:color="auto" w:fill="FFFFFF"/>
        </w:rPr>
        <w:t>Agbana</w:t>
      </w:r>
      <w:proofErr w:type="spellEnd"/>
      <w:r w:rsidRPr="00B12316">
        <w:rPr>
          <w:rFonts w:cs="Times New Roman"/>
          <w:szCs w:val="20"/>
          <w:shd w:val="clear" w:color="auto" w:fill="FFFFFF"/>
        </w:rPr>
        <w:t xml:space="preserve">, T.M. </w:t>
      </w:r>
      <w:r>
        <w:rPr>
          <w:rFonts w:cs="Times New Roman"/>
          <w:szCs w:val="20"/>
          <w:shd w:val="clear" w:color="auto" w:fill="FFFFFF"/>
        </w:rPr>
        <w:t>(</w:t>
      </w:r>
      <w:r w:rsidRPr="00B12316">
        <w:rPr>
          <w:rFonts w:cs="Times New Roman"/>
          <w:szCs w:val="20"/>
          <w:shd w:val="clear" w:color="auto" w:fill="FFFFFF"/>
        </w:rPr>
        <w:t>2025</w:t>
      </w:r>
      <w:r>
        <w:rPr>
          <w:rFonts w:cs="Times New Roman"/>
          <w:szCs w:val="20"/>
          <w:shd w:val="clear" w:color="auto" w:fill="FFFFFF"/>
        </w:rPr>
        <w:t>)</w:t>
      </w:r>
      <w:r w:rsidRPr="00B12316">
        <w:rPr>
          <w:rFonts w:cs="Times New Roman"/>
          <w:szCs w:val="20"/>
          <w:shd w:val="clear" w:color="auto" w:fill="FFFFFF"/>
        </w:rPr>
        <w:t xml:space="preserve"> </w:t>
      </w:r>
      <w:r w:rsidRPr="001D6B67">
        <w:rPr>
          <w:rFonts w:cs="Times New Roman"/>
          <w:i/>
          <w:iCs/>
          <w:szCs w:val="20"/>
          <w:shd w:val="clear" w:color="auto" w:fill="FFFFFF"/>
        </w:rPr>
        <w:t xml:space="preserve">Challenges and Opportunities in </w:t>
      </w:r>
      <w:r w:rsidR="00133C7F" w:rsidRPr="001D6B67">
        <w:rPr>
          <w:rFonts w:cs="Times New Roman"/>
          <w:i/>
          <w:iCs/>
          <w:szCs w:val="20"/>
          <w:shd w:val="clear" w:color="auto" w:fill="FFFFFF"/>
        </w:rPr>
        <w:t>Culturally Sensitive</w:t>
      </w:r>
      <w:r w:rsidRPr="001D6B67">
        <w:rPr>
          <w:rFonts w:cs="Times New Roman"/>
          <w:i/>
          <w:iCs/>
          <w:szCs w:val="20"/>
          <w:shd w:val="clear" w:color="auto" w:fill="FFFFFF"/>
        </w:rPr>
        <w:t xml:space="preserve"> Dementia Care Among Minority</w:t>
      </w:r>
      <w:r w:rsidR="0018010D" w:rsidRPr="001D6B67">
        <w:rPr>
          <w:rFonts w:cs="Times New Roman"/>
          <w:i/>
          <w:iCs/>
          <w:szCs w:val="20"/>
          <w:shd w:val="clear" w:color="auto" w:fill="FFFFFF"/>
        </w:rPr>
        <w:t xml:space="preserve"> </w:t>
      </w:r>
      <w:r w:rsidRPr="001D6B67">
        <w:rPr>
          <w:rFonts w:cs="Times New Roman"/>
          <w:i/>
          <w:iCs/>
          <w:szCs w:val="20"/>
          <w:shd w:val="clear" w:color="auto" w:fill="FFFFFF"/>
        </w:rPr>
        <w:t>Ethnic Elderly Populations in Urban Settings</w:t>
      </w:r>
      <w:r w:rsidRPr="00B12316">
        <w:rPr>
          <w:rFonts w:cs="Times New Roman"/>
          <w:szCs w:val="20"/>
          <w:shd w:val="clear" w:color="auto" w:fill="FFFFFF"/>
        </w:rPr>
        <w:t>.</w:t>
      </w:r>
      <w:r>
        <w:rPr>
          <w:rFonts w:cs="Times New Roman"/>
          <w:szCs w:val="20"/>
          <w:shd w:val="clear" w:color="auto" w:fill="FFFFFF"/>
        </w:rPr>
        <w:t xml:space="preserve"> </w:t>
      </w:r>
      <w:r w:rsidR="0036322D">
        <w:rPr>
          <w:rFonts w:cs="Times New Roman"/>
          <w:szCs w:val="20"/>
          <w:shd w:val="clear" w:color="auto" w:fill="FFFFFF"/>
        </w:rPr>
        <w:t xml:space="preserve">Available at: </w:t>
      </w:r>
      <w:hyperlink r:id="rId18" w:history="1">
        <w:r w:rsidR="0036322D" w:rsidRPr="00C819ED">
          <w:rPr>
            <w:rStyle w:val="Hyperlink"/>
            <w:rFonts w:cs="Times New Roman"/>
            <w:szCs w:val="20"/>
            <w:shd w:val="clear" w:color="auto" w:fill="FFFFFF"/>
          </w:rPr>
          <w:t>https://doi.org/10.30574/wjarr.2025.27.2.2913</w:t>
        </w:r>
      </w:hyperlink>
      <w:r>
        <w:rPr>
          <w:rFonts w:cs="Times New Roman"/>
          <w:szCs w:val="20"/>
          <w:shd w:val="clear" w:color="auto" w:fill="FFFFFF"/>
        </w:rPr>
        <w:t xml:space="preserve"> </w:t>
      </w:r>
    </w:p>
    <w:p w14:paraId="3BF46E70" w14:textId="05143B75" w:rsidR="002F432B" w:rsidRDefault="002F432B" w:rsidP="00E62DF5">
      <w:pPr>
        <w:ind w:left="720" w:hanging="720"/>
      </w:pPr>
      <w:r w:rsidRPr="00E325DA">
        <w:t xml:space="preserve">Ahmed, S.K., Mohammed, R.A., Nashwan, A.J., Ibrahim, R.H., Abdalla, A.Q., Ameen, B.M.M. and </w:t>
      </w:r>
      <w:proofErr w:type="spellStart"/>
      <w:r w:rsidRPr="00E325DA">
        <w:t>Khdhir</w:t>
      </w:r>
      <w:proofErr w:type="spellEnd"/>
      <w:r w:rsidRPr="00E325DA">
        <w:t xml:space="preserve">, R.M., </w:t>
      </w:r>
      <w:r>
        <w:t>(</w:t>
      </w:r>
      <w:r w:rsidRPr="00E325DA">
        <w:t>2025</w:t>
      </w:r>
      <w:r>
        <w:t>)</w:t>
      </w:r>
      <w:r w:rsidRPr="00E325DA">
        <w:t xml:space="preserve"> </w:t>
      </w:r>
      <w:r w:rsidRPr="00C957F9">
        <w:rPr>
          <w:i/>
          <w:iCs/>
        </w:rPr>
        <w:t>Using thematic analysis in qualitative research. Journal of Medicine, Surgery, and Public Health</w:t>
      </w:r>
      <w:r w:rsidRPr="00E325DA">
        <w:t>, </w:t>
      </w:r>
      <w:r w:rsidRPr="00E325DA">
        <w:rPr>
          <w:i/>
          <w:iCs/>
        </w:rPr>
        <w:t>6</w:t>
      </w:r>
      <w:r w:rsidRPr="00E325DA">
        <w:t>, p.100198.</w:t>
      </w:r>
      <w:r>
        <w:t xml:space="preserve"> </w:t>
      </w:r>
      <w:r w:rsidR="004E2D04">
        <w:t xml:space="preserve">Available at: </w:t>
      </w:r>
      <w:hyperlink r:id="rId19" w:history="1">
        <w:r w:rsidR="004E2D04" w:rsidRPr="00C819ED">
          <w:rPr>
            <w:rStyle w:val="Hyperlink"/>
          </w:rPr>
          <w:t>https://doi.org/10.1016/j.glmedi.2025.100198</w:t>
        </w:r>
      </w:hyperlink>
    </w:p>
    <w:p w14:paraId="2B3D936F" w14:textId="49B8C111" w:rsidR="002F432B" w:rsidRPr="00742B85" w:rsidRDefault="002F432B" w:rsidP="00E62DF5">
      <w:pPr>
        <w:ind w:left="720" w:hanging="720"/>
        <w:rPr>
          <w:rFonts w:cs="Times New Roman"/>
          <w:szCs w:val="20"/>
          <w:shd w:val="clear" w:color="auto" w:fill="FFFFFF"/>
        </w:rPr>
      </w:pPr>
      <w:r w:rsidRPr="00742B85">
        <w:rPr>
          <w:rFonts w:cs="Times New Roman"/>
          <w:szCs w:val="20"/>
          <w:shd w:val="clear" w:color="auto" w:fill="FFFFFF"/>
        </w:rPr>
        <w:t xml:space="preserve">Akimova, E.T., Wolfram, T., Ding, X., Tropf, F.C. and Mills, M.C. </w:t>
      </w:r>
      <w:r>
        <w:rPr>
          <w:rFonts w:cs="Times New Roman"/>
          <w:szCs w:val="20"/>
          <w:shd w:val="clear" w:color="auto" w:fill="FFFFFF"/>
        </w:rPr>
        <w:t>(</w:t>
      </w:r>
      <w:r w:rsidRPr="00742B85">
        <w:rPr>
          <w:rFonts w:cs="Times New Roman"/>
          <w:szCs w:val="20"/>
          <w:shd w:val="clear" w:color="auto" w:fill="FFFFFF"/>
        </w:rPr>
        <w:t>2025</w:t>
      </w:r>
      <w:r>
        <w:rPr>
          <w:rFonts w:cs="Times New Roman"/>
          <w:szCs w:val="20"/>
          <w:shd w:val="clear" w:color="auto" w:fill="FFFFFF"/>
        </w:rPr>
        <w:t>)</w:t>
      </w:r>
      <w:r w:rsidRPr="00742B85">
        <w:rPr>
          <w:rFonts w:cs="Times New Roman"/>
          <w:szCs w:val="20"/>
          <w:shd w:val="clear" w:color="auto" w:fill="FFFFFF"/>
        </w:rPr>
        <w:t xml:space="preserve"> </w:t>
      </w:r>
      <w:r w:rsidRPr="004E2D04">
        <w:rPr>
          <w:rFonts w:cs="Times New Roman"/>
          <w:i/>
          <w:iCs/>
          <w:szCs w:val="20"/>
          <w:shd w:val="clear" w:color="auto" w:fill="FFFFFF"/>
        </w:rPr>
        <w:t>Polygenic prediction of occupational status GWAS elucidates genetic and environmental interplay in intergenerational transmission, careers and health in UK Biobank. Nature Human Behaviour,</w:t>
      </w:r>
      <w:r w:rsidRPr="00742B85">
        <w:rPr>
          <w:rFonts w:cs="Times New Roman"/>
          <w:szCs w:val="20"/>
          <w:shd w:val="clear" w:color="auto" w:fill="FFFFFF"/>
        </w:rPr>
        <w:t> </w:t>
      </w:r>
      <w:r w:rsidRPr="00742B85">
        <w:rPr>
          <w:rFonts w:cs="Times New Roman"/>
          <w:i/>
          <w:iCs/>
          <w:szCs w:val="20"/>
          <w:shd w:val="clear" w:color="auto" w:fill="FFFFFF"/>
        </w:rPr>
        <w:t>9</w:t>
      </w:r>
      <w:r w:rsidRPr="00742B85">
        <w:rPr>
          <w:rFonts w:cs="Times New Roman"/>
          <w:szCs w:val="20"/>
          <w:shd w:val="clear" w:color="auto" w:fill="FFFFFF"/>
        </w:rPr>
        <w:t>(2), pp.391-405.</w:t>
      </w:r>
      <w:r w:rsidR="004E2D04">
        <w:rPr>
          <w:rFonts w:cs="Times New Roman"/>
          <w:szCs w:val="20"/>
          <w:shd w:val="clear" w:color="auto" w:fill="FFFFFF"/>
        </w:rPr>
        <w:t xml:space="preserve"> Available at: </w:t>
      </w:r>
      <w:r>
        <w:rPr>
          <w:rFonts w:cs="Times New Roman"/>
          <w:szCs w:val="20"/>
          <w:shd w:val="clear" w:color="auto" w:fill="FFFFFF"/>
        </w:rPr>
        <w:t xml:space="preserve"> </w:t>
      </w:r>
      <w:hyperlink r:id="rId20" w:history="1">
        <w:r w:rsidRPr="00A90C5F">
          <w:rPr>
            <w:rStyle w:val="Hyperlink"/>
            <w:rFonts w:cs="Times New Roman"/>
            <w:szCs w:val="20"/>
            <w:shd w:val="clear" w:color="auto" w:fill="FFFFFF"/>
          </w:rPr>
          <w:t>https://doi.org/10.1038/s41562-024-02076-3</w:t>
        </w:r>
      </w:hyperlink>
      <w:r>
        <w:rPr>
          <w:rFonts w:cs="Times New Roman"/>
          <w:szCs w:val="20"/>
          <w:shd w:val="clear" w:color="auto" w:fill="FFFFFF"/>
        </w:rPr>
        <w:t xml:space="preserve"> </w:t>
      </w:r>
    </w:p>
    <w:p w14:paraId="744DCD82" w14:textId="66F97097" w:rsidR="002F432B" w:rsidRPr="00742B85" w:rsidRDefault="002F432B" w:rsidP="00E62DF5">
      <w:pPr>
        <w:ind w:left="720" w:hanging="720"/>
        <w:rPr>
          <w:rFonts w:cs="Times New Roman"/>
          <w:szCs w:val="20"/>
          <w:shd w:val="clear" w:color="auto" w:fill="FFFFFF"/>
        </w:rPr>
      </w:pPr>
      <w:r w:rsidRPr="00742B85">
        <w:rPr>
          <w:rFonts w:cs="Times New Roman"/>
          <w:szCs w:val="20"/>
          <w:shd w:val="clear" w:color="auto" w:fill="FFFFFF"/>
        </w:rPr>
        <w:t xml:space="preserve">Alharbi, T.A.F., Rababa, M., </w:t>
      </w:r>
      <w:proofErr w:type="spellStart"/>
      <w:r w:rsidRPr="00742B85">
        <w:rPr>
          <w:rFonts w:cs="Times New Roman"/>
          <w:szCs w:val="20"/>
          <w:shd w:val="clear" w:color="auto" w:fill="FFFFFF"/>
        </w:rPr>
        <w:t>Alsuwayl</w:t>
      </w:r>
      <w:proofErr w:type="spellEnd"/>
      <w:r w:rsidRPr="00742B85">
        <w:rPr>
          <w:rFonts w:cs="Times New Roman"/>
          <w:szCs w:val="20"/>
          <w:shd w:val="clear" w:color="auto" w:fill="FFFFFF"/>
        </w:rPr>
        <w:t xml:space="preserve">, H., </w:t>
      </w:r>
      <w:proofErr w:type="spellStart"/>
      <w:r w:rsidRPr="00742B85">
        <w:rPr>
          <w:rFonts w:cs="Times New Roman"/>
          <w:szCs w:val="20"/>
          <w:shd w:val="clear" w:color="auto" w:fill="FFFFFF"/>
        </w:rPr>
        <w:t>Alsubail</w:t>
      </w:r>
      <w:proofErr w:type="spellEnd"/>
      <w:r w:rsidRPr="00742B85">
        <w:rPr>
          <w:rFonts w:cs="Times New Roman"/>
          <w:szCs w:val="20"/>
          <w:shd w:val="clear" w:color="auto" w:fill="FFFFFF"/>
        </w:rPr>
        <w:t xml:space="preserve">, A. and </w:t>
      </w:r>
      <w:proofErr w:type="spellStart"/>
      <w:r w:rsidRPr="00742B85">
        <w:rPr>
          <w:rFonts w:cs="Times New Roman"/>
          <w:szCs w:val="20"/>
          <w:shd w:val="clear" w:color="auto" w:fill="FFFFFF"/>
        </w:rPr>
        <w:t>Alenizi</w:t>
      </w:r>
      <w:proofErr w:type="spellEnd"/>
      <w:r w:rsidRPr="00742B85">
        <w:rPr>
          <w:rFonts w:cs="Times New Roman"/>
          <w:szCs w:val="20"/>
          <w:shd w:val="clear" w:color="auto" w:fill="FFFFFF"/>
        </w:rPr>
        <w:t xml:space="preserve">, W.S. </w:t>
      </w:r>
      <w:r>
        <w:rPr>
          <w:rFonts w:cs="Times New Roman"/>
          <w:szCs w:val="20"/>
          <w:shd w:val="clear" w:color="auto" w:fill="FFFFFF"/>
        </w:rPr>
        <w:t>(</w:t>
      </w:r>
      <w:r w:rsidRPr="00742B85">
        <w:rPr>
          <w:rFonts w:cs="Times New Roman"/>
          <w:szCs w:val="20"/>
          <w:shd w:val="clear" w:color="auto" w:fill="FFFFFF"/>
        </w:rPr>
        <w:t>2025</w:t>
      </w:r>
      <w:r>
        <w:rPr>
          <w:rFonts w:cs="Times New Roman"/>
          <w:szCs w:val="20"/>
          <w:shd w:val="clear" w:color="auto" w:fill="FFFFFF"/>
        </w:rPr>
        <w:t>)</w:t>
      </w:r>
      <w:r w:rsidRPr="00742B85">
        <w:rPr>
          <w:rFonts w:cs="Times New Roman"/>
          <w:szCs w:val="20"/>
          <w:shd w:val="clear" w:color="auto" w:fill="FFFFFF"/>
        </w:rPr>
        <w:t xml:space="preserve"> </w:t>
      </w:r>
      <w:r w:rsidRPr="004E2D04">
        <w:rPr>
          <w:rFonts w:cs="Times New Roman"/>
          <w:i/>
          <w:iCs/>
          <w:szCs w:val="20"/>
          <w:shd w:val="clear" w:color="auto" w:fill="FFFFFF"/>
        </w:rPr>
        <w:t>Diagnostic Challenges and Patient Safety: The Critical Role of Accuracy–A Systematic Review. Journal of multidisciplinary healthcare,</w:t>
      </w:r>
      <w:r w:rsidRPr="00742B85">
        <w:rPr>
          <w:rFonts w:cs="Times New Roman"/>
          <w:szCs w:val="20"/>
          <w:shd w:val="clear" w:color="auto" w:fill="FFFFFF"/>
        </w:rPr>
        <w:t xml:space="preserve"> pp.3051-3064.</w:t>
      </w:r>
      <w:r>
        <w:rPr>
          <w:rFonts w:cs="Times New Roman"/>
          <w:szCs w:val="20"/>
          <w:shd w:val="clear" w:color="auto" w:fill="FFFFFF"/>
        </w:rPr>
        <w:t xml:space="preserve"> </w:t>
      </w:r>
      <w:r w:rsidR="004E2D04">
        <w:rPr>
          <w:rFonts w:cs="Times New Roman"/>
          <w:szCs w:val="20"/>
          <w:shd w:val="clear" w:color="auto" w:fill="FFFFFF"/>
        </w:rPr>
        <w:t xml:space="preserve">Available at: </w:t>
      </w:r>
      <w:hyperlink r:id="rId21" w:history="1">
        <w:r w:rsidR="004E2D04" w:rsidRPr="00C819ED">
          <w:rPr>
            <w:rStyle w:val="Hyperlink"/>
            <w:rFonts w:cs="Times New Roman"/>
            <w:szCs w:val="20"/>
            <w:shd w:val="clear" w:color="auto" w:fill="FFFFFF"/>
          </w:rPr>
          <w:t>https://doi.org/10.2147/JMDH.S512254</w:t>
        </w:r>
      </w:hyperlink>
      <w:r>
        <w:rPr>
          <w:rFonts w:cs="Times New Roman"/>
          <w:szCs w:val="20"/>
          <w:shd w:val="clear" w:color="auto" w:fill="FFFFFF"/>
        </w:rPr>
        <w:t xml:space="preserve"> </w:t>
      </w:r>
    </w:p>
    <w:p w14:paraId="67D1D94D" w14:textId="7C104D2C" w:rsidR="002F432B" w:rsidRPr="00742B85" w:rsidRDefault="002F432B" w:rsidP="00E62DF5">
      <w:pPr>
        <w:ind w:left="720" w:hanging="720"/>
        <w:rPr>
          <w:rFonts w:cs="Times New Roman"/>
          <w:szCs w:val="20"/>
          <w:shd w:val="clear" w:color="auto" w:fill="FFFFFF"/>
        </w:rPr>
      </w:pPr>
      <w:r w:rsidRPr="00742B85">
        <w:rPr>
          <w:rFonts w:cs="Times New Roman"/>
          <w:szCs w:val="20"/>
          <w:shd w:val="clear" w:color="auto" w:fill="FFFFFF"/>
        </w:rPr>
        <w:t xml:space="preserve">Baba, H., Aung, M.N., Miyagi, A., </w:t>
      </w:r>
      <w:proofErr w:type="spellStart"/>
      <w:r w:rsidRPr="00742B85">
        <w:rPr>
          <w:rFonts w:cs="Times New Roman"/>
          <w:szCs w:val="20"/>
          <w:shd w:val="clear" w:color="auto" w:fill="FFFFFF"/>
        </w:rPr>
        <w:t>Masu</w:t>
      </w:r>
      <w:proofErr w:type="spellEnd"/>
      <w:r w:rsidRPr="00742B85">
        <w:rPr>
          <w:rFonts w:cs="Times New Roman"/>
          <w:szCs w:val="20"/>
          <w:shd w:val="clear" w:color="auto" w:fill="FFFFFF"/>
        </w:rPr>
        <w:t xml:space="preserve">, A., </w:t>
      </w:r>
      <w:proofErr w:type="spellStart"/>
      <w:r w:rsidRPr="00742B85">
        <w:rPr>
          <w:rFonts w:cs="Times New Roman"/>
          <w:szCs w:val="20"/>
          <w:shd w:val="clear" w:color="auto" w:fill="FFFFFF"/>
        </w:rPr>
        <w:t>Yokobori</w:t>
      </w:r>
      <w:proofErr w:type="spellEnd"/>
      <w:r w:rsidRPr="00742B85">
        <w:rPr>
          <w:rFonts w:cs="Times New Roman"/>
          <w:szCs w:val="20"/>
          <w:shd w:val="clear" w:color="auto" w:fill="FFFFFF"/>
        </w:rPr>
        <w:t>, Y., Kiyohara, H., Otake, E. and Yuasa, M</w:t>
      </w:r>
      <w:r>
        <w:rPr>
          <w:rFonts w:cs="Times New Roman"/>
          <w:szCs w:val="20"/>
          <w:shd w:val="clear" w:color="auto" w:fill="FFFFFF"/>
        </w:rPr>
        <w:t>.</w:t>
      </w:r>
      <w:r w:rsidRPr="00742B85">
        <w:rPr>
          <w:rFonts w:cs="Times New Roman"/>
          <w:szCs w:val="20"/>
          <w:shd w:val="clear" w:color="auto" w:fill="FFFFFF"/>
        </w:rPr>
        <w:t xml:space="preserve"> </w:t>
      </w:r>
      <w:r>
        <w:rPr>
          <w:rFonts w:cs="Times New Roman"/>
          <w:szCs w:val="20"/>
          <w:shd w:val="clear" w:color="auto" w:fill="FFFFFF"/>
        </w:rPr>
        <w:t>(</w:t>
      </w:r>
      <w:r w:rsidRPr="00742B85">
        <w:rPr>
          <w:rFonts w:cs="Times New Roman"/>
          <w:szCs w:val="20"/>
          <w:shd w:val="clear" w:color="auto" w:fill="FFFFFF"/>
        </w:rPr>
        <w:t>2024</w:t>
      </w:r>
      <w:r>
        <w:rPr>
          <w:rFonts w:cs="Times New Roman"/>
          <w:szCs w:val="20"/>
          <w:shd w:val="clear" w:color="auto" w:fill="FFFFFF"/>
        </w:rPr>
        <w:t>)</w:t>
      </w:r>
      <w:r w:rsidRPr="00742B85">
        <w:rPr>
          <w:rFonts w:cs="Times New Roman"/>
          <w:szCs w:val="20"/>
          <w:shd w:val="clear" w:color="auto" w:fill="FFFFFF"/>
        </w:rPr>
        <w:t xml:space="preserve"> </w:t>
      </w:r>
      <w:r w:rsidRPr="00586191">
        <w:rPr>
          <w:rFonts w:cs="Times New Roman"/>
          <w:i/>
          <w:iCs/>
          <w:szCs w:val="20"/>
          <w:shd w:val="clear" w:color="auto" w:fill="FFFFFF"/>
        </w:rPr>
        <w:t xml:space="preserve">Exploring the contribution of Japan's experience in addressing rapid </w:t>
      </w:r>
      <w:r w:rsidR="00586191" w:rsidRPr="00586191">
        <w:rPr>
          <w:rFonts w:cs="Times New Roman"/>
          <w:i/>
          <w:iCs/>
          <w:szCs w:val="20"/>
          <w:shd w:val="clear" w:color="auto" w:fill="FFFFFF"/>
        </w:rPr>
        <w:t>ageing</w:t>
      </w:r>
      <w:r w:rsidRPr="00586191">
        <w:rPr>
          <w:rFonts w:cs="Times New Roman"/>
          <w:i/>
          <w:iCs/>
          <w:szCs w:val="20"/>
          <w:shd w:val="clear" w:color="auto" w:fill="FFFFFF"/>
        </w:rPr>
        <w:t xml:space="preserve"> in Asia: Focus on dementia care. Global Health &amp; Medicine</w:t>
      </w:r>
      <w:r w:rsidRPr="00742B85">
        <w:rPr>
          <w:rFonts w:cs="Times New Roman"/>
          <w:szCs w:val="20"/>
          <w:shd w:val="clear" w:color="auto" w:fill="FFFFFF"/>
        </w:rPr>
        <w:t>, </w:t>
      </w:r>
      <w:r w:rsidRPr="00742B85">
        <w:rPr>
          <w:rFonts w:cs="Times New Roman"/>
          <w:i/>
          <w:iCs/>
          <w:szCs w:val="20"/>
          <w:shd w:val="clear" w:color="auto" w:fill="FFFFFF"/>
        </w:rPr>
        <w:t>6</w:t>
      </w:r>
      <w:r w:rsidRPr="00742B85">
        <w:rPr>
          <w:rFonts w:cs="Times New Roman"/>
          <w:szCs w:val="20"/>
          <w:shd w:val="clear" w:color="auto" w:fill="FFFFFF"/>
        </w:rPr>
        <w:t>(1), pp.19-32.</w:t>
      </w:r>
      <w:r>
        <w:rPr>
          <w:rFonts w:cs="Times New Roman"/>
          <w:szCs w:val="20"/>
          <w:shd w:val="clear" w:color="auto" w:fill="FFFFFF"/>
        </w:rPr>
        <w:t xml:space="preserve"> </w:t>
      </w:r>
      <w:r w:rsidR="00586191">
        <w:rPr>
          <w:rFonts w:cs="Times New Roman"/>
          <w:szCs w:val="20"/>
          <w:shd w:val="clear" w:color="auto" w:fill="FFFFFF"/>
        </w:rPr>
        <w:t xml:space="preserve">Available at: </w:t>
      </w:r>
      <w:hyperlink r:id="rId22" w:history="1">
        <w:r w:rsidR="00586191" w:rsidRPr="00C819ED">
          <w:rPr>
            <w:rStyle w:val="Hyperlink"/>
            <w:rFonts w:cs="Times New Roman"/>
            <w:szCs w:val="20"/>
            <w:shd w:val="clear" w:color="auto" w:fill="FFFFFF"/>
          </w:rPr>
          <w:t>https://doi.org/10.35772/ghm.2023.01124</w:t>
        </w:r>
      </w:hyperlink>
      <w:r>
        <w:rPr>
          <w:rFonts w:cs="Times New Roman"/>
          <w:szCs w:val="20"/>
          <w:shd w:val="clear" w:color="auto" w:fill="FFFFFF"/>
        </w:rPr>
        <w:t xml:space="preserve"> </w:t>
      </w:r>
    </w:p>
    <w:p w14:paraId="788A6085" w14:textId="3E0BFF14" w:rsidR="002F432B" w:rsidRDefault="002F432B" w:rsidP="00E62DF5">
      <w:pPr>
        <w:ind w:left="720" w:hanging="720"/>
      </w:pPr>
      <w:r w:rsidRPr="00C90A37">
        <w:t xml:space="preserve">Bajwa, R., </w:t>
      </w:r>
      <w:proofErr w:type="spellStart"/>
      <w:r w:rsidRPr="00C90A37">
        <w:t>Hanjari</w:t>
      </w:r>
      <w:proofErr w:type="spellEnd"/>
      <w:r w:rsidRPr="00C90A37">
        <w:t xml:space="preserve">, M., Al-Oraibi, A., Akyea, R., Brar, M., Robinson, L., Stephan, B.C., Qureshi, N. and Bains, M., </w:t>
      </w:r>
      <w:r>
        <w:t>(</w:t>
      </w:r>
      <w:r w:rsidRPr="00C90A37">
        <w:t>2025</w:t>
      </w:r>
      <w:r>
        <w:t>)</w:t>
      </w:r>
      <w:r w:rsidRPr="00C90A37">
        <w:t xml:space="preserve"> </w:t>
      </w:r>
      <w:r w:rsidRPr="00E62DF5">
        <w:rPr>
          <w:i/>
          <w:iCs/>
        </w:rPr>
        <w:t>Qualitative study exploring knowledge and attitudes towards dementia risk prediction, barriers to dementia services and service improvement recommendations with diverse populations in England</w:t>
      </w:r>
      <w:r w:rsidRPr="00C90A37">
        <w:t>. </w:t>
      </w:r>
      <w:r w:rsidRPr="00C90A37">
        <w:rPr>
          <w:i/>
          <w:iCs/>
        </w:rPr>
        <w:t>BMJ open</w:t>
      </w:r>
      <w:r w:rsidRPr="00C90A37">
        <w:t>, </w:t>
      </w:r>
      <w:r w:rsidRPr="00C90A37">
        <w:rPr>
          <w:i/>
          <w:iCs/>
        </w:rPr>
        <w:t>15</w:t>
      </w:r>
      <w:r w:rsidRPr="00C90A37">
        <w:t>(5), p.e092370.</w:t>
      </w:r>
      <w:r>
        <w:t xml:space="preserve"> </w:t>
      </w:r>
      <w:r w:rsidR="00E62DF5">
        <w:t xml:space="preserve">Available at: </w:t>
      </w:r>
      <w:hyperlink r:id="rId23" w:history="1">
        <w:r w:rsidR="00E62DF5" w:rsidRPr="00C819ED">
          <w:rPr>
            <w:rStyle w:val="Hyperlink"/>
          </w:rPr>
          <w:t>https://doi.org/10.1136/bmjopen-2024-092370</w:t>
        </w:r>
      </w:hyperlink>
    </w:p>
    <w:p w14:paraId="6FA5D0B0" w14:textId="1941270A"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Behl, C.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w:t>
      </w:r>
      <w:r w:rsidRPr="0010352E">
        <w:rPr>
          <w:rFonts w:cs="Times New Roman"/>
          <w:i/>
          <w:iCs/>
          <w:szCs w:val="20"/>
          <w:shd w:val="clear" w:color="auto" w:fill="FFFFFF"/>
        </w:rPr>
        <w:t>The psychiatrist and pathologist Aloysius Alzheimer and his seminal Findings. In Alzheimer’s disease research: What has guided research so far and why it is high time for a paradigm shift</w:t>
      </w:r>
      <w:r w:rsidRPr="00742B85">
        <w:rPr>
          <w:rFonts w:cs="Times New Roman"/>
          <w:szCs w:val="20"/>
          <w:shd w:val="clear" w:color="auto" w:fill="FFFFFF"/>
        </w:rPr>
        <w:t> (pp. 27-45). Cham: Springer International Publishing.</w:t>
      </w:r>
      <w:r>
        <w:rPr>
          <w:rFonts w:cs="Times New Roman"/>
          <w:szCs w:val="20"/>
          <w:shd w:val="clear" w:color="auto" w:fill="FFFFFF"/>
        </w:rPr>
        <w:t xml:space="preserve"> </w:t>
      </w:r>
      <w:r w:rsidR="0010352E">
        <w:rPr>
          <w:rFonts w:cs="Times New Roman"/>
          <w:szCs w:val="20"/>
          <w:shd w:val="clear" w:color="auto" w:fill="FFFFFF"/>
        </w:rPr>
        <w:t xml:space="preserve">Available at: </w:t>
      </w:r>
      <w:hyperlink r:id="rId24" w:history="1">
        <w:r w:rsidR="00471671" w:rsidRPr="00C819ED">
          <w:rPr>
            <w:rStyle w:val="Hyperlink"/>
            <w:rFonts w:cs="Times New Roman"/>
            <w:szCs w:val="20"/>
            <w:shd w:val="clear" w:color="auto" w:fill="FFFFFF"/>
          </w:rPr>
          <w:t>https://doi.org/10.1007/978-3-031-31570-1</w:t>
        </w:r>
      </w:hyperlink>
      <w:r>
        <w:rPr>
          <w:rFonts w:cs="Times New Roman"/>
          <w:szCs w:val="20"/>
          <w:shd w:val="clear" w:color="auto" w:fill="FFFFFF"/>
        </w:rPr>
        <w:t xml:space="preserve"> </w:t>
      </w:r>
    </w:p>
    <w:p w14:paraId="4743F23D" w14:textId="34737A61"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lastRenderedPageBreak/>
        <w:t xml:space="preserve">Bradfield, N.I.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w:t>
      </w:r>
      <w:r w:rsidRPr="00471671">
        <w:rPr>
          <w:rFonts w:cs="Times New Roman"/>
          <w:i/>
          <w:iCs/>
          <w:szCs w:val="20"/>
          <w:shd w:val="clear" w:color="auto" w:fill="FFFFFF"/>
        </w:rPr>
        <w:t xml:space="preserve">Mild cognitive impairment: diagnosis and subtypes. Clinical EEG and </w:t>
      </w:r>
      <w:r w:rsidR="00471671">
        <w:rPr>
          <w:rFonts w:cs="Times New Roman"/>
          <w:i/>
          <w:iCs/>
          <w:szCs w:val="20"/>
          <w:shd w:val="clear" w:color="auto" w:fill="FFFFFF"/>
        </w:rPr>
        <w:t>Neuroscience</w:t>
      </w:r>
      <w:r w:rsidRPr="00471671">
        <w:rPr>
          <w:rFonts w:cs="Times New Roman"/>
          <w:szCs w:val="20"/>
          <w:shd w:val="clear" w:color="auto" w:fill="FFFFFF"/>
        </w:rPr>
        <w:t>, 5</w:t>
      </w:r>
      <w:r w:rsidRPr="00742B85">
        <w:rPr>
          <w:rFonts w:cs="Times New Roman"/>
          <w:i/>
          <w:iCs/>
          <w:szCs w:val="20"/>
          <w:shd w:val="clear" w:color="auto" w:fill="FFFFFF"/>
        </w:rPr>
        <w:t>4</w:t>
      </w:r>
      <w:r w:rsidRPr="00742B85">
        <w:rPr>
          <w:rFonts w:cs="Times New Roman"/>
          <w:szCs w:val="20"/>
          <w:shd w:val="clear" w:color="auto" w:fill="FFFFFF"/>
        </w:rPr>
        <w:t>(1), pp.4-11.</w:t>
      </w:r>
      <w:r>
        <w:rPr>
          <w:rFonts w:cs="Times New Roman"/>
          <w:szCs w:val="20"/>
          <w:shd w:val="clear" w:color="auto" w:fill="FFFFFF"/>
        </w:rPr>
        <w:t xml:space="preserve"> </w:t>
      </w:r>
      <w:r w:rsidR="00471671">
        <w:rPr>
          <w:rFonts w:cs="Times New Roman"/>
          <w:szCs w:val="20"/>
          <w:shd w:val="clear" w:color="auto" w:fill="FFFFFF"/>
        </w:rPr>
        <w:t xml:space="preserve">Available at: </w:t>
      </w:r>
      <w:hyperlink r:id="rId25" w:history="1">
        <w:r w:rsidR="00471671" w:rsidRPr="00C819ED">
          <w:rPr>
            <w:rStyle w:val="Hyperlink"/>
            <w:rFonts w:cs="Times New Roman"/>
            <w:szCs w:val="20"/>
            <w:shd w:val="clear" w:color="auto" w:fill="FFFFFF"/>
          </w:rPr>
          <w:t>https://doi.org/10.1177/15500594211042708</w:t>
        </w:r>
      </w:hyperlink>
      <w:r>
        <w:rPr>
          <w:rFonts w:cs="Times New Roman"/>
          <w:szCs w:val="20"/>
          <w:shd w:val="clear" w:color="auto" w:fill="FFFFFF"/>
        </w:rPr>
        <w:t xml:space="preserve"> </w:t>
      </w:r>
    </w:p>
    <w:p w14:paraId="14B0E335" w14:textId="31DD39A8"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Bradshaw, A., Hughes, N., Vallez-Garcia, D., </w:t>
      </w:r>
      <w:proofErr w:type="spellStart"/>
      <w:r w:rsidRPr="00742B85">
        <w:rPr>
          <w:rFonts w:cs="Times New Roman"/>
          <w:szCs w:val="20"/>
          <w:shd w:val="clear" w:color="auto" w:fill="FFFFFF"/>
        </w:rPr>
        <w:t>Chokoshvili</w:t>
      </w:r>
      <w:proofErr w:type="spellEnd"/>
      <w:r w:rsidRPr="00742B85">
        <w:rPr>
          <w:rFonts w:cs="Times New Roman"/>
          <w:szCs w:val="20"/>
          <w:shd w:val="clear" w:color="auto" w:fill="FFFFFF"/>
        </w:rPr>
        <w:t xml:space="preserve">, D., Owens, A., Hansen, C., Emmert, K., </w:t>
      </w:r>
      <w:proofErr w:type="spellStart"/>
      <w:r w:rsidRPr="00742B85">
        <w:rPr>
          <w:rFonts w:cs="Times New Roman"/>
          <w:szCs w:val="20"/>
          <w:shd w:val="clear" w:color="auto" w:fill="FFFFFF"/>
        </w:rPr>
        <w:t>Maetzler</w:t>
      </w:r>
      <w:proofErr w:type="spellEnd"/>
      <w:r w:rsidRPr="00742B85">
        <w:rPr>
          <w:rFonts w:cs="Times New Roman"/>
          <w:szCs w:val="20"/>
          <w:shd w:val="clear" w:color="auto" w:fill="FFFFFF"/>
        </w:rPr>
        <w:t xml:space="preserve">, W., Killin, L., Barnes, R. and Brookes, A.J.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w:t>
      </w:r>
      <w:r w:rsidRPr="008A0E3C">
        <w:rPr>
          <w:rFonts w:cs="Times New Roman"/>
          <w:i/>
          <w:iCs/>
          <w:szCs w:val="20"/>
          <w:shd w:val="clear" w:color="auto" w:fill="FFFFFF"/>
        </w:rPr>
        <w:t xml:space="preserve">Data sharing in neurodegenerative disease research: challenges and learnings from the innovative </w:t>
      </w:r>
      <w:r w:rsidR="00471671" w:rsidRPr="008A0E3C">
        <w:rPr>
          <w:rFonts w:cs="Times New Roman"/>
          <w:i/>
          <w:iCs/>
          <w:szCs w:val="20"/>
          <w:shd w:val="clear" w:color="auto" w:fill="FFFFFF"/>
        </w:rPr>
        <w:t>medicine’s</w:t>
      </w:r>
      <w:r w:rsidRPr="008A0E3C">
        <w:rPr>
          <w:rFonts w:cs="Times New Roman"/>
          <w:i/>
          <w:iCs/>
          <w:szCs w:val="20"/>
          <w:shd w:val="clear" w:color="auto" w:fill="FFFFFF"/>
        </w:rPr>
        <w:t xml:space="preserve"> initiative public-private partnership model. Frontiers in </w:t>
      </w:r>
      <w:r w:rsidR="00471671" w:rsidRPr="008A0E3C">
        <w:rPr>
          <w:rFonts w:cs="Times New Roman"/>
          <w:i/>
          <w:iCs/>
          <w:szCs w:val="20"/>
          <w:shd w:val="clear" w:color="auto" w:fill="FFFFFF"/>
        </w:rPr>
        <w:t>Neurology</w:t>
      </w:r>
      <w:r w:rsidRPr="00742B85">
        <w:rPr>
          <w:rFonts w:cs="Times New Roman"/>
          <w:szCs w:val="20"/>
          <w:shd w:val="clear" w:color="auto" w:fill="FFFFFF"/>
        </w:rPr>
        <w:t>, </w:t>
      </w:r>
      <w:r w:rsidRPr="00742B85">
        <w:rPr>
          <w:rFonts w:cs="Times New Roman"/>
          <w:i/>
          <w:iCs/>
          <w:szCs w:val="20"/>
          <w:shd w:val="clear" w:color="auto" w:fill="FFFFFF"/>
        </w:rPr>
        <w:t>14</w:t>
      </w:r>
      <w:r w:rsidRPr="00742B85">
        <w:rPr>
          <w:rFonts w:cs="Times New Roman"/>
          <w:szCs w:val="20"/>
          <w:shd w:val="clear" w:color="auto" w:fill="FFFFFF"/>
        </w:rPr>
        <w:t>, p.1187095.</w:t>
      </w:r>
      <w:r>
        <w:rPr>
          <w:rFonts w:cs="Times New Roman"/>
          <w:szCs w:val="20"/>
          <w:shd w:val="clear" w:color="auto" w:fill="FFFFFF"/>
        </w:rPr>
        <w:t xml:space="preserve"> </w:t>
      </w:r>
      <w:r w:rsidR="00471671">
        <w:rPr>
          <w:rFonts w:cs="Times New Roman"/>
          <w:szCs w:val="20"/>
          <w:shd w:val="clear" w:color="auto" w:fill="FFFFFF"/>
        </w:rPr>
        <w:t xml:space="preserve">Available at: </w:t>
      </w:r>
      <w:hyperlink r:id="rId26" w:history="1">
        <w:r w:rsidR="00471671" w:rsidRPr="00C819ED">
          <w:rPr>
            <w:rStyle w:val="Hyperlink"/>
            <w:rFonts w:cs="Times New Roman"/>
            <w:szCs w:val="20"/>
            <w:shd w:val="clear" w:color="auto" w:fill="FFFFFF"/>
          </w:rPr>
          <w:t>https://doi.org/10.3389/fneur.2023.1187095</w:t>
        </w:r>
      </w:hyperlink>
      <w:r>
        <w:rPr>
          <w:rFonts w:cs="Times New Roman"/>
          <w:szCs w:val="20"/>
          <w:shd w:val="clear" w:color="auto" w:fill="FFFFFF"/>
        </w:rPr>
        <w:t xml:space="preserve"> </w:t>
      </w:r>
    </w:p>
    <w:p w14:paraId="610921F2" w14:textId="10E6A627" w:rsidR="002F432B" w:rsidRPr="00B12316" w:rsidRDefault="002F432B" w:rsidP="002F432B">
      <w:pPr>
        <w:ind w:left="720" w:hanging="720"/>
        <w:rPr>
          <w:rFonts w:cs="Times New Roman"/>
          <w:szCs w:val="20"/>
          <w:shd w:val="clear" w:color="auto" w:fill="FFFFFF"/>
        </w:rPr>
      </w:pPr>
      <w:r w:rsidRPr="00B12316">
        <w:rPr>
          <w:rFonts w:cs="Times New Roman"/>
          <w:szCs w:val="20"/>
          <w:shd w:val="clear" w:color="auto" w:fill="FFFFFF"/>
        </w:rPr>
        <w:t xml:space="preserve">Bray, K., Christensen, E., Fjordgaard, H.M., Mallet, S. and Mortensen, O.S. </w:t>
      </w:r>
      <w:r>
        <w:rPr>
          <w:rFonts w:cs="Times New Roman"/>
          <w:szCs w:val="20"/>
          <w:shd w:val="clear" w:color="auto" w:fill="FFFFFF"/>
        </w:rPr>
        <w:t>(</w:t>
      </w:r>
      <w:r w:rsidRPr="00B12316">
        <w:rPr>
          <w:rFonts w:cs="Times New Roman"/>
          <w:szCs w:val="20"/>
          <w:shd w:val="clear" w:color="auto" w:fill="FFFFFF"/>
        </w:rPr>
        <w:t>2025</w:t>
      </w:r>
      <w:r>
        <w:rPr>
          <w:rFonts w:cs="Times New Roman"/>
          <w:szCs w:val="20"/>
          <w:shd w:val="clear" w:color="auto" w:fill="FFFFFF"/>
        </w:rPr>
        <w:t>)</w:t>
      </w:r>
      <w:r w:rsidRPr="00B12316">
        <w:rPr>
          <w:rFonts w:cs="Times New Roman"/>
          <w:szCs w:val="20"/>
          <w:shd w:val="clear" w:color="auto" w:fill="FFFFFF"/>
        </w:rPr>
        <w:t xml:space="preserve"> </w:t>
      </w:r>
      <w:r w:rsidRPr="008A0E3C">
        <w:rPr>
          <w:rFonts w:cs="Times New Roman"/>
          <w:i/>
          <w:iCs/>
          <w:szCs w:val="20"/>
          <w:shd w:val="clear" w:color="auto" w:fill="FFFFFF"/>
        </w:rPr>
        <w:t>An evaluation of initiatives to enhance hospital rotations during GP speciality training in Denmark. Education for Primary Care, </w:t>
      </w:r>
      <w:r w:rsidRPr="00B12316">
        <w:rPr>
          <w:rFonts w:cs="Times New Roman"/>
          <w:i/>
          <w:iCs/>
          <w:szCs w:val="20"/>
          <w:shd w:val="clear" w:color="auto" w:fill="FFFFFF"/>
        </w:rPr>
        <w:t>36</w:t>
      </w:r>
      <w:r w:rsidRPr="00B12316">
        <w:rPr>
          <w:rFonts w:cs="Times New Roman"/>
          <w:szCs w:val="20"/>
          <w:shd w:val="clear" w:color="auto" w:fill="FFFFFF"/>
        </w:rPr>
        <w:t>(5), pp.238-244.</w:t>
      </w:r>
      <w:r>
        <w:rPr>
          <w:rFonts w:cs="Times New Roman"/>
          <w:szCs w:val="20"/>
          <w:shd w:val="clear" w:color="auto" w:fill="FFFFFF"/>
        </w:rPr>
        <w:t xml:space="preserve"> </w:t>
      </w:r>
      <w:r w:rsidR="00BC792C">
        <w:rPr>
          <w:rFonts w:cs="Times New Roman"/>
          <w:szCs w:val="20"/>
          <w:shd w:val="clear" w:color="auto" w:fill="FFFFFF"/>
        </w:rPr>
        <w:t xml:space="preserve">Available at: </w:t>
      </w:r>
      <w:hyperlink r:id="rId27" w:history="1">
        <w:r w:rsidR="00663CCC" w:rsidRPr="00C819ED">
          <w:rPr>
            <w:rStyle w:val="Hyperlink"/>
            <w:rFonts w:cs="Times New Roman"/>
            <w:szCs w:val="20"/>
            <w:shd w:val="clear" w:color="auto" w:fill="FFFFFF"/>
          </w:rPr>
          <w:t>https://doi.org/10.1080/14739879.2025.2524813</w:t>
        </w:r>
      </w:hyperlink>
      <w:r>
        <w:rPr>
          <w:rFonts w:cs="Times New Roman"/>
          <w:szCs w:val="20"/>
          <w:shd w:val="clear" w:color="auto" w:fill="FFFFFF"/>
        </w:rPr>
        <w:t xml:space="preserve"> </w:t>
      </w:r>
    </w:p>
    <w:p w14:paraId="36683BDF" w14:textId="56D76D43" w:rsidR="002F432B" w:rsidRDefault="002F432B" w:rsidP="00173748">
      <w:pPr>
        <w:ind w:left="720" w:hanging="720"/>
        <w:jc w:val="left"/>
        <w:rPr>
          <w:lang w:val="en-US"/>
        </w:rPr>
      </w:pPr>
      <w:r w:rsidRPr="0009624F">
        <w:rPr>
          <w:lang w:val="en-US"/>
        </w:rPr>
        <w:t xml:space="preserve">Cambridge University Press. (2019, May 7) </w:t>
      </w:r>
      <w:r w:rsidRPr="008A0E3C">
        <w:rPr>
          <w:i/>
          <w:iCs/>
          <w:lang w:val="en-US"/>
        </w:rPr>
        <w:t>Cognitive Reserve Capacity: Exploring and validating a theoretical model in healthy ageing: Journal of the International Neuropsychological Society.</w:t>
      </w:r>
      <w:r w:rsidRPr="006F39E9">
        <w:rPr>
          <w:i/>
          <w:iCs/>
          <w:lang w:val="en-US"/>
        </w:rPr>
        <w:t xml:space="preserve"> Cambridge Core.</w:t>
      </w:r>
      <w:r w:rsidRPr="0009624F">
        <w:rPr>
          <w:lang w:val="en-US"/>
        </w:rPr>
        <w:t xml:space="preserve"> </w:t>
      </w:r>
      <w:r w:rsidR="00663CCC">
        <w:rPr>
          <w:lang w:val="en-US"/>
        </w:rPr>
        <w:t xml:space="preserve">Available at: </w:t>
      </w:r>
      <w:hyperlink r:id="rId28" w:history="1">
        <w:r w:rsidR="00663CCC" w:rsidRPr="00C819ED">
          <w:rPr>
            <w:rStyle w:val="Hyperlink"/>
            <w:lang w:val="en-US"/>
          </w:rPr>
          <w:t>https://www.cambridge.org/core/journals/journal-of-the-international-neuropsychological-society/article/cognitive-reserve-capacity-exploring-and-validating-a-theoretical-model-in-healthy-ageing/6ECC10808798266F075F0E9E7CADF228</w:t>
        </w:r>
      </w:hyperlink>
      <w:r>
        <w:rPr>
          <w:lang w:val="en-US"/>
        </w:rPr>
        <w:t xml:space="preserve"> </w:t>
      </w:r>
      <w:r w:rsidR="00663CCC">
        <w:t>(</w:t>
      </w:r>
      <w:r w:rsidRPr="004C6712">
        <w:t>Accessed 27 Mar. 2026</w:t>
      </w:r>
      <w:r w:rsidR="00663CCC">
        <w:t>)</w:t>
      </w:r>
      <w:r w:rsidRPr="004C6712">
        <w:t>.</w:t>
      </w:r>
    </w:p>
    <w:p w14:paraId="57CDB69F" w14:textId="46C4FEEE"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Carton, C., Calafiore, M., </w:t>
      </w:r>
      <w:proofErr w:type="spellStart"/>
      <w:r w:rsidRPr="00742B85">
        <w:rPr>
          <w:rFonts w:cs="Times New Roman"/>
          <w:szCs w:val="20"/>
          <w:shd w:val="clear" w:color="auto" w:fill="FFFFFF"/>
        </w:rPr>
        <w:t>Cauet</w:t>
      </w:r>
      <w:proofErr w:type="spellEnd"/>
      <w:r w:rsidRPr="00742B85">
        <w:rPr>
          <w:rFonts w:cs="Times New Roman"/>
          <w:szCs w:val="20"/>
          <w:shd w:val="clear" w:color="auto" w:fill="FFFFFF"/>
        </w:rPr>
        <w:t xml:space="preserve">, C., </w:t>
      </w:r>
      <w:proofErr w:type="spellStart"/>
      <w:r w:rsidRPr="00742B85">
        <w:rPr>
          <w:rFonts w:cs="Times New Roman"/>
          <w:szCs w:val="20"/>
          <w:shd w:val="clear" w:color="auto" w:fill="FFFFFF"/>
        </w:rPr>
        <w:t>Messaadi</w:t>
      </w:r>
      <w:proofErr w:type="spellEnd"/>
      <w:r w:rsidRPr="00742B85">
        <w:rPr>
          <w:rFonts w:cs="Times New Roman"/>
          <w:szCs w:val="20"/>
          <w:shd w:val="clear" w:color="auto" w:fill="FFFFFF"/>
        </w:rPr>
        <w:t xml:space="preserve">, N., Bayen, M., </w:t>
      </w:r>
      <w:proofErr w:type="spellStart"/>
      <w:r w:rsidRPr="00742B85">
        <w:rPr>
          <w:rFonts w:cs="Times New Roman"/>
          <w:szCs w:val="20"/>
          <w:shd w:val="clear" w:color="auto" w:fill="FFFFFF"/>
        </w:rPr>
        <w:t>Wyts</w:t>
      </w:r>
      <w:proofErr w:type="spellEnd"/>
      <w:r w:rsidRPr="00742B85">
        <w:rPr>
          <w:rFonts w:cs="Times New Roman"/>
          <w:szCs w:val="20"/>
          <w:shd w:val="clear" w:color="auto" w:fill="FFFFFF"/>
        </w:rPr>
        <w:t xml:space="preserve">, D., </w:t>
      </w:r>
      <w:proofErr w:type="spellStart"/>
      <w:r w:rsidRPr="00742B85">
        <w:rPr>
          <w:rFonts w:cs="Times New Roman"/>
          <w:szCs w:val="20"/>
          <w:shd w:val="clear" w:color="auto" w:fill="FFFFFF"/>
        </w:rPr>
        <w:t>Messaadi</w:t>
      </w:r>
      <w:proofErr w:type="spellEnd"/>
      <w:r w:rsidRPr="00742B85">
        <w:rPr>
          <w:rFonts w:cs="Times New Roman"/>
          <w:szCs w:val="20"/>
          <w:shd w:val="clear" w:color="auto" w:fill="FFFFFF"/>
        </w:rPr>
        <w:t xml:space="preserve">, W., </w:t>
      </w:r>
      <w:proofErr w:type="spellStart"/>
      <w:r w:rsidRPr="00742B85">
        <w:rPr>
          <w:rFonts w:cs="Times New Roman"/>
          <w:szCs w:val="20"/>
          <w:shd w:val="clear" w:color="auto" w:fill="FFFFFF"/>
        </w:rPr>
        <w:t>Richebe</w:t>
      </w:r>
      <w:proofErr w:type="spellEnd"/>
      <w:r w:rsidRPr="00742B85">
        <w:rPr>
          <w:rFonts w:cs="Times New Roman"/>
          <w:szCs w:val="20"/>
          <w:shd w:val="clear" w:color="auto" w:fill="FFFFFF"/>
        </w:rPr>
        <w:t xml:space="preserve">, T. and Bayen, S. </w:t>
      </w:r>
      <w:r>
        <w:rPr>
          <w:rFonts w:cs="Times New Roman"/>
          <w:szCs w:val="20"/>
          <w:shd w:val="clear" w:color="auto" w:fill="FFFFFF"/>
        </w:rPr>
        <w:t>(</w:t>
      </w:r>
      <w:r w:rsidRPr="00742B85">
        <w:rPr>
          <w:rFonts w:cs="Times New Roman"/>
          <w:szCs w:val="20"/>
          <w:shd w:val="clear" w:color="auto" w:fill="FFFFFF"/>
        </w:rPr>
        <w:t>2025</w:t>
      </w:r>
      <w:r>
        <w:rPr>
          <w:rFonts w:cs="Times New Roman"/>
          <w:szCs w:val="20"/>
          <w:shd w:val="clear" w:color="auto" w:fill="FFFFFF"/>
        </w:rPr>
        <w:t>)</w:t>
      </w:r>
      <w:r w:rsidRPr="00742B85">
        <w:rPr>
          <w:rFonts w:cs="Times New Roman"/>
          <w:szCs w:val="20"/>
          <w:shd w:val="clear" w:color="auto" w:fill="FFFFFF"/>
        </w:rPr>
        <w:t xml:space="preserve"> </w:t>
      </w:r>
      <w:r w:rsidRPr="008B51F0">
        <w:rPr>
          <w:rFonts w:cs="Times New Roman"/>
          <w:i/>
          <w:iCs/>
          <w:szCs w:val="20"/>
          <w:shd w:val="clear" w:color="auto" w:fill="FFFFFF"/>
        </w:rPr>
        <w:t>Montreal Cognitive Assessment (MoCA) use in general practice for the early detection of cognitive impairment: a feasibility study</w:t>
      </w:r>
      <w:r w:rsidRPr="00173748">
        <w:rPr>
          <w:rFonts w:cs="Times New Roman"/>
          <w:i/>
          <w:iCs/>
          <w:szCs w:val="20"/>
          <w:shd w:val="clear" w:color="auto" w:fill="FFFFFF"/>
        </w:rPr>
        <w:t>. </w:t>
      </w:r>
      <w:r w:rsidRPr="00742B85">
        <w:rPr>
          <w:rFonts w:cs="Times New Roman"/>
          <w:i/>
          <w:iCs/>
          <w:szCs w:val="20"/>
          <w:shd w:val="clear" w:color="auto" w:fill="FFFFFF"/>
        </w:rPr>
        <w:t xml:space="preserve">BJGP </w:t>
      </w:r>
      <w:r w:rsidR="00173748">
        <w:rPr>
          <w:rFonts w:cs="Times New Roman"/>
          <w:i/>
          <w:iCs/>
          <w:szCs w:val="20"/>
          <w:shd w:val="clear" w:color="auto" w:fill="FFFFFF"/>
        </w:rPr>
        <w:t>Open</w:t>
      </w:r>
      <w:r w:rsidRPr="00742B85">
        <w:rPr>
          <w:rFonts w:cs="Times New Roman"/>
          <w:szCs w:val="20"/>
          <w:shd w:val="clear" w:color="auto" w:fill="FFFFFF"/>
        </w:rPr>
        <w:t>, </w:t>
      </w:r>
      <w:r w:rsidRPr="00742B85">
        <w:rPr>
          <w:rFonts w:cs="Times New Roman"/>
          <w:i/>
          <w:iCs/>
          <w:szCs w:val="20"/>
          <w:shd w:val="clear" w:color="auto" w:fill="FFFFFF"/>
        </w:rPr>
        <w:t>9</w:t>
      </w:r>
      <w:r w:rsidRPr="00742B85">
        <w:rPr>
          <w:rFonts w:cs="Times New Roman"/>
          <w:szCs w:val="20"/>
          <w:shd w:val="clear" w:color="auto" w:fill="FFFFFF"/>
        </w:rPr>
        <w:t>(1).</w:t>
      </w:r>
      <w:r>
        <w:rPr>
          <w:rFonts w:cs="Times New Roman"/>
          <w:szCs w:val="20"/>
          <w:shd w:val="clear" w:color="auto" w:fill="FFFFFF"/>
        </w:rPr>
        <w:t xml:space="preserve"> </w:t>
      </w:r>
      <w:r w:rsidR="00173748">
        <w:rPr>
          <w:rFonts w:cs="Times New Roman"/>
          <w:szCs w:val="20"/>
          <w:shd w:val="clear" w:color="auto" w:fill="FFFFFF"/>
        </w:rPr>
        <w:t xml:space="preserve">Available at: </w:t>
      </w:r>
      <w:hyperlink r:id="rId29" w:history="1">
        <w:r w:rsidR="008A0E3C" w:rsidRPr="00C819ED">
          <w:rPr>
            <w:rStyle w:val="Hyperlink"/>
            <w:rFonts w:cs="Times New Roman"/>
            <w:szCs w:val="20"/>
            <w:shd w:val="clear" w:color="auto" w:fill="FFFFFF"/>
          </w:rPr>
          <w:t>https://doi.org/10.3399/BJGPO.2024.0039</w:t>
        </w:r>
      </w:hyperlink>
      <w:r>
        <w:rPr>
          <w:rFonts w:cs="Times New Roman"/>
          <w:szCs w:val="20"/>
          <w:shd w:val="clear" w:color="auto" w:fill="FFFFFF"/>
        </w:rPr>
        <w:t xml:space="preserve"> </w:t>
      </w:r>
    </w:p>
    <w:p w14:paraId="09E3DF16" w14:textId="6DA76341"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Chadborn, N.H., </w:t>
      </w:r>
      <w:proofErr w:type="spellStart"/>
      <w:r w:rsidRPr="00742B85">
        <w:rPr>
          <w:rFonts w:cs="Times New Roman"/>
          <w:szCs w:val="20"/>
          <w:shd w:val="clear" w:color="auto" w:fill="FFFFFF"/>
        </w:rPr>
        <w:t>Thijssen</w:t>
      </w:r>
      <w:proofErr w:type="spellEnd"/>
      <w:r w:rsidRPr="00742B85">
        <w:rPr>
          <w:rFonts w:cs="Times New Roman"/>
          <w:szCs w:val="20"/>
          <w:shd w:val="clear" w:color="auto" w:fill="FFFFFF"/>
        </w:rPr>
        <w:t xml:space="preserve">, M., Logan, P., Radford, K. and Graff, M. </w:t>
      </w:r>
      <w:r>
        <w:rPr>
          <w:rFonts w:cs="Times New Roman"/>
          <w:szCs w:val="20"/>
          <w:shd w:val="clear" w:color="auto" w:fill="FFFFFF"/>
        </w:rPr>
        <w:t>(</w:t>
      </w:r>
      <w:r w:rsidRPr="00742B85">
        <w:rPr>
          <w:rFonts w:cs="Times New Roman"/>
          <w:szCs w:val="20"/>
          <w:shd w:val="clear" w:color="auto" w:fill="FFFFFF"/>
        </w:rPr>
        <w:t>2024</w:t>
      </w:r>
      <w:r>
        <w:rPr>
          <w:rFonts w:cs="Times New Roman"/>
          <w:szCs w:val="20"/>
          <w:shd w:val="clear" w:color="auto" w:fill="FFFFFF"/>
        </w:rPr>
        <w:t>)</w:t>
      </w:r>
      <w:r w:rsidRPr="00742B85">
        <w:rPr>
          <w:rFonts w:cs="Times New Roman"/>
          <w:szCs w:val="20"/>
          <w:shd w:val="clear" w:color="auto" w:fill="FFFFFF"/>
        </w:rPr>
        <w:t xml:space="preserve"> </w:t>
      </w:r>
      <w:r w:rsidRPr="008B51F0">
        <w:rPr>
          <w:rFonts w:cs="Times New Roman"/>
          <w:i/>
          <w:iCs/>
          <w:szCs w:val="20"/>
          <w:shd w:val="clear" w:color="auto" w:fill="FFFFFF"/>
        </w:rPr>
        <w:t>Realist Evaluation Comparison of Dementia</w:t>
      </w:r>
      <w:r w:rsidRPr="008B51F0">
        <w:rPr>
          <w:rFonts w:ascii="Cambria Math" w:hAnsi="Cambria Math" w:cs="Cambria Math"/>
          <w:i/>
          <w:iCs/>
          <w:szCs w:val="20"/>
          <w:shd w:val="clear" w:color="auto" w:fill="FFFFFF"/>
        </w:rPr>
        <w:t>‐</w:t>
      </w:r>
      <w:r w:rsidRPr="008B51F0">
        <w:rPr>
          <w:rFonts w:cs="Times New Roman"/>
          <w:i/>
          <w:iCs/>
          <w:szCs w:val="20"/>
          <w:shd w:val="clear" w:color="auto" w:fill="FFFFFF"/>
        </w:rPr>
        <w:t>Friendly Communities in England and the Netherlands.</w:t>
      </w:r>
      <w:r w:rsidRPr="008B51F0">
        <w:rPr>
          <w:rFonts w:cs="Aptos"/>
          <w:i/>
          <w:iCs/>
          <w:szCs w:val="20"/>
          <w:shd w:val="clear" w:color="auto" w:fill="FFFFFF"/>
        </w:rPr>
        <w:t> </w:t>
      </w:r>
      <w:r w:rsidRPr="008B51F0">
        <w:rPr>
          <w:rFonts w:cs="Times New Roman"/>
          <w:i/>
          <w:iCs/>
          <w:szCs w:val="20"/>
          <w:shd w:val="clear" w:color="auto" w:fill="FFFFFF"/>
        </w:rPr>
        <w:t>Health &amp; Social Care in the Community</w:t>
      </w:r>
      <w:r w:rsidRPr="00742B85">
        <w:rPr>
          <w:rFonts w:cs="Times New Roman"/>
          <w:szCs w:val="20"/>
          <w:shd w:val="clear" w:color="auto" w:fill="FFFFFF"/>
        </w:rPr>
        <w:t>, </w:t>
      </w:r>
      <w:r w:rsidRPr="00742B85">
        <w:rPr>
          <w:rFonts w:cs="Times New Roman"/>
          <w:i/>
          <w:iCs/>
          <w:szCs w:val="20"/>
          <w:shd w:val="clear" w:color="auto" w:fill="FFFFFF"/>
        </w:rPr>
        <w:t>2024</w:t>
      </w:r>
      <w:r w:rsidRPr="00742B85">
        <w:rPr>
          <w:rFonts w:cs="Times New Roman"/>
          <w:szCs w:val="20"/>
          <w:shd w:val="clear" w:color="auto" w:fill="FFFFFF"/>
        </w:rPr>
        <w:t>(1), p.5576029.</w:t>
      </w:r>
      <w:r w:rsidRPr="00A57AD6">
        <w:rPr>
          <w:rFonts w:cs="Times New Roman"/>
          <w:szCs w:val="20"/>
          <w:shd w:val="clear" w:color="auto" w:fill="FFFFFF"/>
        </w:rPr>
        <w:t xml:space="preserve"> </w:t>
      </w:r>
      <w:r>
        <w:rPr>
          <w:rFonts w:cs="Times New Roman"/>
          <w:szCs w:val="20"/>
          <w:shd w:val="clear" w:color="auto" w:fill="FFFFFF"/>
        </w:rPr>
        <w:t xml:space="preserve"> </w:t>
      </w:r>
      <w:r w:rsidR="008B51F0">
        <w:rPr>
          <w:rFonts w:cs="Times New Roman"/>
          <w:szCs w:val="20"/>
          <w:shd w:val="clear" w:color="auto" w:fill="FFFFFF"/>
        </w:rPr>
        <w:t xml:space="preserve">Available at: </w:t>
      </w:r>
      <w:hyperlink r:id="rId30" w:history="1">
        <w:r w:rsidR="008B51F0" w:rsidRPr="00C819ED">
          <w:rPr>
            <w:rStyle w:val="Hyperlink"/>
            <w:rFonts w:cs="Times New Roman"/>
            <w:szCs w:val="20"/>
            <w:shd w:val="clear" w:color="auto" w:fill="FFFFFF"/>
          </w:rPr>
          <w:t>https://doi.org/10.1155/2024/5576029</w:t>
        </w:r>
      </w:hyperlink>
      <w:r>
        <w:rPr>
          <w:rFonts w:cs="Times New Roman"/>
          <w:szCs w:val="20"/>
          <w:shd w:val="clear" w:color="auto" w:fill="FFFFFF"/>
        </w:rPr>
        <w:t xml:space="preserve"> </w:t>
      </w:r>
    </w:p>
    <w:p w14:paraId="05F202FF" w14:textId="6B5C57A7" w:rsidR="002F432B" w:rsidRDefault="002F432B" w:rsidP="002F432B">
      <w:pPr>
        <w:ind w:left="720" w:hanging="720"/>
      </w:pPr>
      <w:r w:rsidRPr="008B51F0">
        <w:rPr>
          <w:rFonts w:cs="Times New Roman"/>
          <w:szCs w:val="20"/>
          <w:shd w:val="clear" w:color="auto" w:fill="FFFFFF"/>
        </w:rPr>
        <w:t>Chia, K., Klingseisen, A., Sieger, D. and Priller, J. (2022</w:t>
      </w:r>
      <w:r w:rsidR="008B51F0">
        <w:rPr>
          <w:rFonts w:cs="Times New Roman"/>
          <w:szCs w:val="20"/>
          <w:shd w:val="clear" w:color="auto" w:fill="FFFFFF"/>
        </w:rPr>
        <w:t xml:space="preserve">) </w:t>
      </w:r>
      <w:r w:rsidRPr="007B52AC">
        <w:rPr>
          <w:rFonts w:cs="Times New Roman"/>
          <w:i/>
          <w:iCs/>
          <w:szCs w:val="20"/>
          <w:shd w:val="clear" w:color="auto" w:fill="FFFFFF"/>
        </w:rPr>
        <w:t xml:space="preserve">Zebrafish as a model organism for neurodegenerative disease. Frontiers in </w:t>
      </w:r>
      <w:r w:rsidR="007B52AC">
        <w:rPr>
          <w:rFonts w:cs="Times New Roman"/>
          <w:i/>
          <w:iCs/>
          <w:szCs w:val="20"/>
          <w:shd w:val="clear" w:color="auto" w:fill="FFFFFF"/>
        </w:rPr>
        <w:t>Molecular Neuroscience</w:t>
      </w:r>
      <w:r w:rsidRPr="00742B85">
        <w:rPr>
          <w:rFonts w:cs="Times New Roman"/>
          <w:szCs w:val="20"/>
          <w:shd w:val="clear" w:color="auto" w:fill="FFFFFF"/>
        </w:rPr>
        <w:t>, </w:t>
      </w:r>
      <w:r w:rsidRPr="00742B85">
        <w:rPr>
          <w:rFonts w:cs="Times New Roman"/>
          <w:i/>
          <w:iCs/>
          <w:szCs w:val="20"/>
          <w:shd w:val="clear" w:color="auto" w:fill="FFFFFF"/>
        </w:rPr>
        <w:t>15</w:t>
      </w:r>
      <w:r w:rsidRPr="00742B85">
        <w:rPr>
          <w:rFonts w:cs="Times New Roman"/>
          <w:szCs w:val="20"/>
          <w:shd w:val="clear" w:color="auto" w:fill="FFFFFF"/>
        </w:rPr>
        <w:t>, p.940484.</w:t>
      </w:r>
      <w:r>
        <w:rPr>
          <w:rFonts w:cs="Times New Roman"/>
          <w:szCs w:val="20"/>
          <w:shd w:val="clear" w:color="auto" w:fill="FFFFFF"/>
        </w:rPr>
        <w:t xml:space="preserve"> </w:t>
      </w:r>
      <w:r w:rsidR="00FD650F">
        <w:rPr>
          <w:rFonts w:cs="Times New Roman"/>
          <w:szCs w:val="20"/>
          <w:shd w:val="clear" w:color="auto" w:fill="FFFFFF"/>
        </w:rPr>
        <w:t>Available at</w:t>
      </w:r>
      <w:r w:rsidR="00FD650F" w:rsidRPr="00C9795B">
        <w:rPr>
          <w:rFonts w:cs="Times New Roman"/>
          <w:color w:val="0070C0"/>
          <w:szCs w:val="20"/>
          <w:shd w:val="clear" w:color="auto" w:fill="FFFFFF"/>
        </w:rPr>
        <w:t>:</w:t>
      </w:r>
      <w:r w:rsidR="00FD650F" w:rsidRPr="005F2F6F">
        <w:rPr>
          <w:rFonts w:cs="Times New Roman"/>
          <w:color w:val="0070C0"/>
          <w:szCs w:val="20"/>
          <w:u w:val="single"/>
          <w:shd w:val="clear" w:color="auto" w:fill="FFFFFF"/>
        </w:rPr>
        <w:t xml:space="preserve"> </w:t>
      </w:r>
      <w:r w:rsidR="00D22C0F" w:rsidRPr="005F2F6F">
        <w:rPr>
          <w:rFonts w:cs="Times New Roman"/>
          <w:b/>
          <w:bCs/>
          <w:color w:val="0070C0"/>
          <w:szCs w:val="20"/>
          <w:u w:val="single"/>
          <w:shd w:val="clear" w:color="auto" w:fill="FFFFFF"/>
        </w:rPr>
        <w:t>https://doi.org/</w:t>
      </w:r>
      <w:hyperlink r:id="rId31" w:history="1">
        <w:r w:rsidR="00D22C0F" w:rsidRPr="005F2F6F">
          <w:rPr>
            <w:rStyle w:val="Hyperlink"/>
            <w:rFonts w:cs="Times New Roman"/>
            <w:b/>
            <w:bCs/>
            <w:color w:val="0070C0"/>
            <w:szCs w:val="20"/>
            <w:shd w:val="clear" w:color="auto" w:fill="FFFFFF"/>
          </w:rPr>
          <w:t>10.3389/fnmol.2022.940484</w:t>
        </w:r>
      </w:hyperlink>
      <w:r w:rsidR="00D22C0F" w:rsidRPr="005F2F6F">
        <w:rPr>
          <w:color w:val="0070C0"/>
        </w:rPr>
        <w:t xml:space="preserve"> </w:t>
      </w:r>
    </w:p>
    <w:p w14:paraId="6AB33434" w14:textId="77777777" w:rsidR="000756CA" w:rsidRPr="00742B85" w:rsidRDefault="000756CA" w:rsidP="002F432B">
      <w:pPr>
        <w:ind w:left="720" w:hanging="720"/>
        <w:rPr>
          <w:rFonts w:cs="Times New Roman"/>
          <w:szCs w:val="20"/>
          <w:shd w:val="clear" w:color="auto" w:fill="FFFFFF"/>
        </w:rPr>
      </w:pPr>
    </w:p>
    <w:p w14:paraId="3069A65D" w14:textId="6893F8E4" w:rsidR="002F432B" w:rsidRDefault="002F432B" w:rsidP="002F432B">
      <w:pPr>
        <w:ind w:left="720" w:hanging="720"/>
      </w:pPr>
      <w:proofErr w:type="spellStart"/>
      <w:r w:rsidRPr="009E6D11">
        <w:lastRenderedPageBreak/>
        <w:t>Chingono</w:t>
      </w:r>
      <w:proofErr w:type="spellEnd"/>
      <w:r w:rsidRPr="009E6D11">
        <w:t xml:space="preserve">, J., </w:t>
      </w:r>
      <w:proofErr w:type="spellStart"/>
      <w:r w:rsidRPr="009E6D11">
        <w:t>Creavin</w:t>
      </w:r>
      <w:proofErr w:type="spellEnd"/>
      <w:r w:rsidRPr="009E6D11">
        <w:t xml:space="preserve">, S.T., Fish, M., Cullum, S., Bayer, A., Purdy, S. and Ben-Shlomo, Y., </w:t>
      </w:r>
      <w:r>
        <w:t>(</w:t>
      </w:r>
      <w:r w:rsidRPr="009E6D11">
        <w:t>2025</w:t>
      </w:r>
      <w:r>
        <w:t>)</w:t>
      </w:r>
      <w:r w:rsidR="00C14708">
        <w:t xml:space="preserve"> </w:t>
      </w:r>
      <w:r w:rsidRPr="009959B9">
        <w:rPr>
          <w:i/>
          <w:iCs/>
        </w:rPr>
        <w:t xml:space="preserve">Informant accuracy of IQCODE, AD8 and </w:t>
      </w:r>
      <w:proofErr w:type="spellStart"/>
      <w:r w:rsidRPr="009959B9">
        <w:rPr>
          <w:i/>
          <w:iCs/>
        </w:rPr>
        <w:t>GPCOGi</w:t>
      </w:r>
      <w:proofErr w:type="spellEnd"/>
      <w:r w:rsidRPr="009959B9">
        <w:rPr>
          <w:i/>
          <w:iCs/>
        </w:rPr>
        <w:t xml:space="preserve"> for diagnosis of dementia: does your friend know </w:t>
      </w:r>
      <w:proofErr w:type="gramStart"/>
      <w:r w:rsidRPr="009959B9">
        <w:rPr>
          <w:i/>
          <w:iCs/>
        </w:rPr>
        <w:t>best?.</w:t>
      </w:r>
      <w:proofErr w:type="gramEnd"/>
      <w:r w:rsidRPr="009E6D11">
        <w:t> </w:t>
      </w:r>
      <w:r w:rsidRPr="009E6D11">
        <w:rPr>
          <w:i/>
          <w:iCs/>
        </w:rPr>
        <w:t>BMC Primary Care</w:t>
      </w:r>
      <w:r w:rsidRPr="009E6D11">
        <w:t>, </w:t>
      </w:r>
      <w:r w:rsidRPr="009E6D11">
        <w:rPr>
          <w:i/>
          <w:iCs/>
        </w:rPr>
        <w:t>26</w:t>
      </w:r>
      <w:r w:rsidRPr="009E6D11">
        <w:t>(1), p.112.</w:t>
      </w:r>
      <w:r>
        <w:t xml:space="preserve"> </w:t>
      </w:r>
      <w:r w:rsidR="009959B9">
        <w:t xml:space="preserve">Available at: </w:t>
      </w:r>
      <w:hyperlink r:id="rId32" w:history="1">
        <w:r w:rsidR="009959B9" w:rsidRPr="006562C8">
          <w:rPr>
            <w:rStyle w:val="Hyperlink"/>
          </w:rPr>
          <w:t>https://doi.org/10.1186/s12875-025-02745-w</w:t>
        </w:r>
      </w:hyperlink>
    </w:p>
    <w:p w14:paraId="601FFA53" w14:textId="3572D2E6" w:rsidR="002F432B" w:rsidRPr="00742B85" w:rsidRDefault="002F432B" w:rsidP="002F432B">
      <w:pPr>
        <w:ind w:left="720" w:hanging="720"/>
        <w:rPr>
          <w:rFonts w:cs="Times New Roman"/>
          <w:szCs w:val="20"/>
          <w:shd w:val="clear" w:color="auto" w:fill="FFFFFF"/>
        </w:rPr>
      </w:pPr>
      <w:bookmarkStart w:id="67" w:name="_Hlk231935031"/>
      <w:proofErr w:type="spellStart"/>
      <w:r w:rsidRPr="00742B85">
        <w:rPr>
          <w:rFonts w:cs="Times New Roman"/>
          <w:szCs w:val="20"/>
          <w:shd w:val="clear" w:color="auto" w:fill="FFFFFF"/>
        </w:rPr>
        <w:t>Chithiramohan</w:t>
      </w:r>
      <w:proofErr w:type="spellEnd"/>
      <w:r w:rsidRPr="00742B85">
        <w:rPr>
          <w:rFonts w:cs="Times New Roman"/>
          <w:szCs w:val="20"/>
          <w:shd w:val="clear" w:color="auto" w:fill="FFFFFF"/>
        </w:rPr>
        <w:t xml:space="preserve">, T., Santhosh, S., Threlfall, G., Hull, L., </w:t>
      </w:r>
      <w:proofErr w:type="spellStart"/>
      <w:r w:rsidRPr="00742B85">
        <w:rPr>
          <w:rFonts w:cs="Times New Roman"/>
          <w:szCs w:val="20"/>
          <w:shd w:val="clear" w:color="auto" w:fill="FFFFFF"/>
        </w:rPr>
        <w:t>Mukaetova-Ladinska</w:t>
      </w:r>
      <w:proofErr w:type="spellEnd"/>
      <w:r w:rsidRPr="00742B85">
        <w:rPr>
          <w:rFonts w:cs="Times New Roman"/>
          <w:szCs w:val="20"/>
          <w:shd w:val="clear" w:color="auto" w:fill="FFFFFF"/>
        </w:rPr>
        <w:t xml:space="preserve">, E.B., Subramaniam, H. and </w:t>
      </w:r>
      <w:proofErr w:type="spellStart"/>
      <w:r w:rsidRPr="00742B85">
        <w:rPr>
          <w:rFonts w:cs="Times New Roman"/>
          <w:szCs w:val="20"/>
          <w:shd w:val="clear" w:color="auto" w:fill="FFFFFF"/>
        </w:rPr>
        <w:t>Beishon</w:t>
      </w:r>
      <w:proofErr w:type="spellEnd"/>
      <w:r w:rsidRPr="00742B85">
        <w:rPr>
          <w:rFonts w:cs="Times New Roman"/>
          <w:szCs w:val="20"/>
          <w:shd w:val="clear" w:color="auto" w:fill="FFFFFF"/>
        </w:rPr>
        <w:t>, L</w:t>
      </w:r>
      <w:r>
        <w:rPr>
          <w:rFonts w:cs="Times New Roman"/>
          <w:szCs w:val="20"/>
          <w:shd w:val="clear" w:color="auto" w:fill="FFFFFF"/>
        </w:rPr>
        <w:t>.</w:t>
      </w:r>
      <w:r w:rsidRPr="00742B85">
        <w:rPr>
          <w:rFonts w:cs="Times New Roman"/>
          <w:szCs w:val="20"/>
          <w:shd w:val="clear" w:color="auto" w:fill="FFFFFF"/>
        </w:rPr>
        <w:t xml:space="preserve"> </w:t>
      </w:r>
      <w:r>
        <w:rPr>
          <w:rFonts w:cs="Times New Roman"/>
          <w:szCs w:val="20"/>
          <w:shd w:val="clear" w:color="auto" w:fill="FFFFFF"/>
        </w:rPr>
        <w:t>(</w:t>
      </w:r>
      <w:r w:rsidRPr="00742B85">
        <w:rPr>
          <w:rFonts w:cs="Times New Roman"/>
          <w:szCs w:val="20"/>
          <w:shd w:val="clear" w:color="auto" w:fill="FFFFFF"/>
        </w:rPr>
        <w:t>2024</w:t>
      </w:r>
      <w:r>
        <w:rPr>
          <w:rFonts w:cs="Times New Roman"/>
          <w:szCs w:val="20"/>
          <w:shd w:val="clear" w:color="auto" w:fill="FFFFFF"/>
        </w:rPr>
        <w:t>)</w:t>
      </w:r>
      <w:r w:rsidRPr="00742B85">
        <w:rPr>
          <w:rFonts w:cs="Times New Roman"/>
          <w:szCs w:val="20"/>
          <w:shd w:val="clear" w:color="auto" w:fill="FFFFFF"/>
        </w:rPr>
        <w:t xml:space="preserve"> Culture-fair cognitive screening tools for assessment of cognitive impairment: a systematic review. </w:t>
      </w:r>
      <w:r w:rsidRPr="00742B85">
        <w:rPr>
          <w:rFonts w:cs="Times New Roman"/>
          <w:i/>
          <w:iCs/>
          <w:szCs w:val="20"/>
          <w:shd w:val="clear" w:color="auto" w:fill="FFFFFF"/>
        </w:rPr>
        <w:t>Journal of Alzheimer's disease reports</w:t>
      </w:r>
      <w:r w:rsidRPr="00742B85">
        <w:rPr>
          <w:rFonts w:cs="Times New Roman"/>
          <w:szCs w:val="20"/>
          <w:shd w:val="clear" w:color="auto" w:fill="FFFFFF"/>
        </w:rPr>
        <w:t>, </w:t>
      </w:r>
      <w:r w:rsidRPr="00742B85">
        <w:rPr>
          <w:rFonts w:cs="Times New Roman"/>
          <w:i/>
          <w:iCs/>
          <w:szCs w:val="20"/>
          <w:shd w:val="clear" w:color="auto" w:fill="FFFFFF"/>
        </w:rPr>
        <w:t>8</w:t>
      </w:r>
      <w:r w:rsidRPr="00742B85">
        <w:rPr>
          <w:rFonts w:cs="Times New Roman"/>
          <w:szCs w:val="20"/>
          <w:shd w:val="clear" w:color="auto" w:fill="FFFFFF"/>
        </w:rPr>
        <w:t>(1), pp.289-306.</w:t>
      </w:r>
      <w:r>
        <w:rPr>
          <w:rFonts w:cs="Times New Roman"/>
          <w:szCs w:val="20"/>
          <w:shd w:val="clear" w:color="auto" w:fill="FFFFFF"/>
        </w:rPr>
        <w:t xml:space="preserve"> </w:t>
      </w:r>
      <w:r w:rsidR="00061954">
        <w:rPr>
          <w:rFonts w:cs="Times New Roman"/>
          <w:szCs w:val="20"/>
          <w:shd w:val="clear" w:color="auto" w:fill="FFFFFF"/>
        </w:rPr>
        <w:t xml:space="preserve">Available at: </w:t>
      </w:r>
      <w:hyperlink r:id="rId33" w:history="1">
        <w:r w:rsidR="00FE467D" w:rsidRPr="006562C8">
          <w:rPr>
            <w:rStyle w:val="Hyperlink"/>
            <w:rFonts w:cs="Times New Roman"/>
            <w:szCs w:val="20"/>
            <w:shd w:val="clear" w:color="auto" w:fill="FFFFFF"/>
          </w:rPr>
          <w:t>https://doi.org/10.3233/ADR-230194</w:t>
        </w:r>
      </w:hyperlink>
      <w:r>
        <w:rPr>
          <w:rFonts w:cs="Times New Roman"/>
          <w:szCs w:val="20"/>
          <w:shd w:val="clear" w:color="auto" w:fill="FFFFFF"/>
        </w:rPr>
        <w:t xml:space="preserve"> </w:t>
      </w:r>
    </w:p>
    <w:bookmarkEnd w:id="67"/>
    <w:p w14:paraId="45D3395D" w14:textId="7445ADA9"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Collins, N. and Fletcher, J.R. </w:t>
      </w:r>
      <w:r>
        <w:rPr>
          <w:rFonts w:cs="Times New Roman"/>
          <w:szCs w:val="20"/>
          <w:shd w:val="clear" w:color="auto" w:fill="FFFFFF"/>
        </w:rPr>
        <w:t>(</w:t>
      </w:r>
      <w:r w:rsidRPr="00742B85">
        <w:rPr>
          <w:rFonts w:cs="Times New Roman"/>
          <w:szCs w:val="20"/>
          <w:shd w:val="clear" w:color="auto" w:fill="FFFFFF"/>
        </w:rPr>
        <w:t>2024</w:t>
      </w:r>
      <w:r>
        <w:rPr>
          <w:rFonts w:cs="Times New Roman"/>
          <w:szCs w:val="20"/>
          <w:shd w:val="clear" w:color="auto" w:fill="FFFFFF"/>
        </w:rPr>
        <w:t>)</w:t>
      </w:r>
      <w:r w:rsidRPr="00742B85">
        <w:rPr>
          <w:rFonts w:cs="Times New Roman"/>
          <w:szCs w:val="20"/>
          <w:shd w:val="clear" w:color="auto" w:fill="FFFFFF"/>
        </w:rPr>
        <w:t xml:space="preserve"> Bridging the gap between clinical and critical sociological perspectives in dementia. </w:t>
      </w:r>
      <w:proofErr w:type="spellStart"/>
      <w:r w:rsidRPr="00742B85">
        <w:rPr>
          <w:rFonts w:cs="Times New Roman"/>
          <w:i/>
          <w:iCs/>
          <w:szCs w:val="20"/>
          <w:shd w:val="clear" w:color="auto" w:fill="FFFFFF"/>
        </w:rPr>
        <w:t>BJPsych</w:t>
      </w:r>
      <w:proofErr w:type="spellEnd"/>
      <w:r w:rsidRPr="00742B85">
        <w:rPr>
          <w:rFonts w:cs="Times New Roman"/>
          <w:i/>
          <w:iCs/>
          <w:szCs w:val="20"/>
          <w:shd w:val="clear" w:color="auto" w:fill="FFFFFF"/>
        </w:rPr>
        <w:t xml:space="preserve"> Advances</w:t>
      </w:r>
      <w:r w:rsidRPr="00742B85">
        <w:rPr>
          <w:rFonts w:cs="Times New Roman"/>
          <w:szCs w:val="20"/>
          <w:shd w:val="clear" w:color="auto" w:fill="FFFFFF"/>
        </w:rPr>
        <w:t>, </w:t>
      </w:r>
      <w:r w:rsidRPr="00742B85">
        <w:rPr>
          <w:rFonts w:cs="Times New Roman"/>
          <w:i/>
          <w:iCs/>
          <w:szCs w:val="20"/>
          <w:shd w:val="clear" w:color="auto" w:fill="FFFFFF"/>
        </w:rPr>
        <w:t>30</w:t>
      </w:r>
      <w:r w:rsidRPr="00742B85">
        <w:rPr>
          <w:rFonts w:cs="Times New Roman"/>
          <w:szCs w:val="20"/>
          <w:shd w:val="clear" w:color="auto" w:fill="FFFFFF"/>
        </w:rPr>
        <w:t>(2), pp.124-133.</w:t>
      </w:r>
      <w:r>
        <w:rPr>
          <w:rFonts w:cs="Times New Roman"/>
          <w:szCs w:val="20"/>
          <w:shd w:val="clear" w:color="auto" w:fill="FFFFFF"/>
        </w:rPr>
        <w:t xml:space="preserve"> </w:t>
      </w:r>
      <w:r w:rsidR="00FE467D">
        <w:rPr>
          <w:rFonts w:cs="Times New Roman"/>
          <w:szCs w:val="20"/>
          <w:shd w:val="clear" w:color="auto" w:fill="FFFFFF"/>
        </w:rPr>
        <w:t>Available at</w:t>
      </w:r>
      <w:r w:rsidR="0042216F">
        <w:rPr>
          <w:rFonts w:cs="Times New Roman"/>
          <w:szCs w:val="20"/>
          <w:shd w:val="clear" w:color="auto" w:fill="FFFFFF"/>
        </w:rPr>
        <w:t xml:space="preserve">: </w:t>
      </w:r>
      <w:hyperlink r:id="rId34" w:history="1">
        <w:r w:rsidRPr="00E72A6C">
          <w:rPr>
            <w:rStyle w:val="Hyperlink"/>
            <w:rFonts w:cs="Times New Roman"/>
            <w:szCs w:val="20"/>
            <w:shd w:val="clear" w:color="auto" w:fill="FFFFFF"/>
          </w:rPr>
          <w:t>doi:10.1192/bja.2023.28</w:t>
        </w:r>
      </w:hyperlink>
      <w:r>
        <w:rPr>
          <w:rFonts w:cs="Times New Roman"/>
          <w:szCs w:val="20"/>
          <w:shd w:val="clear" w:color="auto" w:fill="FFFFFF"/>
        </w:rPr>
        <w:t xml:space="preserve"> </w:t>
      </w:r>
    </w:p>
    <w:p w14:paraId="534C7E40" w14:textId="3BC1A588" w:rsidR="002F432B" w:rsidRDefault="002F432B" w:rsidP="002F432B">
      <w:pPr>
        <w:ind w:left="720" w:hanging="720"/>
        <w:rPr>
          <w:lang w:val="en-US"/>
        </w:rPr>
      </w:pPr>
      <w:r w:rsidRPr="00D75052">
        <w:rPr>
          <w:lang w:val="en-US"/>
        </w:rPr>
        <w:t xml:space="preserve">Continental Hospitals (2025) </w:t>
      </w:r>
      <w:r w:rsidRPr="00D75052">
        <w:rPr>
          <w:i/>
          <w:iCs/>
          <w:lang w:val="en-US"/>
        </w:rPr>
        <w:t>Mild cognitive impairment (MCI)</w:t>
      </w:r>
      <w:r w:rsidRPr="00D75052">
        <w:rPr>
          <w:lang w:val="en-US"/>
        </w:rPr>
        <w:t>. Causes, Risk Factors, Symptoms, Treatment.</w:t>
      </w:r>
      <w:r>
        <w:rPr>
          <w:lang w:val="en-US"/>
        </w:rPr>
        <w:t xml:space="preserve"> </w:t>
      </w:r>
      <w:r w:rsidR="0042216F">
        <w:rPr>
          <w:lang w:val="en-US"/>
        </w:rPr>
        <w:t xml:space="preserve">Available at: </w:t>
      </w:r>
      <w:hyperlink r:id="rId35" w:history="1">
        <w:r w:rsidR="0042216F" w:rsidRPr="006562C8">
          <w:rPr>
            <w:rStyle w:val="Hyperlink"/>
            <w:lang w:val="en-US"/>
          </w:rPr>
          <w:t>https://continentalhospitals.com/diseases/mild-cognitive-impairment/</w:t>
        </w:r>
      </w:hyperlink>
      <w:r>
        <w:rPr>
          <w:lang w:val="en-US"/>
        </w:rPr>
        <w:t xml:space="preserve"> </w:t>
      </w:r>
      <w:r w:rsidR="0042216F">
        <w:t>(</w:t>
      </w:r>
      <w:r w:rsidRPr="00364E90">
        <w:t>Accessed 13 May 2026</w:t>
      </w:r>
      <w:r w:rsidR="0042216F">
        <w:t>)</w:t>
      </w:r>
    </w:p>
    <w:p w14:paraId="38943272" w14:textId="1D5EED93" w:rsidR="002F432B" w:rsidRDefault="002F432B" w:rsidP="002F432B">
      <w:pPr>
        <w:ind w:left="720" w:hanging="720"/>
      </w:pPr>
      <w:r w:rsidRPr="00233766">
        <w:t xml:space="preserve">Creavin, S.T., Fish, M., Lawton, M., Cullum, S., Bayer, A., Purdy, S. and Ben-Shlomo, Y., </w:t>
      </w:r>
      <w:r>
        <w:t>(</w:t>
      </w:r>
      <w:r w:rsidRPr="00233766">
        <w:t>2023</w:t>
      </w:r>
      <w:r>
        <w:t>)</w:t>
      </w:r>
      <w:r w:rsidRPr="00233766">
        <w:t xml:space="preserve"> </w:t>
      </w:r>
      <w:r w:rsidRPr="00FF6690">
        <w:rPr>
          <w:i/>
          <w:iCs/>
        </w:rPr>
        <w:t>A diagnostic test accuracy study investigating general practitioner clinical impression and brief cognitive assessments for dementia in primary care, compared to specialised assessment.</w:t>
      </w:r>
      <w:r w:rsidRPr="00233766">
        <w:t xml:space="preserve"> </w:t>
      </w:r>
      <w:r w:rsidRPr="00233766">
        <w:rPr>
          <w:i/>
          <w:iCs/>
        </w:rPr>
        <w:t>Journal of Alzheimer’s Disease</w:t>
      </w:r>
      <w:r w:rsidRPr="00233766">
        <w:t>, </w:t>
      </w:r>
      <w:r w:rsidRPr="00233766">
        <w:rPr>
          <w:i/>
          <w:iCs/>
        </w:rPr>
        <w:t>95</w:t>
      </w:r>
      <w:r w:rsidRPr="00233766">
        <w:t xml:space="preserve">(3), pp.1189-1200. </w:t>
      </w:r>
      <w:r w:rsidR="00FF6690">
        <w:t xml:space="preserve">Available at: </w:t>
      </w:r>
      <w:hyperlink r:id="rId36" w:history="1">
        <w:r w:rsidR="00FF6690" w:rsidRPr="006562C8">
          <w:rPr>
            <w:rStyle w:val="Hyperlink"/>
          </w:rPr>
          <w:t>https://doi.org/10.3233/jad-230320</w:t>
        </w:r>
      </w:hyperlink>
    </w:p>
    <w:p w14:paraId="2860070C" w14:textId="6565D67C" w:rsidR="002F432B" w:rsidRDefault="002F432B" w:rsidP="002F432B">
      <w:pPr>
        <w:ind w:left="720" w:hanging="720"/>
      </w:pPr>
      <w:r w:rsidRPr="005E2C62">
        <w:t xml:space="preserve">Creavin, S.T., Haworth, J., Fish, M., Cullum, S., Bayer, A., Purdy, S. and Ben-Shlomo, Y., </w:t>
      </w:r>
      <w:r>
        <w:t>(</w:t>
      </w:r>
      <w:r w:rsidRPr="005E2C62">
        <w:t>2021</w:t>
      </w:r>
      <w:r>
        <w:t>)</w:t>
      </w:r>
      <w:r w:rsidR="00FF6690">
        <w:t xml:space="preserve"> </w:t>
      </w:r>
      <w:r w:rsidRPr="00FF6690">
        <w:rPr>
          <w:i/>
          <w:iCs/>
        </w:rPr>
        <w:t>Clinical judgment of GPs for the diagnosis of dementia: a diagnostic test accuracy study.</w:t>
      </w:r>
      <w:r w:rsidRPr="005E2C62">
        <w:t> </w:t>
      </w:r>
      <w:r w:rsidRPr="005E2C62">
        <w:rPr>
          <w:i/>
          <w:iCs/>
        </w:rPr>
        <w:t>BJGP open</w:t>
      </w:r>
      <w:r w:rsidRPr="005E2C62">
        <w:t>, </w:t>
      </w:r>
      <w:r w:rsidRPr="005E2C62">
        <w:rPr>
          <w:i/>
          <w:iCs/>
        </w:rPr>
        <w:t>5</w:t>
      </w:r>
      <w:r w:rsidRPr="005E2C62">
        <w:t>(5).</w:t>
      </w:r>
      <w:r>
        <w:t xml:space="preserve"> </w:t>
      </w:r>
      <w:r w:rsidR="005B3550">
        <w:t xml:space="preserve">Available at: </w:t>
      </w:r>
      <w:hyperlink r:id="rId37" w:history="1">
        <w:r w:rsidR="005B3550" w:rsidRPr="006562C8">
          <w:rPr>
            <w:rStyle w:val="Hyperlink"/>
          </w:rPr>
          <w:t>https://doi.org/10.3399/bjgpo.2021.0058</w:t>
        </w:r>
      </w:hyperlink>
    </w:p>
    <w:p w14:paraId="06FB23B7" w14:textId="2694B9A4"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Cubillos, C. and Rienzo, A.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w:t>
      </w:r>
      <w:r w:rsidRPr="005B3550">
        <w:rPr>
          <w:rFonts w:cs="Times New Roman"/>
          <w:i/>
          <w:iCs/>
          <w:szCs w:val="20"/>
          <w:shd w:val="clear" w:color="auto" w:fill="FFFFFF"/>
        </w:rPr>
        <w:t>Digital cognitive assessment tests for older adults: systematic literature review</w:t>
      </w:r>
      <w:r w:rsidRPr="00742B85">
        <w:rPr>
          <w:rFonts w:cs="Times New Roman"/>
          <w:szCs w:val="20"/>
          <w:shd w:val="clear" w:color="auto" w:fill="FFFFFF"/>
        </w:rPr>
        <w:t>. </w:t>
      </w:r>
      <w:r w:rsidRPr="00742B85">
        <w:rPr>
          <w:rFonts w:cs="Times New Roman"/>
          <w:i/>
          <w:iCs/>
          <w:szCs w:val="20"/>
          <w:shd w:val="clear" w:color="auto" w:fill="FFFFFF"/>
        </w:rPr>
        <w:t xml:space="preserve">JMIR </w:t>
      </w:r>
      <w:r w:rsidR="005B3550">
        <w:rPr>
          <w:rFonts w:cs="Times New Roman"/>
          <w:i/>
          <w:iCs/>
          <w:szCs w:val="20"/>
          <w:shd w:val="clear" w:color="auto" w:fill="FFFFFF"/>
        </w:rPr>
        <w:t>Mental Health</w:t>
      </w:r>
      <w:r w:rsidRPr="00742B85">
        <w:rPr>
          <w:rFonts w:cs="Times New Roman"/>
          <w:szCs w:val="20"/>
          <w:shd w:val="clear" w:color="auto" w:fill="FFFFFF"/>
        </w:rPr>
        <w:t>, </w:t>
      </w:r>
      <w:r w:rsidRPr="00742B85">
        <w:rPr>
          <w:rFonts w:cs="Times New Roman"/>
          <w:i/>
          <w:iCs/>
          <w:szCs w:val="20"/>
          <w:shd w:val="clear" w:color="auto" w:fill="FFFFFF"/>
        </w:rPr>
        <w:t>10</w:t>
      </w:r>
      <w:r w:rsidRPr="00742B85">
        <w:rPr>
          <w:rFonts w:cs="Times New Roman"/>
          <w:szCs w:val="20"/>
          <w:shd w:val="clear" w:color="auto" w:fill="FFFFFF"/>
        </w:rPr>
        <w:t>(1), p.e47487.</w:t>
      </w:r>
      <w:r>
        <w:rPr>
          <w:rFonts w:cs="Times New Roman"/>
          <w:szCs w:val="20"/>
          <w:shd w:val="clear" w:color="auto" w:fill="FFFFFF"/>
        </w:rPr>
        <w:t xml:space="preserve"> </w:t>
      </w:r>
      <w:hyperlink r:id="rId38" w:history="1">
        <w:r w:rsidRPr="00E72A6C">
          <w:rPr>
            <w:rStyle w:val="Hyperlink"/>
            <w:rFonts w:cs="Times New Roman"/>
            <w:szCs w:val="20"/>
            <w:shd w:val="clear" w:color="auto" w:fill="FFFFFF"/>
          </w:rPr>
          <w:t>10.21</w:t>
        </w:r>
        <w:r w:rsidRPr="00E72A6C">
          <w:rPr>
            <w:rStyle w:val="Hyperlink"/>
            <w:rFonts w:cs="Times New Roman"/>
            <w:szCs w:val="20"/>
            <w:shd w:val="clear" w:color="auto" w:fill="FFFFFF"/>
          </w:rPr>
          <w:t>9</w:t>
        </w:r>
        <w:r w:rsidRPr="00E72A6C">
          <w:rPr>
            <w:rStyle w:val="Hyperlink"/>
            <w:rFonts w:cs="Times New Roman"/>
            <w:szCs w:val="20"/>
            <w:shd w:val="clear" w:color="auto" w:fill="FFFFFF"/>
          </w:rPr>
          <w:t>6/47487</w:t>
        </w:r>
      </w:hyperlink>
      <w:r>
        <w:rPr>
          <w:rFonts w:cs="Times New Roman"/>
          <w:szCs w:val="20"/>
          <w:shd w:val="clear" w:color="auto" w:fill="FFFFFF"/>
        </w:rPr>
        <w:t xml:space="preserve"> </w:t>
      </w:r>
    </w:p>
    <w:p w14:paraId="6B95DA7A" w14:textId="003CCD04" w:rsidR="002F432B" w:rsidRDefault="002F432B" w:rsidP="002F432B">
      <w:pPr>
        <w:ind w:left="720" w:hanging="720"/>
      </w:pPr>
      <w:r w:rsidRPr="00364E90">
        <w:t>Department of Health (2015)</w:t>
      </w:r>
      <w:r w:rsidR="00F213FD">
        <w:t xml:space="preserve"> </w:t>
      </w:r>
      <w:r w:rsidRPr="00364E90">
        <w:rPr>
          <w:i/>
          <w:iCs/>
        </w:rPr>
        <w:t>Prime Minister’s Challenge on Dementia 2020</w:t>
      </w:r>
      <w:r w:rsidRPr="00364E90">
        <w:t xml:space="preserve">. </w:t>
      </w:r>
      <w:r w:rsidR="00776903">
        <w:t>(</w:t>
      </w:r>
      <w:r w:rsidRPr="00364E90">
        <w:t>online</w:t>
      </w:r>
      <w:r w:rsidR="008E3089">
        <w:t xml:space="preserve">) </w:t>
      </w:r>
      <w:r w:rsidRPr="00364E90">
        <w:t xml:space="preserve">Available at: </w:t>
      </w:r>
      <w:hyperlink r:id="rId39" w:history="1">
        <w:r w:rsidRPr="00985D63">
          <w:rPr>
            <w:rStyle w:val="Hyperlink"/>
          </w:rPr>
          <w:t>https://assets.publishing.service.gov.uk/media/5a80d3ce40f0b62302695b8c/pm-dementia2020.pdf</w:t>
        </w:r>
      </w:hyperlink>
      <w:r>
        <w:t xml:space="preserve"> </w:t>
      </w:r>
      <w:r w:rsidR="00776903">
        <w:t>(</w:t>
      </w:r>
      <w:r w:rsidRPr="00364E90">
        <w:t>Accessed 13 May 2026</w:t>
      </w:r>
      <w:r w:rsidR="00776903">
        <w:t>)</w:t>
      </w:r>
      <w:r w:rsidRPr="00364E90">
        <w:t>.</w:t>
      </w:r>
    </w:p>
    <w:p w14:paraId="6EEB6098" w14:textId="0311EB94" w:rsidR="002F432B" w:rsidRDefault="002F432B" w:rsidP="002F432B">
      <w:pPr>
        <w:ind w:left="720" w:hanging="720"/>
      </w:pPr>
      <w:proofErr w:type="spellStart"/>
      <w:r w:rsidRPr="006D1BB2">
        <w:t>Endalamaw</w:t>
      </w:r>
      <w:proofErr w:type="spellEnd"/>
      <w:r w:rsidRPr="006D1BB2">
        <w:t xml:space="preserve">, A., Khatri, R.B., Erku, D., Zewdie, A., </w:t>
      </w:r>
      <w:proofErr w:type="spellStart"/>
      <w:r w:rsidRPr="006D1BB2">
        <w:t>Wolka</w:t>
      </w:r>
      <w:proofErr w:type="spellEnd"/>
      <w:r w:rsidRPr="006D1BB2">
        <w:t xml:space="preserve">, E., Nigatu, F. and Assefa, Y., </w:t>
      </w:r>
      <w:r>
        <w:t>(</w:t>
      </w:r>
      <w:r w:rsidRPr="006D1BB2">
        <w:t>2024</w:t>
      </w:r>
      <w:r>
        <w:t>)</w:t>
      </w:r>
      <w:r w:rsidR="00C30DD7">
        <w:t xml:space="preserve"> </w:t>
      </w:r>
      <w:r w:rsidRPr="006D1BB2">
        <w:t>Barriers and strategies for primary health care workforce development: synthesis of evidence. </w:t>
      </w:r>
      <w:r w:rsidRPr="006D1BB2">
        <w:rPr>
          <w:i/>
          <w:iCs/>
        </w:rPr>
        <w:t>BMC primary care</w:t>
      </w:r>
      <w:r w:rsidRPr="006D1BB2">
        <w:t>, </w:t>
      </w:r>
      <w:r w:rsidRPr="006D1BB2">
        <w:rPr>
          <w:i/>
          <w:iCs/>
        </w:rPr>
        <w:t>25</w:t>
      </w:r>
      <w:r w:rsidRPr="006D1BB2">
        <w:t xml:space="preserve">(1), p.99. </w:t>
      </w:r>
      <w:r w:rsidR="005F0B23">
        <w:t xml:space="preserve">Available at: </w:t>
      </w:r>
      <w:hyperlink r:id="rId40" w:history="1">
        <w:r w:rsidR="007422B9" w:rsidRPr="006562C8">
          <w:rPr>
            <w:rStyle w:val="Hyperlink"/>
          </w:rPr>
          <w:t>https://doi.org/10.1186/s12875-024-02336-1</w:t>
        </w:r>
      </w:hyperlink>
    </w:p>
    <w:p w14:paraId="56E5A52C" w14:textId="4295E310" w:rsidR="002F432B" w:rsidRPr="00B12316" w:rsidRDefault="002F432B" w:rsidP="002F432B">
      <w:pPr>
        <w:ind w:left="720" w:hanging="720"/>
        <w:rPr>
          <w:rFonts w:cs="Times New Roman"/>
          <w:szCs w:val="20"/>
          <w:shd w:val="clear" w:color="auto" w:fill="FFFFFF"/>
        </w:rPr>
      </w:pPr>
      <w:r w:rsidRPr="00B12316">
        <w:rPr>
          <w:rFonts w:cs="Times New Roman"/>
          <w:szCs w:val="20"/>
          <w:shd w:val="clear" w:color="auto" w:fill="FFFFFF"/>
        </w:rPr>
        <w:lastRenderedPageBreak/>
        <w:t xml:space="preserve">England, N.H.S. </w:t>
      </w:r>
      <w:r>
        <w:rPr>
          <w:rFonts w:cs="Times New Roman"/>
          <w:szCs w:val="20"/>
          <w:shd w:val="clear" w:color="auto" w:fill="FFFFFF"/>
        </w:rPr>
        <w:t>(</w:t>
      </w:r>
      <w:r w:rsidRPr="00B12316">
        <w:rPr>
          <w:rFonts w:cs="Times New Roman"/>
          <w:szCs w:val="20"/>
          <w:shd w:val="clear" w:color="auto" w:fill="FFFFFF"/>
        </w:rPr>
        <w:t>2022</w:t>
      </w:r>
      <w:r>
        <w:rPr>
          <w:rFonts w:cs="Times New Roman"/>
          <w:szCs w:val="20"/>
          <w:shd w:val="clear" w:color="auto" w:fill="FFFFFF"/>
        </w:rPr>
        <w:t>)</w:t>
      </w:r>
      <w:r w:rsidRPr="00B12316">
        <w:rPr>
          <w:rFonts w:cs="Times New Roman"/>
          <w:szCs w:val="20"/>
          <w:shd w:val="clear" w:color="auto" w:fill="FFFFFF"/>
        </w:rPr>
        <w:t xml:space="preserve"> </w:t>
      </w:r>
      <w:r w:rsidRPr="007422B9">
        <w:rPr>
          <w:rFonts w:cs="Times New Roman"/>
          <w:i/>
          <w:iCs/>
          <w:szCs w:val="20"/>
          <w:shd w:val="clear" w:color="auto" w:fill="FFFFFF"/>
        </w:rPr>
        <w:t>Working in partnership with people and communities: statutory guidance. Care</w:t>
      </w:r>
      <w:r w:rsidRPr="00B12316">
        <w:rPr>
          <w:rFonts w:cs="Times New Roman"/>
          <w:i/>
          <w:iCs/>
          <w:szCs w:val="20"/>
          <w:shd w:val="clear" w:color="auto" w:fill="FFFFFF"/>
        </w:rPr>
        <w:t xml:space="preserve"> </w:t>
      </w:r>
      <w:proofErr w:type="spellStart"/>
      <w:r w:rsidRPr="00B12316">
        <w:rPr>
          <w:rFonts w:cs="Times New Roman"/>
          <w:i/>
          <w:iCs/>
          <w:szCs w:val="20"/>
          <w:shd w:val="clear" w:color="auto" w:fill="FFFFFF"/>
        </w:rPr>
        <w:t>DoHS</w:t>
      </w:r>
      <w:proofErr w:type="spellEnd"/>
      <w:r w:rsidRPr="00B12316">
        <w:rPr>
          <w:rFonts w:cs="Times New Roman"/>
          <w:szCs w:val="20"/>
          <w:shd w:val="clear" w:color="auto" w:fill="FFFFFF"/>
        </w:rPr>
        <w:t>.</w:t>
      </w:r>
      <w:r>
        <w:rPr>
          <w:rFonts w:cs="Times New Roman"/>
          <w:szCs w:val="20"/>
          <w:shd w:val="clear" w:color="auto" w:fill="FFFFFF"/>
        </w:rPr>
        <w:t xml:space="preserve"> </w:t>
      </w:r>
      <w:r w:rsidR="005608C7">
        <w:rPr>
          <w:rFonts w:cs="Times New Roman"/>
          <w:szCs w:val="20"/>
          <w:shd w:val="clear" w:color="auto" w:fill="FFFFFF"/>
        </w:rPr>
        <w:t xml:space="preserve">Available at: </w:t>
      </w:r>
      <w:hyperlink r:id="rId41" w:history="1">
        <w:r w:rsidR="005608C7" w:rsidRPr="006562C8">
          <w:rPr>
            <w:rStyle w:val="Hyperlink"/>
            <w:rFonts w:cs="Times New Roman"/>
            <w:szCs w:val="20"/>
            <w:shd w:val="clear" w:color="auto" w:fill="FFFFFF"/>
          </w:rPr>
          <w:t>https://localdemocracyandhealth.com/wp-content/uploads/2024/11/8f21c-nhs-england-working-in-partnership-with-people-and-communities-statutory-guidance.pdf</w:t>
        </w:r>
      </w:hyperlink>
      <w:r>
        <w:rPr>
          <w:rFonts w:cs="Times New Roman"/>
          <w:szCs w:val="20"/>
          <w:shd w:val="clear" w:color="auto" w:fill="FFFFFF"/>
        </w:rPr>
        <w:t xml:space="preserve"> </w:t>
      </w:r>
      <w:r w:rsidR="005608C7">
        <w:t>(</w:t>
      </w:r>
      <w:r w:rsidRPr="00364E90">
        <w:t>Accessed 13 May 2026</w:t>
      </w:r>
      <w:r w:rsidR="005608C7">
        <w:t>)</w:t>
      </w:r>
      <w:r w:rsidRPr="00364E90">
        <w:t>.</w:t>
      </w:r>
    </w:p>
    <w:p w14:paraId="42FE6FDC" w14:textId="443FC450" w:rsidR="002F432B" w:rsidRDefault="002F432B" w:rsidP="002F432B">
      <w:pPr>
        <w:ind w:left="720" w:hanging="720"/>
      </w:pPr>
      <w:proofErr w:type="spellStart"/>
      <w:r w:rsidRPr="00EB0B28">
        <w:t>Ereira</w:t>
      </w:r>
      <w:proofErr w:type="spellEnd"/>
      <w:r w:rsidRPr="00EB0B28">
        <w:t xml:space="preserve">, S., Waters, S., Razi, A. and Marshall, C.R., </w:t>
      </w:r>
      <w:r>
        <w:t>(</w:t>
      </w:r>
      <w:r w:rsidRPr="00EB0B28">
        <w:t>2024</w:t>
      </w:r>
      <w:r>
        <w:t>)</w:t>
      </w:r>
      <w:r w:rsidRPr="00EB0B28">
        <w:t xml:space="preserve"> </w:t>
      </w:r>
      <w:r w:rsidRPr="005608C7">
        <w:rPr>
          <w:i/>
          <w:iCs/>
        </w:rPr>
        <w:t>Early detection of dementia with default-mode network effective connectivity. Nature Mental Health</w:t>
      </w:r>
      <w:r w:rsidRPr="00EB0B28">
        <w:t>, </w:t>
      </w:r>
      <w:r w:rsidRPr="00EB0B28">
        <w:rPr>
          <w:i/>
          <w:iCs/>
        </w:rPr>
        <w:t>2</w:t>
      </w:r>
      <w:r w:rsidRPr="00EB0B28">
        <w:t>(7), pp.787-800.</w:t>
      </w:r>
      <w:r>
        <w:t xml:space="preserve"> </w:t>
      </w:r>
      <w:r w:rsidR="005608C7">
        <w:t xml:space="preserve">Available at: </w:t>
      </w:r>
      <w:hyperlink r:id="rId42" w:history="1">
        <w:r w:rsidR="005608C7" w:rsidRPr="006562C8">
          <w:rPr>
            <w:rStyle w:val="Hyperlink"/>
          </w:rPr>
          <w:t>https://doi.org/10.1038/s44220-024-00259-5</w:t>
        </w:r>
      </w:hyperlink>
    </w:p>
    <w:p w14:paraId="0CCEE485" w14:textId="08CA4CD1" w:rsidR="002F432B" w:rsidRDefault="002F432B" w:rsidP="002F432B">
      <w:pPr>
        <w:ind w:left="720" w:hanging="720"/>
      </w:pPr>
      <w:r w:rsidRPr="00E325DA">
        <w:t xml:space="preserve">Fowler, N.R., Partrick, K.A., Taylor, J., </w:t>
      </w:r>
      <w:proofErr w:type="spellStart"/>
      <w:r w:rsidRPr="00E325DA">
        <w:t>Hornbecker</w:t>
      </w:r>
      <w:proofErr w:type="spellEnd"/>
      <w:r w:rsidRPr="00E325DA">
        <w:t xml:space="preserve">, M., Kelleher, K., Boustani, M., Cummings, J.L., MacLeod, T., Mielke, M.M., Brosch, J.R. and Lee, J., </w:t>
      </w:r>
      <w:r>
        <w:t>(</w:t>
      </w:r>
      <w:r w:rsidRPr="00E325DA">
        <w:t>2025</w:t>
      </w:r>
      <w:r>
        <w:t>)</w:t>
      </w:r>
      <w:r w:rsidRPr="00E325DA">
        <w:t xml:space="preserve"> Implementing early detection of cognitive impairment in primary care to improve care for older adults. </w:t>
      </w:r>
      <w:r w:rsidRPr="00E325DA">
        <w:rPr>
          <w:i/>
          <w:iCs/>
        </w:rPr>
        <w:t>Journal of internal medicine</w:t>
      </w:r>
      <w:r w:rsidRPr="00E325DA">
        <w:t>, </w:t>
      </w:r>
      <w:r w:rsidRPr="00E325DA">
        <w:rPr>
          <w:i/>
          <w:iCs/>
        </w:rPr>
        <w:t>298</w:t>
      </w:r>
      <w:r w:rsidRPr="00E325DA">
        <w:t>(1), pp.31-45.</w:t>
      </w:r>
      <w:r>
        <w:t xml:space="preserve"> </w:t>
      </w:r>
      <w:r w:rsidR="005608C7">
        <w:t xml:space="preserve">Available </w:t>
      </w:r>
      <w:r w:rsidR="006D1597">
        <w:t xml:space="preserve">at: </w:t>
      </w:r>
      <w:hyperlink r:id="rId43" w:history="1">
        <w:r w:rsidR="000D14C1" w:rsidRPr="006562C8">
          <w:rPr>
            <w:rStyle w:val="Hyperlink"/>
          </w:rPr>
          <w:t>https://doi.org/10.1111/joim.20098</w:t>
        </w:r>
      </w:hyperlink>
    </w:p>
    <w:p w14:paraId="78218500" w14:textId="1CCA3506" w:rsidR="002F432B" w:rsidRPr="00B12316" w:rsidRDefault="002F432B" w:rsidP="002F432B">
      <w:pPr>
        <w:ind w:left="720" w:hanging="720"/>
        <w:rPr>
          <w:rFonts w:cs="Times New Roman"/>
          <w:szCs w:val="20"/>
          <w:shd w:val="clear" w:color="auto" w:fill="FFFFFF"/>
        </w:rPr>
      </w:pPr>
      <w:r w:rsidRPr="00B12316">
        <w:rPr>
          <w:rFonts w:cs="Times New Roman"/>
          <w:szCs w:val="20"/>
          <w:shd w:val="clear" w:color="auto" w:fill="FFFFFF"/>
        </w:rPr>
        <w:t xml:space="preserve">Giebel, C., Cannon, J., </w:t>
      </w:r>
      <w:proofErr w:type="spellStart"/>
      <w:r w:rsidRPr="00B12316">
        <w:rPr>
          <w:rFonts w:cs="Times New Roman"/>
          <w:szCs w:val="20"/>
          <w:shd w:val="clear" w:color="auto" w:fill="FFFFFF"/>
        </w:rPr>
        <w:t>Komuravelli</w:t>
      </w:r>
      <w:proofErr w:type="spellEnd"/>
      <w:r w:rsidRPr="00B12316">
        <w:rPr>
          <w:rFonts w:cs="Times New Roman"/>
          <w:szCs w:val="20"/>
          <w:shd w:val="clear" w:color="auto" w:fill="FFFFFF"/>
        </w:rPr>
        <w:t xml:space="preserve">, A. and Whittington, R. </w:t>
      </w:r>
      <w:r>
        <w:rPr>
          <w:rFonts w:cs="Times New Roman"/>
          <w:szCs w:val="20"/>
          <w:shd w:val="clear" w:color="auto" w:fill="FFFFFF"/>
        </w:rPr>
        <w:t>(</w:t>
      </w:r>
      <w:r w:rsidRPr="00B12316">
        <w:rPr>
          <w:rFonts w:cs="Times New Roman"/>
          <w:szCs w:val="20"/>
          <w:shd w:val="clear" w:color="auto" w:fill="FFFFFF"/>
        </w:rPr>
        <w:t>2025</w:t>
      </w:r>
      <w:r>
        <w:rPr>
          <w:rFonts w:cs="Times New Roman"/>
          <w:szCs w:val="20"/>
          <w:shd w:val="clear" w:color="auto" w:fill="FFFFFF"/>
        </w:rPr>
        <w:t>)</w:t>
      </w:r>
      <w:r w:rsidR="000D14C1">
        <w:rPr>
          <w:rFonts w:cs="Times New Roman"/>
          <w:szCs w:val="20"/>
          <w:shd w:val="clear" w:color="auto" w:fill="FFFFFF"/>
        </w:rPr>
        <w:t xml:space="preserve"> </w:t>
      </w:r>
      <w:r w:rsidRPr="00B12316">
        <w:rPr>
          <w:rFonts w:cs="Times New Roman"/>
          <w:szCs w:val="20"/>
          <w:shd w:val="clear" w:color="auto" w:fill="FFFFFF"/>
        </w:rPr>
        <w:t>Challenges of dementia care in the UK. </w:t>
      </w:r>
      <w:proofErr w:type="spellStart"/>
      <w:r w:rsidRPr="00B12316">
        <w:rPr>
          <w:rFonts w:cs="Times New Roman"/>
          <w:i/>
          <w:iCs/>
          <w:szCs w:val="20"/>
          <w:shd w:val="clear" w:color="auto" w:fill="FFFFFF"/>
        </w:rPr>
        <w:t>bmj</w:t>
      </w:r>
      <w:proofErr w:type="spellEnd"/>
      <w:r w:rsidRPr="00B12316">
        <w:rPr>
          <w:rFonts w:cs="Times New Roman"/>
          <w:szCs w:val="20"/>
          <w:shd w:val="clear" w:color="auto" w:fill="FFFFFF"/>
        </w:rPr>
        <w:t>, </w:t>
      </w:r>
      <w:r w:rsidRPr="00B12316">
        <w:rPr>
          <w:rFonts w:cs="Times New Roman"/>
          <w:i/>
          <w:iCs/>
          <w:szCs w:val="20"/>
          <w:shd w:val="clear" w:color="auto" w:fill="FFFFFF"/>
        </w:rPr>
        <w:t>389</w:t>
      </w:r>
      <w:r w:rsidRPr="00B12316">
        <w:rPr>
          <w:rFonts w:cs="Times New Roman"/>
          <w:szCs w:val="20"/>
          <w:shd w:val="clear" w:color="auto" w:fill="FFFFFF"/>
        </w:rPr>
        <w:t>.</w:t>
      </w:r>
      <w:r>
        <w:rPr>
          <w:rFonts w:cs="Times New Roman"/>
          <w:szCs w:val="20"/>
          <w:shd w:val="clear" w:color="auto" w:fill="FFFFFF"/>
        </w:rPr>
        <w:t xml:space="preserve"> </w:t>
      </w:r>
      <w:r w:rsidR="000D14C1">
        <w:rPr>
          <w:rFonts w:cs="Times New Roman"/>
          <w:szCs w:val="20"/>
          <w:shd w:val="clear" w:color="auto" w:fill="FFFFFF"/>
        </w:rPr>
        <w:t xml:space="preserve">Available at: </w:t>
      </w:r>
      <w:hyperlink r:id="rId44" w:history="1">
        <w:r w:rsidR="000D14C1" w:rsidRPr="006562C8">
          <w:rPr>
            <w:rStyle w:val="Hyperlink"/>
            <w:rFonts w:cs="Times New Roman"/>
            <w:szCs w:val="20"/>
            <w:shd w:val="clear" w:color="auto" w:fill="FFFFFF"/>
          </w:rPr>
          <w:t>https://doi.org/10.1136/bmj.r1135</w:t>
        </w:r>
      </w:hyperlink>
      <w:r>
        <w:rPr>
          <w:rFonts w:cs="Times New Roman"/>
          <w:szCs w:val="20"/>
          <w:shd w:val="clear" w:color="auto" w:fill="FFFFFF"/>
        </w:rPr>
        <w:t xml:space="preserve"> </w:t>
      </w:r>
    </w:p>
    <w:p w14:paraId="38F8442A" w14:textId="6040F080" w:rsidR="002F432B" w:rsidRDefault="002F432B" w:rsidP="002F432B">
      <w:pPr>
        <w:ind w:left="720" w:hanging="720"/>
      </w:pPr>
      <w:r w:rsidRPr="00E325DA">
        <w:t xml:space="preserve">GOV.UK (2009) </w:t>
      </w:r>
      <w:r w:rsidRPr="00E325DA">
        <w:rPr>
          <w:i/>
          <w:iCs/>
        </w:rPr>
        <w:t>National Dementia Strategy Living well with dementia: A National Dementia Strategy Putting People First</w:t>
      </w:r>
      <w:r w:rsidRPr="00E325DA">
        <w:t xml:space="preserve">. [online] Available at: </w:t>
      </w:r>
      <w:hyperlink r:id="rId45" w:history="1">
        <w:r w:rsidRPr="00985D63">
          <w:rPr>
            <w:rStyle w:val="Hyperlink"/>
          </w:rPr>
          <w:t>https://assets.publishing.service.gov.uk/media/5a7a15a7ed915d6eaf153a36/dh_094051.pdf</w:t>
        </w:r>
      </w:hyperlink>
      <w:r>
        <w:t xml:space="preserve"> </w:t>
      </w:r>
      <w:r w:rsidR="000D14C1">
        <w:t>(</w:t>
      </w:r>
      <w:r w:rsidRPr="00E325DA">
        <w:t>Accessed 13 May 2026</w:t>
      </w:r>
      <w:r w:rsidR="000D14C1">
        <w:t>)</w:t>
      </w:r>
      <w:r w:rsidRPr="00E325DA">
        <w:t>.</w:t>
      </w:r>
    </w:p>
    <w:p w14:paraId="275BE024" w14:textId="3E03FB54" w:rsidR="002F432B" w:rsidRDefault="002F432B" w:rsidP="002F432B">
      <w:pPr>
        <w:ind w:left="720" w:hanging="720"/>
      </w:pPr>
      <w:r w:rsidRPr="00364E90">
        <w:t xml:space="preserve">GOV.UK (2010) </w:t>
      </w:r>
      <w:r w:rsidRPr="00364E90">
        <w:rPr>
          <w:i/>
          <w:iCs/>
        </w:rPr>
        <w:t>Equality Act 2010</w:t>
      </w:r>
      <w:r w:rsidRPr="00364E90">
        <w:t xml:space="preserve">. </w:t>
      </w:r>
      <w:r w:rsidR="00865F09">
        <w:t>(</w:t>
      </w:r>
      <w:r w:rsidRPr="00364E90">
        <w:t>online</w:t>
      </w:r>
      <w:r w:rsidR="00865F09">
        <w:t>)</w:t>
      </w:r>
      <w:r w:rsidRPr="00364E90">
        <w:t xml:space="preserve"> Legislation.gov.uk. Available at: </w:t>
      </w:r>
      <w:hyperlink r:id="rId46" w:history="1">
        <w:r w:rsidRPr="00985D63">
          <w:rPr>
            <w:rStyle w:val="Hyperlink"/>
          </w:rPr>
          <w:t>https://www.legislation.gov.uk/ukpga/2010/15/contents</w:t>
        </w:r>
      </w:hyperlink>
      <w:r>
        <w:t xml:space="preserve"> </w:t>
      </w:r>
      <w:r w:rsidR="00865F09">
        <w:t>(</w:t>
      </w:r>
      <w:r w:rsidRPr="00364E90">
        <w:t>Accessed 13 May 2026</w:t>
      </w:r>
      <w:r w:rsidR="00865F09">
        <w:t>)</w:t>
      </w:r>
      <w:r w:rsidRPr="00364E90">
        <w:t>.</w:t>
      </w:r>
    </w:p>
    <w:p w14:paraId="0AB2999A" w14:textId="628BDC00" w:rsidR="002F432B" w:rsidRDefault="002F432B" w:rsidP="002F432B">
      <w:pPr>
        <w:ind w:left="720" w:hanging="720"/>
      </w:pPr>
      <w:r w:rsidRPr="006D1BB2">
        <w:t xml:space="preserve">GOV.UK (2014). </w:t>
      </w:r>
      <w:r w:rsidRPr="006D1BB2">
        <w:rPr>
          <w:i/>
          <w:iCs/>
        </w:rPr>
        <w:t>Care Act 2014</w:t>
      </w:r>
      <w:r w:rsidRPr="006D1BB2">
        <w:t xml:space="preserve">. </w:t>
      </w:r>
      <w:r w:rsidR="00865F09">
        <w:t>(</w:t>
      </w:r>
      <w:r w:rsidRPr="006D1BB2">
        <w:t>online</w:t>
      </w:r>
      <w:r w:rsidR="00865F09">
        <w:t>)</w:t>
      </w:r>
      <w:r w:rsidRPr="006D1BB2">
        <w:t xml:space="preserve"> Legislation.gov.uk. Available at: </w:t>
      </w:r>
      <w:hyperlink r:id="rId47" w:history="1">
        <w:r w:rsidRPr="00985D63">
          <w:rPr>
            <w:rStyle w:val="Hyperlink"/>
          </w:rPr>
          <w:t>https://www.legislation.gov.uk/ukpga/2014/23/contents</w:t>
        </w:r>
      </w:hyperlink>
      <w:r>
        <w:t xml:space="preserve"> </w:t>
      </w:r>
      <w:r w:rsidR="00865F09">
        <w:t>(</w:t>
      </w:r>
      <w:r w:rsidRPr="006D1BB2">
        <w:t>Accessed 13 May 2026</w:t>
      </w:r>
      <w:r w:rsidR="00865F09">
        <w:t>)</w:t>
      </w:r>
      <w:r w:rsidRPr="006D1BB2">
        <w:t>.</w:t>
      </w:r>
    </w:p>
    <w:p w14:paraId="00BB583B" w14:textId="6C0C54B7" w:rsidR="002F432B" w:rsidRDefault="002F432B" w:rsidP="002F432B">
      <w:pPr>
        <w:ind w:left="720" w:hanging="720"/>
      </w:pPr>
      <w:r w:rsidRPr="00E325DA">
        <w:t xml:space="preserve">GOV.UK (2025) </w:t>
      </w:r>
      <w:r w:rsidRPr="00E325DA">
        <w:rPr>
          <w:i/>
          <w:iCs/>
        </w:rPr>
        <w:t>Fit for the future: 10 Year Health Plan for England (accessible version)</w:t>
      </w:r>
      <w:r w:rsidRPr="00E325DA">
        <w:t xml:space="preserve">. [online] GOV.UK. Available at: </w:t>
      </w:r>
      <w:hyperlink r:id="rId48" w:history="1">
        <w:r w:rsidRPr="00985D63">
          <w:rPr>
            <w:rStyle w:val="Hyperlink"/>
          </w:rPr>
          <w:t>https://www.gov.uk/government/publications/10-year-health-plan-for-england-fit-for-the-future/fit-for-the-future-10-year-health-plan-for-england-accessible-version</w:t>
        </w:r>
      </w:hyperlink>
      <w:r>
        <w:t xml:space="preserve"> </w:t>
      </w:r>
      <w:r w:rsidR="00865F09">
        <w:t>(</w:t>
      </w:r>
      <w:r w:rsidRPr="00E325DA">
        <w:t>Accessed 13 May 2026</w:t>
      </w:r>
      <w:r w:rsidR="00865F09">
        <w:t>)</w:t>
      </w:r>
      <w:r w:rsidRPr="00E325DA">
        <w:t>.</w:t>
      </w:r>
    </w:p>
    <w:p w14:paraId="2E347426" w14:textId="7260B504" w:rsidR="002F432B" w:rsidRDefault="002F432B" w:rsidP="002F432B">
      <w:pPr>
        <w:ind w:left="720" w:hanging="720"/>
      </w:pPr>
      <w:r w:rsidRPr="00B64EE5">
        <w:t xml:space="preserve">Haddaway, N.R., </w:t>
      </w:r>
      <w:proofErr w:type="spellStart"/>
      <w:r w:rsidRPr="00B64EE5">
        <w:t>Rethlefsen</w:t>
      </w:r>
      <w:proofErr w:type="spellEnd"/>
      <w:r w:rsidRPr="00B64EE5">
        <w:t xml:space="preserve">, M.L., Davies, M., Glanville, J., McGowan, B., Nyhan, K. and Young, S., </w:t>
      </w:r>
      <w:r>
        <w:t>(</w:t>
      </w:r>
      <w:r w:rsidRPr="00B64EE5">
        <w:t>2022</w:t>
      </w:r>
      <w:r>
        <w:t>)</w:t>
      </w:r>
      <w:r w:rsidRPr="00B64EE5">
        <w:t xml:space="preserve"> A suggested data structure for transparent and repeatable reporting of bibliographic searching. </w:t>
      </w:r>
      <w:r w:rsidRPr="00B64EE5">
        <w:rPr>
          <w:i/>
          <w:iCs/>
        </w:rPr>
        <w:t>Campbell systematic reviews</w:t>
      </w:r>
      <w:r w:rsidRPr="00B64EE5">
        <w:t>, </w:t>
      </w:r>
      <w:r w:rsidRPr="00B64EE5">
        <w:rPr>
          <w:i/>
          <w:iCs/>
        </w:rPr>
        <w:t>18</w:t>
      </w:r>
      <w:r w:rsidRPr="00B64EE5">
        <w:t>(4), p.e1288.</w:t>
      </w:r>
      <w:r>
        <w:t xml:space="preserve"> </w:t>
      </w:r>
      <w:r w:rsidR="00865F09">
        <w:t xml:space="preserve">Available at: </w:t>
      </w:r>
      <w:hyperlink r:id="rId49" w:history="1">
        <w:r w:rsidR="00550835" w:rsidRPr="006562C8">
          <w:rPr>
            <w:rStyle w:val="Hyperlink"/>
          </w:rPr>
          <w:t>https://doi.org/10.1002/cl2.1288</w:t>
        </w:r>
      </w:hyperlink>
    </w:p>
    <w:p w14:paraId="2D58AFCC" w14:textId="46B85444"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lastRenderedPageBreak/>
        <w:t xml:space="preserve">Huang, X., Ling, Y., Tan, S., Bai, Z., Shen, S., Wang, H. and Lyu, J. </w:t>
      </w:r>
      <w:r>
        <w:rPr>
          <w:rFonts w:cs="Times New Roman"/>
          <w:szCs w:val="20"/>
          <w:shd w:val="clear" w:color="auto" w:fill="FFFFFF"/>
        </w:rPr>
        <w:t>(</w:t>
      </w:r>
      <w:r w:rsidRPr="00742B85">
        <w:rPr>
          <w:rFonts w:cs="Times New Roman"/>
          <w:szCs w:val="20"/>
          <w:shd w:val="clear" w:color="auto" w:fill="FFFFFF"/>
        </w:rPr>
        <w:t>2025</w:t>
      </w:r>
      <w:r>
        <w:rPr>
          <w:rFonts w:cs="Times New Roman"/>
          <w:szCs w:val="20"/>
          <w:shd w:val="clear" w:color="auto" w:fill="FFFFFF"/>
        </w:rPr>
        <w:t>)</w:t>
      </w:r>
      <w:r w:rsidRPr="00742B85">
        <w:rPr>
          <w:rFonts w:cs="Times New Roman"/>
          <w:szCs w:val="20"/>
          <w:shd w:val="clear" w:color="auto" w:fill="FFFFFF"/>
        </w:rPr>
        <w:t xml:space="preserve"> Cognitive reserve, frailty status, and risk of neurodegenerative diseases: a prospective cohort study. </w:t>
      </w:r>
      <w:proofErr w:type="spellStart"/>
      <w:r w:rsidRPr="00742B85">
        <w:rPr>
          <w:rFonts w:cs="Times New Roman"/>
          <w:i/>
          <w:iCs/>
          <w:szCs w:val="20"/>
          <w:shd w:val="clear" w:color="auto" w:fill="FFFFFF"/>
        </w:rPr>
        <w:t>npj</w:t>
      </w:r>
      <w:proofErr w:type="spellEnd"/>
      <w:r w:rsidRPr="00742B85">
        <w:rPr>
          <w:rFonts w:cs="Times New Roman"/>
          <w:i/>
          <w:iCs/>
          <w:szCs w:val="20"/>
          <w:shd w:val="clear" w:color="auto" w:fill="FFFFFF"/>
        </w:rPr>
        <w:t xml:space="preserve"> Parkinson's Disease</w:t>
      </w:r>
      <w:r w:rsidRPr="00742B85">
        <w:rPr>
          <w:rFonts w:cs="Times New Roman"/>
          <w:szCs w:val="20"/>
          <w:shd w:val="clear" w:color="auto" w:fill="FFFFFF"/>
        </w:rPr>
        <w:t>.</w:t>
      </w:r>
      <w:r w:rsidR="00550835">
        <w:rPr>
          <w:rFonts w:cs="Times New Roman"/>
          <w:szCs w:val="20"/>
          <w:shd w:val="clear" w:color="auto" w:fill="FFFFFF"/>
        </w:rPr>
        <w:t xml:space="preserve"> Available at:</w:t>
      </w:r>
      <w:r>
        <w:rPr>
          <w:rFonts w:cs="Times New Roman"/>
          <w:szCs w:val="20"/>
          <w:shd w:val="clear" w:color="auto" w:fill="FFFFFF"/>
        </w:rPr>
        <w:t xml:space="preserve"> </w:t>
      </w:r>
      <w:hyperlink r:id="rId50" w:history="1">
        <w:r w:rsidRPr="00A90C5F">
          <w:rPr>
            <w:rStyle w:val="Hyperlink"/>
            <w:rFonts w:cs="Times New Roman"/>
            <w:szCs w:val="20"/>
            <w:shd w:val="clear" w:color="auto" w:fill="FFFFFF"/>
          </w:rPr>
          <w:t>https://doi.org/10.1038/s41531-025-01231-5</w:t>
        </w:r>
      </w:hyperlink>
      <w:r>
        <w:rPr>
          <w:rFonts w:cs="Times New Roman"/>
          <w:szCs w:val="20"/>
          <w:shd w:val="clear" w:color="auto" w:fill="FFFFFF"/>
        </w:rPr>
        <w:t xml:space="preserve"> </w:t>
      </w:r>
    </w:p>
    <w:p w14:paraId="3E5CE9DB" w14:textId="0B9F166E" w:rsidR="002F432B" w:rsidRDefault="002F432B" w:rsidP="002F432B">
      <w:pPr>
        <w:ind w:left="720" w:hanging="720"/>
      </w:pPr>
      <w:r w:rsidRPr="007C44C6">
        <w:t xml:space="preserve">Jones, D., Drewery, R., Windle, K., Humphrey, S. and de Paiva, A.F., </w:t>
      </w:r>
      <w:r>
        <w:t>(</w:t>
      </w:r>
      <w:r w:rsidRPr="007C44C6">
        <w:t>2023</w:t>
      </w:r>
      <w:r>
        <w:t>)</w:t>
      </w:r>
      <w:r w:rsidRPr="007C44C6">
        <w:t xml:space="preserve"> Dementia prevention and the GP’s role: a qualitative interview study. </w:t>
      </w:r>
      <w:r w:rsidRPr="007C44C6">
        <w:rPr>
          <w:i/>
          <w:iCs/>
        </w:rPr>
        <w:t>British Journal of General Practice</w:t>
      </w:r>
      <w:r w:rsidRPr="007C44C6">
        <w:t>.</w:t>
      </w:r>
      <w:r w:rsidRPr="003D2629">
        <w:t xml:space="preserve"> </w:t>
      </w:r>
      <w:r w:rsidR="00550835">
        <w:t xml:space="preserve">Available at: </w:t>
      </w:r>
      <w:hyperlink r:id="rId51" w:history="1">
        <w:r w:rsidR="00550835" w:rsidRPr="006562C8">
          <w:rPr>
            <w:rStyle w:val="Hyperlink"/>
          </w:rPr>
          <w:t>https://doi.org/10.3399/BJGP.2023.0103</w:t>
        </w:r>
      </w:hyperlink>
    </w:p>
    <w:p w14:paraId="0D84565C" w14:textId="621636BB" w:rsidR="002F432B" w:rsidRPr="005371AB" w:rsidRDefault="002F432B" w:rsidP="002F432B">
      <w:pPr>
        <w:ind w:left="720" w:hanging="720"/>
      </w:pPr>
      <w:r w:rsidRPr="00F02DBF">
        <w:t xml:space="preserve">Kelsey, O., Demnitz-King, H., Kenten, C., Chapman, H., Muralidhar, M., Camboe, E., Whitfield, E., Zabihi, S., Williams, E., Jones, A. and Williams, S., </w:t>
      </w:r>
      <w:r>
        <w:t>(</w:t>
      </w:r>
      <w:r w:rsidRPr="00F02DBF">
        <w:t>2026</w:t>
      </w:r>
      <w:r>
        <w:t>)</w:t>
      </w:r>
      <w:r w:rsidR="00550835">
        <w:t xml:space="preserve"> </w:t>
      </w:r>
      <w:r w:rsidRPr="00F02DBF">
        <w:t>A national survey of dementia diagnosis and care in English memory services. </w:t>
      </w:r>
      <w:r w:rsidRPr="00F02DBF">
        <w:rPr>
          <w:i/>
          <w:iCs/>
        </w:rPr>
        <w:t>BMC geriatrics</w:t>
      </w:r>
      <w:r w:rsidRPr="00F02DBF">
        <w:t>.</w:t>
      </w:r>
      <w:r>
        <w:t xml:space="preserve"> </w:t>
      </w:r>
      <w:r w:rsidR="00550835">
        <w:t>A</w:t>
      </w:r>
      <w:r w:rsidR="008E4C33">
        <w:t xml:space="preserve">vailable at: </w:t>
      </w:r>
      <w:hyperlink r:id="rId52" w:history="1">
        <w:r w:rsidR="008E4C33" w:rsidRPr="006562C8">
          <w:rPr>
            <w:rStyle w:val="Hyperlink"/>
          </w:rPr>
          <w:t>https://doi.org/10.1186/s12877-026-07155-w</w:t>
        </w:r>
      </w:hyperlink>
    </w:p>
    <w:p w14:paraId="28F1B07C" w14:textId="2E28B76F" w:rsidR="002F432B" w:rsidRDefault="002F432B" w:rsidP="002F432B">
      <w:pPr>
        <w:ind w:left="720" w:hanging="720"/>
      </w:pPr>
      <w:r w:rsidRPr="00E325DA">
        <w:t xml:space="preserve">Kerminen, H., Marzetti, E. and D’Angelo, E., </w:t>
      </w:r>
      <w:r>
        <w:t>(</w:t>
      </w:r>
      <w:r w:rsidRPr="00E325DA">
        <w:t>2024</w:t>
      </w:r>
      <w:r>
        <w:t>)</w:t>
      </w:r>
      <w:r w:rsidRPr="00E325DA">
        <w:t xml:space="preserve"> Biological and physical performance markers for early detection of cognitive impairment in older adults. </w:t>
      </w:r>
      <w:r w:rsidRPr="00E325DA">
        <w:rPr>
          <w:i/>
          <w:iCs/>
        </w:rPr>
        <w:t>Journal of Clinical Medicine</w:t>
      </w:r>
      <w:r w:rsidRPr="00E325DA">
        <w:t>, </w:t>
      </w:r>
      <w:r w:rsidRPr="00E325DA">
        <w:rPr>
          <w:i/>
          <w:iCs/>
        </w:rPr>
        <w:t>13</w:t>
      </w:r>
      <w:r w:rsidRPr="00E325DA">
        <w:t>(3), p.806.</w:t>
      </w:r>
      <w:r>
        <w:t xml:space="preserve"> </w:t>
      </w:r>
      <w:r w:rsidR="00EA2A1C">
        <w:t xml:space="preserve">Available at: </w:t>
      </w:r>
      <w:hyperlink r:id="rId53" w:history="1">
        <w:r w:rsidR="00EA2A1C" w:rsidRPr="006562C8">
          <w:rPr>
            <w:rStyle w:val="Hyperlink"/>
          </w:rPr>
          <w:t>https://doi.org/10.3390/jcm13030806</w:t>
        </w:r>
      </w:hyperlink>
    </w:p>
    <w:p w14:paraId="5B0C4D34" w14:textId="27A885EF" w:rsidR="002F432B" w:rsidRDefault="002F432B" w:rsidP="002F432B">
      <w:pPr>
        <w:ind w:left="720" w:hanging="720"/>
      </w:pPr>
      <w:r w:rsidRPr="00027BE3">
        <w:t xml:space="preserve">Keshavan, A., </w:t>
      </w:r>
      <w:proofErr w:type="spellStart"/>
      <w:r w:rsidRPr="00027BE3">
        <w:t>Pannee</w:t>
      </w:r>
      <w:proofErr w:type="spellEnd"/>
      <w:r w:rsidRPr="00027BE3">
        <w:t xml:space="preserve">, J., Karikari, T.K., Rodriguez, J.L., Ashton, N.J., Nicholas, J.M., Cash, D.M., Coath, W., Lane, C.A., Parker, T.D. and Lu, K., </w:t>
      </w:r>
      <w:r>
        <w:t>(</w:t>
      </w:r>
      <w:r w:rsidRPr="00027BE3">
        <w:t>2021</w:t>
      </w:r>
      <w:r>
        <w:t>)</w:t>
      </w:r>
      <w:r w:rsidRPr="00027BE3">
        <w:t xml:space="preserve"> Population-based blood screening for preclinical Alzheimer’s disease in a British birth cohort at age 70. </w:t>
      </w:r>
      <w:r w:rsidRPr="00027BE3">
        <w:rPr>
          <w:i/>
          <w:iCs/>
        </w:rPr>
        <w:t>Brain</w:t>
      </w:r>
      <w:r w:rsidRPr="00027BE3">
        <w:t>, </w:t>
      </w:r>
      <w:r w:rsidRPr="00027BE3">
        <w:rPr>
          <w:i/>
          <w:iCs/>
        </w:rPr>
        <w:t>144</w:t>
      </w:r>
      <w:r w:rsidRPr="00027BE3">
        <w:t>(2), pp.434-449.</w:t>
      </w:r>
      <w:r>
        <w:t xml:space="preserve"> </w:t>
      </w:r>
      <w:r w:rsidR="00EA2A1C">
        <w:t xml:space="preserve">Available at: </w:t>
      </w:r>
      <w:hyperlink r:id="rId54" w:history="1">
        <w:r w:rsidR="00D01024" w:rsidRPr="006562C8">
          <w:rPr>
            <w:rStyle w:val="Hyperlink"/>
          </w:rPr>
          <w:t>https://doi.org/10.1093/brain/awaa403</w:t>
        </w:r>
      </w:hyperlink>
    </w:p>
    <w:p w14:paraId="01FA9AA9" w14:textId="36152104" w:rsidR="002F432B" w:rsidRPr="0009624F" w:rsidRDefault="002F432B" w:rsidP="002F432B">
      <w:pPr>
        <w:ind w:left="720" w:hanging="720"/>
        <w:rPr>
          <w:lang w:val="en-US"/>
        </w:rPr>
      </w:pPr>
      <w:proofErr w:type="spellStart"/>
      <w:r w:rsidRPr="0009624F">
        <w:rPr>
          <w:lang w:val="en-US"/>
        </w:rPr>
        <w:t>Labtoo</w:t>
      </w:r>
      <w:proofErr w:type="spellEnd"/>
      <w:r w:rsidRPr="0009624F">
        <w:rPr>
          <w:lang w:val="en-US"/>
        </w:rPr>
        <w:t xml:space="preserve">. (2022) </w:t>
      </w:r>
      <w:proofErr w:type="gramStart"/>
      <w:r w:rsidRPr="0009624F">
        <w:rPr>
          <w:lang w:val="en-US"/>
        </w:rPr>
        <w:t>Neurodegenerative diseases</w:t>
      </w:r>
      <w:proofErr w:type="gramEnd"/>
      <w:r w:rsidRPr="0009624F">
        <w:rPr>
          <w:lang w:val="en-US"/>
        </w:rPr>
        <w:t xml:space="preserve"> - Crunchbase Company Profile &amp; Funding. </w:t>
      </w:r>
      <w:hyperlink r:id="rId55" w:history="1">
        <w:r w:rsidRPr="00A90C5F">
          <w:rPr>
            <w:rStyle w:val="Hyperlink"/>
            <w:lang w:val="en-US"/>
          </w:rPr>
          <w:t>https://www.crunchbase.com/organization/labtoo</w:t>
        </w:r>
      </w:hyperlink>
      <w:r>
        <w:rPr>
          <w:lang w:val="en-US"/>
        </w:rPr>
        <w:t xml:space="preserve"> </w:t>
      </w:r>
      <w:r w:rsidRPr="00364E90">
        <w:t>[Accessed 13 May 2026].</w:t>
      </w:r>
    </w:p>
    <w:p w14:paraId="060C05E9" w14:textId="77777777"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Lee, J.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Mild cognitive impairment in relation to Alzheimer’s disease: an investigation of principles, classifications, ethics, and problems. </w:t>
      </w:r>
      <w:proofErr w:type="spellStart"/>
      <w:r w:rsidRPr="00742B85">
        <w:rPr>
          <w:rFonts w:cs="Times New Roman"/>
          <w:i/>
          <w:iCs/>
          <w:szCs w:val="20"/>
          <w:shd w:val="clear" w:color="auto" w:fill="FFFFFF"/>
        </w:rPr>
        <w:t>Neuroethics</w:t>
      </w:r>
      <w:proofErr w:type="spellEnd"/>
      <w:r w:rsidRPr="00742B85">
        <w:rPr>
          <w:rFonts w:cs="Times New Roman"/>
          <w:szCs w:val="20"/>
          <w:shd w:val="clear" w:color="auto" w:fill="FFFFFF"/>
        </w:rPr>
        <w:t>, </w:t>
      </w:r>
      <w:r w:rsidRPr="00742B85">
        <w:rPr>
          <w:rFonts w:cs="Times New Roman"/>
          <w:i/>
          <w:iCs/>
          <w:szCs w:val="20"/>
          <w:shd w:val="clear" w:color="auto" w:fill="FFFFFF"/>
        </w:rPr>
        <w:t>16</w:t>
      </w:r>
      <w:r w:rsidRPr="00742B85">
        <w:rPr>
          <w:rFonts w:cs="Times New Roman"/>
          <w:szCs w:val="20"/>
          <w:shd w:val="clear" w:color="auto" w:fill="FFFFFF"/>
        </w:rPr>
        <w:t>(2), p.16.</w:t>
      </w:r>
      <w:r>
        <w:rPr>
          <w:rFonts w:cs="Times New Roman"/>
          <w:szCs w:val="20"/>
          <w:shd w:val="clear" w:color="auto" w:fill="FFFFFF"/>
        </w:rPr>
        <w:t xml:space="preserve"> </w:t>
      </w:r>
      <w:hyperlink r:id="rId56" w:history="1">
        <w:r w:rsidRPr="00A90C5F">
          <w:rPr>
            <w:rStyle w:val="Hyperlink"/>
            <w:rFonts w:cs="Times New Roman"/>
            <w:szCs w:val="20"/>
            <w:shd w:val="clear" w:color="auto" w:fill="FFFFFF"/>
          </w:rPr>
          <w:t>https://doi.org/10.1007/s12152-023-09522-5</w:t>
        </w:r>
      </w:hyperlink>
      <w:r>
        <w:rPr>
          <w:rFonts w:cs="Times New Roman"/>
          <w:szCs w:val="20"/>
          <w:shd w:val="clear" w:color="auto" w:fill="FFFFFF"/>
        </w:rPr>
        <w:t xml:space="preserve"> </w:t>
      </w:r>
    </w:p>
    <w:p w14:paraId="164B7E30" w14:textId="6BEC40F2" w:rsidR="002F432B" w:rsidRDefault="002F432B" w:rsidP="002F432B">
      <w:pPr>
        <w:ind w:left="720" w:hanging="720"/>
      </w:pPr>
      <w:bookmarkStart w:id="68" w:name="_Hlk231935020"/>
      <w:r w:rsidRPr="00B64EE5">
        <w:t xml:space="preserve">Muis, K.R., Denton, C. and Dubé, A., </w:t>
      </w:r>
      <w:r>
        <w:t>(</w:t>
      </w:r>
      <w:r w:rsidRPr="00B64EE5">
        <w:t>2022</w:t>
      </w:r>
      <w:r w:rsidR="003358E0">
        <w:t xml:space="preserve">) </w:t>
      </w:r>
      <w:r w:rsidR="003358E0" w:rsidRPr="00B64EE5">
        <w:t>Identifying</w:t>
      </w:r>
      <w:r w:rsidRPr="00B64EE5">
        <w:t xml:space="preserve"> CRAAP on the internet: A source evaluation intervention. </w:t>
      </w:r>
      <w:r w:rsidRPr="00B64EE5">
        <w:rPr>
          <w:i/>
          <w:iCs/>
        </w:rPr>
        <w:t>Advances in Social Sciences Research Journal</w:t>
      </w:r>
      <w:r w:rsidRPr="00B64EE5">
        <w:t>, </w:t>
      </w:r>
      <w:r w:rsidRPr="00B64EE5">
        <w:rPr>
          <w:i/>
          <w:iCs/>
        </w:rPr>
        <w:t>9</w:t>
      </w:r>
      <w:r w:rsidRPr="00B64EE5">
        <w:t xml:space="preserve">(7), pp.239-265. </w:t>
      </w:r>
      <w:r w:rsidR="003358E0">
        <w:t xml:space="preserve">Available at: </w:t>
      </w:r>
      <w:hyperlink r:id="rId57" w:history="1">
        <w:r w:rsidR="003358E0" w:rsidRPr="006562C8">
          <w:rPr>
            <w:rStyle w:val="Hyperlink"/>
          </w:rPr>
          <w:t>https://doi.org/10.14738/assrj.97.12670</w:t>
        </w:r>
      </w:hyperlink>
    </w:p>
    <w:bookmarkEnd w:id="68"/>
    <w:p w14:paraId="6934A6EE" w14:textId="4CDFD6D4"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O'Connor, T., Gibson, J., Lewis, J., Strickland, K. and Paterson, C.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Decision‐making in nursing research and practice—Application of the Cognitive Continuum Theory: A meta‐aggregative systematic review. </w:t>
      </w:r>
      <w:r w:rsidRPr="00742B85">
        <w:rPr>
          <w:rFonts w:cs="Times New Roman"/>
          <w:i/>
          <w:iCs/>
          <w:szCs w:val="20"/>
          <w:shd w:val="clear" w:color="auto" w:fill="FFFFFF"/>
        </w:rPr>
        <w:t>Journal of clinical nursing</w:t>
      </w:r>
      <w:r w:rsidRPr="00742B85">
        <w:rPr>
          <w:rFonts w:cs="Times New Roman"/>
          <w:szCs w:val="20"/>
          <w:shd w:val="clear" w:color="auto" w:fill="FFFFFF"/>
        </w:rPr>
        <w:t>, </w:t>
      </w:r>
      <w:r w:rsidRPr="00742B85">
        <w:rPr>
          <w:rFonts w:cs="Times New Roman"/>
          <w:i/>
          <w:iCs/>
          <w:szCs w:val="20"/>
          <w:shd w:val="clear" w:color="auto" w:fill="FFFFFF"/>
        </w:rPr>
        <w:t>32</w:t>
      </w:r>
      <w:r w:rsidRPr="00742B85">
        <w:rPr>
          <w:rFonts w:cs="Times New Roman"/>
          <w:szCs w:val="20"/>
          <w:shd w:val="clear" w:color="auto" w:fill="FFFFFF"/>
        </w:rPr>
        <w:t>(23-24), pp.7979-7995</w:t>
      </w:r>
      <w:r>
        <w:rPr>
          <w:rFonts w:cs="Times New Roman"/>
          <w:szCs w:val="20"/>
          <w:shd w:val="clear" w:color="auto" w:fill="FFFFFF"/>
        </w:rPr>
        <w:t xml:space="preserve">. </w:t>
      </w:r>
      <w:r w:rsidR="00853A87">
        <w:rPr>
          <w:rFonts w:cs="Times New Roman"/>
          <w:szCs w:val="20"/>
          <w:shd w:val="clear" w:color="auto" w:fill="FFFFFF"/>
        </w:rPr>
        <w:t>Ava</w:t>
      </w:r>
      <w:r w:rsidR="00BB7FD0">
        <w:rPr>
          <w:rFonts w:cs="Times New Roman"/>
          <w:szCs w:val="20"/>
          <w:shd w:val="clear" w:color="auto" w:fill="FFFFFF"/>
        </w:rPr>
        <w:t xml:space="preserve">ilable at: </w:t>
      </w:r>
      <w:hyperlink r:id="rId58" w:history="1">
        <w:r w:rsidR="00BB7FD0" w:rsidRPr="006562C8">
          <w:rPr>
            <w:rStyle w:val="Hyperlink"/>
            <w:rFonts w:cs="Times New Roman"/>
            <w:szCs w:val="20"/>
            <w:shd w:val="clear" w:color="auto" w:fill="FFFFFF"/>
          </w:rPr>
          <w:t>https://doi.org/10.1111/jocn.16893</w:t>
        </w:r>
      </w:hyperlink>
      <w:r>
        <w:rPr>
          <w:rFonts w:cs="Times New Roman"/>
          <w:szCs w:val="20"/>
          <w:shd w:val="clear" w:color="auto" w:fill="FFFFFF"/>
        </w:rPr>
        <w:t xml:space="preserve"> </w:t>
      </w:r>
    </w:p>
    <w:p w14:paraId="23F4EF90" w14:textId="3A720704"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Oosterhuis, E.J., Slade, K., May, P.J.C. and Nuttall, H.E. </w:t>
      </w:r>
      <w:r>
        <w:rPr>
          <w:rFonts w:cs="Times New Roman"/>
          <w:szCs w:val="20"/>
          <w:shd w:val="clear" w:color="auto" w:fill="FFFFFF"/>
        </w:rPr>
        <w:t>(</w:t>
      </w:r>
      <w:r w:rsidRPr="00742B85">
        <w:rPr>
          <w:rFonts w:cs="Times New Roman"/>
          <w:szCs w:val="20"/>
          <w:shd w:val="clear" w:color="auto" w:fill="FFFFFF"/>
        </w:rPr>
        <w:t>2023</w:t>
      </w:r>
      <w:r>
        <w:rPr>
          <w:rFonts w:cs="Times New Roman"/>
          <w:szCs w:val="20"/>
          <w:shd w:val="clear" w:color="auto" w:fill="FFFFFF"/>
        </w:rPr>
        <w:t>)</w:t>
      </w:r>
      <w:r w:rsidRPr="00742B85">
        <w:rPr>
          <w:rFonts w:cs="Times New Roman"/>
          <w:szCs w:val="20"/>
          <w:shd w:val="clear" w:color="auto" w:fill="FFFFFF"/>
        </w:rPr>
        <w:t xml:space="preserve"> Toward an understanding of healthy cognitive ageing: The importance of lifestyle in cognitive reserve and the scaffolding </w:t>
      </w:r>
      <w:r w:rsidRPr="00742B85">
        <w:rPr>
          <w:rFonts w:cs="Times New Roman"/>
          <w:szCs w:val="20"/>
          <w:shd w:val="clear" w:color="auto" w:fill="FFFFFF"/>
        </w:rPr>
        <w:lastRenderedPageBreak/>
        <w:t xml:space="preserve">theory of </w:t>
      </w:r>
      <w:r w:rsidR="00BB7FD0">
        <w:rPr>
          <w:rFonts w:cs="Times New Roman"/>
          <w:szCs w:val="20"/>
          <w:shd w:val="clear" w:color="auto" w:fill="FFFFFF"/>
        </w:rPr>
        <w:t>ageing</w:t>
      </w:r>
      <w:r w:rsidRPr="00742B85">
        <w:rPr>
          <w:rFonts w:cs="Times New Roman"/>
          <w:szCs w:val="20"/>
          <w:shd w:val="clear" w:color="auto" w:fill="FFFFFF"/>
        </w:rPr>
        <w:t xml:space="preserve"> and cognition. </w:t>
      </w:r>
      <w:r w:rsidRPr="00742B85">
        <w:rPr>
          <w:rFonts w:cs="Times New Roman"/>
          <w:i/>
          <w:iCs/>
          <w:szCs w:val="20"/>
          <w:shd w:val="clear" w:color="auto" w:fill="FFFFFF"/>
        </w:rPr>
        <w:t>The Journals of Gerontology: Series B</w:t>
      </w:r>
      <w:r w:rsidRPr="00742B85">
        <w:rPr>
          <w:rFonts w:cs="Times New Roman"/>
          <w:szCs w:val="20"/>
          <w:shd w:val="clear" w:color="auto" w:fill="FFFFFF"/>
        </w:rPr>
        <w:t>, </w:t>
      </w:r>
      <w:r w:rsidRPr="00742B85">
        <w:rPr>
          <w:rFonts w:cs="Times New Roman"/>
          <w:i/>
          <w:iCs/>
          <w:szCs w:val="20"/>
          <w:shd w:val="clear" w:color="auto" w:fill="FFFFFF"/>
        </w:rPr>
        <w:t>78</w:t>
      </w:r>
      <w:r w:rsidRPr="00742B85">
        <w:rPr>
          <w:rFonts w:cs="Times New Roman"/>
          <w:szCs w:val="20"/>
          <w:shd w:val="clear" w:color="auto" w:fill="FFFFFF"/>
        </w:rPr>
        <w:t>(5), pp.777-788.</w:t>
      </w:r>
      <w:r>
        <w:rPr>
          <w:rFonts w:cs="Times New Roman"/>
          <w:szCs w:val="20"/>
          <w:shd w:val="clear" w:color="auto" w:fill="FFFFFF"/>
        </w:rPr>
        <w:t xml:space="preserve"> </w:t>
      </w:r>
      <w:r w:rsidR="00BB7FD0">
        <w:rPr>
          <w:rFonts w:cs="Times New Roman"/>
          <w:szCs w:val="20"/>
          <w:shd w:val="clear" w:color="auto" w:fill="FFFFFF"/>
        </w:rPr>
        <w:t xml:space="preserve">Available at: </w:t>
      </w:r>
      <w:hyperlink r:id="rId59" w:history="1">
        <w:r w:rsidR="00262B8E" w:rsidRPr="006562C8">
          <w:rPr>
            <w:rStyle w:val="Hyperlink"/>
            <w:rFonts w:cs="Times New Roman"/>
            <w:szCs w:val="20"/>
            <w:shd w:val="clear" w:color="auto" w:fill="FFFFFF"/>
          </w:rPr>
          <w:t>https://doi.org/10.1093/geronb/gbac197</w:t>
        </w:r>
      </w:hyperlink>
      <w:r>
        <w:rPr>
          <w:rFonts w:cs="Times New Roman"/>
          <w:szCs w:val="20"/>
          <w:shd w:val="clear" w:color="auto" w:fill="FFFFFF"/>
        </w:rPr>
        <w:t xml:space="preserve"> </w:t>
      </w:r>
    </w:p>
    <w:p w14:paraId="0697231C" w14:textId="04EEBFE2"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Pasko, V.I., </w:t>
      </w:r>
      <w:proofErr w:type="spellStart"/>
      <w:r w:rsidRPr="00742B85">
        <w:rPr>
          <w:rFonts w:cs="Times New Roman"/>
          <w:szCs w:val="20"/>
          <w:shd w:val="clear" w:color="auto" w:fill="FFFFFF"/>
        </w:rPr>
        <w:t>Churkina</w:t>
      </w:r>
      <w:proofErr w:type="spellEnd"/>
      <w:r w:rsidRPr="00742B85">
        <w:rPr>
          <w:rFonts w:cs="Times New Roman"/>
          <w:szCs w:val="20"/>
          <w:shd w:val="clear" w:color="auto" w:fill="FFFFFF"/>
        </w:rPr>
        <w:t xml:space="preserve">, A.S., </w:t>
      </w:r>
      <w:proofErr w:type="spellStart"/>
      <w:r w:rsidRPr="00742B85">
        <w:rPr>
          <w:rFonts w:cs="Times New Roman"/>
          <w:szCs w:val="20"/>
          <w:shd w:val="clear" w:color="auto" w:fill="FFFFFF"/>
        </w:rPr>
        <w:t>Shakhov</w:t>
      </w:r>
      <w:proofErr w:type="spellEnd"/>
      <w:r w:rsidRPr="00742B85">
        <w:rPr>
          <w:rFonts w:cs="Times New Roman"/>
          <w:szCs w:val="20"/>
          <w:shd w:val="clear" w:color="auto" w:fill="FFFFFF"/>
        </w:rPr>
        <w:t xml:space="preserve">, A.S., </w:t>
      </w:r>
      <w:proofErr w:type="spellStart"/>
      <w:r w:rsidRPr="00742B85">
        <w:rPr>
          <w:rFonts w:cs="Times New Roman"/>
          <w:szCs w:val="20"/>
          <w:shd w:val="clear" w:color="auto" w:fill="FFFFFF"/>
        </w:rPr>
        <w:t>Kotlobay</w:t>
      </w:r>
      <w:proofErr w:type="spellEnd"/>
      <w:r w:rsidRPr="00742B85">
        <w:rPr>
          <w:rFonts w:cs="Times New Roman"/>
          <w:szCs w:val="20"/>
          <w:shd w:val="clear" w:color="auto" w:fill="FFFFFF"/>
        </w:rPr>
        <w:t xml:space="preserve">, A.A. and Alieva, I.B. </w:t>
      </w:r>
      <w:r>
        <w:rPr>
          <w:rFonts w:cs="Times New Roman"/>
          <w:szCs w:val="20"/>
          <w:shd w:val="clear" w:color="auto" w:fill="FFFFFF"/>
        </w:rPr>
        <w:t>(</w:t>
      </w:r>
      <w:r w:rsidRPr="00742B85">
        <w:rPr>
          <w:rFonts w:cs="Times New Roman"/>
          <w:szCs w:val="20"/>
          <w:shd w:val="clear" w:color="auto" w:fill="FFFFFF"/>
        </w:rPr>
        <w:t>2022</w:t>
      </w:r>
      <w:r>
        <w:rPr>
          <w:rFonts w:cs="Times New Roman"/>
          <w:szCs w:val="20"/>
          <w:shd w:val="clear" w:color="auto" w:fill="FFFFFF"/>
        </w:rPr>
        <w:t>)</w:t>
      </w:r>
      <w:r w:rsidRPr="00742B85">
        <w:rPr>
          <w:rFonts w:cs="Times New Roman"/>
          <w:szCs w:val="20"/>
          <w:shd w:val="clear" w:color="auto" w:fill="FFFFFF"/>
        </w:rPr>
        <w:t xml:space="preserve"> Modelling of neurodegenerative </w:t>
      </w:r>
      <w:proofErr w:type="spellStart"/>
      <w:proofErr w:type="gramStart"/>
      <w:r w:rsidRPr="00742B85">
        <w:rPr>
          <w:rFonts w:cs="Times New Roman"/>
          <w:szCs w:val="20"/>
          <w:shd w:val="clear" w:color="auto" w:fill="FFFFFF"/>
        </w:rPr>
        <w:t>diseases:‘</w:t>
      </w:r>
      <w:proofErr w:type="gramEnd"/>
      <w:r w:rsidRPr="00742B85">
        <w:rPr>
          <w:rFonts w:cs="Times New Roman"/>
          <w:szCs w:val="20"/>
          <w:shd w:val="clear" w:color="auto" w:fill="FFFFFF"/>
        </w:rPr>
        <w:t>step</w:t>
      </w:r>
      <w:proofErr w:type="spellEnd"/>
      <w:r w:rsidRPr="00742B85">
        <w:rPr>
          <w:rFonts w:cs="Times New Roman"/>
          <w:szCs w:val="20"/>
          <w:shd w:val="clear" w:color="auto" w:fill="FFFFFF"/>
        </w:rPr>
        <w:t xml:space="preserve"> by step ' and ‘network ' organisation of the complexes of model systems. </w:t>
      </w:r>
      <w:r w:rsidRPr="00742B85">
        <w:rPr>
          <w:rFonts w:cs="Times New Roman"/>
          <w:i/>
          <w:iCs/>
          <w:szCs w:val="20"/>
          <w:shd w:val="clear" w:color="auto" w:fill="FFFFFF"/>
        </w:rPr>
        <w:t>International Journal of Molecular Sciences</w:t>
      </w:r>
      <w:r w:rsidRPr="00742B85">
        <w:rPr>
          <w:rFonts w:cs="Times New Roman"/>
          <w:szCs w:val="20"/>
          <w:shd w:val="clear" w:color="auto" w:fill="FFFFFF"/>
        </w:rPr>
        <w:t>, </w:t>
      </w:r>
      <w:r w:rsidRPr="00742B85">
        <w:rPr>
          <w:rFonts w:cs="Times New Roman"/>
          <w:i/>
          <w:iCs/>
          <w:szCs w:val="20"/>
          <w:shd w:val="clear" w:color="auto" w:fill="FFFFFF"/>
        </w:rPr>
        <w:t>24</w:t>
      </w:r>
      <w:r w:rsidRPr="00742B85">
        <w:rPr>
          <w:rFonts w:cs="Times New Roman"/>
          <w:szCs w:val="20"/>
          <w:shd w:val="clear" w:color="auto" w:fill="FFFFFF"/>
        </w:rPr>
        <w:t>(1), p.604.</w:t>
      </w:r>
      <w:r>
        <w:rPr>
          <w:rFonts w:cs="Times New Roman"/>
          <w:szCs w:val="20"/>
          <w:shd w:val="clear" w:color="auto" w:fill="FFFFFF"/>
        </w:rPr>
        <w:t xml:space="preserve"> </w:t>
      </w:r>
      <w:r w:rsidR="00262B8E">
        <w:rPr>
          <w:rFonts w:cs="Times New Roman"/>
          <w:szCs w:val="20"/>
          <w:shd w:val="clear" w:color="auto" w:fill="FFFFFF"/>
        </w:rPr>
        <w:t xml:space="preserve">Available at: </w:t>
      </w:r>
      <w:hyperlink r:id="rId60" w:history="1">
        <w:r w:rsidR="00262B8E" w:rsidRPr="006562C8">
          <w:rPr>
            <w:rStyle w:val="Hyperlink"/>
            <w:rFonts w:cs="Times New Roman"/>
            <w:szCs w:val="20"/>
            <w:shd w:val="clear" w:color="auto" w:fill="FFFFFF"/>
          </w:rPr>
          <w:t>https://doi.org/10.3390/ijms24010604</w:t>
        </w:r>
      </w:hyperlink>
      <w:r>
        <w:rPr>
          <w:rFonts w:cs="Times New Roman"/>
          <w:szCs w:val="20"/>
          <w:shd w:val="clear" w:color="auto" w:fill="FFFFFF"/>
        </w:rPr>
        <w:t xml:space="preserve"> </w:t>
      </w:r>
    </w:p>
    <w:p w14:paraId="6F2A9AB2" w14:textId="7DCBB319" w:rsidR="002F432B" w:rsidRDefault="002F432B" w:rsidP="002F432B">
      <w:pPr>
        <w:ind w:left="720" w:hanging="720"/>
      </w:pPr>
      <w:r w:rsidRPr="00B64EE5">
        <w:t xml:space="preserve">Ralph, P. and Baltes, S., </w:t>
      </w:r>
      <w:r>
        <w:t>(</w:t>
      </w:r>
      <w:r w:rsidRPr="00B64EE5">
        <w:t>2022</w:t>
      </w:r>
      <w:r>
        <w:t>)</w:t>
      </w:r>
      <w:r w:rsidRPr="00B64EE5">
        <w:t xml:space="preserve"> November. Paving the way for mature secondary research: the seven types of literature review. In </w:t>
      </w:r>
      <w:r w:rsidRPr="00B64EE5">
        <w:rPr>
          <w:i/>
          <w:iCs/>
        </w:rPr>
        <w:t>Proceedings of the 30th ACM Joint European Software Engineering Conference and Symposium on the Foundations of Software Engineering</w:t>
      </w:r>
      <w:r w:rsidRPr="00B64EE5">
        <w:t> (pp. 1632-1636</w:t>
      </w:r>
      <w:r w:rsidR="00DC230E" w:rsidRPr="00B64EE5">
        <w:t>).</w:t>
      </w:r>
      <w:r w:rsidR="00DC230E">
        <w:t xml:space="preserve"> Available</w:t>
      </w:r>
      <w:r w:rsidR="00262B8E">
        <w:t xml:space="preserve"> at: </w:t>
      </w:r>
      <w:r w:rsidRPr="00B64EE5">
        <w:t xml:space="preserve"> </w:t>
      </w:r>
      <w:hyperlink r:id="rId61" w:history="1">
        <w:r w:rsidRPr="00985D63">
          <w:rPr>
            <w:rStyle w:val="Hyperlink"/>
          </w:rPr>
          <w:t>https://doi.org/10.1145/3540250.3560877</w:t>
        </w:r>
      </w:hyperlink>
    </w:p>
    <w:p w14:paraId="507DA157" w14:textId="2E170537" w:rsidR="002F432B" w:rsidRPr="00B12316" w:rsidRDefault="002F432B" w:rsidP="00F80C52">
      <w:pPr>
        <w:ind w:left="720" w:hanging="720"/>
        <w:jc w:val="left"/>
        <w:rPr>
          <w:rFonts w:cs="Times New Roman"/>
          <w:szCs w:val="20"/>
          <w:shd w:val="clear" w:color="auto" w:fill="FFFFFF"/>
        </w:rPr>
      </w:pPr>
      <w:r w:rsidRPr="00B12316">
        <w:rPr>
          <w:rFonts w:cs="Times New Roman"/>
          <w:szCs w:val="20"/>
          <w:shd w:val="clear" w:color="auto" w:fill="FFFFFF"/>
        </w:rPr>
        <w:t xml:space="preserve">Reeves, C., Islam, A. and Gentry, T. </w:t>
      </w:r>
      <w:r>
        <w:rPr>
          <w:rFonts w:cs="Times New Roman"/>
          <w:szCs w:val="20"/>
          <w:shd w:val="clear" w:color="auto" w:fill="FFFFFF"/>
        </w:rPr>
        <w:t>(</w:t>
      </w:r>
      <w:r w:rsidRPr="00B12316">
        <w:rPr>
          <w:rFonts w:cs="Times New Roman"/>
          <w:szCs w:val="20"/>
          <w:shd w:val="clear" w:color="auto" w:fill="FFFFFF"/>
        </w:rPr>
        <w:t>2023</w:t>
      </w:r>
      <w:r>
        <w:rPr>
          <w:rFonts w:cs="Times New Roman"/>
          <w:szCs w:val="20"/>
          <w:shd w:val="clear" w:color="auto" w:fill="FFFFFF"/>
        </w:rPr>
        <w:t>)</w:t>
      </w:r>
      <w:r w:rsidRPr="00B12316">
        <w:rPr>
          <w:rFonts w:cs="Times New Roman"/>
          <w:szCs w:val="20"/>
          <w:shd w:val="clear" w:color="auto" w:fill="FFFFFF"/>
        </w:rPr>
        <w:t xml:space="preserve"> The state of health and care of older people in England 2023 </w:t>
      </w:r>
      <w:r>
        <w:rPr>
          <w:rFonts w:cs="Times New Roman"/>
          <w:szCs w:val="20"/>
          <w:shd w:val="clear" w:color="auto" w:fill="FFFFFF"/>
        </w:rPr>
        <w:t xml:space="preserve"> </w:t>
      </w:r>
      <w:r w:rsidR="00F80C52">
        <w:rPr>
          <w:rFonts w:cs="Times New Roman"/>
          <w:szCs w:val="20"/>
          <w:shd w:val="clear" w:color="auto" w:fill="FFFFFF"/>
        </w:rPr>
        <w:t xml:space="preserve"> </w:t>
      </w:r>
      <w:r w:rsidR="00DC230E">
        <w:rPr>
          <w:rFonts w:cs="Times New Roman"/>
          <w:szCs w:val="20"/>
          <w:shd w:val="clear" w:color="auto" w:fill="FFFFFF"/>
        </w:rPr>
        <w:t xml:space="preserve">Available at: </w:t>
      </w:r>
      <w:hyperlink r:id="rId62" w:history="1">
        <w:r w:rsidR="00DC230E" w:rsidRPr="006562C8">
          <w:rPr>
            <w:rStyle w:val="Hyperlink"/>
            <w:rFonts w:cs="Times New Roman"/>
            <w:szCs w:val="20"/>
            <w:shd w:val="clear" w:color="auto" w:fill="FFFFFF"/>
          </w:rPr>
          <w:t>https://www.foundations.uk.com/wpcontent/uploads/2023/07/age_uk_briefing_state_of_health_and_care_of_older_people_july2023.pdft</w:t>
        </w:r>
      </w:hyperlink>
      <w:r>
        <w:rPr>
          <w:rFonts w:cs="Times New Roman"/>
          <w:szCs w:val="20"/>
          <w:shd w:val="clear" w:color="auto" w:fill="FFFFFF"/>
        </w:rPr>
        <w:t xml:space="preserve"> </w:t>
      </w:r>
      <w:r w:rsidR="00DC230E">
        <w:t>(</w:t>
      </w:r>
      <w:r w:rsidRPr="00364E90">
        <w:t>Accessed 13 May 2026</w:t>
      </w:r>
      <w:r w:rsidR="00DC230E">
        <w:t>)</w:t>
      </w:r>
      <w:r w:rsidRPr="00364E90">
        <w:t>.</w:t>
      </w:r>
    </w:p>
    <w:p w14:paraId="7EA3580D" w14:textId="7EB94083" w:rsidR="002F432B" w:rsidRDefault="002F432B" w:rsidP="002F432B">
      <w:pPr>
        <w:ind w:left="720" w:hanging="720"/>
      </w:pPr>
      <w:r w:rsidRPr="00E325DA">
        <w:t xml:space="preserve">Ribarič, S., </w:t>
      </w:r>
      <w:r>
        <w:t>(</w:t>
      </w:r>
      <w:r w:rsidRPr="00E325DA">
        <w:t>2023</w:t>
      </w:r>
      <w:r>
        <w:t>)</w:t>
      </w:r>
      <w:r w:rsidRPr="00E325DA">
        <w:t xml:space="preserve"> Detecting early cognitive decline in Alzheimer’s disease with brain synaptic structural and functional evaluation. </w:t>
      </w:r>
      <w:r w:rsidRPr="00E325DA">
        <w:rPr>
          <w:i/>
          <w:iCs/>
        </w:rPr>
        <w:t>Biomedicines</w:t>
      </w:r>
      <w:r w:rsidRPr="00E325DA">
        <w:t>, </w:t>
      </w:r>
      <w:r w:rsidRPr="00E325DA">
        <w:rPr>
          <w:i/>
          <w:iCs/>
        </w:rPr>
        <w:t>11</w:t>
      </w:r>
      <w:r w:rsidRPr="00E325DA">
        <w:t>(2), p.355.</w:t>
      </w:r>
      <w:r w:rsidRPr="00D31776">
        <w:t xml:space="preserve"> </w:t>
      </w:r>
      <w:r w:rsidR="009C3011">
        <w:t xml:space="preserve">Available at: </w:t>
      </w:r>
      <w:hyperlink r:id="rId63" w:history="1">
        <w:r w:rsidR="009C3011" w:rsidRPr="006562C8">
          <w:rPr>
            <w:rStyle w:val="Hyperlink"/>
          </w:rPr>
          <w:t>https://doi.org/10.3390/biomedicines11020355</w:t>
        </w:r>
      </w:hyperlink>
    </w:p>
    <w:p w14:paraId="5B75D592" w14:textId="3ABE8FAB" w:rsidR="002F432B"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Saunders, S., Gregory, S., Clement, M.H., Birck, C., Geyten, S.V.D. and Ritchie, C.W. </w:t>
      </w:r>
      <w:r>
        <w:rPr>
          <w:rFonts w:cs="Times New Roman"/>
          <w:szCs w:val="20"/>
          <w:shd w:val="clear" w:color="auto" w:fill="FFFFFF"/>
        </w:rPr>
        <w:t>(</w:t>
      </w:r>
      <w:r w:rsidRPr="00742B85">
        <w:rPr>
          <w:rFonts w:cs="Times New Roman"/>
          <w:szCs w:val="20"/>
          <w:shd w:val="clear" w:color="auto" w:fill="FFFFFF"/>
        </w:rPr>
        <w:t>2022</w:t>
      </w:r>
      <w:r>
        <w:rPr>
          <w:rFonts w:cs="Times New Roman"/>
          <w:szCs w:val="20"/>
          <w:shd w:val="clear" w:color="auto" w:fill="FFFFFF"/>
        </w:rPr>
        <w:t>)</w:t>
      </w:r>
      <w:r w:rsidRPr="00742B85">
        <w:rPr>
          <w:rFonts w:cs="Times New Roman"/>
          <w:szCs w:val="20"/>
          <w:shd w:val="clear" w:color="auto" w:fill="FFFFFF"/>
        </w:rPr>
        <w:t xml:space="preserve"> The European Prevention of Alzheimer's Dementia Programme: An Innovative Medicines Initiative-funded partnership to facilitate secondary prevention of Alzheimer's disease dementia. </w:t>
      </w:r>
      <w:r w:rsidRPr="00742B85">
        <w:rPr>
          <w:rFonts w:cs="Times New Roman"/>
          <w:i/>
          <w:iCs/>
          <w:szCs w:val="20"/>
          <w:shd w:val="clear" w:color="auto" w:fill="FFFFFF"/>
        </w:rPr>
        <w:t>Frontiers in Neurology</w:t>
      </w:r>
      <w:r w:rsidRPr="00742B85">
        <w:rPr>
          <w:rFonts w:cs="Times New Roman"/>
          <w:szCs w:val="20"/>
          <w:shd w:val="clear" w:color="auto" w:fill="FFFFFF"/>
        </w:rPr>
        <w:t>, </w:t>
      </w:r>
      <w:r w:rsidRPr="00742B85">
        <w:rPr>
          <w:rFonts w:cs="Times New Roman"/>
          <w:i/>
          <w:iCs/>
          <w:szCs w:val="20"/>
          <w:shd w:val="clear" w:color="auto" w:fill="FFFFFF"/>
        </w:rPr>
        <w:t>13</w:t>
      </w:r>
      <w:r w:rsidRPr="00742B85">
        <w:rPr>
          <w:rFonts w:cs="Times New Roman"/>
          <w:szCs w:val="20"/>
          <w:shd w:val="clear" w:color="auto" w:fill="FFFFFF"/>
        </w:rPr>
        <w:t>, p.1051543.</w:t>
      </w:r>
      <w:r>
        <w:rPr>
          <w:rFonts w:cs="Times New Roman"/>
          <w:szCs w:val="20"/>
          <w:shd w:val="clear" w:color="auto" w:fill="FFFFFF"/>
        </w:rPr>
        <w:t xml:space="preserve"> </w:t>
      </w:r>
      <w:r w:rsidR="009C3011">
        <w:rPr>
          <w:rFonts w:cs="Times New Roman"/>
          <w:szCs w:val="20"/>
          <w:shd w:val="clear" w:color="auto" w:fill="FFFFFF"/>
        </w:rPr>
        <w:t xml:space="preserve">Available at: </w:t>
      </w:r>
      <w:hyperlink r:id="rId64" w:history="1">
        <w:r w:rsidR="009C3011" w:rsidRPr="006562C8">
          <w:rPr>
            <w:rStyle w:val="Hyperlink"/>
            <w:rFonts w:cs="Times New Roman"/>
            <w:szCs w:val="20"/>
            <w:shd w:val="clear" w:color="auto" w:fill="FFFFFF"/>
          </w:rPr>
          <w:t>https://doi.org/10.3389/fneur.2022.1051543</w:t>
        </w:r>
      </w:hyperlink>
      <w:r>
        <w:rPr>
          <w:rFonts w:cs="Times New Roman"/>
          <w:szCs w:val="20"/>
          <w:shd w:val="clear" w:color="auto" w:fill="FFFFFF"/>
        </w:rPr>
        <w:t xml:space="preserve"> </w:t>
      </w:r>
    </w:p>
    <w:p w14:paraId="528F1CC7" w14:textId="0337FE3E" w:rsidR="002F432B" w:rsidRDefault="002F432B" w:rsidP="002F432B">
      <w:pPr>
        <w:ind w:left="720" w:hanging="720"/>
      </w:pPr>
      <w:r w:rsidRPr="00364E90">
        <w:t xml:space="preserve">Searby, A., Burr, D., Carolin, R. and Hutchinson, A., </w:t>
      </w:r>
      <w:r>
        <w:t>(</w:t>
      </w:r>
      <w:r w:rsidRPr="00364E90">
        <w:t>2025</w:t>
      </w:r>
      <w:r>
        <w:t>)</w:t>
      </w:r>
      <w:r w:rsidRPr="00364E90">
        <w:t xml:space="preserve"> Barriers and facilitators to mental health service integration: a scoping review. </w:t>
      </w:r>
      <w:r w:rsidRPr="00364E90">
        <w:rPr>
          <w:i/>
          <w:iCs/>
        </w:rPr>
        <w:t>International Journal of Mental Health Nursing</w:t>
      </w:r>
      <w:r w:rsidRPr="00364E90">
        <w:t>, </w:t>
      </w:r>
      <w:r w:rsidRPr="00364E90">
        <w:rPr>
          <w:i/>
          <w:iCs/>
        </w:rPr>
        <w:t>34</w:t>
      </w:r>
      <w:r w:rsidRPr="00364E90">
        <w:t>(1), p.e13449.</w:t>
      </w:r>
      <w:r w:rsidR="009C3011">
        <w:t xml:space="preserve"> Available at:</w:t>
      </w:r>
      <w:r w:rsidRPr="00364E90">
        <w:t xml:space="preserve"> </w:t>
      </w:r>
      <w:hyperlink r:id="rId65" w:history="1">
        <w:r w:rsidRPr="00985D63">
          <w:rPr>
            <w:rStyle w:val="Hyperlink"/>
          </w:rPr>
          <w:t>https://doi.org/10.1111/inm.13449</w:t>
        </w:r>
      </w:hyperlink>
    </w:p>
    <w:p w14:paraId="574FD6DB" w14:textId="1E5098CD" w:rsidR="002F432B" w:rsidRDefault="002F432B" w:rsidP="002F432B">
      <w:pPr>
        <w:ind w:left="720" w:hanging="720"/>
      </w:pPr>
      <w:r w:rsidRPr="00B64EE5">
        <w:t xml:space="preserve">Shaheen, N., Shaheen, A., Ramadan, A., </w:t>
      </w:r>
      <w:proofErr w:type="spellStart"/>
      <w:r w:rsidRPr="00B64EE5">
        <w:t>Hefnawy</w:t>
      </w:r>
      <w:proofErr w:type="spellEnd"/>
      <w:r w:rsidRPr="00B64EE5">
        <w:t xml:space="preserve">, M.T., Ramadan, A., Ibrahim, I.A., Hassanein, M.E., Ashour, M.E. and </w:t>
      </w:r>
      <w:proofErr w:type="spellStart"/>
      <w:r w:rsidRPr="00B64EE5">
        <w:t>Flouty</w:t>
      </w:r>
      <w:proofErr w:type="spellEnd"/>
      <w:r w:rsidRPr="00B64EE5">
        <w:t xml:space="preserve">, O., </w:t>
      </w:r>
      <w:r>
        <w:t>(</w:t>
      </w:r>
      <w:r w:rsidRPr="00B64EE5">
        <w:t>2023</w:t>
      </w:r>
      <w:r w:rsidR="001D0A4B">
        <w:t xml:space="preserve">) </w:t>
      </w:r>
      <w:r w:rsidR="001D0A4B" w:rsidRPr="00B64EE5">
        <w:t>Appraising</w:t>
      </w:r>
      <w:r w:rsidRPr="00B64EE5">
        <w:t xml:space="preserve"> systematic reviews: a comprehensive guide to ensuring validity and reliability. </w:t>
      </w:r>
      <w:r w:rsidRPr="00B64EE5">
        <w:rPr>
          <w:i/>
          <w:iCs/>
        </w:rPr>
        <w:t>Frontiers in research metrics and analytics</w:t>
      </w:r>
      <w:r w:rsidRPr="00B64EE5">
        <w:t>, </w:t>
      </w:r>
      <w:r w:rsidRPr="00B64EE5">
        <w:rPr>
          <w:i/>
          <w:iCs/>
        </w:rPr>
        <w:t>8</w:t>
      </w:r>
      <w:r w:rsidRPr="00B64EE5">
        <w:t xml:space="preserve">, p.1268045. </w:t>
      </w:r>
      <w:r w:rsidR="001D0A4B">
        <w:t xml:space="preserve">Available at: </w:t>
      </w:r>
      <w:hyperlink r:id="rId66" w:history="1">
        <w:r w:rsidR="001D0A4B" w:rsidRPr="006562C8">
          <w:rPr>
            <w:rStyle w:val="Hyperlink"/>
          </w:rPr>
          <w:t>https://doi.org/10.3389/frma.2023.1268045</w:t>
        </w:r>
      </w:hyperlink>
    </w:p>
    <w:p w14:paraId="2CF28439" w14:textId="69B733AF" w:rsidR="002F432B" w:rsidRDefault="002F432B" w:rsidP="002F432B">
      <w:pPr>
        <w:ind w:left="720" w:hanging="720"/>
      </w:pPr>
      <w:r w:rsidRPr="00B64EE5">
        <w:t xml:space="preserve">Shaheen, N., Shaheen, A., Ramadan, A., </w:t>
      </w:r>
      <w:proofErr w:type="spellStart"/>
      <w:r w:rsidRPr="00B64EE5">
        <w:t>Hefnawy</w:t>
      </w:r>
      <w:proofErr w:type="spellEnd"/>
      <w:r w:rsidRPr="00B64EE5">
        <w:t xml:space="preserve">, M.T., Ramadan, A., Ibrahim, I.A., Hassanein, M.E., Ashour, M.E. and </w:t>
      </w:r>
      <w:proofErr w:type="spellStart"/>
      <w:r w:rsidRPr="00B64EE5">
        <w:t>Flouty</w:t>
      </w:r>
      <w:proofErr w:type="spellEnd"/>
      <w:r w:rsidRPr="00B64EE5">
        <w:t xml:space="preserve">, O., </w:t>
      </w:r>
      <w:r>
        <w:t>(</w:t>
      </w:r>
      <w:r w:rsidRPr="00B64EE5">
        <w:t>2023</w:t>
      </w:r>
      <w:proofErr w:type="gramStart"/>
      <w:r>
        <w:t>)</w:t>
      </w:r>
      <w:r w:rsidR="001D0A4B">
        <w:t xml:space="preserve"> </w:t>
      </w:r>
      <w:r w:rsidRPr="00B64EE5">
        <w:t xml:space="preserve"> Appraising</w:t>
      </w:r>
      <w:proofErr w:type="gramEnd"/>
      <w:r w:rsidRPr="00B64EE5">
        <w:t xml:space="preserve"> systematic reviews: a comprehensive </w:t>
      </w:r>
      <w:r w:rsidRPr="00B64EE5">
        <w:lastRenderedPageBreak/>
        <w:t>guide to ensuring validity and reliability. </w:t>
      </w:r>
      <w:r w:rsidRPr="00B64EE5">
        <w:rPr>
          <w:i/>
          <w:iCs/>
        </w:rPr>
        <w:t>Frontiers in research metrics and analytics</w:t>
      </w:r>
      <w:r w:rsidRPr="00B64EE5">
        <w:t>, </w:t>
      </w:r>
      <w:r w:rsidRPr="00B64EE5">
        <w:rPr>
          <w:i/>
          <w:iCs/>
        </w:rPr>
        <w:t>8</w:t>
      </w:r>
      <w:r w:rsidRPr="00B64EE5">
        <w:t>, p.1268045.</w:t>
      </w:r>
      <w:r w:rsidR="001D0A4B">
        <w:t>Available at:</w:t>
      </w:r>
      <w:r>
        <w:t xml:space="preserve"> </w:t>
      </w:r>
      <w:hyperlink r:id="rId67" w:history="1">
        <w:r w:rsidRPr="00985D63">
          <w:rPr>
            <w:rStyle w:val="Hyperlink"/>
          </w:rPr>
          <w:t>https://doi.org/10.3389/frma.2023.1268045</w:t>
        </w:r>
      </w:hyperlink>
    </w:p>
    <w:p w14:paraId="6EC7516D" w14:textId="67D35FAE"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t xml:space="preserve">Smith, S.J. and Surr, C. </w:t>
      </w:r>
      <w:r>
        <w:rPr>
          <w:rFonts w:cs="Times New Roman"/>
          <w:szCs w:val="20"/>
          <w:shd w:val="clear" w:color="auto" w:fill="FFFFFF"/>
        </w:rPr>
        <w:t>(</w:t>
      </w:r>
      <w:r w:rsidRPr="00742B85">
        <w:rPr>
          <w:rFonts w:cs="Times New Roman"/>
          <w:szCs w:val="20"/>
          <w:shd w:val="clear" w:color="auto" w:fill="FFFFFF"/>
        </w:rPr>
        <w:t>2024</w:t>
      </w:r>
      <w:r>
        <w:rPr>
          <w:rFonts w:cs="Times New Roman"/>
          <w:szCs w:val="20"/>
          <w:shd w:val="clear" w:color="auto" w:fill="FFFFFF"/>
        </w:rPr>
        <w:t>)</w:t>
      </w:r>
      <w:r w:rsidRPr="00742B85">
        <w:rPr>
          <w:rFonts w:cs="Times New Roman"/>
          <w:szCs w:val="20"/>
          <w:shd w:val="clear" w:color="auto" w:fill="FFFFFF"/>
        </w:rPr>
        <w:t xml:space="preserve"> Exploring challenges and innovation in memory assessment services in England and Wales–a national survey and case study approach. </w:t>
      </w:r>
      <w:r w:rsidRPr="00742B85">
        <w:rPr>
          <w:rFonts w:cs="Times New Roman"/>
          <w:i/>
          <w:iCs/>
          <w:szCs w:val="20"/>
          <w:shd w:val="clear" w:color="auto" w:fill="FFFFFF"/>
        </w:rPr>
        <w:t>BMC Health Services Research</w:t>
      </w:r>
      <w:r w:rsidRPr="00742B85">
        <w:rPr>
          <w:rFonts w:cs="Times New Roman"/>
          <w:szCs w:val="20"/>
          <w:shd w:val="clear" w:color="auto" w:fill="FFFFFF"/>
        </w:rPr>
        <w:t>, </w:t>
      </w:r>
      <w:r w:rsidRPr="00742B85">
        <w:rPr>
          <w:rFonts w:cs="Times New Roman"/>
          <w:i/>
          <w:iCs/>
          <w:szCs w:val="20"/>
          <w:shd w:val="clear" w:color="auto" w:fill="FFFFFF"/>
        </w:rPr>
        <w:t>24</w:t>
      </w:r>
      <w:r w:rsidRPr="00742B85">
        <w:rPr>
          <w:rFonts w:cs="Times New Roman"/>
          <w:szCs w:val="20"/>
          <w:shd w:val="clear" w:color="auto" w:fill="FFFFFF"/>
        </w:rPr>
        <w:t>(1), p.1143.</w:t>
      </w:r>
      <w:r>
        <w:rPr>
          <w:rFonts w:cs="Times New Roman"/>
          <w:szCs w:val="20"/>
          <w:shd w:val="clear" w:color="auto" w:fill="FFFFFF"/>
        </w:rPr>
        <w:t xml:space="preserve"> </w:t>
      </w:r>
      <w:r w:rsidR="001D0A4B">
        <w:rPr>
          <w:rFonts w:cs="Times New Roman"/>
          <w:szCs w:val="20"/>
          <w:shd w:val="clear" w:color="auto" w:fill="FFFFFF"/>
        </w:rPr>
        <w:t xml:space="preserve">Available at: </w:t>
      </w:r>
      <w:hyperlink r:id="rId68" w:history="1">
        <w:r w:rsidR="001D0A4B" w:rsidRPr="006562C8">
          <w:rPr>
            <w:rStyle w:val="Hyperlink"/>
            <w:rFonts w:cs="Times New Roman"/>
            <w:szCs w:val="20"/>
            <w:shd w:val="clear" w:color="auto" w:fill="FFFFFF"/>
          </w:rPr>
          <w:t>https://doi.org/10.1186/s12913-024-11571-2</w:t>
        </w:r>
      </w:hyperlink>
      <w:r>
        <w:rPr>
          <w:rFonts w:cs="Times New Roman"/>
          <w:szCs w:val="20"/>
          <w:shd w:val="clear" w:color="auto" w:fill="FFFFFF"/>
        </w:rPr>
        <w:t xml:space="preserve"> </w:t>
      </w:r>
    </w:p>
    <w:p w14:paraId="6F8BB0D1" w14:textId="19229CE8" w:rsidR="002F432B" w:rsidRDefault="002F432B" w:rsidP="002F432B">
      <w:pPr>
        <w:ind w:left="720" w:hanging="720"/>
        <w:rPr>
          <w:rFonts w:cs="Times New Roman"/>
          <w:szCs w:val="20"/>
          <w:shd w:val="clear" w:color="auto" w:fill="FFFFFF"/>
        </w:rPr>
      </w:pPr>
      <w:r w:rsidRPr="00B12316">
        <w:rPr>
          <w:rFonts w:cs="Times New Roman"/>
          <w:szCs w:val="20"/>
          <w:shd w:val="clear" w:color="auto" w:fill="FFFFFF"/>
        </w:rPr>
        <w:t xml:space="preserve">Søndergaard, S.F., Andersen, A.B. and Frederiksen, K. </w:t>
      </w:r>
      <w:r>
        <w:rPr>
          <w:rFonts w:cs="Times New Roman"/>
          <w:szCs w:val="20"/>
          <w:shd w:val="clear" w:color="auto" w:fill="FFFFFF"/>
        </w:rPr>
        <w:t>(</w:t>
      </w:r>
      <w:r w:rsidRPr="00B12316">
        <w:rPr>
          <w:rFonts w:cs="Times New Roman"/>
          <w:szCs w:val="20"/>
          <w:shd w:val="clear" w:color="auto" w:fill="FFFFFF"/>
        </w:rPr>
        <w:t>2024</w:t>
      </w:r>
      <w:r>
        <w:rPr>
          <w:rFonts w:cs="Times New Roman"/>
          <w:szCs w:val="20"/>
          <w:shd w:val="clear" w:color="auto" w:fill="FFFFFF"/>
        </w:rPr>
        <w:t>)</w:t>
      </w:r>
      <w:r w:rsidRPr="00B12316">
        <w:rPr>
          <w:rFonts w:cs="Times New Roman"/>
          <w:szCs w:val="20"/>
          <w:shd w:val="clear" w:color="auto" w:fill="FFFFFF"/>
        </w:rPr>
        <w:t xml:space="preserve"> APN nurses' core competencies for general clinical health assessment in primary health care. A scoping review. </w:t>
      </w:r>
      <w:r w:rsidRPr="00B12316">
        <w:rPr>
          <w:rFonts w:cs="Times New Roman"/>
          <w:i/>
          <w:iCs/>
          <w:szCs w:val="20"/>
          <w:shd w:val="clear" w:color="auto" w:fill="FFFFFF"/>
        </w:rPr>
        <w:t>Scandinavian Journal of Caring Sciences</w:t>
      </w:r>
      <w:r w:rsidRPr="00B12316">
        <w:rPr>
          <w:rFonts w:cs="Times New Roman"/>
          <w:szCs w:val="20"/>
          <w:shd w:val="clear" w:color="auto" w:fill="FFFFFF"/>
        </w:rPr>
        <w:t>, </w:t>
      </w:r>
      <w:r w:rsidRPr="00B12316">
        <w:rPr>
          <w:rFonts w:cs="Times New Roman"/>
          <w:i/>
          <w:iCs/>
          <w:szCs w:val="20"/>
          <w:shd w:val="clear" w:color="auto" w:fill="FFFFFF"/>
        </w:rPr>
        <w:t>38</w:t>
      </w:r>
      <w:r w:rsidRPr="00B12316">
        <w:rPr>
          <w:rFonts w:cs="Times New Roman"/>
          <w:szCs w:val="20"/>
          <w:shd w:val="clear" w:color="auto" w:fill="FFFFFF"/>
        </w:rPr>
        <w:t>(2), pp.258-272.</w:t>
      </w:r>
      <w:r>
        <w:rPr>
          <w:rFonts w:cs="Times New Roman"/>
          <w:szCs w:val="20"/>
          <w:shd w:val="clear" w:color="auto" w:fill="FFFFFF"/>
        </w:rPr>
        <w:t xml:space="preserve"> </w:t>
      </w:r>
      <w:r w:rsidR="001D0A4B">
        <w:rPr>
          <w:rFonts w:cs="Times New Roman"/>
          <w:szCs w:val="20"/>
          <w:shd w:val="clear" w:color="auto" w:fill="FFFFFF"/>
        </w:rPr>
        <w:t xml:space="preserve">Available at: </w:t>
      </w:r>
      <w:hyperlink r:id="rId69" w:history="1">
        <w:r w:rsidR="001D0A4B" w:rsidRPr="006562C8">
          <w:rPr>
            <w:rStyle w:val="Hyperlink"/>
            <w:rFonts w:cs="Times New Roman"/>
            <w:szCs w:val="20"/>
            <w:shd w:val="clear" w:color="auto" w:fill="FFFFFF"/>
          </w:rPr>
          <w:t>https://doi.org/10.1111/scs.13235</w:t>
        </w:r>
      </w:hyperlink>
      <w:r>
        <w:rPr>
          <w:rFonts w:cs="Times New Roman"/>
          <w:szCs w:val="20"/>
          <w:shd w:val="clear" w:color="auto" w:fill="FFFFFF"/>
        </w:rPr>
        <w:t xml:space="preserve"> </w:t>
      </w:r>
    </w:p>
    <w:p w14:paraId="5D0B2342" w14:textId="1F1ACFBE" w:rsidR="002F432B" w:rsidRPr="000F3EB4" w:rsidRDefault="002F432B" w:rsidP="002F432B">
      <w:pPr>
        <w:ind w:left="720" w:hanging="720"/>
        <w:rPr>
          <w:rFonts w:cs="Times New Roman"/>
          <w:szCs w:val="20"/>
          <w:shd w:val="clear" w:color="auto" w:fill="FFFFFF"/>
          <w:lang w:val="en-US"/>
        </w:rPr>
      </w:pPr>
      <w:r w:rsidRPr="000F3EB4">
        <w:rPr>
          <w:rFonts w:cs="Times New Roman"/>
          <w:szCs w:val="20"/>
          <w:shd w:val="clear" w:color="auto" w:fill="FFFFFF"/>
          <w:lang w:val="en-US"/>
        </w:rPr>
        <w:t>Springer</w:t>
      </w:r>
      <w:r>
        <w:rPr>
          <w:rFonts w:cs="Times New Roman"/>
          <w:szCs w:val="20"/>
          <w:shd w:val="clear" w:color="auto" w:fill="FFFFFF"/>
          <w:lang w:val="en-US"/>
        </w:rPr>
        <w:t xml:space="preserve"> </w:t>
      </w:r>
      <w:r w:rsidRPr="000F3EB4">
        <w:rPr>
          <w:rFonts w:cs="Times New Roman"/>
          <w:szCs w:val="20"/>
          <w:shd w:val="clear" w:color="auto" w:fill="FFFFFF"/>
          <w:lang w:val="en-US"/>
        </w:rPr>
        <w:t xml:space="preserve">(2023) </w:t>
      </w:r>
      <w:r w:rsidRPr="00604706">
        <w:rPr>
          <w:rFonts w:cs="Times New Roman"/>
          <w:szCs w:val="20"/>
          <w:shd w:val="clear" w:color="auto" w:fill="FFFFFF"/>
          <w:lang w:val="en-US"/>
        </w:rPr>
        <w:t>Artificial Intelligence for Cognitive Health Assessment: State-of-the-Art, Open Challenges and Future Directions</w:t>
      </w:r>
      <w:r w:rsidRPr="000F3EB4">
        <w:rPr>
          <w:rFonts w:cs="Times New Roman"/>
          <w:szCs w:val="20"/>
          <w:shd w:val="clear" w:color="auto" w:fill="FFFFFF"/>
          <w:lang w:val="en-US"/>
        </w:rPr>
        <w:t xml:space="preserve">. </w:t>
      </w:r>
      <w:hyperlink r:id="rId70" w:history="1">
        <w:r w:rsidRPr="00A90C5F">
          <w:rPr>
            <w:rStyle w:val="Hyperlink"/>
            <w:rFonts w:cs="Times New Roman"/>
            <w:szCs w:val="20"/>
            <w:shd w:val="clear" w:color="auto" w:fill="FFFFFF"/>
            <w:lang w:val="en-US"/>
          </w:rPr>
          <w:t>https://link.springer.com/content/pdf/10.1007/s12559-023-10153-4.pdf</w:t>
        </w:r>
      </w:hyperlink>
      <w:r>
        <w:rPr>
          <w:rFonts w:cs="Times New Roman"/>
          <w:szCs w:val="20"/>
          <w:shd w:val="clear" w:color="auto" w:fill="FFFFFF"/>
          <w:lang w:val="en-US"/>
        </w:rPr>
        <w:t xml:space="preserve"> </w:t>
      </w:r>
      <w:r w:rsidR="001D0A4B">
        <w:t>(</w:t>
      </w:r>
      <w:r w:rsidRPr="004C6712">
        <w:t>Accessed 27 Mar. 2026</w:t>
      </w:r>
      <w:r w:rsidR="001D0A4B">
        <w:t>)</w:t>
      </w:r>
      <w:r w:rsidRPr="004C6712">
        <w:t>.</w:t>
      </w:r>
    </w:p>
    <w:p w14:paraId="0F547305" w14:textId="59B6BE1F" w:rsidR="002F432B" w:rsidRDefault="002F432B" w:rsidP="002F432B">
      <w:pPr>
        <w:ind w:left="720" w:hanging="720"/>
      </w:pPr>
      <w:r w:rsidRPr="000A6729">
        <w:t xml:space="preserve">Stothart, G., Smith, L.J., Milton, A. and Coulthard, E., </w:t>
      </w:r>
      <w:r>
        <w:t>(</w:t>
      </w:r>
      <w:r w:rsidRPr="000A6729">
        <w:t>2021</w:t>
      </w:r>
      <w:r>
        <w:t>)</w:t>
      </w:r>
      <w:r w:rsidRPr="000A6729">
        <w:t xml:space="preserve"> A passive and objective measure of recognition memory in Alzheimer’s disease using Fastball memory assessment. </w:t>
      </w:r>
      <w:r w:rsidRPr="000A6729">
        <w:rPr>
          <w:i/>
          <w:iCs/>
        </w:rPr>
        <w:t>Brain</w:t>
      </w:r>
      <w:r w:rsidRPr="000A6729">
        <w:t>, </w:t>
      </w:r>
      <w:r w:rsidRPr="000A6729">
        <w:rPr>
          <w:i/>
          <w:iCs/>
        </w:rPr>
        <w:t>144</w:t>
      </w:r>
      <w:r w:rsidRPr="000A6729">
        <w:t>(9), pp.2812-2825.</w:t>
      </w:r>
      <w:r>
        <w:t xml:space="preserve"> </w:t>
      </w:r>
      <w:r w:rsidR="001D0A4B">
        <w:t xml:space="preserve">Available at: </w:t>
      </w:r>
      <w:hyperlink r:id="rId71" w:history="1">
        <w:r w:rsidR="001D0A4B" w:rsidRPr="006562C8">
          <w:rPr>
            <w:rStyle w:val="Hyperlink"/>
          </w:rPr>
          <w:t>https://doi.org/10.1093/brain/awab154</w:t>
        </w:r>
      </w:hyperlink>
    </w:p>
    <w:p w14:paraId="35CD4AB4" w14:textId="5DA4826B" w:rsidR="002F432B" w:rsidRDefault="002F432B" w:rsidP="002F432B">
      <w:pPr>
        <w:ind w:left="720" w:hanging="720"/>
        <w:rPr>
          <w:lang w:val="en-US"/>
        </w:rPr>
      </w:pPr>
      <w:r w:rsidRPr="0009624F">
        <w:rPr>
          <w:lang w:val="en-US"/>
        </w:rPr>
        <w:t xml:space="preserve">Taylor &amp; Francis. (2025) Trends in mortality in elderly patients with </w:t>
      </w:r>
      <w:proofErr w:type="spellStart"/>
      <w:r w:rsidRPr="0009624F">
        <w:rPr>
          <w:lang w:val="en-US"/>
        </w:rPr>
        <w:t>alzheimer’s</w:t>
      </w:r>
      <w:proofErr w:type="spellEnd"/>
      <w:r w:rsidRPr="0009624F">
        <w:rPr>
          <w:lang w:val="en-US"/>
        </w:rPr>
        <w:t xml:space="preserve"> dementia and aspiration pneumonitis in the United States: Neurodegenerative Disease Management: Vol 16, no 1 - get access. </w:t>
      </w:r>
      <w:r w:rsidR="001D0A4B">
        <w:rPr>
          <w:lang w:val="en-US"/>
        </w:rPr>
        <w:t xml:space="preserve">Available at: </w:t>
      </w:r>
      <w:hyperlink r:id="rId72" w:history="1">
        <w:r w:rsidR="001D0A4B" w:rsidRPr="006562C8">
          <w:rPr>
            <w:rStyle w:val="Hyperlink"/>
            <w:lang w:val="en-US"/>
          </w:rPr>
          <w:t>https://www.tandfonline.com/doi/full/10.1080/17582024.2025.2562772</w:t>
        </w:r>
      </w:hyperlink>
      <w:r>
        <w:rPr>
          <w:lang w:val="en-US"/>
        </w:rPr>
        <w:t xml:space="preserve"> </w:t>
      </w:r>
      <w:r w:rsidR="001D0A4B">
        <w:rPr>
          <w:lang w:val="en-US"/>
        </w:rPr>
        <w:t>(</w:t>
      </w:r>
      <w:r w:rsidRPr="004C6712">
        <w:t>Accessed 27 Mar. 2026</w:t>
      </w:r>
      <w:r w:rsidR="001D0A4B">
        <w:t>).</w:t>
      </w:r>
    </w:p>
    <w:p w14:paraId="1FB7A499" w14:textId="71AC6623" w:rsidR="002F432B" w:rsidRDefault="002F432B" w:rsidP="002F432B">
      <w:pPr>
        <w:ind w:left="720" w:hanging="720"/>
        <w:rPr>
          <w:lang w:val="en-US"/>
        </w:rPr>
      </w:pPr>
      <w:r w:rsidRPr="0009624F">
        <w:rPr>
          <w:lang w:val="en-US"/>
        </w:rPr>
        <w:t xml:space="preserve">The University of Queensland. (2017, September 14). </w:t>
      </w:r>
      <w:r w:rsidRPr="0009624F">
        <w:rPr>
          <w:i/>
          <w:iCs/>
          <w:lang w:val="en-US"/>
        </w:rPr>
        <w:t>History of dementia research</w:t>
      </w:r>
      <w:r w:rsidRPr="0009624F">
        <w:rPr>
          <w:lang w:val="en-US"/>
        </w:rPr>
        <w:t xml:space="preserve">. Queensland Brain Institute - University of Queensland. </w:t>
      </w:r>
      <w:hyperlink r:id="rId73" w:history="1">
        <w:r w:rsidRPr="00A90C5F">
          <w:rPr>
            <w:rStyle w:val="Hyperlink"/>
            <w:lang w:val="en-US"/>
          </w:rPr>
          <w:t>https://qbi.uq.edu.au/brain/dementia/history-dementia-research</w:t>
        </w:r>
      </w:hyperlink>
      <w:r>
        <w:rPr>
          <w:lang w:val="en-US"/>
        </w:rPr>
        <w:t xml:space="preserve"> </w:t>
      </w:r>
      <w:r w:rsidR="001D0A4B">
        <w:t>(</w:t>
      </w:r>
      <w:r w:rsidRPr="004C6712">
        <w:t>Accessed 27 Mar. 2026</w:t>
      </w:r>
      <w:r w:rsidR="001D0A4B">
        <w:t>)</w:t>
      </w:r>
      <w:r w:rsidRPr="004C6712">
        <w:t>.</w:t>
      </w:r>
    </w:p>
    <w:p w14:paraId="633246D0" w14:textId="32E727C6" w:rsidR="002F432B" w:rsidRPr="00742B85" w:rsidRDefault="002F432B" w:rsidP="002F432B">
      <w:pPr>
        <w:ind w:left="720" w:hanging="720"/>
        <w:rPr>
          <w:rFonts w:cs="Times New Roman"/>
          <w:szCs w:val="20"/>
          <w:shd w:val="clear" w:color="auto" w:fill="FFFFFF"/>
        </w:rPr>
      </w:pPr>
      <w:r w:rsidRPr="004D554C">
        <w:rPr>
          <w:rFonts w:cs="Times New Roman"/>
          <w:szCs w:val="20"/>
          <w:shd w:val="clear" w:color="auto" w:fill="FFFFFF"/>
        </w:rPr>
        <w:t>Visser, F.C., Kloppenburg-</w:t>
      </w:r>
      <w:proofErr w:type="spellStart"/>
      <w:r w:rsidRPr="004D554C">
        <w:rPr>
          <w:rFonts w:cs="Times New Roman"/>
          <w:szCs w:val="20"/>
          <w:shd w:val="clear" w:color="auto" w:fill="FFFFFF"/>
        </w:rPr>
        <w:t>Lagendijk</w:t>
      </w:r>
      <w:proofErr w:type="spellEnd"/>
      <w:r w:rsidRPr="004D554C">
        <w:rPr>
          <w:rFonts w:cs="Times New Roman"/>
          <w:szCs w:val="20"/>
          <w:shd w:val="clear" w:color="auto" w:fill="FFFFFF"/>
        </w:rPr>
        <w:t xml:space="preserve">, M., Hempenius, L., Verwey, N.A., Perry, M., van </w:t>
      </w:r>
      <w:proofErr w:type="spellStart"/>
      <w:r w:rsidRPr="004D554C">
        <w:rPr>
          <w:rFonts w:cs="Times New Roman"/>
          <w:szCs w:val="20"/>
          <w:shd w:val="clear" w:color="auto" w:fill="FFFFFF"/>
        </w:rPr>
        <w:t>Eersel</w:t>
      </w:r>
      <w:proofErr w:type="spellEnd"/>
      <w:r w:rsidRPr="004D554C">
        <w:rPr>
          <w:rFonts w:cs="Times New Roman"/>
          <w:szCs w:val="20"/>
          <w:shd w:val="clear" w:color="auto" w:fill="FFFFFF"/>
        </w:rPr>
        <w:t xml:space="preserve">, M.E. and van Munster, B.C. (2025) </w:t>
      </w:r>
      <w:r w:rsidRPr="00742B85">
        <w:rPr>
          <w:rFonts w:cs="Times New Roman"/>
          <w:szCs w:val="20"/>
          <w:shd w:val="clear" w:color="auto" w:fill="FFFFFF"/>
        </w:rPr>
        <w:t>From suspicion of cognitive decline to dementia diagnosis: a systematic review of healthcare professionals’ considerations and attitudes. </w:t>
      </w:r>
      <w:r w:rsidRPr="00742B85">
        <w:rPr>
          <w:rFonts w:cs="Times New Roman"/>
          <w:i/>
          <w:iCs/>
          <w:szCs w:val="20"/>
          <w:shd w:val="clear" w:color="auto" w:fill="FFFFFF"/>
        </w:rPr>
        <w:t>Age and Ageing</w:t>
      </w:r>
      <w:r w:rsidRPr="00742B85">
        <w:rPr>
          <w:rFonts w:cs="Times New Roman"/>
          <w:szCs w:val="20"/>
          <w:shd w:val="clear" w:color="auto" w:fill="FFFFFF"/>
        </w:rPr>
        <w:t>, </w:t>
      </w:r>
      <w:r w:rsidRPr="00742B85">
        <w:rPr>
          <w:rFonts w:cs="Times New Roman"/>
          <w:i/>
          <w:iCs/>
          <w:szCs w:val="20"/>
          <w:shd w:val="clear" w:color="auto" w:fill="FFFFFF"/>
        </w:rPr>
        <w:t>54</w:t>
      </w:r>
      <w:r w:rsidRPr="00742B85">
        <w:rPr>
          <w:rFonts w:cs="Times New Roman"/>
          <w:szCs w:val="20"/>
          <w:shd w:val="clear" w:color="auto" w:fill="FFFFFF"/>
        </w:rPr>
        <w:t>(6), p. afaf176.</w:t>
      </w:r>
      <w:r>
        <w:rPr>
          <w:rFonts w:cs="Times New Roman"/>
          <w:szCs w:val="20"/>
          <w:shd w:val="clear" w:color="auto" w:fill="FFFFFF"/>
        </w:rPr>
        <w:t xml:space="preserve"> </w:t>
      </w:r>
      <w:r w:rsidR="004D554C">
        <w:rPr>
          <w:rFonts w:cs="Times New Roman"/>
          <w:szCs w:val="20"/>
          <w:shd w:val="clear" w:color="auto" w:fill="FFFFFF"/>
        </w:rPr>
        <w:t xml:space="preserve">Available at: </w:t>
      </w:r>
      <w:hyperlink r:id="rId74" w:history="1">
        <w:r w:rsidR="004D554C" w:rsidRPr="006562C8">
          <w:rPr>
            <w:rStyle w:val="Hyperlink"/>
            <w:rFonts w:cs="Times New Roman"/>
            <w:szCs w:val="20"/>
            <w:shd w:val="clear" w:color="auto" w:fill="FFFFFF"/>
          </w:rPr>
          <w:t>https://doi.org/10.1093/ageing/afaf176</w:t>
        </w:r>
      </w:hyperlink>
      <w:r>
        <w:rPr>
          <w:rFonts w:cs="Times New Roman"/>
          <w:szCs w:val="20"/>
          <w:shd w:val="clear" w:color="auto" w:fill="FFFFFF"/>
        </w:rPr>
        <w:t xml:space="preserve"> </w:t>
      </w:r>
    </w:p>
    <w:p w14:paraId="1AD39379" w14:textId="04B2B106" w:rsidR="002F432B" w:rsidRPr="00742B85" w:rsidRDefault="002F432B" w:rsidP="002F432B">
      <w:pPr>
        <w:ind w:left="720" w:hanging="720"/>
        <w:rPr>
          <w:rFonts w:cs="Times New Roman"/>
          <w:szCs w:val="20"/>
          <w:shd w:val="clear" w:color="auto" w:fill="FFFFFF"/>
        </w:rPr>
      </w:pPr>
      <w:r w:rsidRPr="00742B85">
        <w:rPr>
          <w:rFonts w:cs="Times New Roman"/>
          <w:szCs w:val="20"/>
          <w:shd w:val="clear" w:color="auto" w:fill="FFFFFF"/>
        </w:rPr>
        <w:lastRenderedPageBreak/>
        <w:t xml:space="preserve">Wang, G., Estrella, A., Hakim, O., Milazzo, P., Patel, S., </w:t>
      </w:r>
      <w:proofErr w:type="spellStart"/>
      <w:r w:rsidRPr="00742B85">
        <w:rPr>
          <w:rFonts w:cs="Times New Roman"/>
          <w:szCs w:val="20"/>
          <w:shd w:val="clear" w:color="auto" w:fill="FFFFFF"/>
        </w:rPr>
        <w:t>Pintagro</w:t>
      </w:r>
      <w:proofErr w:type="spellEnd"/>
      <w:r w:rsidRPr="00742B85">
        <w:rPr>
          <w:rFonts w:cs="Times New Roman"/>
          <w:szCs w:val="20"/>
          <w:shd w:val="clear" w:color="auto" w:fill="FFFFFF"/>
        </w:rPr>
        <w:t xml:space="preserve">, C., Li, D., Zhao, R., Vance, D.E., Li, W. and Alzheimer’s Disease Neuroimaging Initiative </w:t>
      </w:r>
      <w:r>
        <w:rPr>
          <w:rFonts w:cs="Times New Roman"/>
          <w:szCs w:val="20"/>
          <w:shd w:val="clear" w:color="auto" w:fill="FFFFFF"/>
        </w:rPr>
        <w:t>(</w:t>
      </w:r>
      <w:r w:rsidRPr="00742B85">
        <w:rPr>
          <w:rFonts w:cs="Times New Roman"/>
          <w:szCs w:val="20"/>
          <w:shd w:val="clear" w:color="auto" w:fill="FFFFFF"/>
        </w:rPr>
        <w:t>2022</w:t>
      </w:r>
      <w:r>
        <w:rPr>
          <w:rFonts w:cs="Times New Roman"/>
          <w:szCs w:val="20"/>
          <w:shd w:val="clear" w:color="auto" w:fill="FFFFFF"/>
        </w:rPr>
        <w:t>)</w:t>
      </w:r>
      <w:r w:rsidRPr="00742B85">
        <w:rPr>
          <w:rFonts w:cs="Times New Roman"/>
          <w:szCs w:val="20"/>
          <w:shd w:val="clear" w:color="auto" w:fill="FFFFFF"/>
        </w:rPr>
        <w:t xml:space="preserve"> Mini-Mental State Examination and Montreal Cognitive Assessment as tools for following cognitive changes in Alzheimer's disease neuroimaging initiative participants. </w:t>
      </w:r>
      <w:r w:rsidRPr="00742B85">
        <w:rPr>
          <w:rFonts w:cs="Times New Roman"/>
          <w:i/>
          <w:iCs/>
          <w:szCs w:val="20"/>
          <w:shd w:val="clear" w:color="auto" w:fill="FFFFFF"/>
        </w:rPr>
        <w:t>Journal of Alzheimer’s Disease</w:t>
      </w:r>
      <w:r w:rsidRPr="00742B85">
        <w:rPr>
          <w:rFonts w:cs="Times New Roman"/>
          <w:szCs w:val="20"/>
          <w:shd w:val="clear" w:color="auto" w:fill="FFFFFF"/>
        </w:rPr>
        <w:t>, </w:t>
      </w:r>
      <w:r w:rsidRPr="00742B85">
        <w:rPr>
          <w:rFonts w:cs="Times New Roman"/>
          <w:i/>
          <w:iCs/>
          <w:szCs w:val="20"/>
          <w:shd w:val="clear" w:color="auto" w:fill="FFFFFF"/>
        </w:rPr>
        <w:t>90</w:t>
      </w:r>
      <w:r w:rsidRPr="00742B85">
        <w:rPr>
          <w:rFonts w:cs="Times New Roman"/>
          <w:szCs w:val="20"/>
          <w:shd w:val="clear" w:color="auto" w:fill="FFFFFF"/>
        </w:rPr>
        <w:t>(1), pp.263-270.</w:t>
      </w:r>
      <w:r w:rsidR="004D554C">
        <w:rPr>
          <w:rFonts w:cs="Times New Roman"/>
          <w:szCs w:val="20"/>
          <w:shd w:val="clear" w:color="auto" w:fill="FFFFFF"/>
        </w:rPr>
        <w:t xml:space="preserve"> Available at: </w:t>
      </w:r>
      <w:r>
        <w:rPr>
          <w:rFonts w:cs="Times New Roman"/>
          <w:szCs w:val="20"/>
          <w:shd w:val="clear" w:color="auto" w:fill="FFFFFF"/>
        </w:rPr>
        <w:t xml:space="preserve"> </w:t>
      </w:r>
      <w:hyperlink r:id="rId75" w:history="1">
        <w:r w:rsidRPr="00A90C5F">
          <w:rPr>
            <w:rStyle w:val="Hyperlink"/>
            <w:rFonts w:cs="Times New Roman"/>
            <w:szCs w:val="20"/>
            <w:shd w:val="clear" w:color="auto" w:fill="FFFFFF"/>
          </w:rPr>
          <w:t>https://doi.org/10.3233/JAD-220397</w:t>
        </w:r>
      </w:hyperlink>
      <w:r>
        <w:rPr>
          <w:rFonts w:cs="Times New Roman"/>
          <w:szCs w:val="20"/>
          <w:shd w:val="clear" w:color="auto" w:fill="FFFFFF"/>
        </w:rPr>
        <w:t xml:space="preserve"> </w:t>
      </w:r>
    </w:p>
    <w:p w14:paraId="41CD50BD" w14:textId="3F516730" w:rsidR="002F432B" w:rsidRDefault="002F432B" w:rsidP="002F432B">
      <w:pPr>
        <w:ind w:left="720" w:hanging="720"/>
      </w:pPr>
      <w:r w:rsidRPr="004C6712">
        <w:t xml:space="preserve">World Health Organisation (2017). </w:t>
      </w:r>
      <w:r w:rsidRPr="004C6712">
        <w:rPr>
          <w:i/>
          <w:iCs/>
        </w:rPr>
        <w:t>Global Action Plan on the Public Health Response to Dementia 2017 - 2025</w:t>
      </w:r>
      <w:r w:rsidRPr="004C6712">
        <w:t xml:space="preserve"> </w:t>
      </w:r>
      <w:r w:rsidR="004D554C">
        <w:t>(</w:t>
      </w:r>
      <w:r w:rsidRPr="004C6712">
        <w:t>online</w:t>
      </w:r>
      <w:r w:rsidR="004D554C">
        <w:t>)</w:t>
      </w:r>
      <w:r w:rsidRPr="004C6712">
        <w:t xml:space="preserve"> www.who.int. Available at: </w:t>
      </w:r>
      <w:hyperlink r:id="rId76" w:history="1">
        <w:r w:rsidRPr="001B1F43">
          <w:rPr>
            <w:rStyle w:val="Hyperlink"/>
          </w:rPr>
          <w:t>https://www.who.int/publications/i/item/global-action-plan-on-the-public-health-response-to-dementia-2017---2025</w:t>
        </w:r>
      </w:hyperlink>
      <w:r>
        <w:t xml:space="preserve"> </w:t>
      </w:r>
      <w:r w:rsidR="004D554C">
        <w:t>(</w:t>
      </w:r>
      <w:r w:rsidRPr="004C6712">
        <w:t>Accessed 27 Mar. 2026</w:t>
      </w:r>
      <w:r w:rsidR="004D554C">
        <w:t>)</w:t>
      </w:r>
      <w:r w:rsidRPr="004C6712">
        <w:t>.</w:t>
      </w:r>
    </w:p>
    <w:p w14:paraId="7C9F3CF2" w14:textId="1271EC35" w:rsidR="002F432B" w:rsidRDefault="002F432B" w:rsidP="002F432B">
      <w:pPr>
        <w:ind w:left="720" w:hanging="720"/>
      </w:pPr>
      <w:bookmarkStart w:id="69" w:name="_Hlk231935000"/>
      <w:r w:rsidRPr="002D1DEB">
        <w:t xml:space="preserve">World Health Organisation (2025) </w:t>
      </w:r>
      <w:r w:rsidRPr="002D1DEB">
        <w:rPr>
          <w:i/>
          <w:iCs/>
        </w:rPr>
        <w:t>Dementia</w:t>
      </w:r>
      <w:r w:rsidRPr="002D1DEB">
        <w:t xml:space="preserve">. </w:t>
      </w:r>
      <w:r w:rsidR="002577F6">
        <w:t>(</w:t>
      </w:r>
      <w:r w:rsidRPr="002D1DEB">
        <w:t>online</w:t>
      </w:r>
      <w:r w:rsidR="002577F6">
        <w:t>)</w:t>
      </w:r>
      <w:r w:rsidRPr="002D1DEB">
        <w:t xml:space="preserve"> World Health Organisation. Available at: </w:t>
      </w:r>
      <w:hyperlink r:id="rId77" w:history="1">
        <w:r w:rsidRPr="001B1F43">
          <w:rPr>
            <w:rStyle w:val="Hyperlink"/>
          </w:rPr>
          <w:t>https://www.who.int/news-room/fact-sheets/detail/dementia</w:t>
        </w:r>
      </w:hyperlink>
      <w:r>
        <w:t xml:space="preserve"> </w:t>
      </w:r>
      <w:r w:rsidR="004D554C">
        <w:t>(</w:t>
      </w:r>
      <w:r w:rsidRPr="002D1DEB">
        <w:t>Accessed 27 Mar. 2026</w:t>
      </w:r>
      <w:r w:rsidR="004D554C">
        <w:t>)</w:t>
      </w:r>
      <w:r w:rsidRPr="002D1DEB">
        <w:t>.</w:t>
      </w:r>
    </w:p>
    <w:p w14:paraId="38E1639C" w14:textId="09699A34" w:rsidR="001D1954" w:rsidRDefault="002F432B" w:rsidP="002F432B">
      <w:pPr>
        <w:ind w:left="720" w:hanging="720"/>
        <w:rPr>
          <w:rStyle w:val="Hyperlink"/>
        </w:rPr>
      </w:pPr>
      <w:bookmarkStart w:id="70" w:name="_Hlk231935010"/>
      <w:bookmarkEnd w:id="69"/>
      <w:r w:rsidRPr="00B64EE5">
        <w:t xml:space="preserve">Zhaksylyk, A., Zimba, O., Yessirkepov, M. and </w:t>
      </w:r>
      <w:proofErr w:type="spellStart"/>
      <w:r w:rsidRPr="00B64EE5">
        <w:t>Kocyigit</w:t>
      </w:r>
      <w:proofErr w:type="spellEnd"/>
      <w:r w:rsidRPr="00B64EE5">
        <w:t xml:space="preserve">, B.F., </w:t>
      </w:r>
      <w:r>
        <w:t>(</w:t>
      </w:r>
      <w:r w:rsidRPr="00B64EE5">
        <w:t>2023</w:t>
      </w:r>
      <w:r>
        <w:t>)</w:t>
      </w:r>
      <w:r w:rsidRPr="00B64EE5">
        <w:t xml:space="preserve"> Research integrity: where we are and where we are heading. </w:t>
      </w:r>
      <w:r w:rsidRPr="00B64EE5">
        <w:rPr>
          <w:i/>
          <w:iCs/>
        </w:rPr>
        <w:t>Journal of Korean medical science</w:t>
      </w:r>
      <w:r w:rsidRPr="00B64EE5">
        <w:t>, </w:t>
      </w:r>
      <w:r w:rsidRPr="00B64EE5">
        <w:rPr>
          <w:i/>
          <w:iCs/>
        </w:rPr>
        <w:t>38</w:t>
      </w:r>
      <w:r w:rsidRPr="00B64EE5">
        <w:t>(47).</w:t>
      </w:r>
      <w:r>
        <w:t xml:space="preserve"> </w:t>
      </w:r>
      <w:r w:rsidR="002577F6">
        <w:t xml:space="preserve">Available at: </w:t>
      </w:r>
      <w:hyperlink r:id="rId78" w:history="1">
        <w:r w:rsidR="002577F6" w:rsidRPr="006562C8">
          <w:rPr>
            <w:rStyle w:val="Hyperlink"/>
          </w:rPr>
          <w:t>https://doi.org/10.3346/jkms.2023.38.e405</w:t>
        </w:r>
      </w:hyperlink>
      <w:r w:rsidR="004B20FC">
        <w:rPr>
          <w:rStyle w:val="Hyperlink"/>
        </w:rPr>
        <w:t xml:space="preserve"> </w:t>
      </w:r>
    </w:p>
    <w:bookmarkEnd w:id="66"/>
    <w:bookmarkEnd w:id="70"/>
    <w:p w14:paraId="67713F8F" w14:textId="77777777" w:rsidR="002F432B" w:rsidRPr="002F432B" w:rsidRDefault="002F432B" w:rsidP="002F432B">
      <w:pPr>
        <w:ind w:left="720" w:hanging="720"/>
        <w:rPr>
          <w:color w:val="0000FF"/>
          <w:u w:val="single"/>
        </w:rPr>
      </w:pPr>
    </w:p>
    <w:p w14:paraId="44497C62" w14:textId="77777777" w:rsidR="001D1954" w:rsidRDefault="001D1954" w:rsidP="001D1954"/>
    <w:p w14:paraId="76FCEB00" w14:textId="77777777" w:rsidR="00F12451" w:rsidRDefault="00F12451" w:rsidP="007502B3">
      <w:pPr>
        <w:pStyle w:val="Heading1"/>
        <w:sectPr w:rsidR="00F12451">
          <w:headerReference w:type="default" r:id="rId79"/>
          <w:headerReference w:type="first" r:id="rId80"/>
          <w:pgSz w:w="11906" w:h="16838"/>
          <w:pgMar w:top="1440" w:right="1440" w:bottom="1440" w:left="1440" w:header="708" w:footer="708" w:gutter="0"/>
          <w:cols w:space="708"/>
          <w:docGrid w:linePitch="360"/>
        </w:sectPr>
      </w:pPr>
    </w:p>
    <w:p w14:paraId="6D7584F3" w14:textId="4C752F40" w:rsidR="00621776" w:rsidRPr="008C38C3" w:rsidRDefault="00621776" w:rsidP="007502B3">
      <w:pPr>
        <w:pStyle w:val="Heading1"/>
      </w:pPr>
      <w:bookmarkStart w:id="71" w:name="_Toc234829778"/>
      <w:r w:rsidRPr="008C38C3">
        <w:lastRenderedPageBreak/>
        <w:t>6.2 – Appendices</w:t>
      </w:r>
      <w:bookmarkEnd w:id="71"/>
    </w:p>
    <w:p w14:paraId="70C7CA0C" w14:textId="4C55D7EB" w:rsidR="008C38C3" w:rsidRDefault="00446DBE" w:rsidP="00446DBE">
      <w:pPr>
        <w:pStyle w:val="Heading2"/>
      </w:pPr>
      <w:bookmarkStart w:id="72" w:name="_Toc234829779"/>
      <w:r w:rsidRPr="00446DBE">
        <w:t>Appendix 1: Source Tracking Table</w:t>
      </w:r>
      <w:bookmarkEnd w:id="72"/>
    </w:p>
    <w:tbl>
      <w:tblPr>
        <w:tblStyle w:val="TableGrid"/>
        <w:tblW w:w="0" w:type="auto"/>
        <w:tblLook w:val="04A0" w:firstRow="1" w:lastRow="0" w:firstColumn="1" w:lastColumn="0" w:noHBand="0" w:noVBand="1"/>
      </w:tblPr>
      <w:tblGrid>
        <w:gridCol w:w="1055"/>
        <w:gridCol w:w="1466"/>
        <w:gridCol w:w="3526"/>
        <w:gridCol w:w="4847"/>
        <w:gridCol w:w="3054"/>
      </w:tblGrid>
      <w:tr w:rsidR="00446DBE" w14:paraId="45991E6F" w14:textId="77777777" w:rsidTr="00813F71">
        <w:tc>
          <w:tcPr>
            <w:tcW w:w="1056" w:type="dxa"/>
          </w:tcPr>
          <w:p w14:paraId="151278AF" w14:textId="77777777" w:rsidR="00446DBE" w:rsidRPr="004547B1" w:rsidRDefault="00446DBE" w:rsidP="00813F71">
            <w:bookmarkStart w:id="73" w:name="_Hlk231935056"/>
          </w:p>
        </w:tc>
        <w:tc>
          <w:tcPr>
            <w:tcW w:w="1466" w:type="dxa"/>
            <w:hideMark/>
          </w:tcPr>
          <w:p w14:paraId="00AC8308" w14:textId="77777777" w:rsidR="00446DBE" w:rsidRPr="004547B1" w:rsidRDefault="00446DBE" w:rsidP="00813F71">
            <w:r w:rsidRPr="004547B1">
              <w:t>Author &amp; Year</w:t>
            </w:r>
          </w:p>
        </w:tc>
        <w:tc>
          <w:tcPr>
            <w:tcW w:w="0" w:type="auto"/>
            <w:hideMark/>
          </w:tcPr>
          <w:p w14:paraId="752B78E2" w14:textId="77777777" w:rsidR="00446DBE" w:rsidRPr="004547B1" w:rsidRDefault="00446DBE" w:rsidP="00813F71">
            <w:r w:rsidRPr="004547B1">
              <w:t>Article Title</w:t>
            </w:r>
          </w:p>
        </w:tc>
        <w:tc>
          <w:tcPr>
            <w:tcW w:w="0" w:type="auto"/>
            <w:hideMark/>
          </w:tcPr>
          <w:p w14:paraId="1FC97209" w14:textId="77777777" w:rsidR="00446DBE" w:rsidRPr="004547B1" w:rsidRDefault="00446DBE" w:rsidP="00813F71">
            <w:r w:rsidRPr="004547B1">
              <w:t>Article Summary</w:t>
            </w:r>
          </w:p>
        </w:tc>
        <w:tc>
          <w:tcPr>
            <w:tcW w:w="0" w:type="auto"/>
            <w:hideMark/>
          </w:tcPr>
          <w:p w14:paraId="0E2892EC" w14:textId="77777777" w:rsidR="00446DBE" w:rsidRPr="004547B1" w:rsidRDefault="00446DBE" w:rsidP="00813F71">
            <w:r w:rsidRPr="004547B1">
              <w:t>Keywords/Codes</w:t>
            </w:r>
          </w:p>
        </w:tc>
      </w:tr>
      <w:tr w:rsidR="00446DBE" w14:paraId="356CD729" w14:textId="77777777" w:rsidTr="00813F71">
        <w:tc>
          <w:tcPr>
            <w:tcW w:w="1056" w:type="dxa"/>
          </w:tcPr>
          <w:p w14:paraId="1E3152BB" w14:textId="77777777" w:rsidR="00446DBE" w:rsidRPr="004547B1" w:rsidRDefault="00446DBE" w:rsidP="00813F71">
            <w:pPr>
              <w:rPr>
                <w:b/>
                <w:bCs/>
              </w:rPr>
            </w:pPr>
            <w:r>
              <w:rPr>
                <w:b/>
                <w:bCs/>
              </w:rPr>
              <w:t>Article 1</w:t>
            </w:r>
          </w:p>
        </w:tc>
        <w:tc>
          <w:tcPr>
            <w:tcW w:w="1466" w:type="dxa"/>
            <w:hideMark/>
          </w:tcPr>
          <w:p w14:paraId="653F9192" w14:textId="77777777" w:rsidR="00446DBE" w:rsidRPr="004547B1" w:rsidRDefault="00446DBE" w:rsidP="00813F71">
            <w:r w:rsidRPr="004547B1">
              <w:t>Stothart et al. (2021)</w:t>
            </w:r>
          </w:p>
        </w:tc>
        <w:tc>
          <w:tcPr>
            <w:tcW w:w="0" w:type="auto"/>
            <w:hideMark/>
          </w:tcPr>
          <w:p w14:paraId="52C06C5F" w14:textId="77777777" w:rsidR="00446DBE" w:rsidRPr="004547B1" w:rsidRDefault="00446DBE" w:rsidP="00813F71">
            <w:r w:rsidRPr="004547B1">
              <w:t>A passive and objective measure of recognition memory in Alzheimer’s disease using Fastball memory assessment.</w:t>
            </w:r>
          </w:p>
        </w:tc>
        <w:tc>
          <w:tcPr>
            <w:tcW w:w="0" w:type="auto"/>
            <w:hideMark/>
          </w:tcPr>
          <w:p w14:paraId="3B0A6CA7" w14:textId="77777777" w:rsidR="00446DBE" w:rsidRPr="004547B1" w:rsidRDefault="00446DBE" w:rsidP="00813F71">
            <w:r w:rsidRPr="00A277CF">
              <w:t>The study examined the Fastball EEG memory assessment as an early diagnostic tool for Alzheimer’s disease. Findings showed that EEG-based recognition memory testing identified cognitive impairment more effectively than behavioural tests. The method was passive, rapid, non-invasive, and suitable for scalable dementia screening.</w:t>
            </w:r>
          </w:p>
        </w:tc>
        <w:tc>
          <w:tcPr>
            <w:tcW w:w="0" w:type="auto"/>
            <w:hideMark/>
          </w:tcPr>
          <w:p w14:paraId="19F70AFA" w14:textId="77777777" w:rsidR="00446DBE" w:rsidRPr="004547B1" w:rsidRDefault="00446DBE" w:rsidP="00813F71">
            <w:r w:rsidRPr="004547B1">
              <w:t>EEG; Fastball; Recognition Memory; Alzheimer's Disease; Functional Biomarker; Passive Assessment; Early Diagnosis</w:t>
            </w:r>
          </w:p>
        </w:tc>
      </w:tr>
      <w:tr w:rsidR="00446DBE" w14:paraId="14F3A954" w14:textId="77777777" w:rsidTr="007E534E">
        <w:tc>
          <w:tcPr>
            <w:tcW w:w="1056" w:type="dxa"/>
          </w:tcPr>
          <w:p w14:paraId="2B871E88" w14:textId="77777777" w:rsidR="00446DBE" w:rsidRPr="004547B1" w:rsidRDefault="00446DBE" w:rsidP="00813F71">
            <w:pPr>
              <w:rPr>
                <w:b/>
                <w:bCs/>
              </w:rPr>
            </w:pPr>
            <w:r w:rsidRPr="004547B1">
              <w:rPr>
                <w:b/>
                <w:bCs/>
              </w:rPr>
              <w:t>CRAAP Notes</w:t>
            </w:r>
          </w:p>
        </w:tc>
        <w:tc>
          <w:tcPr>
            <w:tcW w:w="9996" w:type="dxa"/>
            <w:gridSpan w:val="3"/>
            <w:hideMark/>
          </w:tcPr>
          <w:p w14:paraId="79AB0AB0" w14:textId="77777777" w:rsidR="00446DBE" w:rsidRPr="004547B1" w:rsidRDefault="00446DBE" w:rsidP="00813F71">
            <w:r w:rsidRPr="00E51897">
              <w:t>A recent peer-reviewed journal article published in Brain. Highly relevant to early dementia detection and diagnostic innovation. Conducted by recognised neuroscience researchers using evidence-based methods.</w:t>
            </w:r>
          </w:p>
        </w:tc>
        <w:tc>
          <w:tcPr>
            <w:tcW w:w="0" w:type="auto"/>
            <w:hideMark/>
          </w:tcPr>
          <w:p w14:paraId="31C6067D" w14:textId="77777777" w:rsidR="00446DBE" w:rsidRPr="004547B1" w:rsidRDefault="00446DBE" w:rsidP="00813F71">
            <w:r w:rsidRPr="004547B1">
              <w:rPr>
                <w:b/>
                <w:bCs/>
              </w:rPr>
              <w:t>CRAAP Score:</w:t>
            </w:r>
            <w:r w:rsidRPr="004547B1">
              <w:t> 5/5</w:t>
            </w:r>
          </w:p>
        </w:tc>
      </w:tr>
      <w:tr w:rsidR="00446DBE" w14:paraId="5C79640D" w14:textId="77777777" w:rsidTr="00813F71">
        <w:tc>
          <w:tcPr>
            <w:tcW w:w="1056" w:type="dxa"/>
          </w:tcPr>
          <w:p w14:paraId="62B3ACAB" w14:textId="77777777" w:rsidR="00446DBE" w:rsidRPr="004547B1" w:rsidRDefault="00446DBE" w:rsidP="00813F71">
            <w:pPr>
              <w:rPr>
                <w:b/>
                <w:bCs/>
              </w:rPr>
            </w:pPr>
            <w:r w:rsidRPr="004547B1">
              <w:rPr>
                <w:b/>
                <w:bCs/>
              </w:rPr>
              <w:t>Article 2</w:t>
            </w:r>
          </w:p>
        </w:tc>
        <w:tc>
          <w:tcPr>
            <w:tcW w:w="1466" w:type="dxa"/>
            <w:hideMark/>
          </w:tcPr>
          <w:p w14:paraId="21F3FBF5" w14:textId="77777777" w:rsidR="00446DBE" w:rsidRPr="004547B1" w:rsidRDefault="00446DBE" w:rsidP="00813F71">
            <w:r w:rsidRPr="004547B1">
              <w:t>Keshavan et al. (2021)</w:t>
            </w:r>
          </w:p>
        </w:tc>
        <w:tc>
          <w:tcPr>
            <w:tcW w:w="0" w:type="auto"/>
            <w:hideMark/>
          </w:tcPr>
          <w:p w14:paraId="2815A5B2" w14:textId="77777777" w:rsidR="00446DBE" w:rsidRPr="004547B1" w:rsidRDefault="00446DBE" w:rsidP="00813F71">
            <w:r w:rsidRPr="004547B1">
              <w:t>Population-based blood screening for preclinical Alzheimer’s disease in a British birth cohort at age 70.</w:t>
            </w:r>
          </w:p>
        </w:tc>
        <w:tc>
          <w:tcPr>
            <w:tcW w:w="0" w:type="auto"/>
            <w:hideMark/>
          </w:tcPr>
          <w:p w14:paraId="61826046" w14:textId="77777777" w:rsidR="00446DBE" w:rsidRPr="004547B1" w:rsidRDefault="00446DBE" w:rsidP="00813F71">
            <w:r w:rsidRPr="004547B1">
              <w:t xml:space="preserve">This study compared different blood-based techniques to detect brain amyloid positivity. It found that mass spectrometry measures of plasma amyloid-β significantly outperformed other blood tests and a clinical model (age, sex, </w:t>
            </w:r>
            <w:r w:rsidRPr="004547B1">
              <w:lastRenderedPageBreak/>
              <w:t>APOE), offering a potential screening method to reduce the need for costly PET scans for preclinical Alzheimer's.</w:t>
            </w:r>
          </w:p>
        </w:tc>
        <w:tc>
          <w:tcPr>
            <w:tcW w:w="0" w:type="auto"/>
            <w:hideMark/>
          </w:tcPr>
          <w:p w14:paraId="61B449A0" w14:textId="77777777" w:rsidR="00446DBE" w:rsidRPr="004547B1" w:rsidRDefault="00446DBE" w:rsidP="00813F71">
            <w:r w:rsidRPr="004547B1">
              <w:lastRenderedPageBreak/>
              <w:t>Blood Biomarker; Mass Spectrometry; Amyloid-beta; Preclinical Alzheimer's Disease; PET; Screening; Insight 46</w:t>
            </w:r>
          </w:p>
        </w:tc>
      </w:tr>
      <w:tr w:rsidR="00446DBE" w14:paraId="098DD3F7" w14:textId="77777777" w:rsidTr="007E534E">
        <w:tc>
          <w:tcPr>
            <w:tcW w:w="1056" w:type="dxa"/>
          </w:tcPr>
          <w:p w14:paraId="38003A43" w14:textId="77777777" w:rsidR="00446DBE" w:rsidRPr="004547B1" w:rsidRDefault="00446DBE" w:rsidP="00813F71">
            <w:pPr>
              <w:rPr>
                <w:b/>
                <w:bCs/>
              </w:rPr>
            </w:pPr>
            <w:r w:rsidRPr="004547B1">
              <w:rPr>
                <w:b/>
                <w:bCs/>
              </w:rPr>
              <w:t>CRAAP Notes</w:t>
            </w:r>
          </w:p>
        </w:tc>
        <w:tc>
          <w:tcPr>
            <w:tcW w:w="9996" w:type="dxa"/>
            <w:gridSpan w:val="3"/>
            <w:hideMark/>
          </w:tcPr>
          <w:p w14:paraId="7BC7F99F" w14:textId="77777777" w:rsidR="00446DBE" w:rsidRPr="004547B1" w:rsidRDefault="00446DBE" w:rsidP="00813F71">
            <w:r w:rsidRPr="000E2971">
              <w:t>Published in a high-impact neurology journal and based on a large UK cohort. Directly relevant to dementia risk prediction and screening. Evidence is statistically robust and current.</w:t>
            </w:r>
          </w:p>
        </w:tc>
        <w:tc>
          <w:tcPr>
            <w:tcW w:w="0" w:type="auto"/>
            <w:hideMark/>
          </w:tcPr>
          <w:p w14:paraId="41C04E6F" w14:textId="77777777" w:rsidR="00446DBE" w:rsidRPr="004547B1" w:rsidRDefault="00446DBE" w:rsidP="00813F71">
            <w:r w:rsidRPr="004547B1">
              <w:rPr>
                <w:b/>
                <w:bCs/>
              </w:rPr>
              <w:t>CRAAP Score:</w:t>
            </w:r>
            <w:r w:rsidRPr="004547B1">
              <w:t> 5/5</w:t>
            </w:r>
          </w:p>
        </w:tc>
      </w:tr>
      <w:tr w:rsidR="00446DBE" w14:paraId="095A993A" w14:textId="77777777" w:rsidTr="00813F71">
        <w:tc>
          <w:tcPr>
            <w:tcW w:w="1056" w:type="dxa"/>
          </w:tcPr>
          <w:p w14:paraId="210963D4" w14:textId="77777777" w:rsidR="00446DBE" w:rsidRPr="004547B1" w:rsidRDefault="00446DBE" w:rsidP="00813F71">
            <w:pPr>
              <w:rPr>
                <w:b/>
                <w:bCs/>
              </w:rPr>
            </w:pPr>
            <w:r w:rsidRPr="004547B1">
              <w:rPr>
                <w:b/>
                <w:bCs/>
              </w:rPr>
              <w:t>Article 3</w:t>
            </w:r>
          </w:p>
        </w:tc>
        <w:tc>
          <w:tcPr>
            <w:tcW w:w="1466" w:type="dxa"/>
            <w:hideMark/>
          </w:tcPr>
          <w:p w14:paraId="00477F3B" w14:textId="77777777" w:rsidR="00446DBE" w:rsidRPr="004547B1" w:rsidRDefault="00446DBE" w:rsidP="00813F71">
            <w:proofErr w:type="spellStart"/>
            <w:r w:rsidRPr="004547B1">
              <w:t>Ereira</w:t>
            </w:r>
            <w:proofErr w:type="spellEnd"/>
            <w:r w:rsidRPr="004547B1">
              <w:t xml:space="preserve"> et al. (2024)</w:t>
            </w:r>
          </w:p>
        </w:tc>
        <w:tc>
          <w:tcPr>
            <w:tcW w:w="0" w:type="auto"/>
            <w:hideMark/>
          </w:tcPr>
          <w:p w14:paraId="51E8AB49" w14:textId="77777777" w:rsidR="00446DBE" w:rsidRPr="004547B1" w:rsidRDefault="00446DBE" w:rsidP="00813F71">
            <w:r w:rsidRPr="004547B1">
              <w:t>Early detection of dementia with default-mode network effective connectivity.</w:t>
            </w:r>
          </w:p>
        </w:tc>
        <w:tc>
          <w:tcPr>
            <w:tcW w:w="0" w:type="auto"/>
            <w:hideMark/>
          </w:tcPr>
          <w:p w14:paraId="65FFF9D8" w14:textId="77777777" w:rsidR="00446DBE" w:rsidRPr="004547B1" w:rsidRDefault="00446DBE" w:rsidP="00813F71">
            <w:r w:rsidRPr="004547B1">
              <w:t>Using resting-state fMRI data from UK Biobank, this study found that a model of effective connectivity (dysconnectivity) within the brain's default-mode network could predict a future dementia diagnosis up to nine years in advance (AUC = 0.82), outperforming models based on brain structure or functional connectivity.</w:t>
            </w:r>
          </w:p>
        </w:tc>
        <w:tc>
          <w:tcPr>
            <w:tcW w:w="0" w:type="auto"/>
            <w:hideMark/>
          </w:tcPr>
          <w:p w14:paraId="2820B208" w14:textId="77777777" w:rsidR="00446DBE" w:rsidRPr="004547B1" w:rsidRDefault="00446DBE" w:rsidP="00813F71">
            <w:r w:rsidRPr="004547B1">
              <w:t>fMRI; Default Mode Network; Effective Connectivity; Dementia Prediction; UK Biobank; Early Detection; Polygenic Risk</w:t>
            </w:r>
          </w:p>
        </w:tc>
      </w:tr>
      <w:tr w:rsidR="00446DBE" w14:paraId="2EC1C21F" w14:textId="77777777" w:rsidTr="007E534E">
        <w:tc>
          <w:tcPr>
            <w:tcW w:w="1056" w:type="dxa"/>
          </w:tcPr>
          <w:p w14:paraId="73B50203" w14:textId="77777777" w:rsidR="00446DBE" w:rsidRPr="004547B1" w:rsidRDefault="00446DBE" w:rsidP="00813F71">
            <w:pPr>
              <w:rPr>
                <w:b/>
                <w:bCs/>
              </w:rPr>
            </w:pPr>
            <w:r w:rsidRPr="004547B1">
              <w:rPr>
                <w:b/>
                <w:bCs/>
              </w:rPr>
              <w:t>CRAAP Notes</w:t>
            </w:r>
          </w:p>
        </w:tc>
        <w:tc>
          <w:tcPr>
            <w:tcW w:w="9996" w:type="dxa"/>
            <w:gridSpan w:val="3"/>
            <w:hideMark/>
          </w:tcPr>
          <w:p w14:paraId="021B12EC" w14:textId="77777777" w:rsidR="00446DBE" w:rsidRPr="004547B1" w:rsidRDefault="00446DBE" w:rsidP="00813F71">
            <w:r w:rsidRPr="007A7415">
              <w:t>Very recent article from Nature Mental Health. Strong methodological quality with UK Biobank data. Highly relevant for predictive neuroscience approaches in dementia.</w:t>
            </w:r>
          </w:p>
        </w:tc>
        <w:tc>
          <w:tcPr>
            <w:tcW w:w="0" w:type="auto"/>
            <w:hideMark/>
          </w:tcPr>
          <w:p w14:paraId="63B19584" w14:textId="77777777" w:rsidR="00446DBE" w:rsidRPr="004547B1" w:rsidRDefault="00446DBE" w:rsidP="00813F71">
            <w:r w:rsidRPr="004547B1">
              <w:rPr>
                <w:b/>
                <w:bCs/>
              </w:rPr>
              <w:t>CRAAP Score:</w:t>
            </w:r>
            <w:r w:rsidRPr="004547B1">
              <w:t> 5/5</w:t>
            </w:r>
          </w:p>
        </w:tc>
      </w:tr>
      <w:tr w:rsidR="00446DBE" w14:paraId="216278F6" w14:textId="77777777" w:rsidTr="00813F71">
        <w:tc>
          <w:tcPr>
            <w:tcW w:w="1056" w:type="dxa"/>
          </w:tcPr>
          <w:p w14:paraId="5A40EF95" w14:textId="77777777" w:rsidR="00446DBE" w:rsidRPr="004547B1" w:rsidRDefault="00446DBE" w:rsidP="00813F71">
            <w:pPr>
              <w:rPr>
                <w:b/>
                <w:bCs/>
              </w:rPr>
            </w:pPr>
            <w:r w:rsidRPr="004547B1">
              <w:rPr>
                <w:b/>
                <w:bCs/>
              </w:rPr>
              <w:t>Article 4</w:t>
            </w:r>
          </w:p>
        </w:tc>
        <w:tc>
          <w:tcPr>
            <w:tcW w:w="1466" w:type="dxa"/>
            <w:hideMark/>
          </w:tcPr>
          <w:p w14:paraId="08341C8C" w14:textId="77777777" w:rsidR="00446DBE" w:rsidRPr="004547B1" w:rsidRDefault="00446DBE" w:rsidP="00813F71">
            <w:proofErr w:type="spellStart"/>
            <w:r w:rsidRPr="004547B1">
              <w:t>Creavin</w:t>
            </w:r>
            <w:proofErr w:type="spellEnd"/>
            <w:r w:rsidRPr="004547B1">
              <w:t xml:space="preserve"> et al. (2021)</w:t>
            </w:r>
          </w:p>
        </w:tc>
        <w:tc>
          <w:tcPr>
            <w:tcW w:w="0" w:type="auto"/>
            <w:hideMark/>
          </w:tcPr>
          <w:p w14:paraId="5237CC2C" w14:textId="77777777" w:rsidR="00446DBE" w:rsidRPr="004547B1" w:rsidRDefault="00446DBE" w:rsidP="00813F71">
            <w:r w:rsidRPr="004547B1">
              <w:t>Clinical judgment of GPs for the diagnosis of dementia: a diagnostic test accuracy study.</w:t>
            </w:r>
          </w:p>
        </w:tc>
        <w:tc>
          <w:tcPr>
            <w:tcW w:w="0" w:type="auto"/>
            <w:hideMark/>
          </w:tcPr>
          <w:p w14:paraId="41A09F5B" w14:textId="77777777" w:rsidR="00446DBE" w:rsidRPr="004547B1" w:rsidRDefault="00446DBE" w:rsidP="00813F71">
            <w:r w:rsidRPr="004547B1">
              <w:t>This study assessed the accuracy of GP clinical judgment for diagnosing dementia. The research found that a GP's judgment was highly specific (89%)—meaning if a GP says a patient has dementia, it is likely correct—but had low sensitivity (56%)—meaning it would miss many actual dementia cases.</w:t>
            </w:r>
          </w:p>
        </w:tc>
        <w:tc>
          <w:tcPr>
            <w:tcW w:w="0" w:type="auto"/>
            <w:hideMark/>
          </w:tcPr>
          <w:p w14:paraId="4A0E4B10" w14:textId="77777777" w:rsidR="00446DBE" w:rsidRPr="004547B1" w:rsidRDefault="00446DBE" w:rsidP="00813F71">
            <w:r w:rsidRPr="004547B1">
              <w:t>General Practitioner; GP Clinical Judgment; Dementia Diagnosis; Diagnostic Accuracy; Primary Care; Sensitivity and Specificity</w:t>
            </w:r>
          </w:p>
        </w:tc>
      </w:tr>
      <w:tr w:rsidR="00446DBE" w14:paraId="5B52F5FE" w14:textId="77777777" w:rsidTr="007E534E">
        <w:tc>
          <w:tcPr>
            <w:tcW w:w="1056" w:type="dxa"/>
          </w:tcPr>
          <w:p w14:paraId="59C7282B" w14:textId="77777777" w:rsidR="00446DBE" w:rsidRPr="004547B1" w:rsidRDefault="00446DBE" w:rsidP="00813F71">
            <w:pPr>
              <w:rPr>
                <w:b/>
                <w:bCs/>
              </w:rPr>
            </w:pPr>
            <w:r w:rsidRPr="004547B1">
              <w:rPr>
                <w:b/>
                <w:bCs/>
              </w:rPr>
              <w:lastRenderedPageBreak/>
              <w:t>CRAAP Notes</w:t>
            </w:r>
          </w:p>
        </w:tc>
        <w:tc>
          <w:tcPr>
            <w:tcW w:w="9996" w:type="dxa"/>
            <w:gridSpan w:val="3"/>
            <w:hideMark/>
          </w:tcPr>
          <w:p w14:paraId="485CD94E" w14:textId="77777777" w:rsidR="00446DBE" w:rsidRPr="004547B1" w:rsidRDefault="00446DBE" w:rsidP="00813F71">
            <w:r w:rsidRPr="00122D82">
              <w:t>Peer-reviewed UK primary care study with clear diagnostic methodology. Relevant for examining the role of GPs in dementia diagnosis. Findings are evidence-based and applicable to healthcare practice.</w:t>
            </w:r>
          </w:p>
        </w:tc>
        <w:tc>
          <w:tcPr>
            <w:tcW w:w="0" w:type="auto"/>
            <w:hideMark/>
          </w:tcPr>
          <w:p w14:paraId="2D095D74" w14:textId="77777777" w:rsidR="00446DBE" w:rsidRPr="004547B1" w:rsidRDefault="00446DBE" w:rsidP="00813F71">
            <w:r w:rsidRPr="004547B1">
              <w:rPr>
                <w:b/>
                <w:bCs/>
              </w:rPr>
              <w:t>CRAAP Score:</w:t>
            </w:r>
            <w:r w:rsidRPr="004547B1">
              <w:t> 5/5</w:t>
            </w:r>
          </w:p>
        </w:tc>
      </w:tr>
      <w:tr w:rsidR="00446DBE" w14:paraId="7D2B55DD" w14:textId="77777777" w:rsidTr="00813F71">
        <w:tc>
          <w:tcPr>
            <w:tcW w:w="1056" w:type="dxa"/>
          </w:tcPr>
          <w:p w14:paraId="18B3FCB9" w14:textId="77777777" w:rsidR="00446DBE" w:rsidRPr="004547B1" w:rsidRDefault="00446DBE" w:rsidP="00813F71">
            <w:pPr>
              <w:rPr>
                <w:b/>
                <w:bCs/>
              </w:rPr>
            </w:pPr>
            <w:r w:rsidRPr="004547B1">
              <w:rPr>
                <w:b/>
                <w:bCs/>
              </w:rPr>
              <w:t>Article 5</w:t>
            </w:r>
          </w:p>
        </w:tc>
        <w:tc>
          <w:tcPr>
            <w:tcW w:w="1466" w:type="dxa"/>
            <w:hideMark/>
          </w:tcPr>
          <w:p w14:paraId="4BF30AD1" w14:textId="77777777" w:rsidR="00446DBE" w:rsidRPr="004547B1" w:rsidRDefault="00446DBE" w:rsidP="00813F71">
            <w:proofErr w:type="spellStart"/>
            <w:r w:rsidRPr="004547B1">
              <w:t>Creavin</w:t>
            </w:r>
            <w:proofErr w:type="spellEnd"/>
            <w:r w:rsidRPr="004547B1">
              <w:t xml:space="preserve"> et al. (2023)</w:t>
            </w:r>
          </w:p>
        </w:tc>
        <w:tc>
          <w:tcPr>
            <w:tcW w:w="0" w:type="auto"/>
            <w:hideMark/>
          </w:tcPr>
          <w:p w14:paraId="45F2C3F3" w14:textId="3F1DBCF9" w:rsidR="00446DBE" w:rsidRPr="004547B1" w:rsidRDefault="00446DBE" w:rsidP="00813F71">
            <w:r w:rsidRPr="004547B1">
              <w:t>A diagnostic test accuracy study investigating general practitioner clinical impression and brief cognitive assessments for dementia in primary care, compared to speciali</w:t>
            </w:r>
            <w:r w:rsidR="00692DA1">
              <w:t>s</w:t>
            </w:r>
            <w:r w:rsidRPr="004547B1">
              <w:t>ed assessment.</w:t>
            </w:r>
          </w:p>
        </w:tc>
        <w:tc>
          <w:tcPr>
            <w:tcW w:w="0" w:type="auto"/>
            <w:hideMark/>
          </w:tcPr>
          <w:p w14:paraId="0D541AD2" w14:textId="77777777" w:rsidR="00446DBE" w:rsidRPr="004547B1" w:rsidRDefault="00446DBE" w:rsidP="00813F71">
            <w:r w:rsidRPr="004547B1">
              <w:t>This study compared the accuracy of 16 brief cognitive tests and GP judgment for dementia in primary care. It found that brief tests like the MoCA were highly sensitive but not specific, while combining tests with GP judgment improved specificity. The study proposed an efficient, time-saving diagnostic strategy for primary care.</w:t>
            </w:r>
          </w:p>
        </w:tc>
        <w:tc>
          <w:tcPr>
            <w:tcW w:w="0" w:type="auto"/>
            <w:hideMark/>
          </w:tcPr>
          <w:p w14:paraId="6E95A016" w14:textId="77777777" w:rsidR="00446DBE" w:rsidRPr="004547B1" w:rsidRDefault="00446DBE" w:rsidP="00813F71">
            <w:r w:rsidRPr="004547B1">
              <w:t>Primary Care; Dementia Diagnosis; Cognitive Tests (MoCA, 6CIT); GP Judgement; Diagnostic Test Accuracy; Screening</w:t>
            </w:r>
          </w:p>
        </w:tc>
      </w:tr>
      <w:tr w:rsidR="00446DBE" w14:paraId="52E7DEA6" w14:textId="77777777" w:rsidTr="007E534E">
        <w:tc>
          <w:tcPr>
            <w:tcW w:w="1056" w:type="dxa"/>
          </w:tcPr>
          <w:p w14:paraId="0289F274" w14:textId="77777777" w:rsidR="00446DBE" w:rsidRPr="004547B1" w:rsidRDefault="00446DBE" w:rsidP="00813F71">
            <w:pPr>
              <w:rPr>
                <w:b/>
                <w:bCs/>
              </w:rPr>
            </w:pPr>
            <w:r w:rsidRPr="004547B1">
              <w:rPr>
                <w:b/>
                <w:bCs/>
              </w:rPr>
              <w:t>CRAAP Notes</w:t>
            </w:r>
          </w:p>
        </w:tc>
        <w:tc>
          <w:tcPr>
            <w:tcW w:w="9996" w:type="dxa"/>
            <w:gridSpan w:val="3"/>
            <w:hideMark/>
          </w:tcPr>
          <w:p w14:paraId="012706AA" w14:textId="77777777" w:rsidR="00446DBE" w:rsidRPr="004547B1" w:rsidRDefault="00446DBE" w:rsidP="00813F71">
            <w:r w:rsidRPr="00812D61">
              <w:t>Recent and highly relevant diagnostic accuracy research. Conducted in UK primary care settings with specialist comparison standards. Reliable evidence for clinical assessment practices.</w:t>
            </w:r>
          </w:p>
        </w:tc>
        <w:tc>
          <w:tcPr>
            <w:tcW w:w="0" w:type="auto"/>
            <w:hideMark/>
          </w:tcPr>
          <w:p w14:paraId="513755EA" w14:textId="77777777" w:rsidR="00446DBE" w:rsidRPr="004547B1" w:rsidRDefault="00446DBE" w:rsidP="00813F71">
            <w:r w:rsidRPr="004547B1">
              <w:rPr>
                <w:b/>
                <w:bCs/>
              </w:rPr>
              <w:t>CRAAP Score:</w:t>
            </w:r>
            <w:r w:rsidRPr="004547B1">
              <w:t> 5/5</w:t>
            </w:r>
          </w:p>
        </w:tc>
      </w:tr>
      <w:tr w:rsidR="00446DBE" w14:paraId="30C9321E" w14:textId="77777777" w:rsidTr="00813F71">
        <w:tc>
          <w:tcPr>
            <w:tcW w:w="1056" w:type="dxa"/>
          </w:tcPr>
          <w:p w14:paraId="24555B93" w14:textId="77777777" w:rsidR="00446DBE" w:rsidRPr="004547B1" w:rsidRDefault="00446DBE" w:rsidP="00813F71">
            <w:pPr>
              <w:rPr>
                <w:b/>
                <w:bCs/>
              </w:rPr>
            </w:pPr>
            <w:r w:rsidRPr="004547B1">
              <w:rPr>
                <w:b/>
                <w:bCs/>
              </w:rPr>
              <w:t>Article 6</w:t>
            </w:r>
          </w:p>
        </w:tc>
        <w:tc>
          <w:tcPr>
            <w:tcW w:w="1466" w:type="dxa"/>
            <w:hideMark/>
          </w:tcPr>
          <w:p w14:paraId="79A6E500" w14:textId="77777777" w:rsidR="00446DBE" w:rsidRPr="004547B1" w:rsidRDefault="00446DBE" w:rsidP="00813F71">
            <w:proofErr w:type="spellStart"/>
            <w:r w:rsidRPr="004547B1">
              <w:t>Chingono</w:t>
            </w:r>
            <w:proofErr w:type="spellEnd"/>
            <w:r w:rsidRPr="004547B1">
              <w:t xml:space="preserve"> et al. (2025)</w:t>
            </w:r>
          </w:p>
        </w:tc>
        <w:tc>
          <w:tcPr>
            <w:tcW w:w="0" w:type="auto"/>
            <w:hideMark/>
          </w:tcPr>
          <w:p w14:paraId="12AC1F99" w14:textId="77777777" w:rsidR="00446DBE" w:rsidRPr="004547B1" w:rsidRDefault="00446DBE" w:rsidP="00813F71">
            <w:r w:rsidRPr="004547B1">
              <w:t xml:space="preserve">Informant accuracy of IQCODE, AD8 and </w:t>
            </w:r>
            <w:proofErr w:type="spellStart"/>
            <w:r w:rsidRPr="004547B1">
              <w:t>GPCOGi</w:t>
            </w:r>
            <w:proofErr w:type="spellEnd"/>
            <w:r w:rsidRPr="004547B1">
              <w:t xml:space="preserve"> for diagnosis of dementia: does your friend know best?</w:t>
            </w:r>
          </w:p>
        </w:tc>
        <w:tc>
          <w:tcPr>
            <w:tcW w:w="0" w:type="auto"/>
            <w:hideMark/>
          </w:tcPr>
          <w:p w14:paraId="7044E7F4" w14:textId="77777777" w:rsidR="00446DBE" w:rsidRPr="004547B1" w:rsidRDefault="00446DBE" w:rsidP="00813F71">
            <w:r w:rsidRPr="004547B1">
              <w:t xml:space="preserve">This study investigated whether the accuracy of informant questionnaires (IQCODE, AD8, </w:t>
            </w:r>
            <w:proofErr w:type="spellStart"/>
            <w:r w:rsidRPr="004547B1">
              <w:t>GPCOGi</w:t>
            </w:r>
            <w:proofErr w:type="spellEnd"/>
            <w:r w:rsidRPr="004547B1">
              <w:t>) for dementia diagnosis differs based on the informant's relationship to the patient. It found that while all informant types were useful for ruling </w:t>
            </w:r>
            <w:r w:rsidRPr="004547B1">
              <w:rPr>
                <w:i/>
                <w:iCs/>
              </w:rPr>
              <w:t>out</w:t>
            </w:r>
            <w:r w:rsidRPr="004547B1">
              <w:t> dementia, friends had significantly higher specificity (fewer false positives) than spouses or adult descendants.</w:t>
            </w:r>
          </w:p>
        </w:tc>
        <w:tc>
          <w:tcPr>
            <w:tcW w:w="0" w:type="auto"/>
            <w:hideMark/>
          </w:tcPr>
          <w:p w14:paraId="1E835E66" w14:textId="77777777" w:rsidR="00446DBE" w:rsidRPr="004547B1" w:rsidRDefault="00446DBE" w:rsidP="00813F71">
            <w:r w:rsidRPr="004547B1">
              <w:t>Informant Report; IQCODE; AD8; GPCOG; Dementia Diagnosis; Primary Care; Spouse vs. Child vs. Friend</w:t>
            </w:r>
          </w:p>
        </w:tc>
      </w:tr>
      <w:tr w:rsidR="00446DBE" w14:paraId="191D347C" w14:textId="77777777" w:rsidTr="007E534E">
        <w:tc>
          <w:tcPr>
            <w:tcW w:w="1056" w:type="dxa"/>
          </w:tcPr>
          <w:p w14:paraId="3194722E" w14:textId="77777777" w:rsidR="00446DBE" w:rsidRPr="004547B1" w:rsidRDefault="00446DBE" w:rsidP="00813F71">
            <w:pPr>
              <w:rPr>
                <w:b/>
                <w:bCs/>
              </w:rPr>
            </w:pPr>
            <w:r w:rsidRPr="004547B1">
              <w:rPr>
                <w:b/>
                <w:bCs/>
              </w:rPr>
              <w:t>CRAAP Notes</w:t>
            </w:r>
          </w:p>
        </w:tc>
        <w:tc>
          <w:tcPr>
            <w:tcW w:w="9996" w:type="dxa"/>
            <w:gridSpan w:val="3"/>
            <w:hideMark/>
          </w:tcPr>
          <w:p w14:paraId="26ED1AEA" w14:textId="77777777" w:rsidR="00446DBE" w:rsidRPr="004547B1" w:rsidRDefault="00446DBE" w:rsidP="00813F71">
            <w:r w:rsidRPr="004A5FAD">
              <w:t>Current peer-reviewed article focusing on practical dementia screening approaches in primary care. Relevant to informant reliability and community diagnosis. Strong evidence base and UK relevance.</w:t>
            </w:r>
          </w:p>
        </w:tc>
        <w:tc>
          <w:tcPr>
            <w:tcW w:w="0" w:type="auto"/>
            <w:hideMark/>
          </w:tcPr>
          <w:p w14:paraId="712E526E" w14:textId="77777777" w:rsidR="00446DBE" w:rsidRPr="004547B1" w:rsidRDefault="00446DBE" w:rsidP="00813F71">
            <w:r w:rsidRPr="004547B1">
              <w:rPr>
                <w:b/>
                <w:bCs/>
              </w:rPr>
              <w:t>CRAAP Score:</w:t>
            </w:r>
            <w:r w:rsidRPr="004547B1">
              <w:t> 5/5</w:t>
            </w:r>
          </w:p>
        </w:tc>
      </w:tr>
      <w:tr w:rsidR="00446DBE" w14:paraId="25C820CE" w14:textId="77777777" w:rsidTr="00813F71">
        <w:tc>
          <w:tcPr>
            <w:tcW w:w="1056" w:type="dxa"/>
          </w:tcPr>
          <w:p w14:paraId="10732987" w14:textId="17F47944" w:rsidR="00446DBE" w:rsidRPr="004547B1" w:rsidRDefault="00DB7F42" w:rsidP="00813F71">
            <w:pPr>
              <w:rPr>
                <w:b/>
                <w:bCs/>
              </w:rPr>
            </w:pPr>
            <w:r w:rsidRPr="004547B1">
              <w:rPr>
                <w:b/>
                <w:bCs/>
              </w:rPr>
              <w:lastRenderedPageBreak/>
              <w:t>Article 7</w:t>
            </w:r>
          </w:p>
        </w:tc>
        <w:tc>
          <w:tcPr>
            <w:tcW w:w="1466" w:type="dxa"/>
            <w:hideMark/>
          </w:tcPr>
          <w:p w14:paraId="2D0CE787" w14:textId="20903D01" w:rsidR="00446DBE" w:rsidRPr="004547B1" w:rsidRDefault="00446DBE" w:rsidP="00813F71">
            <w:r w:rsidRPr="004547B1">
              <w:t>Jones et al. (2023)</w:t>
            </w:r>
          </w:p>
        </w:tc>
        <w:tc>
          <w:tcPr>
            <w:tcW w:w="0" w:type="auto"/>
            <w:hideMark/>
          </w:tcPr>
          <w:p w14:paraId="631AE475" w14:textId="77777777" w:rsidR="00446DBE" w:rsidRPr="004547B1" w:rsidRDefault="00446DBE" w:rsidP="00813F71">
            <w:r w:rsidRPr="004547B1">
              <w:t>Dementia prevention and the GP’s role: a qualitative interview study.</w:t>
            </w:r>
          </w:p>
        </w:tc>
        <w:tc>
          <w:tcPr>
            <w:tcW w:w="0" w:type="auto"/>
            <w:hideMark/>
          </w:tcPr>
          <w:p w14:paraId="19BB421C" w14:textId="77777777" w:rsidR="00446DBE" w:rsidRPr="004547B1" w:rsidRDefault="00446DBE" w:rsidP="00813F71">
            <w:r w:rsidRPr="004547B1">
              <w:t>This qualitative study explored UK GPs' views on their role in dementia prevention. GPs reported rarely discussing dementia risk explicitly due to lack of time, knowledge, and fear of causing anxiety. They suggested using "brain health" as a more positive term and integrating prevention into existing reviews for long-term conditions.</w:t>
            </w:r>
          </w:p>
        </w:tc>
        <w:tc>
          <w:tcPr>
            <w:tcW w:w="0" w:type="auto"/>
            <w:hideMark/>
          </w:tcPr>
          <w:p w14:paraId="3FE3EB56" w14:textId="77777777" w:rsidR="00446DBE" w:rsidRPr="004547B1" w:rsidRDefault="00446DBE" w:rsidP="00813F71">
            <w:r w:rsidRPr="004547B1">
              <w:t>Dementia Prevention; GP Role; Primary Care; Brain Health; Qualitative Research; Modifiable Risk Factors; Health Communication</w:t>
            </w:r>
          </w:p>
        </w:tc>
      </w:tr>
      <w:tr w:rsidR="00446DBE" w14:paraId="22B4AF17" w14:textId="77777777" w:rsidTr="007E534E">
        <w:tc>
          <w:tcPr>
            <w:tcW w:w="1056" w:type="dxa"/>
          </w:tcPr>
          <w:p w14:paraId="099F3B28" w14:textId="77777777" w:rsidR="00446DBE" w:rsidRPr="004547B1" w:rsidRDefault="00446DBE" w:rsidP="00813F71">
            <w:pPr>
              <w:rPr>
                <w:b/>
                <w:bCs/>
              </w:rPr>
            </w:pPr>
            <w:r w:rsidRPr="004547B1">
              <w:rPr>
                <w:b/>
                <w:bCs/>
              </w:rPr>
              <w:t>CRAAP Notes</w:t>
            </w:r>
          </w:p>
        </w:tc>
        <w:tc>
          <w:tcPr>
            <w:tcW w:w="9996" w:type="dxa"/>
            <w:gridSpan w:val="3"/>
            <w:hideMark/>
          </w:tcPr>
          <w:p w14:paraId="3CAD2979" w14:textId="77777777" w:rsidR="00446DBE" w:rsidRPr="004547B1" w:rsidRDefault="00446DBE" w:rsidP="00813F71">
            <w:r w:rsidRPr="001D2EDA">
              <w:t>Peer-reviewed qualitative UK study with strong relevance to prevention strategies in primary care. Provides valuable practitioner perspectives and contextual evidence.</w:t>
            </w:r>
          </w:p>
        </w:tc>
        <w:tc>
          <w:tcPr>
            <w:tcW w:w="0" w:type="auto"/>
            <w:hideMark/>
          </w:tcPr>
          <w:p w14:paraId="5A1CECC9" w14:textId="77777777" w:rsidR="00446DBE" w:rsidRPr="004547B1" w:rsidRDefault="00446DBE" w:rsidP="00813F71">
            <w:r w:rsidRPr="004547B1">
              <w:rPr>
                <w:b/>
                <w:bCs/>
              </w:rPr>
              <w:t>CRAAP Score:</w:t>
            </w:r>
            <w:r w:rsidRPr="004547B1">
              <w:t> 5/5</w:t>
            </w:r>
          </w:p>
        </w:tc>
      </w:tr>
      <w:tr w:rsidR="00446DBE" w14:paraId="2379A5D7" w14:textId="77777777" w:rsidTr="00813F71">
        <w:tc>
          <w:tcPr>
            <w:tcW w:w="1056" w:type="dxa"/>
          </w:tcPr>
          <w:p w14:paraId="08ADD78E" w14:textId="77777777" w:rsidR="00446DBE" w:rsidRPr="004547B1" w:rsidRDefault="00446DBE" w:rsidP="00813F71">
            <w:pPr>
              <w:rPr>
                <w:b/>
                <w:bCs/>
              </w:rPr>
            </w:pPr>
            <w:r w:rsidRPr="004547B1">
              <w:rPr>
                <w:b/>
                <w:bCs/>
              </w:rPr>
              <w:t>Article 8</w:t>
            </w:r>
          </w:p>
        </w:tc>
        <w:tc>
          <w:tcPr>
            <w:tcW w:w="1466" w:type="dxa"/>
            <w:hideMark/>
          </w:tcPr>
          <w:p w14:paraId="10332008" w14:textId="77777777" w:rsidR="00446DBE" w:rsidRPr="004547B1" w:rsidRDefault="00446DBE" w:rsidP="00813F71">
            <w:r w:rsidRPr="004547B1">
              <w:t>Bajwa et al. (2025)</w:t>
            </w:r>
          </w:p>
        </w:tc>
        <w:tc>
          <w:tcPr>
            <w:tcW w:w="0" w:type="auto"/>
            <w:hideMark/>
          </w:tcPr>
          <w:p w14:paraId="14608449" w14:textId="77777777" w:rsidR="00446DBE" w:rsidRPr="004547B1" w:rsidRDefault="00446DBE" w:rsidP="00813F71">
            <w:r w:rsidRPr="004547B1">
              <w:t>Qualitative study exploring knowledge and attitudes towards dementia risk prediction, barriers to dementia services and service improvement recommendations with diverse populations in England.</w:t>
            </w:r>
          </w:p>
        </w:tc>
        <w:tc>
          <w:tcPr>
            <w:tcW w:w="0" w:type="auto"/>
            <w:hideMark/>
          </w:tcPr>
          <w:p w14:paraId="55BFB2E5" w14:textId="77777777" w:rsidR="00446DBE" w:rsidRPr="004547B1" w:rsidRDefault="00446DBE" w:rsidP="00813F71">
            <w:r w:rsidRPr="004547B1">
              <w:t>This qualitative study with 147 participants from low-income and ethnically diverse groups in England explored dementia knowledge and attitudes. It found low awareness of risk prediction, cautious optimism about its use, and significant barriers to services including stigma, language, and cultural views. It provided recommendations for culturally aware services.</w:t>
            </w:r>
          </w:p>
        </w:tc>
        <w:tc>
          <w:tcPr>
            <w:tcW w:w="0" w:type="auto"/>
            <w:hideMark/>
          </w:tcPr>
          <w:p w14:paraId="363ED4E2" w14:textId="77777777" w:rsidR="00446DBE" w:rsidRPr="004547B1" w:rsidRDefault="00446DBE" w:rsidP="00813F71">
            <w:r w:rsidRPr="004547B1">
              <w:t>Ethnic Diversity; Health Inequalities; Dementia Risk Prediction; Barriers to Care; Service Improvement; Qualitative Research; Stigma</w:t>
            </w:r>
          </w:p>
        </w:tc>
      </w:tr>
      <w:tr w:rsidR="00446DBE" w14:paraId="7C9C87AB" w14:textId="77777777" w:rsidTr="007E534E">
        <w:tc>
          <w:tcPr>
            <w:tcW w:w="1056" w:type="dxa"/>
          </w:tcPr>
          <w:p w14:paraId="0CDBE461" w14:textId="77777777" w:rsidR="00446DBE" w:rsidRPr="004547B1" w:rsidRDefault="00446DBE" w:rsidP="00813F71">
            <w:pPr>
              <w:rPr>
                <w:b/>
                <w:bCs/>
              </w:rPr>
            </w:pPr>
            <w:r w:rsidRPr="004547B1">
              <w:rPr>
                <w:b/>
                <w:bCs/>
              </w:rPr>
              <w:t>CRAAP Notes</w:t>
            </w:r>
          </w:p>
        </w:tc>
        <w:tc>
          <w:tcPr>
            <w:tcW w:w="9996" w:type="dxa"/>
            <w:gridSpan w:val="3"/>
            <w:hideMark/>
          </w:tcPr>
          <w:p w14:paraId="6AD50459" w14:textId="77777777" w:rsidR="00446DBE" w:rsidRPr="004547B1" w:rsidRDefault="00446DBE" w:rsidP="00813F71">
            <w:r w:rsidRPr="00FF7B33">
              <w:t>Recent BMJ Open study with strong methodological transparency and focus on inclusivity in dementia services. Highly relevant to healthcare access and equity issues.</w:t>
            </w:r>
          </w:p>
        </w:tc>
        <w:tc>
          <w:tcPr>
            <w:tcW w:w="0" w:type="auto"/>
            <w:hideMark/>
          </w:tcPr>
          <w:p w14:paraId="0914C37F" w14:textId="77777777" w:rsidR="00446DBE" w:rsidRPr="004547B1" w:rsidRDefault="00446DBE" w:rsidP="00813F71">
            <w:r w:rsidRPr="004547B1">
              <w:rPr>
                <w:b/>
                <w:bCs/>
              </w:rPr>
              <w:t>CRAAP Score:</w:t>
            </w:r>
            <w:r w:rsidRPr="004547B1">
              <w:t> 5/5</w:t>
            </w:r>
          </w:p>
        </w:tc>
      </w:tr>
      <w:tr w:rsidR="00446DBE" w14:paraId="23F85307" w14:textId="77777777" w:rsidTr="00813F71">
        <w:tc>
          <w:tcPr>
            <w:tcW w:w="1056" w:type="dxa"/>
          </w:tcPr>
          <w:p w14:paraId="1C0DB597" w14:textId="77777777" w:rsidR="00446DBE" w:rsidRPr="004547B1" w:rsidRDefault="00446DBE" w:rsidP="00813F71">
            <w:pPr>
              <w:rPr>
                <w:b/>
                <w:bCs/>
              </w:rPr>
            </w:pPr>
            <w:r w:rsidRPr="004547B1">
              <w:rPr>
                <w:b/>
                <w:bCs/>
              </w:rPr>
              <w:t>Article 9</w:t>
            </w:r>
          </w:p>
        </w:tc>
        <w:tc>
          <w:tcPr>
            <w:tcW w:w="1466" w:type="dxa"/>
            <w:hideMark/>
          </w:tcPr>
          <w:p w14:paraId="54FC2F1B" w14:textId="77777777" w:rsidR="00446DBE" w:rsidRPr="004547B1" w:rsidRDefault="00446DBE" w:rsidP="00813F71">
            <w:r w:rsidRPr="004547B1">
              <w:t>Kelsey et al. (2026)</w:t>
            </w:r>
          </w:p>
        </w:tc>
        <w:tc>
          <w:tcPr>
            <w:tcW w:w="0" w:type="auto"/>
            <w:hideMark/>
          </w:tcPr>
          <w:p w14:paraId="69A8030F" w14:textId="77777777" w:rsidR="00446DBE" w:rsidRPr="004547B1" w:rsidRDefault="00446DBE" w:rsidP="00813F71">
            <w:r w:rsidRPr="004547B1">
              <w:t>A national survey of dementia diagnosis and care in English memory services.</w:t>
            </w:r>
          </w:p>
        </w:tc>
        <w:tc>
          <w:tcPr>
            <w:tcW w:w="0" w:type="auto"/>
            <w:hideMark/>
          </w:tcPr>
          <w:p w14:paraId="6D8A57FF" w14:textId="77777777" w:rsidR="00446DBE" w:rsidRPr="004547B1" w:rsidRDefault="00446DBE" w:rsidP="00813F71">
            <w:r w:rsidRPr="004547B1">
              <w:t xml:space="preserve">This national survey of 139 English memory services identified significant geographical inequalities in dementia diagnosis and care. It </w:t>
            </w:r>
            <w:r w:rsidRPr="004547B1">
              <w:lastRenderedPageBreak/>
              <w:t>found that acute trust-based services felt readier for new disease-modifying treatments, while mental health/community trusts offered more post-diagnostic psychological therapy. Rurality and region predicted lower diagnosis rates.</w:t>
            </w:r>
          </w:p>
        </w:tc>
        <w:tc>
          <w:tcPr>
            <w:tcW w:w="0" w:type="auto"/>
            <w:hideMark/>
          </w:tcPr>
          <w:p w14:paraId="6F5ED402" w14:textId="77777777" w:rsidR="00446DBE" w:rsidRPr="004547B1" w:rsidRDefault="00446DBE" w:rsidP="00813F71">
            <w:r w:rsidRPr="004547B1">
              <w:lastRenderedPageBreak/>
              <w:t>Memory Services; NHS; Dementia Diagnosis; Post-Diagnostic Care; Disease-</w:t>
            </w:r>
            <w:r w:rsidRPr="004547B1">
              <w:lastRenderedPageBreak/>
              <w:t>Modifying Treatments; Health Inequalities; Workforce; National Survey</w:t>
            </w:r>
          </w:p>
        </w:tc>
      </w:tr>
      <w:tr w:rsidR="00387E33" w14:paraId="5875046D" w14:textId="77777777" w:rsidTr="0010798A">
        <w:tc>
          <w:tcPr>
            <w:tcW w:w="1056" w:type="dxa"/>
          </w:tcPr>
          <w:p w14:paraId="42D94728" w14:textId="2C2C43FC" w:rsidR="00387E33" w:rsidRPr="004547B1" w:rsidRDefault="00387E33" w:rsidP="00813F71">
            <w:pPr>
              <w:rPr>
                <w:b/>
                <w:bCs/>
              </w:rPr>
            </w:pPr>
            <w:r w:rsidRPr="004547B1">
              <w:rPr>
                <w:b/>
                <w:bCs/>
              </w:rPr>
              <w:lastRenderedPageBreak/>
              <w:t>CRAAP Notes</w:t>
            </w:r>
          </w:p>
        </w:tc>
        <w:tc>
          <w:tcPr>
            <w:tcW w:w="9996" w:type="dxa"/>
            <w:gridSpan w:val="3"/>
          </w:tcPr>
          <w:p w14:paraId="36B5011E" w14:textId="008B87EA" w:rsidR="00387E33" w:rsidRPr="004547B1" w:rsidRDefault="00387E33" w:rsidP="00813F71">
            <w:r w:rsidRPr="0074040B">
              <w:t>Very recent national-level study with extensive NHS service data. Strong relevance to dementia care systems, diagnosis access, and policy planning in England.</w:t>
            </w:r>
          </w:p>
        </w:tc>
        <w:tc>
          <w:tcPr>
            <w:tcW w:w="0" w:type="auto"/>
          </w:tcPr>
          <w:p w14:paraId="58F8B643" w14:textId="7C0AAEE2" w:rsidR="00387E33" w:rsidRPr="004547B1" w:rsidRDefault="00387E33" w:rsidP="00813F71">
            <w:r w:rsidRPr="004547B1">
              <w:rPr>
                <w:b/>
                <w:bCs/>
              </w:rPr>
              <w:t>CRAAP Score:</w:t>
            </w:r>
            <w:r w:rsidRPr="004547B1">
              <w:t> 5/5</w:t>
            </w:r>
          </w:p>
        </w:tc>
      </w:tr>
      <w:tr w:rsidR="00387E33" w14:paraId="097C507A" w14:textId="77777777" w:rsidTr="00813F71">
        <w:tc>
          <w:tcPr>
            <w:tcW w:w="1056" w:type="dxa"/>
          </w:tcPr>
          <w:p w14:paraId="3F7B91C6" w14:textId="1B6C1977" w:rsidR="00387E33" w:rsidRPr="004547B1" w:rsidRDefault="0010798A" w:rsidP="003776CC">
            <w:r w:rsidRPr="0010798A">
              <w:t>Article 1</w:t>
            </w:r>
            <w:r>
              <w:t>0</w:t>
            </w:r>
          </w:p>
        </w:tc>
        <w:tc>
          <w:tcPr>
            <w:tcW w:w="1466" w:type="dxa"/>
          </w:tcPr>
          <w:p w14:paraId="02941CF8" w14:textId="37E8407A" w:rsidR="00387E33" w:rsidRPr="004547B1" w:rsidRDefault="0010798A" w:rsidP="003776CC">
            <w:r w:rsidRPr="0010798A">
              <w:t>Smith and Surr,</w:t>
            </w:r>
            <w:r>
              <w:t xml:space="preserve"> </w:t>
            </w:r>
            <w:r w:rsidRPr="0010798A">
              <w:t>(2024)</w:t>
            </w:r>
          </w:p>
        </w:tc>
        <w:tc>
          <w:tcPr>
            <w:tcW w:w="0" w:type="auto"/>
          </w:tcPr>
          <w:p w14:paraId="072806E0" w14:textId="5C33B5DD" w:rsidR="00387E33" w:rsidRPr="004547B1" w:rsidRDefault="0010798A" w:rsidP="003776CC">
            <w:r w:rsidRPr="0010798A">
              <w:t>Exploring challenges and innovation in memory assessment services in England and Wales – a national survey and case study approach.</w:t>
            </w:r>
          </w:p>
        </w:tc>
        <w:tc>
          <w:tcPr>
            <w:tcW w:w="0" w:type="auto"/>
          </w:tcPr>
          <w:p w14:paraId="259C7C5F" w14:textId="0BC6E190" w:rsidR="00387E33" w:rsidRPr="004547B1" w:rsidRDefault="0010798A" w:rsidP="003776CC">
            <w:r w:rsidRPr="0010798A">
              <w:t>This service evaluation explored design, delivery, and innovation in Memory Assessment Services (MAS) across England and Wales. A survey (n=49) and qualitative case studies (n=15) revealed post-COVID service shifts, key challenges (specialist staff shortages, support for mild cognitive impairment [MCI] and rarer dementias, post-diagnostic support capacity), and examples of good practice (equity of access, multi-agency working, innovative pathways). The findings emphasise service re-evaluation based on local need.</w:t>
            </w:r>
          </w:p>
        </w:tc>
        <w:tc>
          <w:tcPr>
            <w:tcW w:w="0" w:type="auto"/>
          </w:tcPr>
          <w:p w14:paraId="7F5C0D6F" w14:textId="07094D02" w:rsidR="00387E33" w:rsidRPr="004547B1" w:rsidRDefault="0010798A" w:rsidP="003776CC">
            <w:r w:rsidRPr="0010798A">
              <w:t>Memory Assessment Services; Post-diagnostic support; MCI; Rarer dementias; Service innovation; Commissioning; COVID-19 impact; Qualitative case study</w:t>
            </w:r>
          </w:p>
        </w:tc>
      </w:tr>
      <w:tr w:rsidR="007E534E" w14:paraId="68847912" w14:textId="77777777" w:rsidTr="00813F71">
        <w:tc>
          <w:tcPr>
            <w:tcW w:w="1056" w:type="dxa"/>
          </w:tcPr>
          <w:p w14:paraId="1A837928" w14:textId="31D2D43B" w:rsidR="007E534E" w:rsidRPr="006B2A5C" w:rsidRDefault="006B2A5C" w:rsidP="003776CC">
            <w:pPr>
              <w:rPr>
                <w:b/>
              </w:rPr>
            </w:pPr>
            <w:r w:rsidRPr="006B2A5C">
              <w:rPr>
                <w:b/>
              </w:rPr>
              <w:t>CRAAP Notes</w:t>
            </w:r>
          </w:p>
        </w:tc>
        <w:tc>
          <w:tcPr>
            <w:tcW w:w="9996" w:type="dxa"/>
            <w:gridSpan w:val="3"/>
          </w:tcPr>
          <w:p w14:paraId="6C37D81E" w14:textId="77777777" w:rsidR="007E534E" w:rsidRDefault="0010798A" w:rsidP="003776CC">
            <w:r w:rsidRPr="0010798A">
              <w:t>Peer-reviewed journal article published in BMC Health Services Research (2024). Highly relevant to health service planning and dementia pathway innovation. Authors affiliated with academic health research. Uses robust mixed-methods (national survey + case studies).</w:t>
            </w:r>
          </w:p>
          <w:p w14:paraId="61F73C68" w14:textId="4B1127FC" w:rsidR="006B2A5C" w:rsidRPr="004547B1" w:rsidRDefault="006B2A5C" w:rsidP="003776CC"/>
        </w:tc>
        <w:tc>
          <w:tcPr>
            <w:tcW w:w="0" w:type="auto"/>
          </w:tcPr>
          <w:p w14:paraId="64D55E03" w14:textId="2BEBD809" w:rsidR="007E534E" w:rsidRPr="004547B1" w:rsidRDefault="0010798A" w:rsidP="003776CC">
            <w:r w:rsidRPr="0010798A">
              <w:rPr>
                <w:b/>
              </w:rPr>
              <w:lastRenderedPageBreak/>
              <w:t>CRAAP Score</w:t>
            </w:r>
            <w:r w:rsidRPr="0010798A">
              <w:t>: 5/5</w:t>
            </w:r>
          </w:p>
        </w:tc>
      </w:tr>
      <w:bookmarkEnd w:id="73"/>
    </w:tbl>
    <w:p w14:paraId="1449391A" w14:textId="6744B1F5" w:rsidR="00446DBE" w:rsidRDefault="00446DBE" w:rsidP="00446DBE"/>
    <w:p w14:paraId="516C009C" w14:textId="576FDFE4" w:rsidR="00446DBE" w:rsidRDefault="00446DBE" w:rsidP="00D81F3B">
      <w:pPr>
        <w:pStyle w:val="Heading2"/>
      </w:pPr>
      <w:bookmarkStart w:id="74" w:name="_Toc234829780"/>
      <w:r w:rsidRPr="00446DBE">
        <w:t>Appendix 2: CRAAP Test</w:t>
      </w:r>
      <w:bookmarkEnd w:id="74"/>
    </w:p>
    <w:tbl>
      <w:tblPr>
        <w:tblStyle w:val="TableGrid"/>
        <w:tblW w:w="5000" w:type="pct"/>
        <w:tblLook w:val="04A0" w:firstRow="1" w:lastRow="0" w:firstColumn="1" w:lastColumn="0" w:noHBand="0" w:noVBand="1"/>
      </w:tblPr>
      <w:tblGrid>
        <w:gridCol w:w="2323"/>
        <w:gridCol w:w="2323"/>
        <w:gridCol w:w="2324"/>
        <w:gridCol w:w="2324"/>
        <w:gridCol w:w="2327"/>
        <w:gridCol w:w="2327"/>
      </w:tblGrid>
      <w:tr w:rsidR="00D81F3B" w14:paraId="27A19EC3" w14:textId="77777777" w:rsidTr="00986E53">
        <w:tc>
          <w:tcPr>
            <w:tcW w:w="833" w:type="pct"/>
          </w:tcPr>
          <w:p w14:paraId="433D9A13" w14:textId="77777777" w:rsidR="00D81F3B" w:rsidRPr="00831D98" w:rsidRDefault="00D81F3B" w:rsidP="00813F71">
            <w:pPr>
              <w:jc w:val="center"/>
              <w:rPr>
                <w:b/>
                <w:lang w:val="en-US"/>
              </w:rPr>
            </w:pPr>
            <w:bookmarkStart w:id="75" w:name="_Hlk231935255"/>
            <w:r>
              <w:rPr>
                <w:b/>
                <w:lang w:val="en-US"/>
              </w:rPr>
              <w:t>CRAAP</w:t>
            </w:r>
          </w:p>
        </w:tc>
        <w:tc>
          <w:tcPr>
            <w:tcW w:w="833" w:type="pct"/>
          </w:tcPr>
          <w:p w14:paraId="2D4CAFFB" w14:textId="77777777" w:rsidR="00D81F3B" w:rsidRPr="00831D98" w:rsidRDefault="00D81F3B" w:rsidP="00813F71">
            <w:pPr>
              <w:jc w:val="center"/>
              <w:rPr>
                <w:b/>
                <w:lang w:val="en-US"/>
              </w:rPr>
            </w:pPr>
            <w:r w:rsidRPr="00831D98">
              <w:rPr>
                <w:b/>
                <w:lang w:val="en-US"/>
              </w:rPr>
              <w:t>Currency</w:t>
            </w:r>
          </w:p>
        </w:tc>
        <w:tc>
          <w:tcPr>
            <w:tcW w:w="833" w:type="pct"/>
          </w:tcPr>
          <w:p w14:paraId="72080B4B" w14:textId="77777777" w:rsidR="00D81F3B" w:rsidRPr="00831D98" w:rsidRDefault="00D81F3B" w:rsidP="00813F71">
            <w:pPr>
              <w:jc w:val="center"/>
              <w:rPr>
                <w:b/>
                <w:lang w:val="en-US"/>
              </w:rPr>
            </w:pPr>
            <w:r w:rsidRPr="00831D98">
              <w:rPr>
                <w:b/>
                <w:lang w:val="en-US"/>
              </w:rPr>
              <w:t>Relevance</w:t>
            </w:r>
          </w:p>
        </w:tc>
        <w:tc>
          <w:tcPr>
            <w:tcW w:w="833" w:type="pct"/>
          </w:tcPr>
          <w:p w14:paraId="39A637A7" w14:textId="77777777" w:rsidR="00D81F3B" w:rsidRPr="00831D98" w:rsidRDefault="00D81F3B" w:rsidP="00813F71">
            <w:pPr>
              <w:jc w:val="center"/>
              <w:rPr>
                <w:b/>
                <w:lang w:val="en-US"/>
              </w:rPr>
            </w:pPr>
            <w:r w:rsidRPr="00831D98">
              <w:rPr>
                <w:b/>
                <w:lang w:val="en-US"/>
              </w:rPr>
              <w:t>Authority</w:t>
            </w:r>
          </w:p>
        </w:tc>
        <w:tc>
          <w:tcPr>
            <w:tcW w:w="834" w:type="pct"/>
          </w:tcPr>
          <w:p w14:paraId="38B1E1CD" w14:textId="77777777" w:rsidR="00D81F3B" w:rsidRPr="00831D98" w:rsidRDefault="00D81F3B" w:rsidP="00813F71">
            <w:pPr>
              <w:jc w:val="center"/>
              <w:rPr>
                <w:b/>
                <w:lang w:val="en-US"/>
              </w:rPr>
            </w:pPr>
            <w:r w:rsidRPr="00831D98">
              <w:rPr>
                <w:b/>
                <w:lang w:val="en-US"/>
              </w:rPr>
              <w:t>Accuracy</w:t>
            </w:r>
          </w:p>
        </w:tc>
        <w:tc>
          <w:tcPr>
            <w:tcW w:w="834" w:type="pct"/>
          </w:tcPr>
          <w:p w14:paraId="1B30510A" w14:textId="77777777" w:rsidR="00D81F3B" w:rsidRPr="00831D98" w:rsidRDefault="00D81F3B" w:rsidP="00813F71">
            <w:pPr>
              <w:jc w:val="center"/>
              <w:rPr>
                <w:b/>
                <w:lang w:val="en-US"/>
              </w:rPr>
            </w:pPr>
            <w:r w:rsidRPr="00831D98">
              <w:rPr>
                <w:b/>
                <w:lang w:val="en-US"/>
              </w:rPr>
              <w:t>Purpose</w:t>
            </w:r>
          </w:p>
        </w:tc>
      </w:tr>
      <w:tr w:rsidR="00D81F3B" w14:paraId="20AE763D" w14:textId="77777777" w:rsidTr="00986E53">
        <w:tc>
          <w:tcPr>
            <w:tcW w:w="833" w:type="pct"/>
          </w:tcPr>
          <w:p w14:paraId="7E54662B" w14:textId="77777777" w:rsidR="00D81F3B" w:rsidRDefault="00D81F3B" w:rsidP="00813F71">
            <w:pPr>
              <w:rPr>
                <w:lang w:val="en-US"/>
              </w:rPr>
            </w:pPr>
            <w:r>
              <w:rPr>
                <w:lang w:val="en-US"/>
              </w:rPr>
              <w:t>Article 1:</w:t>
            </w:r>
            <w:r>
              <w:t xml:space="preserve"> </w:t>
            </w:r>
            <w:r w:rsidRPr="00C27CFB">
              <w:rPr>
                <w:lang w:val="en-US"/>
              </w:rPr>
              <w:t>Stothart et al. (2021)</w:t>
            </w:r>
          </w:p>
        </w:tc>
        <w:tc>
          <w:tcPr>
            <w:tcW w:w="833" w:type="pct"/>
          </w:tcPr>
          <w:p w14:paraId="06E07CD5" w14:textId="77777777" w:rsidR="00D81F3B" w:rsidRDefault="00D81F3B" w:rsidP="00813F71">
            <w:pPr>
              <w:rPr>
                <w:lang w:val="en-US"/>
              </w:rPr>
            </w:pPr>
            <w:r w:rsidRPr="00E607B2">
              <w:rPr>
                <w:lang w:val="en-US"/>
              </w:rPr>
              <w:t>Published 2021</w:t>
            </w:r>
          </w:p>
        </w:tc>
        <w:tc>
          <w:tcPr>
            <w:tcW w:w="833" w:type="pct"/>
          </w:tcPr>
          <w:p w14:paraId="6D219892" w14:textId="77777777" w:rsidR="00D81F3B" w:rsidRDefault="00D81F3B" w:rsidP="00813F71">
            <w:pPr>
              <w:rPr>
                <w:lang w:val="en-US"/>
              </w:rPr>
            </w:pPr>
            <w:r w:rsidRPr="00E74A09">
              <w:rPr>
                <w:lang w:val="en-US"/>
              </w:rPr>
              <w:t>High; addresses early detection technology.</w:t>
            </w:r>
          </w:p>
        </w:tc>
        <w:tc>
          <w:tcPr>
            <w:tcW w:w="833" w:type="pct"/>
          </w:tcPr>
          <w:p w14:paraId="3CE704C9" w14:textId="77777777" w:rsidR="00D81F3B" w:rsidRDefault="00D81F3B" w:rsidP="00813F71">
            <w:pPr>
              <w:rPr>
                <w:lang w:val="en-US"/>
              </w:rPr>
            </w:pPr>
            <w:r w:rsidRPr="00B7035B">
              <w:rPr>
                <w:lang w:val="en-US"/>
              </w:rPr>
              <w:t>Published in Brain; academic researchers.</w:t>
            </w:r>
          </w:p>
        </w:tc>
        <w:tc>
          <w:tcPr>
            <w:tcW w:w="834" w:type="pct"/>
          </w:tcPr>
          <w:p w14:paraId="05AF74A8" w14:textId="77777777" w:rsidR="00D81F3B" w:rsidRDefault="00D81F3B" w:rsidP="00813F71">
            <w:pPr>
              <w:rPr>
                <w:lang w:val="en-US"/>
              </w:rPr>
            </w:pPr>
            <w:r w:rsidRPr="00430929">
              <w:rPr>
                <w:lang w:val="en-US"/>
              </w:rPr>
              <w:t>Peer-reviewed with high effect sizes (d = 1.52).</w:t>
            </w:r>
          </w:p>
        </w:tc>
        <w:tc>
          <w:tcPr>
            <w:tcW w:w="834" w:type="pct"/>
          </w:tcPr>
          <w:p w14:paraId="371AF825" w14:textId="77777777" w:rsidR="00D81F3B" w:rsidRDefault="00D81F3B" w:rsidP="00813F71">
            <w:pPr>
              <w:rPr>
                <w:lang w:val="en-US"/>
              </w:rPr>
            </w:pPr>
            <w:r w:rsidRPr="00FB219B">
              <w:rPr>
                <w:lang w:val="en-US"/>
              </w:rPr>
              <w:t>To introduce a scalable diagnostic tool.</w:t>
            </w:r>
          </w:p>
        </w:tc>
      </w:tr>
      <w:tr w:rsidR="00D81F3B" w14:paraId="7D282D89" w14:textId="77777777" w:rsidTr="00986E53">
        <w:tc>
          <w:tcPr>
            <w:tcW w:w="833" w:type="pct"/>
          </w:tcPr>
          <w:p w14:paraId="5FFAD0FC" w14:textId="77777777" w:rsidR="00D81F3B" w:rsidRDefault="00D81F3B" w:rsidP="00813F71">
            <w:pPr>
              <w:rPr>
                <w:lang w:val="en-US"/>
              </w:rPr>
            </w:pPr>
            <w:r>
              <w:rPr>
                <w:lang w:val="en-US"/>
              </w:rPr>
              <w:t>Article 2:</w:t>
            </w:r>
            <w:r>
              <w:t xml:space="preserve"> </w:t>
            </w:r>
            <w:r w:rsidRPr="001C75D8">
              <w:rPr>
                <w:lang w:val="en-US"/>
              </w:rPr>
              <w:t>Keshavan et al. (2021)</w:t>
            </w:r>
          </w:p>
        </w:tc>
        <w:tc>
          <w:tcPr>
            <w:tcW w:w="833" w:type="pct"/>
          </w:tcPr>
          <w:p w14:paraId="343030AF" w14:textId="77777777" w:rsidR="00D81F3B" w:rsidRDefault="00D81F3B" w:rsidP="00813F71">
            <w:pPr>
              <w:rPr>
                <w:lang w:val="en-US"/>
              </w:rPr>
            </w:pPr>
            <w:r w:rsidRPr="00F80C87">
              <w:rPr>
                <w:lang w:val="en-US"/>
              </w:rPr>
              <w:t>Published 2021.</w:t>
            </w:r>
          </w:p>
        </w:tc>
        <w:tc>
          <w:tcPr>
            <w:tcW w:w="833" w:type="pct"/>
          </w:tcPr>
          <w:p w14:paraId="37C87AF2" w14:textId="77777777" w:rsidR="00D81F3B" w:rsidRDefault="00D81F3B" w:rsidP="00813F71">
            <w:pPr>
              <w:rPr>
                <w:lang w:val="en-US"/>
              </w:rPr>
            </w:pPr>
            <w:r w:rsidRPr="005A2930">
              <w:rPr>
                <w:lang w:val="en-US"/>
              </w:rPr>
              <w:t>Specific to UK population-based screening.</w:t>
            </w:r>
          </w:p>
        </w:tc>
        <w:tc>
          <w:tcPr>
            <w:tcW w:w="833" w:type="pct"/>
          </w:tcPr>
          <w:p w14:paraId="212179CC" w14:textId="77777777" w:rsidR="00D81F3B" w:rsidRDefault="00D81F3B" w:rsidP="00813F71">
            <w:pPr>
              <w:rPr>
                <w:lang w:val="en-US"/>
              </w:rPr>
            </w:pPr>
            <w:r w:rsidRPr="00EB2AC8">
              <w:rPr>
                <w:lang w:val="en-US"/>
              </w:rPr>
              <w:t>Lead academic clinical researchers in neurology.</w:t>
            </w:r>
          </w:p>
        </w:tc>
        <w:tc>
          <w:tcPr>
            <w:tcW w:w="834" w:type="pct"/>
          </w:tcPr>
          <w:p w14:paraId="1C4A3F75" w14:textId="77777777" w:rsidR="00D81F3B" w:rsidRDefault="00D81F3B" w:rsidP="00813F71">
            <w:pPr>
              <w:rPr>
                <w:lang w:val="en-US"/>
              </w:rPr>
            </w:pPr>
            <w:r w:rsidRPr="0073783E">
              <w:rPr>
                <w:lang w:val="en-US"/>
              </w:rPr>
              <w:t>Large sample (n=502); statistical rigor with AUC metrics.</w:t>
            </w:r>
          </w:p>
        </w:tc>
        <w:tc>
          <w:tcPr>
            <w:tcW w:w="834" w:type="pct"/>
          </w:tcPr>
          <w:p w14:paraId="677135C1" w14:textId="395BE0F1" w:rsidR="00D81F3B" w:rsidRDefault="00D81F3B" w:rsidP="00813F71">
            <w:pPr>
              <w:rPr>
                <w:lang w:val="en-US"/>
              </w:rPr>
            </w:pPr>
            <w:r w:rsidRPr="00B130F3">
              <w:rPr>
                <w:lang w:val="en-US"/>
              </w:rPr>
              <w:t>To optimi</w:t>
            </w:r>
            <w:r w:rsidR="00692DA1">
              <w:rPr>
                <w:lang w:val="en-US"/>
              </w:rPr>
              <w:t>s</w:t>
            </w:r>
            <w:r w:rsidRPr="00B130F3">
              <w:rPr>
                <w:lang w:val="en-US"/>
              </w:rPr>
              <w:t>e cost-effective screening pathways.</w:t>
            </w:r>
          </w:p>
        </w:tc>
      </w:tr>
      <w:tr w:rsidR="00D81F3B" w14:paraId="4F4D2DCD" w14:textId="77777777" w:rsidTr="00986E53">
        <w:tc>
          <w:tcPr>
            <w:tcW w:w="833" w:type="pct"/>
          </w:tcPr>
          <w:p w14:paraId="0967EDB7" w14:textId="77777777" w:rsidR="00D81F3B" w:rsidRDefault="00D81F3B" w:rsidP="00813F71">
            <w:pPr>
              <w:rPr>
                <w:lang w:val="en-US"/>
              </w:rPr>
            </w:pPr>
            <w:r>
              <w:rPr>
                <w:lang w:val="en-US"/>
              </w:rPr>
              <w:t xml:space="preserve">Article 3: </w:t>
            </w:r>
            <w:proofErr w:type="spellStart"/>
            <w:r w:rsidRPr="006C07C3">
              <w:rPr>
                <w:lang w:val="en-US"/>
              </w:rPr>
              <w:t>Ereira</w:t>
            </w:r>
            <w:proofErr w:type="spellEnd"/>
            <w:r w:rsidRPr="006C07C3">
              <w:rPr>
                <w:lang w:val="en-US"/>
              </w:rPr>
              <w:t xml:space="preserve"> et al. (2024)</w:t>
            </w:r>
          </w:p>
        </w:tc>
        <w:tc>
          <w:tcPr>
            <w:tcW w:w="833" w:type="pct"/>
          </w:tcPr>
          <w:p w14:paraId="73172C37" w14:textId="77777777" w:rsidR="00D81F3B" w:rsidRDefault="00D81F3B" w:rsidP="00813F71">
            <w:pPr>
              <w:rPr>
                <w:lang w:val="en-US"/>
              </w:rPr>
            </w:pPr>
            <w:r w:rsidRPr="00070AEA">
              <w:rPr>
                <w:lang w:val="en-US"/>
              </w:rPr>
              <w:t>Published 2024 (Highly current).</w:t>
            </w:r>
          </w:p>
        </w:tc>
        <w:tc>
          <w:tcPr>
            <w:tcW w:w="833" w:type="pct"/>
          </w:tcPr>
          <w:p w14:paraId="5B0836A9" w14:textId="77777777" w:rsidR="00D81F3B" w:rsidRDefault="00D81F3B" w:rsidP="00813F71">
            <w:pPr>
              <w:rPr>
                <w:lang w:val="en-US"/>
              </w:rPr>
            </w:pPr>
            <w:r w:rsidRPr="009E1221">
              <w:rPr>
                <w:lang w:val="en-US"/>
              </w:rPr>
              <w:t>Focuses on population-level early detection.</w:t>
            </w:r>
          </w:p>
        </w:tc>
        <w:tc>
          <w:tcPr>
            <w:tcW w:w="833" w:type="pct"/>
          </w:tcPr>
          <w:p w14:paraId="6525D4D3" w14:textId="77777777" w:rsidR="00D81F3B" w:rsidRDefault="00D81F3B" w:rsidP="00813F71">
            <w:pPr>
              <w:rPr>
                <w:lang w:val="en-US"/>
              </w:rPr>
            </w:pPr>
            <w:r w:rsidRPr="00585F86">
              <w:rPr>
                <w:lang w:val="en-US"/>
              </w:rPr>
              <w:t>Nature Mental Health; high-tier academic institution.</w:t>
            </w:r>
          </w:p>
        </w:tc>
        <w:tc>
          <w:tcPr>
            <w:tcW w:w="834" w:type="pct"/>
          </w:tcPr>
          <w:p w14:paraId="77627DE9" w14:textId="77777777" w:rsidR="00D81F3B" w:rsidRDefault="00D81F3B" w:rsidP="00813F71">
            <w:pPr>
              <w:rPr>
                <w:lang w:val="en-US"/>
              </w:rPr>
            </w:pPr>
            <w:r w:rsidRPr="00121DB6">
              <w:rPr>
                <w:lang w:val="en-US"/>
              </w:rPr>
              <w:t>Large dataset (n</w:t>
            </w:r>
            <w:r>
              <w:rPr>
                <w:lang w:val="en-US"/>
              </w:rPr>
              <w:t xml:space="preserve"> </w:t>
            </w:r>
            <w:r w:rsidRPr="00121DB6">
              <w:rPr>
                <w:lang w:val="en-US"/>
              </w:rPr>
              <w:t>=1111); longitudinal design.</w:t>
            </w:r>
          </w:p>
        </w:tc>
        <w:tc>
          <w:tcPr>
            <w:tcW w:w="834" w:type="pct"/>
          </w:tcPr>
          <w:p w14:paraId="18855CFE" w14:textId="77777777" w:rsidR="00D81F3B" w:rsidRDefault="00D81F3B" w:rsidP="00813F71">
            <w:pPr>
              <w:rPr>
                <w:lang w:val="en-US"/>
              </w:rPr>
            </w:pPr>
            <w:r w:rsidRPr="002B5A05">
              <w:rPr>
                <w:lang w:val="en-US"/>
              </w:rPr>
              <w:t>To provide a neurobiological model for early risk.</w:t>
            </w:r>
          </w:p>
        </w:tc>
      </w:tr>
      <w:tr w:rsidR="00D81F3B" w14:paraId="2D69C828" w14:textId="77777777" w:rsidTr="00986E53">
        <w:tc>
          <w:tcPr>
            <w:tcW w:w="833" w:type="pct"/>
          </w:tcPr>
          <w:p w14:paraId="5EE2EDC8" w14:textId="77777777" w:rsidR="00D81F3B" w:rsidRDefault="00D81F3B" w:rsidP="00813F71">
            <w:pPr>
              <w:rPr>
                <w:lang w:val="en-US"/>
              </w:rPr>
            </w:pPr>
            <w:r>
              <w:rPr>
                <w:lang w:val="en-US"/>
              </w:rPr>
              <w:t>Article 4:</w:t>
            </w:r>
            <w:r>
              <w:t xml:space="preserve"> </w:t>
            </w:r>
            <w:proofErr w:type="spellStart"/>
            <w:r w:rsidRPr="00B410B1">
              <w:rPr>
                <w:lang w:val="en-US"/>
              </w:rPr>
              <w:t>Creavin</w:t>
            </w:r>
            <w:proofErr w:type="spellEnd"/>
            <w:r w:rsidRPr="00B410B1">
              <w:rPr>
                <w:lang w:val="en-US"/>
              </w:rPr>
              <w:t xml:space="preserve"> et al. (2021)</w:t>
            </w:r>
          </w:p>
        </w:tc>
        <w:tc>
          <w:tcPr>
            <w:tcW w:w="833" w:type="pct"/>
          </w:tcPr>
          <w:p w14:paraId="42C90977" w14:textId="77777777" w:rsidR="00D81F3B" w:rsidRDefault="00D81F3B" w:rsidP="00813F71">
            <w:pPr>
              <w:rPr>
                <w:lang w:val="en-US"/>
              </w:rPr>
            </w:pPr>
            <w:r w:rsidRPr="0075369D">
              <w:rPr>
                <w:lang w:val="en-US"/>
              </w:rPr>
              <w:t>Published 2021.</w:t>
            </w:r>
          </w:p>
        </w:tc>
        <w:tc>
          <w:tcPr>
            <w:tcW w:w="833" w:type="pct"/>
          </w:tcPr>
          <w:p w14:paraId="357D0514" w14:textId="77777777" w:rsidR="00D81F3B" w:rsidRDefault="00D81F3B" w:rsidP="00813F71">
            <w:pPr>
              <w:rPr>
                <w:lang w:val="en-US"/>
              </w:rPr>
            </w:pPr>
            <w:r w:rsidRPr="0050307C">
              <w:rPr>
                <w:lang w:val="en-US"/>
              </w:rPr>
              <w:t>Directly addresses the primary care bottleneck in the UK.</w:t>
            </w:r>
          </w:p>
        </w:tc>
        <w:tc>
          <w:tcPr>
            <w:tcW w:w="833" w:type="pct"/>
          </w:tcPr>
          <w:p w14:paraId="1838AADB" w14:textId="77777777" w:rsidR="00D81F3B" w:rsidRDefault="00D81F3B" w:rsidP="00813F71">
            <w:pPr>
              <w:rPr>
                <w:lang w:val="en-US"/>
              </w:rPr>
            </w:pPr>
            <w:r w:rsidRPr="00474F7E">
              <w:rPr>
                <w:lang w:val="en-US"/>
              </w:rPr>
              <w:t>Published in BJGP Open; expert medical researchers.</w:t>
            </w:r>
          </w:p>
        </w:tc>
        <w:tc>
          <w:tcPr>
            <w:tcW w:w="834" w:type="pct"/>
          </w:tcPr>
          <w:p w14:paraId="50FF5E30" w14:textId="77777777" w:rsidR="00D81F3B" w:rsidRDefault="00D81F3B" w:rsidP="00813F71">
            <w:pPr>
              <w:rPr>
                <w:lang w:val="en-US"/>
              </w:rPr>
            </w:pPr>
            <w:r w:rsidRPr="00AF7F56">
              <w:rPr>
                <w:lang w:val="en-US"/>
              </w:rPr>
              <w:t>Multi-practice study with clear reference standards.</w:t>
            </w:r>
          </w:p>
        </w:tc>
        <w:tc>
          <w:tcPr>
            <w:tcW w:w="834" w:type="pct"/>
          </w:tcPr>
          <w:p w14:paraId="6FCD2DFA" w14:textId="77777777" w:rsidR="00D81F3B" w:rsidRDefault="00D81F3B" w:rsidP="00813F71">
            <w:pPr>
              <w:rPr>
                <w:lang w:val="en-US"/>
              </w:rPr>
            </w:pPr>
            <w:r w:rsidRPr="00351822">
              <w:rPr>
                <w:lang w:val="en-US"/>
              </w:rPr>
              <w:t>To evaluate current clinical practice standards.</w:t>
            </w:r>
          </w:p>
        </w:tc>
      </w:tr>
      <w:tr w:rsidR="00D81F3B" w14:paraId="608BAB48" w14:textId="77777777" w:rsidTr="00986E53">
        <w:tc>
          <w:tcPr>
            <w:tcW w:w="833" w:type="pct"/>
          </w:tcPr>
          <w:p w14:paraId="4E307594" w14:textId="77777777" w:rsidR="00D81F3B" w:rsidRDefault="00D81F3B" w:rsidP="00813F71">
            <w:pPr>
              <w:rPr>
                <w:lang w:val="en-US"/>
              </w:rPr>
            </w:pPr>
            <w:r>
              <w:rPr>
                <w:lang w:val="en-US"/>
              </w:rPr>
              <w:t>Article 5:</w:t>
            </w:r>
            <w:r>
              <w:t xml:space="preserve"> </w:t>
            </w:r>
            <w:proofErr w:type="spellStart"/>
            <w:r w:rsidRPr="0005517B">
              <w:rPr>
                <w:lang w:val="en-US"/>
              </w:rPr>
              <w:t>Creavin</w:t>
            </w:r>
            <w:proofErr w:type="spellEnd"/>
            <w:r w:rsidRPr="0005517B">
              <w:rPr>
                <w:lang w:val="en-US"/>
              </w:rPr>
              <w:t xml:space="preserve"> et al. (2023)</w:t>
            </w:r>
          </w:p>
        </w:tc>
        <w:tc>
          <w:tcPr>
            <w:tcW w:w="833" w:type="pct"/>
          </w:tcPr>
          <w:p w14:paraId="341BA0CF" w14:textId="77777777" w:rsidR="00D81F3B" w:rsidRDefault="00D81F3B" w:rsidP="00813F71">
            <w:pPr>
              <w:rPr>
                <w:lang w:val="en-US"/>
              </w:rPr>
            </w:pPr>
            <w:r w:rsidRPr="000E4733">
              <w:rPr>
                <w:lang w:val="en-US"/>
              </w:rPr>
              <w:t>Published 2023.</w:t>
            </w:r>
          </w:p>
        </w:tc>
        <w:tc>
          <w:tcPr>
            <w:tcW w:w="833" w:type="pct"/>
          </w:tcPr>
          <w:p w14:paraId="22F4EA36" w14:textId="77777777" w:rsidR="00D81F3B" w:rsidRDefault="00D81F3B" w:rsidP="00813F71">
            <w:pPr>
              <w:rPr>
                <w:lang w:val="en-US"/>
              </w:rPr>
            </w:pPr>
            <w:r w:rsidRPr="00A00733">
              <w:rPr>
                <w:lang w:val="en-US"/>
              </w:rPr>
              <w:t>Practical application for improving GP diagnosis rates.</w:t>
            </w:r>
          </w:p>
        </w:tc>
        <w:tc>
          <w:tcPr>
            <w:tcW w:w="833" w:type="pct"/>
          </w:tcPr>
          <w:p w14:paraId="28C9D842" w14:textId="77777777" w:rsidR="00D81F3B" w:rsidRDefault="00D81F3B" w:rsidP="00813F71">
            <w:pPr>
              <w:rPr>
                <w:lang w:val="en-US"/>
              </w:rPr>
            </w:pPr>
            <w:r w:rsidRPr="001D1048">
              <w:rPr>
                <w:lang w:val="en-US"/>
              </w:rPr>
              <w:t>Specialised academic journal (Journal of Alzheimer's Disease).</w:t>
            </w:r>
          </w:p>
        </w:tc>
        <w:tc>
          <w:tcPr>
            <w:tcW w:w="834" w:type="pct"/>
          </w:tcPr>
          <w:p w14:paraId="627A301F" w14:textId="77777777" w:rsidR="00D81F3B" w:rsidRDefault="00D81F3B" w:rsidP="00813F71">
            <w:pPr>
              <w:rPr>
                <w:lang w:val="en-US"/>
              </w:rPr>
            </w:pPr>
            <w:r w:rsidRPr="006D72ED">
              <w:rPr>
                <w:lang w:val="en-US"/>
              </w:rPr>
              <w:t>Comparative analysis of multiple validated tools.</w:t>
            </w:r>
          </w:p>
        </w:tc>
        <w:tc>
          <w:tcPr>
            <w:tcW w:w="834" w:type="pct"/>
          </w:tcPr>
          <w:p w14:paraId="0494EE6E" w14:textId="77777777" w:rsidR="00D81F3B" w:rsidRDefault="00D81F3B" w:rsidP="00813F71">
            <w:pPr>
              <w:rPr>
                <w:lang w:val="en-US"/>
              </w:rPr>
            </w:pPr>
            <w:r w:rsidRPr="00C9759B">
              <w:rPr>
                <w:lang w:val="en-US"/>
              </w:rPr>
              <w:t>To define an efficient primary care diagnostic strategy.</w:t>
            </w:r>
          </w:p>
        </w:tc>
      </w:tr>
      <w:tr w:rsidR="00D81F3B" w14:paraId="591809E4" w14:textId="77777777" w:rsidTr="00986E53">
        <w:tc>
          <w:tcPr>
            <w:tcW w:w="833" w:type="pct"/>
          </w:tcPr>
          <w:p w14:paraId="6936C145" w14:textId="77777777" w:rsidR="00D81F3B" w:rsidRDefault="00D81F3B" w:rsidP="00813F71">
            <w:pPr>
              <w:rPr>
                <w:lang w:val="en-US"/>
              </w:rPr>
            </w:pPr>
            <w:r>
              <w:rPr>
                <w:lang w:val="en-US"/>
              </w:rPr>
              <w:lastRenderedPageBreak/>
              <w:t>Article 6:</w:t>
            </w:r>
            <w:r>
              <w:t xml:space="preserve"> </w:t>
            </w:r>
            <w:proofErr w:type="spellStart"/>
            <w:r w:rsidRPr="00C9502D">
              <w:rPr>
                <w:lang w:val="en-US"/>
              </w:rPr>
              <w:t>Chingono</w:t>
            </w:r>
            <w:proofErr w:type="spellEnd"/>
            <w:r w:rsidRPr="00C9502D">
              <w:rPr>
                <w:lang w:val="en-US"/>
              </w:rPr>
              <w:t xml:space="preserve"> et al. (2025)</w:t>
            </w:r>
          </w:p>
        </w:tc>
        <w:tc>
          <w:tcPr>
            <w:tcW w:w="833" w:type="pct"/>
          </w:tcPr>
          <w:p w14:paraId="74A16548" w14:textId="77777777" w:rsidR="00D81F3B" w:rsidRDefault="00D81F3B" w:rsidP="00813F71">
            <w:pPr>
              <w:rPr>
                <w:lang w:val="en-US"/>
              </w:rPr>
            </w:pPr>
            <w:r w:rsidRPr="00341BD5">
              <w:rPr>
                <w:lang w:val="en-US"/>
              </w:rPr>
              <w:t>Published 2025 (Forward-looking).</w:t>
            </w:r>
          </w:p>
        </w:tc>
        <w:tc>
          <w:tcPr>
            <w:tcW w:w="833" w:type="pct"/>
          </w:tcPr>
          <w:p w14:paraId="6EB7669A" w14:textId="77777777" w:rsidR="00D81F3B" w:rsidRDefault="00D81F3B" w:rsidP="00813F71">
            <w:pPr>
              <w:rPr>
                <w:lang w:val="en-US"/>
              </w:rPr>
            </w:pPr>
            <w:r w:rsidRPr="000A0CE6">
              <w:rPr>
                <w:lang w:val="en-US"/>
              </w:rPr>
              <w:t>Crucial for involving families in the diagnostic process.</w:t>
            </w:r>
          </w:p>
        </w:tc>
        <w:tc>
          <w:tcPr>
            <w:tcW w:w="833" w:type="pct"/>
          </w:tcPr>
          <w:p w14:paraId="0CE80E12" w14:textId="77777777" w:rsidR="00D81F3B" w:rsidRDefault="00D81F3B" w:rsidP="00813F71">
            <w:pPr>
              <w:rPr>
                <w:lang w:val="en-US"/>
              </w:rPr>
            </w:pPr>
            <w:r w:rsidRPr="00A122B7">
              <w:rPr>
                <w:lang w:val="en-US"/>
              </w:rPr>
              <w:t>Published in BMC Primary Care; clinical research team.</w:t>
            </w:r>
          </w:p>
        </w:tc>
        <w:tc>
          <w:tcPr>
            <w:tcW w:w="834" w:type="pct"/>
          </w:tcPr>
          <w:p w14:paraId="3D708036" w14:textId="77777777" w:rsidR="00D81F3B" w:rsidRDefault="00D81F3B" w:rsidP="00813F71">
            <w:pPr>
              <w:rPr>
                <w:lang w:val="en-US"/>
              </w:rPr>
            </w:pPr>
            <w:r w:rsidRPr="00473AAC">
              <w:rPr>
                <w:lang w:val="en-US"/>
              </w:rPr>
              <w:t>Detailed adjustment for informant types and relationships.</w:t>
            </w:r>
          </w:p>
        </w:tc>
        <w:tc>
          <w:tcPr>
            <w:tcW w:w="834" w:type="pct"/>
          </w:tcPr>
          <w:p w14:paraId="1FF36FE3" w14:textId="77777777" w:rsidR="00D81F3B" w:rsidRDefault="00D81F3B" w:rsidP="00813F71">
            <w:pPr>
              <w:rPr>
                <w:lang w:val="en-US"/>
              </w:rPr>
            </w:pPr>
            <w:r w:rsidRPr="00EE1F97">
              <w:rPr>
                <w:lang w:val="en-US"/>
              </w:rPr>
              <w:t>To improve the interpretation of informant questionnaires.</w:t>
            </w:r>
          </w:p>
        </w:tc>
      </w:tr>
      <w:tr w:rsidR="00D81F3B" w14:paraId="79346724" w14:textId="77777777" w:rsidTr="00986E53">
        <w:tc>
          <w:tcPr>
            <w:tcW w:w="833" w:type="pct"/>
          </w:tcPr>
          <w:p w14:paraId="0A405309" w14:textId="77777777" w:rsidR="00D81F3B" w:rsidRDefault="00D81F3B" w:rsidP="00813F71">
            <w:pPr>
              <w:rPr>
                <w:lang w:val="en-US"/>
              </w:rPr>
            </w:pPr>
            <w:r>
              <w:rPr>
                <w:lang w:val="en-US"/>
              </w:rPr>
              <w:t>Article 7:</w:t>
            </w:r>
            <w:r>
              <w:t xml:space="preserve"> </w:t>
            </w:r>
            <w:r w:rsidRPr="00966352">
              <w:rPr>
                <w:lang w:val="en-US"/>
              </w:rPr>
              <w:t>Jones et al. (2023)</w:t>
            </w:r>
          </w:p>
        </w:tc>
        <w:tc>
          <w:tcPr>
            <w:tcW w:w="833" w:type="pct"/>
          </w:tcPr>
          <w:p w14:paraId="60BE46A0" w14:textId="77777777" w:rsidR="00D81F3B" w:rsidRDefault="00D81F3B" w:rsidP="00813F71">
            <w:pPr>
              <w:rPr>
                <w:lang w:val="en-US"/>
              </w:rPr>
            </w:pPr>
            <w:r w:rsidRPr="001B319E">
              <w:rPr>
                <w:lang w:val="en-US"/>
              </w:rPr>
              <w:t>Published 2023.</w:t>
            </w:r>
          </w:p>
        </w:tc>
        <w:tc>
          <w:tcPr>
            <w:tcW w:w="833" w:type="pct"/>
          </w:tcPr>
          <w:p w14:paraId="7EA85777" w14:textId="77777777" w:rsidR="00D81F3B" w:rsidRDefault="00D81F3B" w:rsidP="00813F71">
            <w:pPr>
              <w:rPr>
                <w:lang w:val="en-US"/>
              </w:rPr>
            </w:pPr>
            <w:r w:rsidRPr="007A561C">
              <w:rPr>
                <w:lang w:val="en-US"/>
              </w:rPr>
              <w:t>Identifies social and systemic barriers to early intervention.</w:t>
            </w:r>
          </w:p>
        </w:tc>
        <w:tc>
          <w:tcPr>
            <w:tcW w:w="833" w:type="pct"/>
          </w:tcPr>
          <w:p w14:paraId="1B306D4A" w14:textId="77777777" w:rsidR="00D81F3B" w:rsidRDefault="00D81F3B" w:rsidP="00813F71">
            <w:pPr>
              <w:rPr>
                <w:lang w:val="en-US"/>
              </w:rPr>
            </w:pPr>
            <w:r w:rsidRPr="003E417B">
              <w:rPr>
                <w:lang w:val="en-US"/>
              </w:rPr>
              <w:t>British Journal of General Practice (BJGP).</w:t>
            </w:r>
          </w:p>
        </w:tc>
        <w:tc>
          <w:tcPr>
            <w:tcW w:w="834" w:type="pct"/>
          </w:tcPr>
          <w:p w14:paraId="2BDD6981" w14:textId="77777777" w:rsidR="00D81F3B" w:rsidRDefault="00D81F3B" w:rsidP="00813F71">
            <w:pPr>
              <w:rPr>
                <w:lang w:val="en-US"/>
              </w:rPr>
            </w:pPr>
            <w:r w:rsidRPr="00F359CE">
              <w:rPr>
                <w:lang w:val="en-US"/>
              </w:rPr>
              <w:t>Rigorous thematic analysis of clinical interviews.</w:t>
            </w:r>
          </w:p>
        </w:tc>
        <w:tc>
          <w:tcPr>
            <w:tcW w:w="834" w:type="pct"/>
          </w:tcPr>
          <w:p w14:paraId="6825477D" w14:textId="77777777" w:rsidR="00D81F3B" w:rsidRDefault="00D81F3B" w:rsidP="00813F71">
            <w:pPr>
              <w:rPr>
                <w:lang w:val="en-US"/>
              </w:rPr>
            </w:pPr>
            <w:r w:rsidRPr="00BA793C">
              <w:rPr>
                <w:lang w:val="en-US"/>
              </w:rPr>
              <w:t>To advocate for a "brain health" approach in primary care.</w:t>
            </w:r>
          </w:p>
        </w:tc>
      </w:tr>
      <w:tr w:rsidR="00D81F3B" w14:paraId="5F5E7D65" w14:textId="77777777" w:rsidTr="00986E53">
        <w:tc>
          <w:tcPr>
            <w:tcW w:w="833" w:type="pct"/>
          </w:tcPr>
          <w:p w14:paraId="6A65BD06" w14:textId="77777777" w:rsidR="00D81F3B" w:rsidRDefault="00D81F3B" w:rsidP="00813F71">
            <w:pPr>
              <w:rPr>
                <w:lang w:val="en-US"/>
              </w:rPr>
            </w:pPr>
            <w:r>
              <w:rPr>
                <w:lang w:val="en-US"/>
              </w:rPr>
              <w:t>Article 8:</w:t>
            </w:r>
            <w:r>
              <w:t xml:space="preserve"> </w:t>
            </w:r>
            <w:r w:rsidRPr="00E0770B">
              <w:rPr>
                <w:lang w:val="en-US"/>
              </w:rPr>
              <w:t>Bajwa et al. (2025)</w:t>
            </w:r>
          </w:p>
        </w:tc>
        <w:tc>
          <w:tcPr>
            <w:tcW w:w="833" w:type="pct"/>
          </w:tcPr>
          <w:p w14:paraId="5C116D37" w14:textId="77777777" w:rsidR="00D81F3B" w:rsidRDefault="00D81F3B" w:rsidP="00813F71">
            <w:pPr>
              <w:rPr>
                <w:lang w:val="en-US"/>
              </w:rPr>
            </w:pPr>
            <w:r w:rsidRPr="002715E6">
              <w:rPr>
                <w:lang w:val="en-US"/>
              </w:rPr>
              <w:t>Published 2025.</w:t>
            </w:r>
          </w:p>
        </w:tc>
        <w:tc>
          <w:tcPr>
            <w:tcW w:w="833" w:type="pct"/>
          </w:tcPr>
          <w:p w14:paraId="2397AF40" w14:textId="77777777" w:rsidR="00D81F3B" w:rsidRDefault="00D81F3B" w:rsidP="00813F71">
            <w:pPr>
              <w:rPr>
                <w:lang w:val="en-US"/>
              </w:rPr>
            </w:pPr>
            <w:r w:rsidRPr="00BF396C">
              <w:rPr>
                <w:lang w:val="en-US"/>
              </w:rPr>
              <w:t>Directly addresses UK health equity and access issues.</w:t>
            </w:r>
          </w:p>
        </w:tc>
        <w:tc>
          <w:tcPr>
            <w:tcW w:w="833" w:type="pct"/>
          </w:tcPr>
          <w:p w14:paraId="0D2ADCAE" w14:textId="77777777" w:rsidR="00D81F3B" w:rsidRDefault="00D81F3B" w:rsidP="00813F71">
            <w:pPr>
              <w:rPr>
                <w:lang w:val="en-US"/>
              </w:rPr>
            </w:pPr>
            <w:r w:rsidRPr="00591A64">
              <w:rPr>
                <w:lang w:val="en-US"/>
              </w:rPr>
              <w:t>BMJ Open; diverse multidisciplinary research team.</w:t>
            </w:r>
          </w:p>
        </w:tc>
        <w:tc>
          <w:tcPr>
            <w:tcW w:w="834" w:type="pct"/>
          </w:tcPr>
          <w:p w14:paraId="4060BC0E" w14:textId="77777777" w:rsidR="00D81F3B" w:rsidRDefault="00D81F3B" w:rsidP="00813F71">
            <w:pPr>
              <w:rPr>
                <w:lang w:val="en-US"/>
              </w:rPr>
            </w:pPr>
            <w:r w:rsidRPr="006F387B">
              <w:rPr>
                <w:lang w:val="en-US"/>
              </w:rPr>
              <w:t>Large qualitative sample (n=147) across multiple cities.</w:t>
            </w:r>
          </w:p>
        </w:tc>
        <w:tc>
          <w:tcPr>
            <w:tcW w:w="834" w:type="pct"/>
          </w:tcPr>
          <w:p w14:paraId="5A1B2B71" w14:textId="77777777" w:rsidR="00D81F3B" w:rsidRDefault="00D81F3B" w:rsidP="00813F71">
            <w:pPr>
              <w:rPr>
                <w:lang w:val="en-US"/>
              </w:rPr>
            </w:pPr>
            <w:r w:rsidRPr="00500C6F">
              <w:rPr>
                <w:lang w:val="en-US"/>
              </w:rPr>
              <w:t>To recommend culturally inclusive service improvements.</w:t>
            </w:r>
          </w:p>
        </w:tc>
      </w:tr>
      <w:tr w:rsidR="00D81F3B" w14:paraId="1808525E" w14:textId="77777777" w:rsidTr="00986E53">
        <w:tc>
          <w:tcPr>
            <w:tcW w:w="833" w:type="pct"/>
          </w:tcPr>
          <w:p w14:paraId="46FD6262" w14:textId="77777777" w:rsidR="00D81F3B" w:rsidRDefault="00D81F3B" w:rsidP="00813F71">
            <w:pPr>
              <w:rPr>
                <w:lang w:val="en-US"/>
              </w:rPr>
            </w:pPr>
            <w:r>
              <w:rPr>
                <w:lang w:val="en-US"/>
              </w:rPr>
              <w:t xml:space="preserve">Article 9: </w:t>
            </w:r>
            <w:r w:rsidRPr="00ED4AD8">
              <w:rPr>
                <w:lang w:val="en-US"/>
              </w:rPr>
              <w:t>Kelsey et al. (2026)</w:t>
            </w:r>
          </w:p>
        </w:tc>
        <w:tc>
          <w:tcPr>
            <w:tcW w:w="833" w:type="pct"/>
          </w:tcPr>
          <w:p w14:paraId="01B42984" w14:textId="77777777" w:rsidR="00D81F3B" w:rsidRDefault="00D81F3B" w:rsidP="00813F71">
            <w:pPr>
              <w:rPr>
                <w:lang w:val="en-US"/>
              </w:rPr>
            </w:pPr>
            <w:r w:rsidRPr="002C69F7">
              <w:rPr>
                <w:lang w:val="en-US"/>
              </w:rPr>
              <w:t>Published 2026 (State-of-the-art).</w:t>
            </w:r>
          </w:p>
        </w:tc>
        <w:tc>
          <w:tcPr>
            <w:tcW w:w="833" w:type="pct"/>
          </w:tcPr>
          <w:p w14:paraId="77A94D3F" w14:textId="77777777" w:rsidR="00D81F3B" w:rsidRDefault="00D81F3B" w:rsidP="00813F71">
            <w:pPr>
              <w:rPr>
                <w:lang w:val="en-US"/>
              </w:rPr>
            </w:pPr>
            <w:r w:rsidRPr="009802B7">
              <w:rPr>
                <w:lang w:val="en-US"/>
              </w:rPr>
              <w:t>Macro-level view of the English healthcare system.</w:t>
            </w:r>
          </w:p>
        </w:tc>
        <w:tc>
          <w:tcPr>
            <w:tcW w:w="833" w:type="pct"/>
          </w:tcPr>
          <w:p w14:paraId="35054EBE" w14:textId="77777777" w:rsidR="00D81F3B" w:rsidRDefault="00D81F3B" w:rsidP="00813F71">
            <w:pPr>
              <w:rPr>
                <w:lang w:val="en-US"/>
              </w:rPr>
            </w:pPr>
            <w:r w:rsidRPr="00A475A8">
              <w:rPr>
                <w:lang w:val="en-US"/>
              </w:rPr>
              <w:t>BMC Geriatrics; national survey data.</w:t>
            </w:r>
          </w:p>
        </w:tc>
        <w:tc>
          <w:tcPr>
            <w:tcW w:w="834" w:type="pct"/>
          </w:tcPr>
          <w:p w14:paraId="27AAAC50" w14:textId="77777777" w:rsidR="00D81F3B" w:rsidRDefault="00D81F3B" w:rsidP="00813F71">
            <w:pPr>
              <w:rPr>
                <w:lang w:val="en-US"/>
              </w:rPr>
            </w:pPr>
            <w:r w:rsidRPr="00720591">
              <w:rPr>
                <w:lang w:val="en-US"/>
              </w:rPr>
              <w:t>High response rate (73.9% of all English memory services).</w:t>
            </w:r>
          </w:p>
        </w:tc>
        <w:tc>
          <w:tcPr>
            <w:tcW w:w="834" w:type="pct"/>
          </w:tcPr>
          <w:p w14:paraId="59A13202" w14:textId="77777777" w:rsidR="00D81F3B" w:rsidRDefault="00D81F3B" w:rsidP="00813F71">
            <w:pPr>
              <w:rPr>
                <w:lang w:val="en-US"/>
              </w:rPr>
            </w:pPr>
            <w:r w:rsidRPr="00044AF1">
              <w:rPr>
                <w:lang w:val="en-US"/>
              </w:rPr>
              <w:t>To identify systemic failures in service provision.</w:t>
            </w:r>
          </w:p>
        </w:tc>
      </w:tr>
      <w:tr w:rsidR="006B2A5C" w14:paraId="4FA3969B" w14:textId="77777777" w:rsidTr="00986E53">
        <w:tc>
          <w:tcPr>
            <w:tcW w:w="833" w:type="pct"/>
          </w:tcPr>
          <w:p w14:paraId="0E44E032" w14:textId="6576D5FE" w:rsidR="006B2A5C" w:rsidRDefault="006B2A5C" w:rsidP="00813F71">
            <w:pPr>
              <w:rPr>
                <w:lang w:val="en-US"/>
              </w:rPr>
            </w:pPr>
            <w:r w:rsidRPr="006B2A5C">
              <w:rPr>
                <w:lang w:val="en-US"/>
              </w:rPr>
              <w:t>Article 1</w:t>
            </w:r>
            <w:r>
              <w:rPr>
                <w:lang w:val="en-US"/>
              </w:rPr>
              <w:t>0</w:t>
            </w:r>
            <w:r w:rsidRPr="006B2A5C">
              <w:rPr>
                <w:lang w:val="en-US"/>
              </w:rPr>
              <w:t xml:space="preserve">: Smith </w:t>
            </w:r>
            <w:r>
              <w:rPr>
                <w:lang w:val="en-US"/>
              </w:rPr>
              <w:t>and</w:t>
            </w:r>
            <w:r w:rsidRPr="006B2A5C">
              <w:rPr>
                <w:lang w:val="en-US"/>
              </w:rPr>
              <w:t xml:space="preserve"> Surr (2024)</w:t>
            </w:r>
          </w:p>
        </w:tc>
        <w:tc>
          <w:tcPr>
            <w:tcW w:w="833" w:type="pct"/>
          </w:tcPr>
          <w:p w14:paraId="03599AA3" w14:textId="2F4042CC" w:rsidR="006B2A5C" w:rsidRPr="002C69F7" w:rsidRDefault="006D53B7" w:rsidP="00813F71">
            <w:pPr>
              <w:rPr>
                <w:lang w:val="en-US"/>
              </w:rPr>
            </w:pPr>
            <w:r w:rsidRPr="006D53B7">
              <w:rPr>
                <w:lang w:val="en-US"/>
              </w:rPr>
              <w:t>Published 2024; reflects post-COVID service models in England/Wales.</w:t>
            </w:r>
          </w:p>
        </w:tc>
        <w:tc>
          <w:tcPr>
            <w:tcW w:w="833" w:type="pct"/>
          </w:tcPr>
          <w:p w14:paraId="1F8E02BC" w14:textId="168E4B34" w:rsidR="006B2A5C" w:rsidRPr="009802B7" w:rsidRDefault="008040F3" w:rsidP="00813F71">
            <w:pPr>
              <w:rPr>
                <w:lang w:val="en-US"/>
              </w:rPr>
            </w:pPr>
            <w:r w:rsidRPr="008040F3">
              <w:rPr>
                <w:lang w:val="en-US"/>
              </w:rPr>
              <w:t>High; addresses MAS design, MCI, rarer dementias, and post-diagnostic support.</w:t>
            </w:r>
          </w:p>
        </w:tc>
        <w:tc>
          <w:tcPr>
            <w:tcW w:w="833" w:type="pct"/>
          </w:tcPr>
          <w:p w14:paraId="260B9D85" w14:textId="7FB39593" w:rsidR="006B2A5C" w:rsidRPr="00A475A8" w:rsidRDefault="009E4DD9" w:rsidP="00813F71">
            <w:pPr>
              <w:rPr>
                <w:lang w:val="en-US"/>
              </w:rPr>
            </w:pPr>
            <w:r w:rsidRPr="009E4DD9">
              <w:rPr>
                <w:lang w:val="en-US"/>
              </w:rPr>
              <w:t>Peer-reviewed BMC Health Services Research; UK academic authors.</w:t>
            </w:r>
          </w:p>
        </w:tc>
        <w:tc>
          <w:tcPr>
            <w:tcW w:w="834" w:type="pct"/>
          </w:tcPr>
          <w:p w14:paraId="26A6CC23" w14:textId="2FCFEE6A" w:rsidR="006B2A5C" w:rsidRPr="00720591" w:rsidRDefault="001F7B69" w:rsidP="00813F71">
            <w:pPr>
              <w:rPr>
                <w:lang w:val="en-US"/>
              </w:rPr>
            </w:pPr>
            <w:r w:rsidRPr="001F7B69">
              <w:rPr>
                <w:lang w:val="en-US"/>
              </w:rPr>
              <w:t>Mixed-methods (survey + case studies); self-report limitations acknowledged.</w:t>
            </w:r>
          </w:p>
        </w:tc>
        <w:tc>
          <w:tcPr>
            <w:tcW w:w="834" w:type="pct"/>
          </w:tcPr>
          <w:p w14:paraId="67F225DE" w14:textId="3675F291" w:rsidR="006B2A5C" w:rsidRPr="00044AF1" w:rsidRDefault="00282382" w:rsidP="00813F71">
            <w:pPr>
              <w:rPr>
                <w:lang w:val="en-US"/>
              </w:rPr>
            </w:pPr>
            <w:r w:rsidRPr="00282382">
              <w:rPr>
                <w:lang w:val="en-US"/>
              </w:rPr>
              <w:t>To identify innovative practices and challenges to inform local commissioning.</w:t>
            </w:r>
          </w:p>
        </w:tc>
      </w:tr>
      <w:bookmarkEnd w:id="75"/>
    </w:tbl>
    <w:p w14:paraId="79ED1A65" w14:textId="77777777" w:rsidR="00D81F3B" w:rsidRPr="00D81F3B" w:rsidRDefault="00D81F3B" w:rsidP="00D81F3B"/>
    <w:sectPr w:rsidR="00D81F3B" w:rsidRPr="00D81F3B" w:rsidSect="00F12451">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CCDF2" w14:textId="77777777" w:rsidR="00A73E8D" w:rsidRDefault="00A73E8D" w:rsidP="00211184">
      <w:pPr>
        <w:spacing w:after="0" w:line="240" w:lineRule="auto"/>
      </w:pPr>
      <w:r>
        <w:separator/>
      </w:r>
    </w:p>
  </w:endnote>
  <w:endnote w:type="continuationSeparator" w:id="0">
    <w:p w14:paraId="414E5386" w14:textId="77777777" w:rsidR="00A73E8D" w:rsidRDefault="00A73E8D"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3B20C" w14:textId="77777777" w:rsidR="00A73E8D" w:rsidRDefault="00A73E8D" w:rsidP="00211184">
      <w:pPr>
        <w:spacing w:after="0" w:line="240" w:lineRule="auto"/>
      </w:pPr>
      <w:r>
        <w:separator/>
      </w:r>
    </w:p>
  </w:footnote>
  <w:footnote w:type="continuationSeparator" w:id="0">
    <w:p w14:paraId="0382D60A" w14:textId="77777777" w:rsidR="00A73E8D" w:rsidRDefault="00A73E8D"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9ADF3" w14:textId="77777777" w:rsidR="006961D2" w:rsidRDefault="006961D2">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DDEBE" w14:textId="77777777" w:rsidR="006961D2" w:rsidRDefault="006961D2">
    <w:pPr>
      <w:pStyle w:val="Header"/>
    </w:pPr>
  </w:p>
  <w:p w14:paraId="591703CD" w14:textId="77777777" w:rsidR="006961D2" w:rsidRDefault="00696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8C4D47"/>
    <w:multiLevelType w:val="hybridMultilevel"/>
    <w:tmpl w:val="9E24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7444540">
    <w:abstractNumId w:val="97"/>
  </w:num>
  <w:num w:numId="2" w16cid:durableId="130445301">
    <w:abstractNumId w:val="55"/>
  </w:num>
  <w:num w:numId="3" w16cid:durableId="916129243">
    <w:abstractNumId w:val="90"/>
  </w:num>
  <w:num w:numId="4" w16cid:durableId="1567491656">
    <w:abstractNumId w:val="17"/>
  </w:num>
  <w:num w:numId="5" w16cid:durableId="1056733423">
    <w:abstractNumId w:val="104"/>
  </w:num>
  <w:num w:numId="6" w16cid:durableId="1993214639">
    <w:abstractNumId w:val="102"/>
  </w:num>
  <w:num w:numId="7" w16cid:durableId="927039229">
    <w:abstractNumId w:val="67"/>
  </w:num>
  <w:num w:numId="8" w16cid:durableId="1838886172">
    <w:abstractNumId w:val="47"/>
  </w:num>
  <w:num w:numId="9" w16cid:durableId="761100382">
    <w:abstractNumId w:val="13"/>
  </w:num>
  <w:num w:numId="10" w16cid:durableId="1936815778">
    <w:abstractNumId w:val="93"/>
  </w:num>
  <w:num w:numId="11" w16cid:durableId="1959415169">
    <w:abstractNumId w:val="66"/>
  </w:num>
  <w:num w:numId="12" w16cid:durableId="1046680100">
    <w:abstractNumId w:val="69"/>
  </w:num>
  <w:num w:numId="13" w16cid:durableId="1119642756">
    <w:abstractNumId w:val="45"/>
  </w:num>
  <w:num w:numId="14" w16cid:durableId="882787621">
    <w:abstractNumId w:val="10"/>
  </w:num>
  <w:num w:numId="15" w16cid:durableId="1100376839">
    <w:abstractNumId w:val="99"/>
  </w:num>
  <w:num w:numId="16" w16cid:durableId="1241671712">
    <w:abstractNumId w:val="83"/>
  </w:num>
  <w:num w:numId="17" w16cid:durableId="927813774">
    <w:abstractNumId w:val="31"/>
  </w:num>
  <w:num w:numId="18" w16cid:durableId="1722552354">
    <w:abstractNumId w:val="7"/>
  </w:num>
  <w:num w:numId="19" w16cid:durableId="1309820893">
    <w:abstractNumId w:val="2"/>
  </w:num>
  <w:num w:numId="20" w16cid:durableId="186525722">
    <w:abstractNumId w:val="59"/>
  </w:num>
  <w:num w:numId="21" w16cid:durableId="1441299311">
    <w:abstractNumId w:val="9"/>
  </w:num>
  <w:num w:numId="22" w16cid:durableId="493030514">
    <w:abstractNumId w:val="105"/>
  </w:num>
  <w:num w:numId="23" w16cid:durableId="1845705370">
    <w:abstractNumId w:val="8"/>
  </w:num>
  <w:num w:numId="24" w16cid:durableId="153691028">
    <w:abstractNumId w:val="89"/>
  </w:num>
  <w:num w:numId="25" w16cid:durableId="1675767751">
    <w:abstractNumId w:val="20"/>
  </w:num>
  <w:num w:numId="26" w16cid:durableId="735929841">
    <w:abstractNumId w:val="95"/>
  </w:num>
  <w:num w:numId="27" w16cid:durableId="1980256114">
    <w:abstractNumId w:val="4"/>
  </w:num>
  <w:num w:numId="28" w16cid:durableId="1896351950">
    <w:abstractNumId w:val="82"/>
  </w:num>
  <w:num w:numId="29" w16cid:durableId="543450902">
    <w:abstractNumId w:val="70"/>
  </w:num>
  <w:num w:numId="30" w16cid:durableId="478808947">
    <w:abstractNumId w:val="74"/>
  </w:num>
  <w:num w:numId="31" w16cid:durableId="744182534">
    <w:abstractNumId w:val="15"/>
  </w:num>
  <w:num w:numId="32" w16cid:durableId="1313097167">
    <w:abstractNumId w:val="44"/>
  </w:num>
  <w:num w:numId="33" w16cid:durableId="158619316">
    <w:abstractNumId w:val="23"/>
  </w:num>
  <w:num w:numId="34" w16cid:durableId="56247630">
    <w:abstractNumId w:val="53"/>
  </w:num>
  <w:num w:numId="35" w16cid:durableId="2124499823">
    <w:abstractNumId w:val="57"/>
  </w:num>
  <w:num w:numId="36" w16cid:durableId="243149288">
    <w:abstractNumId w:val="50"/>
  </w:num>
  <w:num w:numId="37" w16cid:durableId="1022783227">
    <w:abstractNumId w:val="37"/>
  </w:num>
  <w:num w:numId="38" w16cid:durableId="464083027">
    <w:abstractNumId w:val="62"/>
  </w:num>
  <w:num w:numId="39" w16cid:durableId="1195116930">
    <w:abstractNumId w:val="73"/>
  </w:num>
  <w:num w:numId="40" w16cid:durableId="489561480">
    <w:abstractNumId w:val="58"/>
  </w:num>
  <w:num w:numId="41" w16cid:durableId="141780705">
    <w:abstractNumId w:val="106"/>
  </w:num>
  <w:num w:numId="42" w16cid:durableId="112790490">
    <w:abstractNumId w:val="5"/>
  </w:num>
  <w:num w:numId="43" w16cid:durableId="1154024634">
    <w:abstractNumId w:val="22"/>
  </w:num>
  <w:num w:numId="44" w16cid:durableId="1680691463">
    <w:abstractNumId w:val="84"/>
  </w:num>
  <w:num w:numId="45" w16cid:durableId="543829570">
    <w:abstractNumId w:val="54"/>
  </w:num>
  <w:num w:numId="46" w16cid:durableId="289939248">
    <w:abstractNumId w:val="71"/>
  </w:num>
  <w:num w:numId="47" w16cid:durableId="1165244151">
    <w:abstractNumId w:val="38"/>
  </w:num>
  <w:num w:numId="48" w16cid:durableId="1837769557">
    <w:abstractNumId w:val="12"/>
  </w:num>
  <w:num w:numId="49" w16cid:durableId="1379159981">
    <w:abstractNumId w:val="77"/>
  </w:num>
  <w:num w:numId="50" w16cid:durableId="521476229">
    <w:abstractNumId w:val="25"/>
  </w:num>
  <w:num w:numId="51" w16cid:durableId="1821530363">
    <w:abstractNumId w:val="72"/>
  </w:num>
  <w:num w:numId="52" w16cid:durableId="571889545">
    <w:abstractNumId w:val="30"/>
  </w:num>
  <w:num w:numId="53" w16cid:durableId="1998456191">
    <w:abstractNumId w:val="75"/>
  </w:num>
  <w:num w:numId="54" w16cid:durableId="24445349">
    <w:abstractNumId w:val="96"/>
  </w:num>
  <w:num w:numId="55" w16cid:durableId="2145923622">
    <w:abstractNumId w:val="103"/>
  </w:num>
  <w:num w:numId="56" w16cid:durableId="2000689836">
    <w:abstractNumId w:val="91"/>
  </w:num>
  <w:num w:numId="57" w16cid:durableId="1732338472">
    <w:abstractNumId w:val="46"/>
  </w:num>
  <w:num w:numId="58" w16cid:durableId="433015904">
    <w:abstractNumId w:val="56"/>
  </w:num>
  <w:num w:numId="59" w16cid:durableId="546570712">
    <w:abstractNumId w:val="1"/>
  </w:num>
  <w:num w:numId="60" w16cid:durableId="1733507510">
    <w:abstractNumId w:val="14"/>
  </w:num>
  <w:num w:numId="61" w16cid:durableId="1717587879">
    <w:abstractNumId w:val="49"/>
  </w:num>
  <w:num w:numId="62" w16cid:durableId="1204295928">
    <w:abstractNumId w:val="21"/>
  </w:num>
  <w:num w:numId="63" w16cid:durableId="205217284">
    <w:abstractNumId w:val="78"/>
  </w:num>
  <w:num w:numId="64" w16cid:durableId="1113211887">
    <w:abstractNumId w:val="27"/>
  </w:num>
  <w:num w:numId="65" w16cid:durableId="195311613">
    <w:abstractNumId w:val="61"/>
  </w:num>
  <w:num w:numId="66" w16cid:durableId="1381591598">
    <w:abstractNumId w:val="34"/>
  </w:num>
  <w:num w:numId="67" w16cid:durableId="320669116">
    <w:abstractNumId w:val="65"/>
  </w:num>
  <w:num w:numId="68" w16cid:durableId="1615939458">
    <w:abstractNumId w:val="35"/>
  </w:num>
  <w:num w:numId="69" w16cid:durableId="1474368360">
    <w:abstractNumId w:val="63"/>
  </w:num>
  <w:num w:numId="70" w16cid:durableId="789320492">
    <w:abstractNumId w:val="6"/>
  </w:num>
  <w:num w:numId="71" w16cid:durableId="1618638602">
    <w:abstractNumId w:val="41"/>
  </w:num>
  <w:num w:numId="72" w16cid:durableId="264271135">
    <w:abstractNumId w:val="36"/>
  </w:num>
  <w:num w:numId="73" w16cid:durableId="1201363887">
    <w:abstractNumId w:val="11"/>
  </w:num>
  <w:num w:numId="74" w16cid:durableId="903951437">
    <w:abstractNumId w:val="48"/>
  </w:num>
  <w:num w:numId="75" w16cid:durableId="737870677">
    <w:abstractNumId w:val="86"/>
  </w:num>
  <w:num w:numId="76" w16cid:durableId="1799834982">
    <w:abstractNumId w:val="39"/>
  </w:num>
  <w:num w:numId="77" w16cid:durableId="2104379683">
    <w:abstractNumId w:val="81"/>
  </w:num>
  <w:num w:numId="78" w16cid:durableId="1909609091">
    <w:abstractNumId w:val="98"/>
  </w:num>
  <w:num w:numId="79" w16cid:durableId="1083793553">
    <w:abstractNumId w:val="92"/>
  </w:num>
  <w:num w:numId="80" w16cid:durableId="542250810">
    <w:abstractNumId w:val="29"/>
  </w:num>
  <w:num w:numId="81" w16cid:durableId="46534826">
    <w:abstractNumId w:val="68"/>
  </w:num>
  <w:num w:numId="82" w16cid:durableId="1240212279">
    <w:abstractNumId w:val="80"/>
  </w:num>
  <w:num w:numId="83" w16cid:durableId="1714882120">
    <w:abstractNumId w:val="19"/>
  </w:num>
  <w:num w:numId="84" w16cid:durableId="1793861206">
    <w:abstractNumId w:val="28"/>
  </w:num>
  <w:num w:numId="85" w16cid:durableId="1123040031">
    <w:abstractNumId w:val="43"/>
  </w:num>
  <w:num w:numId="86" w16cid:durableId="1250188975">
    <w:abstractNumId w:val="32"/>
  </w:num>
  <w:num w:numId="87" w16cid:durableId="963777358">
    <w:abstractNumId w:val="87"/>
  </w:num>
  <w:num w:numId="88" w16cid:durableId="31267364">
    <w:abstractNumId w:val="42"/>
  </w:num>
  <w:num w:numId="89" w16cid:durableId="1590386173">
    <w:abstractNumId w:val="24"/>
  </w:num>
  <w:num w:numId="90" w16cid:durableId="683170081">
    <w:abstractNumId w:val="51"/>
  </w:num>
  <w:num w:numId="91" w16cid:durableId="1427531019">
    <w:abstractNumId w:val="64"/>
  </w:num>
  <w:num w:numId="92" w16cid:durableId="834956561">
    <w:abstractNumId w:val="76"/>
  </w:num>
  <w:num w:numId="93" w16cid:durableId="1287197180">
    <w:abstractNumId w:val="33"/>
  </w:num>
  <w:num w:numId="94" w16cid:durableId="1647589560">
    <w:abstractNumId w:val="16"/>
  </w:num>
  <w:num w:numId="95" w16cid:durableId="2072925224">
    <w:abstractNumId w:val="60"/>
  </w:num>
  <w:num w:numId="96" w16cid:durableId="1519855639">
    <w:abstractNumId w:val="3"/>
  </w:num>
  <w:num w:numId="97" w16cid:durableId="1183320005">
    <w:abstractNumId w:val="79"/>
  </w:num>
  <w:num w:numId="98" w16cid:durableId="1490244240">
    <w:abstractNumId w:val="0"/>
  </w:num>
  <w:num w:numId="99" w16cid:durableId="1507478430">
    <w:abstractNumId w:val="18"/>
  </w:num>
  <w:num w:numId="100" w16cid:durableId="1870604893">
    <w:abstractNumId w:val="52"/>
  </w:num>
  <w:num w:numId="101" w16cid:durableId="515850754">
    <w:abstractNumId w:val="40"/>
  </w:num>
  <w:num w:numId="102" w16cid:durableId="1536846667">
    <w:abstractNumId w:val="85"/>
  </w:num>
  <w:num w:numId="103" w16cid:durableId="957221299">
    <w:abstractNumId w:val="107"/>
  </w:num>
  <w:num w:numId="104" w16cid:durableId="476529135">
    <w:abstractNumId w:val="100"/>
  </w:num>
  <w:num w:numId="105" w16cid:durableId="919212977">
    <w:abstractNumId w:val="88"/>
  </w:num>
  <w:num w:numId="106" w16cid:durableId="1957759730">
    <w:abstractNumId w:val="94"/>
  </w:num>
  <w:num w:numId="107" w16cid:durableId="435559900">
    <w:abstractNumId w:val="26"/>
  </w:num>
  <w:num w:numId="108" w16cid:durableId="436868318">
    <w:abstractNumId w:val="101"/>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30ED"/>
    <w:rsid w:val="0002337B"/>
    <w:rsid w:val="000264A2"/>
    <w:rsid w:val="000400E4"/>
    <w:rsid w:val="00042579"/>
    <w:rsid w:val="00045CDD"/>
    <w:rsid w:val="000522DC"/>
    <w:rsid w:val="00061954"/>
    <w:rsid w:val="000635E6"/>
    <w:rsid w:val="00063B4C"/>
    <w:rsid w:val="000756CA"/>
    <w:rsid w:val="00080575"/>
    <w:rsid w:val="00092712"/>
    <w:rsid w:val="000D05D8"/>
    <w:rsid w:val="000D0641"/>
    <w:rsid w:val="000D14C1"/>
    <w:rsid w:val="000D2B00"/>
    <w:rsid w:val="000E5493"/>
    <w:rsid w:val="000F437B"/>
    <w:rsid w:val="0010352E"/>
    <w:rsid w:val="0010798A"/>
    <w:rsid w:val="0011453E"/>
    <w:rsid w:val="00116023"/>
    <w:rsid w:val="001232E4"/>
    <w:rsid w:val="001326B1"/>
    <w:rsid w:val="00133C7F"/>
    <w:rsid w:val="001377FE"/>
    <w:rsid w:val="00142A15"/>
    <w:rsid w:val="00147452"/>
    <w:rsid w:val="001500DC"/>
    <w:rsid w:val="00151A13"/>
    <w:rsid w:val="001601E6"/>
    <w:rsid w:val="00173748"/>
    <w:rsid w:val="00176992"/>
    <w:rsid w:val="0018010D"/>
    <w:rsid w:val="00182524"/>
    <w:rsid w:val="001C3AF6"/>
    <w:rsid w:val="001D0A4B"/>
    <w:rsid w:val="001D1485"/>
    <w:rsid w:val="001D1954"/>
    <w:rsid w:val="001D6B67"/>
    <w:rsid w:val="001F19A6"/>
    <w:rsid w:val="001F2B91"/>
    <w:rsid w:val="001F7B69"/>
    <w:rsid w:val="00200799"/>
    <w:rsid w:val="00206DE5"/>
    <w:rsid w:val="00211184"/>
    <w:rsid w:val="0021364B"/>
    <w:rsid w:val="00216B71"/>
    <w:rsid w:val="00223AF1"/>
    <w:rsid w:val="00225AE2"/>
    <w:rsid w:val="0025020C"/>
    <w:rsid w:val="00256951"/>
    <w:rsid w:val="002577F6"/>
    <w:rsid w:val="00262B8E"/>
    <w:rsid w:val="002639FA"/>
    <w:rsid w:val="00274A6C"/>
    <w:rsid w:val="00282382"/>
    <w:rsid w:val="002865F5"/>
    <w:rsid w:val="00292A36"/>
    <w:rsid w:val="002A1702"/>
    <w:rsid w:val="002C630C"/>
    <w:rsid w:val="002D64A3"/>
    <w:rsid w:val="002D64ED"/>
    <w:rsid w:val="002F386A"/>
    <w:rsid w:val="002F432B"/>
    <w:rsid w:val="002F5E53"/>
    <w:rsid w:val="00312A5A"/>
    <w:rsid w:val="003135AD"/>
    <w:rsid w:val="00320824"/>
    <w:rsid w:val="003358E0"/>
    <w:rsid w:val="0036322D"/>
    <w:rsid w:val="00366A72"/>
    <w:rsid w:val="003776CC"/>
    <w:rsid w:val="00387E33"/>
    <w:rsid w:val="00393F39"/>
    <w:rsid w:val="003A66FD"/>
    <w:rsid w:val="003B1E32"/>
    <w:rsid w:val="003B25FF"/>
    <w:rsid w:val="003C0F91"/>
    <w:rsid w:val="003E2DBA"/>
    <w:rsid w:val="00407EB3"/>
    <w:rsid w:val="00422144"/>
    <w:rsid w:val="0042216F"/>
    <w:rsid w:val="00444B92"/>
    <w:rsid w:val="004463E6"/>
    <w:rsid w:val="00446DBE"/>
    <w:rsid w:val="004512EF"/>
    <w:rsid w:val="004620D2"/>
    <w:rsid w:val="00463854"/>
    <w:rsid w:val="00471671"/>
    <w:rsid w:val="004B20FC"/>
    <w:rsid w:val="004D4021"/>
    <w:rsid w:val="004D554C"/>
    <w:rsid w:val="004E2D04"/>
    <w:rsid w:val="004E5088"/>
    <w:rsid w:val="005119DE"/>
    <w:rsid w:val="005216D9"/>
    <w:rsid w:val="00533397"/>
    <w:rsid w:val="00543B6A"/>
    <w:rsid w:val="005446BF"/>
    <w:rsid w:val="00550193"/>
    <w:rsid w:val="00550835"/>
    <w:rsid w:val="0055147E"/>
    <w:rsid w:val="00553FC1"/>
    <w:rsid w:val="005608C7"/>
    <w:rsid w:val="00586191"/>
    <w:rsid w:val="005B3550"/>
    <w:rsid w:val="005B3EDE"/>
    <w:rsid w:val="005B6E67"/>
    <w:rsid w:val="005C5E80"/>
    <w:rsid w:val="005C6E05"/>
    <w:rsid w:val="005D7A1E"/>
    <w:rsid w:val="005E12B7"/>
    <w:rsid w:val="005E1650"/>
    <w:rsid w:val="005F0B23"/>
    <w:rsid w:val="005F0B55"/>
    <w:rsid w:val="005F2F6F"/>
    <w:rsid w:val="005F78FB"/>
    <w:rsid w:val="00604A87"/>
    <w:rsid w:val="00621776"/>
    <w:rsid w:val="00621872"/>
    <w:rsid w:val="00625F7A"/>
    <w:rsid w:val="00627F84"/>
    <w:rsid w:val="00636D9A"/>
    <w:rsid w:val="00640720"/>
    <w:rsid w:val="006438E9"/>
    <w:rsid w:val="0065021E"/>
    <w:rsid w:val="00663CCC"/>
    <w:rsid w:val="00664047"/>
    <w:rsid w:val="0066679B"/>
    <w:rsid w:val="00673804"/>
    <w:rsid w:val="00692DA1"/>
    <w:rsid w:val="006961D2"/>
    <w:rsid w:val="00696990"/>
    <w:rsid w:val="006A2A0D"/>
    <w:rsid w:val="006A3F0D"/>
    <w:rsid w:val="006A4515"/>
    <w:rsid w:val="006B2A5C"/>
    <w:rsid w:val="006C78AA"/>
    <w:rsid w:val="006C7FB9"/>
    <w:rsid w:val="006D1597"/>
    <w:rsid w:val="006D53B7"/>
    <w:rsid w:val="006F04D4"/>
    <w:rsid w:val="006F39E9"/>
    <w:rsid w:val="006F4AB2"/>
    <w:rsid w:val="006F50DC"/>
    <w:rsid w:val="00705FBB"/>
    <w:rsid w:val="007063BA"/>
    <w:rsid w:val="00723544"/>
    <w:rsid w:val="00730C3C"/>
    <w:rsid w:val="0073280B"/>
    <w:rsid w:val="00732E1C"/>
    <w:rsid w:val="007422B9"/>
    <w:rsid w:val="007502B3"/>
    <w:rsid w:val="00750B5B"/>
    <w:rsid w:val="007638E3"/>
    <w:rsid w:val="0077163A"/>
    <w:rsid w:val="00776903"/>
    <w:rsid w:val="00777900"/>
    <w:rsid w:val="007853A0"/>
    <w:rsid w:val="00785752"/>
    <w:rsid w:val="00786A07"/>
    <w:rsid w:val="007A59C8"/>
    <w:rsid w:val="007A712E"/>
    <w:rsid w:val="007B52AC"/>
    <w:rsid w:val="007C246B"/>
    <w:rsid w:val="007C685B"/>
    <w:rsid w:val="007E1BD9"/>
    <w:rsid w:val="007E534E"/>
    <w:rsid w:val="007F7847"/>
    <w:rsid w:val="00800408"/>
    <w:rsid w:val="008040F3"/>
    <w:rsid w:val="00804B94"/>
    <w:rsid w:val="00807B11"/>
    <w:rsid w:val="00811A7A"/>
    <w:rsid w:val="00813F71"/>
    <w:rsid w:val="008213E5"/>
    <w:rsid w:val="0082760D"/>
    <w:rsid w:val="00853A87"/>
    <w:rsid w:val="00855A02"/>
    <w:rsid w:val="00865F09"/>
    <w:rsid w:val="00880B2D"/>
    <w:rsid w:val="00883AB0"/>
    <w:rsid w:val="00894108"/>
    <w:rsid w:val="008A0E3C"/>
    <w:rsid w:val="008A2116"/>
    <w:rsid w:val="008B1B21"/>
    <w:rsid w:val="008B1DFA"/>
    <w:rsid w:val="008B51F0"/>
    <w:rsid w:val="008B643A"/>
    <w:rsid w:val="008B71B5"/>
    <w:rsid w:val="008C38C3"/>
    <w:rsid w:val="008D126F"/>
    <w:rsid w:val="008D127B"/>
    <w:rsid w:val="008D6F0F"/>
    <w:rsid w:val="008E3089"/>
    <w:rsid w:val="008E4C33"/>
    <w:rsid w:val="008E55C5"/>
    <w:rsid w:val="008E7B2E"/>
    <w:rsid w:val="00903D5B"/>
    <w:rsid w:val="0090550A"/>
    <w:rsid w:val="00916814"/>
    <w:rsid w:val="00921F93"/>
    <w:rsid w:val="00932105"/>
    <w:rsid w:val="00933490"/>
    <w:rsid w:val="00955CB0"/>
    <w:rsid w:val="009619E4"/>
    <w:rsid w:val="00981FC1"/>
    <w:rsid w:val="00986E53"/>
    <w:rsid w:val="0099107C"/>
    <w:rsid w:val="00995444"/>
    <w:rsid w:val="009959B9"/>
    <w:rsid w:val="009B3370"/>
    <w:rsid w:val="009C0393"/>
    <w:rsid w:val="009C3011"/>
    <w:rsid w:val="009D06C5"/>
    <w:rsid w:val="009D534C"/>
    <w:rsid w:val="009D728C"/>
    <w:rsid w:val="009E1AC9"/>
    <w:rsid w:val="009E4DD9"/>
    <w:rsid w:val="009E5B14"/>
    <w:rsid w:val="00A00D84"/>
    <w:rsid w:val="00A73E8D"/>
    <w:rsid w:val="00A77835"/>
    <w:rsid w:val="00A81B8B"/>
    <w:rsid w:val="00A903D3"/>
    <w:rsid w:val="00A90A7A"/>
    <w:rsid w:val="00A97FF0"/>
    <w:rsid w:val="00AA437C"/>
    <w:rsid w:val="00AA63FF"/>
    <w:rsid w:val="00AB78F0"/>
    <w:rsid w:val="00AC01F9"/>
    <w:rsid w:val="00AC39F7"/>
    <w:rsid w:val="00AE0BB5"/>
    <w:rsid w:val="00B01396"/>
    <w:rsid w:val="00B122E4"/>
    <w:rsid w:val="00B2418B"/>
    <w:rsid w:val="00B2640C"/>
    <w:rsid w:val="00B26973"/>
    <w:rsid w:val="00B4317E"/>
    <w:rsid w:val="00B5054B"/>
    <w:rsid w:val="00B575E2"/>
    <w:rsid w:val="00B7073C"/>
    <w:rsid w:val="00B858A1"/>
    <w:rsid w:val="00B956B3"/>
    <w:rsid w:val="00BB65AC"/>
    <w:rsid w:val="00BB7FD0"/>
    <w:rsid w:val="00BC792C"/>
    <w:rsid w:val="00BD2909"/>
    <w:rsid w:val="00BE17DE"/>
    <w:rsid w:val="00BE755B"/>
    <w:rsid w:val="00C1078D"/>
    <w:rsid w:val="00C142E3"/>
    <w:rsid w:val="00C14708"/>
    <w:rsid w:val="00C17A49"/>
    <w:rsid w:val="00C30DD7"/>
    <w:rsid w:val="00C3105B"/>
    <w:rsid w:val="00C42324"/>
    <w:rsid w:val="00C443C3"/>
    <w:rsid w:val="00C54EE8"/>
    <w:rsid w:val="00C773EE"/>
    <w:rsid w:val="00C80D0C"/>
    <w:rsid w:val="00C91479"/>
    <w:rsid w:val="00C92775"/>
    <w:rsid w:val="00C957F9"/>
    <w:rsid w:val="00C9795B"/>
    <w:rsid w:val="00CB3AF6"/>
    <w:rsid w:val="00CB3C13"/>
    <w:rsid w:val="00CD09E5"/>
    <w:rsid w:val="00CD334F"/>
    <w:rsid w:val="00CE0718"/>
    <w:rsid w:val="00CE10E4"/>
    <w:rsid w:val="00CE3FD1"/>
    <w:rsid w:val="00CE55A9"/>
    <w:rsid w:val="00CE620E"/>
    <w:rsid w:val="00CE728B"/>
    <w:rsid w:val="00CF1ED5"/>
    <w:rsid w:val="00D01024"/>
    <w:rsid w:val="00D02F34"/>
    <w:rsid w:val="00D13A82"/>
    <w:rsid w:val="00D13DB7"/>
    <w:rsid w:val="00D22C0F"/>
    <w:rsid w:val="00D232D3"/>
    <w:rsid w:val="00D41129"/>
    <w:rsid w:val="00D53576"/>
    <w:rsid w:val="00D57587"/>
    <w:rsid w:val="00D602DA"/>
    <w:rsid w:val="00D81F3B"/>
    <w:rsid w:val="00D86CA5"/>
    <w:rsid w:val="00DB71AC"/>
    <w:rsid w:val="00DB7D9B"/>
    <w:rsid w:val="00DB7F42"/>
    <w:rsid w:val="00DC00D1"/>
    <w:rsid w:val="00DC1375"/>
    <w:rsid w:val="00DC230E"/>
    <w:rsid w:val="00DC30BF"/>
    <w:rsid w:val="00DC79B2"/>
    <w:rsid w:val="00DD02A4"/>
    <w:rsid w:val="00DD6E89"/>
    <w:rsid w:val="00DE1A02"/>
    <w:rsid w:val="00E01E25"/>
    <w:rsid w:val="00E04FB8"/>
    <w:rsid w:val="00E05C6C"/>
    <w:rsid w:val="00E157E1"/>
    <w:rsid w:val="00E2182C"/>
    <w:rsid w:val="00E325CF"/>
    <w:rsid w:val="00E40B0D"/>
    <w:rsid w:val="00E41D24"/>
    <w:rsid w:val="00E56E66"/>
    <w:rsid w:val="00E62DF5"/>
    <w:rsid w:val="00E65AF0"/>
    <w:rsid w:val="00E71420"/>
    <w:rsid w:val="00E72B0C"/>
    <w:rsid w:val="00E83DB5"/>
    <w:rsid w:val="00E94DA0"/>
    <w:rsid w:val="00EA2A1C"/>
    <w:rsid w:val="00EA5CC3"/>
    <w:rsid w:val="00EB3C2A"/>
    <w:rsid w:val="00EF6341"/>
    <w:rsid w:val="00F0560A"/>
    <w:rsid w:val="00F12451"/>
    <w:rsid w:val="00F158D7"/>
    <w:rsid w:val="00F20EE5"/>
    <w:rsid w:val="00F213FD"/>
    <w:rsid w:val="00F312F7"/>
    <w:rsid w:val="00F44833"/>
    <w:rsid w:val="00F51763"/>
    <w:rsid w:val="00F544B0"/>
    <w:rsid w:val="00F67C87"/>
    <w:rsid w:val="00F80C52"/>
    <w:rsid w:val="00F84C23"/>
    <w:rsid w:val="00FC276B"/>
    <w:rsid w:val="00FD1D0A"/>
    <w:rsid w:val="00FD3DE0"/>
    <w:rsid w:val="00FD650F"/>
    <w:rsid w:val="00FD7729"/>
    <w:rsid w:val="00FD7C22"/>
    <w:rsid w:val="00FE467D"/>
    <w:rsid w:val="00FE5C58"/>
    <w:rsid w:val="00FF5043"/>
    <w:rsid w:val="00FF5DD3"/>
    <w:rsid w:val="00FF66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7502B3"/>
    <w:pPr>
      <w:widowControl w:val="0"/>
      <w:autoSpaceDE w:val="0"/>
      <w:autoSpaceDN w:val="0"/>
      <w:spacing w:after="24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paragraph"/>
    <w:next w:val="Normal"/>
    <w:link w:val="Heading2Char"/>
    <w:uiPriority w:val="9"/>
    <w:unhideWhenUsed/>
    <w:qFormat/>
    <w:rsid w:val="00AE0BB5"/>
    <w:pPr>
      <w:spacing w:before="0" w:beforeAutospacing="0" w:after="240" w:afterAutospacing="0" w:line="360" w:lineRule="auto"/>
      <w:textAlignment w:val="baseline"/>
      <w:outlineLvl w:val="1"/>
    </w:pPr>
    <w:rPr>
      <w:rFonts w:ascii="Aptos" w:hAnsi="Aptos" w:cs="Arial"/>
      <w:color w:val="0F4761"/>
    </w:rPr>
  </w:style>
  <w:style w:type="paragraph" w:styleId="Heading3">
    <w:name w:val="heading 3"/>
    <w:basedOn w:val="Heading4"/>
    <w:next w:val="Normal"/>
    <w:link w:val="Heading3Char"/>
    <w:uiPriority w:val="9"/>
    <w:unhideWhenUsed/>
    <w:qFormat/>
    <w:rsid w:val="00705FBB"/>
    <w:pPr>
      <w:spacing w:before="0" w:after="240"/>
      <w:outlineLvl w:val="2"/>
    </w:pPr>
    <w:rPr>
      <w:rFonts w:ascii="Aptos" w:hAnsi="Aptos"/>
      <w:sz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7502B3"/>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AE0BB5"/>
    <w:rPr>
      <w:rFonts w:ascii="Aptos" w:eastAsia="Times New Roman" w:hAnsi="Aptos" w:cs="Arial"/>
      <w:color w:val="0F4761"/>
      <w:kern w:val="0"/>
      <w:sz w:val="24"/>
      <w:szCs w:val="24"/>
      <w14:ligatures w14:val="none"/>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705FBB"/>
    <w:rPr>
      <w:rFonts w:ascii="Aptos" w:eastAsiaTheme="majorEastAsia" w:hAnsi="Aptos" w:cstheme="majorBidi"/>
      <w:i/>
      <w:iCs/>
      <w:color w:val="2F5496" w:themeColor="accent1" w:themeShade="BF"/>
      <w:sz w:val="24"/>
    </w:rPr>
  </w:style>
  <w:style w:type="paragraph" w:styleId="Caption">
    <w:name w:val="caption"/>
    <w:basedOn w:val="Normal"/>
    <w:next w:val="Normal"/>
    <w:uiPriority w:val="35"/>
    <w:unhideWhenUsed/>
    <w:qFormat/>
    <w:rsid w:val="00F312F7"/>
    <w:pPr>
      <w:spacing w:after="200" w:line="240" w:lineRule="auto"/>
      <w:jc w:val="left"/>
    </w:pPr>
    <w:rPr>
      <w:rFonts w:ascii="Times New Roman" w:eastAsiaTheme="minorHAnsi" w:hAnsi="Times New Roman"/>
      <w:i/>
      <w:iCs/>
      <w:color w:val="44546A" w:themeColor="text2"/>
      <w:kern w:val="0"/>
      <w:sz w:val="18"/>
      <w:szCs w:val="18"/>
      <w:lang w:eastAsia="en-US"/>
      <w14:ligatures w14:val="none"/>
    </w:rPr>
  </w:style>
  <w:style w:type="paragraph" w:styleId="TOCHeading">
    <w:name w:val="TOC Heading"/>
    <w:basedOn w:val="Heading1"/>
    <w:next w:val="Normal"/>
    <w:uiPriority w:val="39"/>
    <w:unhideWhenUsed/>
    <w:qFormat/>
    <w:rsid w:val="00D232D3"/>
    <w:pPr>
      <w:keepNext/>
      <w:keepLines/>
      <w:widowControl/>
      <w:autoSpaceDE/>
      <w:autoSpaceDN/>
      <w:spacing w:before="240" w:after="0" w:line="259" w:lineRule="auto"/>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D232D3"/>
    <w:pPr>
      <w:spacing w:after="100"/>
    </w:pPr>
  </w:style>
  <w:style w:type="paragraph" w:styleId="TOC2">
    <w:name w:val="toc 2"/>
    <w:basedOn w:val="Normal"/>
    <w:next w:val="Normal"/>
    <w:autoRedefine/>
    <w:uiPriority w:val="39"/>
    <w:unhideWhenUsed/>
    <w:rsid w:val="00D232D3"/>
    <w:pPr>
      <w:spacing w:after="100"/>
      <w:ind w:left="220"/>
    </w:pPr>
  </w:style>
  <w:style w:type="paragraph" w:styleId="TOC3">
    <w:name w:val="toc 3"/>
    <w:basedOn w:val="Normal"/>
    <w:next w:val="Normal"/>
    <w:autoRedefine/>
    <w:uiPriority w:val="39"/>
    <w:unhideWhenUsed/>
    <w:rsid w:val="00D232D3"/>
    <w:pPr>
      <w:spacing w:after="100"/>
      <w:ind w:left="440"/>
    </w:pPr>
  </w:style>
  <w:style w:type="character" w:styleId="FollowedHyperlink">
    <w:name w:val="FollowedHyperlink"/>
    <w:basedOn w:val="DefaultParagraphFont"/>
    <w:uiPriority w:val="99"/>
    <w:semiHidden/>
    <w:unhideWhenUsed/>
    <w:rsid w:val="005B35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89/fneur.2023.1187095" TargetMode="External"/><Relationship Id="rId21" Type="http://schemas.openxmlformats.org/officeDocument/2006/relationships/hyperlink" Target="https://doi.org/10.2147/JMDH.S512254" TargetMode="External"/><Relationship Id="rId42" Type="http://schemas.openxmlformats.org/officeDocument/2006/relationships/hyperlink" Target="https://doi.org/10.1038/s44220-024-00259-5" TargetMode="External"/><Relationship Id="rId47" Type="http://schemas.openxmlformats.org/officeDocument/2006/relationships/hyperlink" Target="https://www.legislation.gov.uk/ukpga/2014/23/contents" TargetMode="External"/><Relationship Id="rId63" Type="http://schemas.openxmlformats.org/officeDocument/2006/relationships/hyperlink" Target="https://doi.org/10.3390/biomedicines11020355" TargetMode="External"/><Relationship Id="rId68" Type="http://schemas.openxmlformats.org/officeDocument/2006/relationships/hyperlink" Target="https://doi.org/10.1186/s12913-024-11571-2" TargetMode="External"/><Relationship Id="rId16" Type="http://schemas.openxmlformats.org/officeDocument/2006/relationships/image" Target="media/image6.gif"/><Relationship Id="rId11" Type="http://schemas.openxmlformats.org/officeDocument/2006/relationships/image" Target="media/image1.png"/><Relationship Id="rId32" Type="http://schemas.openxmlformats.org/officeDocument/2006/relationships/hyperlink" Target="https://doi.org/10.1186/s12875-025-02745-w" TargetMode="External"/><Relationship Id="rId37" Type="http://schemas.openxmlformats.org/officeDocument/2006/relationships/hyperlink" Target="https://doi.org/10.3399/bjgpo.2021.0058" TargetMode="External"/><Relationship Id="rId53" Type="http://schemas.openxmlformats.org/officeDocument/2006/relationships/hyperlink" Target="https://doi.org/10.3390/jcm13030806" TargetMode="External"/><Relationship Id="rId58" Type="http://schemas.openxmlformats.org/officeDocument/2006/relationships/hyperlink" Target="https://doi.org/10.1111/jocn.16893" TargetMode="External"/><Relationship Id="rId74" Type="http://schemas.openxmlformats.org/officeDocument/2006/relationships/hyperlink" Target="https://doi.org/10.1093/ageing/afaf176"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doi.org/10.1145/3540250.3560877" TargetMode="External"/><Relationship Id="rId82" Type="http://schemas.openxmlformats.org/officeDocument/2006/relationships/theme" Target="theme/theme1.xml"/><Relationship Id="rId19" Type="http://schemas.openxmlformats.org/officeDocument/2006/relationships/hyperlink" Target="https://doi.org/10.1016/j.glmedi.2025.100198" TargetMode="External"/><Relationship Id="rId14" Type="http://schemas.openxmlformats.org/officeDocument/2006/relationships/image" Target="media/image4.png"/><Relationship Id="rId22" Type="http://schemas.openxmlformats.org/officeDocument/2006/relationships/hyperlink" Target="https://doi.org/10.35772/ghm.2023.01124" TargetMode="External"/><Relationship Id="rId27" Type="http://schemas.openxmlformats.org/officeDocument/2006/relationships/hyperlink" Target="https://doi.org/10.1080/14739879.2025.2524813" TargetMode="External"/><Relationship Id="rId30" Type="http://schemas.openxmlformats.org/officeDocument/2006/relationships/hyperlink" Target="https://doi.org/10.1155/2024/5576029" TargetMode="External"/><Relationship Id="rId35" Type="http://schemas.openxmlformats.org/officeDocument/2006/relationships/hyperlink" Target="https://continentalhospitals.com/diseases/mild-cognitive-impairment/" TargetMode="External"/><Relationship Id="rId43" Type="http://schemas.openxmlformats.org/officeDocument/2006/relationships/hyperlink" Target="https://doi.org/10.1111/joim.20098" TargetMode="External"/><Relationship Id="rId48" Type="http://schemas.openxmlformats.org/officeDocument/2006/relationships/hyperlink" Target="https://www.gov.uk/government/publications/10-year-health-plan-for-england-fit-for-the-future/fit-for-the-future-10-year-health-plan-for-england-accessible-version" TargetMode="External"/><Relationship Id="rId56" Type="http://schemas.openxmlformats.org/officeDocument/2006/relationships/hyperlink" Target="https://doi.org/10.1007/s12152-023-09522-5" TargetMode="External"/><Relationship Id="rId64" Type="http://schemas.openxmlformats.org/officeDocument/2006/relationships/hyperlink" Target="https://doi.org/10.3389/fneur.2022.1051543" TargetMode="External"/><Relationship Id="rId69" Type="http://schemas.openxmlformats.org/officeDocument/2006/relationships/hyperlink" Target="https://doi.org/10.1111/scs.13235" TargetMode="External"/><Relationship Id="rId77" Type="http://schemas.openxmlformats.org/officeDocument/2006/relationships/hyperlink" Target="https://www.who.int/news-room/fact-sheets/detail/dementia" TargetMode="External"/><Relationship Id="rId8" Type="http://schemas.openxmlformats.org/officeDocument/2006/relationships/webSettings" Target="webSettings.xml"/><Relationship Id="rId51" Type="http://schemas.openxmlformats.org/officeDocument/2006/relationships/hyperlink" Target="https://doi.org/10.3399/BJGP.2023.0103" TargetMode="External"/><Relationship Id="rId72" Type="http://schemas.openxmlformats.org/officeDocument/2006/relationships/hyperlink" Target="https://www.tandfonline.com/doi/full/10.1080/17582024.2025.2562772"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177/15500594211042708" TargetMode="External"/><Relationship Id="rId33" Type="http://schemas.openxmlformats.org/officeDocument/2006/relationships/hyperlink" Target="https://doi.org/10.3233/ADR-230194" TargetMode="External"/><Relationship Id="rId38" Type="http://schemas.openxmlformats.org/officeDocument/2006/relationships/hyperlink" Target="https://mental.jmir.org/2023/1/e47487/" TargetMode="External"/><Relationship Id="rId46" Type="http://schemas.openxmlformats.org/officeDocument/2006/relationships/hyperlink" Target="https://www.legislation.gov.uk/ukpga/2010/15/contents" TargetMode="External"/><Relationship Id="rId59" Type="http://schemas.openxmlformats.org/officeDocument/2006/relationships/hyperlink" Target="https://doi.org/10.1093/geronb/gbac197" TargetMode="External"/><Relationship Id="rId67" Type="http://schemas.openxmlformats.org/officeDocument/2006/relationships/hyperlink" Target="https://doi.org/10.3389/frma.2023.1268045" TargetMode="External"/><Relationship Id="rId20" Type="http://schemas.openxmlformats.org/officeDocument/2006/relationships/hyperlink" Target="https://doi.org/10.1038/s41562-024-02076-3" TargetMode="External"/><Relationship Id="rId41" Type="http://schemas.openxmlformats.org/officeDocument/2006/relationships/hyperlink" Target="https://localdemocracyandhealth.com/wp-content/uploads/2024/11/8f21c-nhs-england-working-in-partnership-with-people-and-communities-statutory-guidance.pdf" TargetMode="External"/><Relationship Id="rId54" Type="http://schemas.openxmlformats.org/officeDocument/2006/relationships/hyperlink" Target="https://doi.org/10.1093/brain/awaa403" TargetMode="External"/><Relationship Id="rId62" Type="http://schemas.openxmlformats.org/officeDocument/2006/relationships/hyperlink" Target="https://www.foundations.uk.com/wpcontent/uploads/2023/07/age_uk_briefing_state_of_health_and_care_of_older_people_july2023.pdft" TargetMode="External"/><Relationship Id="rId70" Type="http://schemas.openxmlformats.org/officeDocument/2006/relationships/hyperlink" Target="https://link.springer.com/content/pdf/10.1007/s12559-023-10153-4.pdf" TargetMode="External"/><Relationship Id="rId75" Type="http://schemas.openxmlformats.org/officeDocument/2006/relationships/hyperlink" Target="https://doi.org/10.3233/JAD-22039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1136/bmjopen-2024-092370" TargetMode="External"/><Relationship Id="rId28" Type="http://schemas.openxmlformats.org/officeDocument/2006/relationships/hyperlink" Target="https://www.cambridge.org/core/journals/journal-of-the-international-neuropsychological-society/article/cognitive-reserve-capacity-exploring-and-validating-a-theoretical-model-in-healthy-ageing/6ECC10808798266F075F0E9E7CADF228" TargetMode="External"/><Relationship Id="rId36" Type="http://schemas.openxmlformats.org/officeDocument/2006/relationships/hyperlink" Target="https://doi.org/10.3233/jad-230320" TargetMode="External"/><Relationship Id="rId49" Type="http://schemas.openxmlformats.org/officeDocument/2006/relationships/hyperlink" Target="https://doi.org/10.1002/cl2.1288" TargetMode="External"/><Relationship Id="rId57" Type="http://schemas.openxmlformats.org/officeDocument/2006/relationships/hyperlink" Target="https://doi.org/10.14738/assrj.97.12670" TargetMode="External"/><Relationship Id="rId10" Type="http://schemas.openxmlformats.org/officeDocument/2006/relationships/endnotes" Target="endnotes.xml"/><Relationship Id="rId31" Type="http://schemas.openxmlformats.org/officeDocument/2006/relationships/hyperlink" Target="https://www.frontiersin.org/journals/molecular-neuroscience/articles/10.3389/fnmol.2022.940484/full" TargetMode="External"/><Relationship Id="rId44" Type="http://schemas.openxmlformats.org/officeDocument/2006/relationships/hyperlink" Target="https://doi.org/10.1136/bmj.r1135" TargetMode="External"/><Relationship Id="rId52" Type="http://schemas.openxmlformats.org/officeDocument/2006/relationships/hyperlink" Target="https://doi.org/10.1186/s12877-026-07155-w" TargetMode="External"/><Relationship Id="rId60" Type="http://schemas.openxmlformats.org/officeDocument/2006/relationships/hyperlink" Target="https://doi.org/10.3390/ijms24010604" TargetMode="External"/><Relationship Id="rId65" Type="http://schemas.openxmlformats.org/officeDocument/2006/relationships/hyperlink" Target="https://doi.org/10.1111/inm.13449" TargetMode="External"/><Relationship Id="rId73" Type="http://schemas.openxmlformats.org/officeDocument/2006/relationships/hyperlink" Target="https://qbi.uq.edu.au/brain/dementia/history-dementia-research" TargetMode="External"/><Relationship Id="rId78" Type="http://schemas.openxmlformats.org/officeDocument/2006/relationships/hyperlink" Target="https://doi.org/10.3346/jkms.2023.38.e405"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doi.org/10.30574/wjarr.2025.27.2.2913" TargetMode="External"/><Relationship Id="rId39" Type="http://schemas.openxmlformats.org/officeDocument/2006/relationships/hyperlink" Target="https://assets.publishing.service.gov.uk/media/5a80d3ce40f0b62302695b8c/pm-dementia2020.pdf" TargetMode="External"/><Relationship Id="rId34" Type="http://schemas.openxmlformats.org/officeDocument/2006/relationships/hyperlink" Target="https://www.cambridge.org/core/journals/bjpsych-advances/article/bridging-the-gap-between-clinical-and-critical-sociological-perspectives-in-dementia/24F972F51B9AAC6151137CEF41D6F2B0" TargetMode="External"/><Relationship Id="rId50" Type="http://schemas.openxmlformats.org/officeDocument/2006/relationships/hyperlink" Target="https://doi.org/10.1038/s41531-025-01231-5" TargetMode="External"/><Relationship Id="rId55" Type="http://schemas.openxmlformats.org/officeDocument/2006/relationships/hyperlink" Target="https://www.crunchbase.com/organization/labtoo" TargetMode="External"/><Relationship Id="rId76" Type="http://schemas.openxmlformats.org/officeDocument/2006/relationships/hyperlink" Target="https://www.who.int/publications/i/item/global-action-plan-on-the-public-health-response-to-dementia-2017---2025" TargetMode="External"/><Relationship Id="rId7" Type="http://schemas.openxmlformats.org/officeDocument/2006/relationships/settings" Target="settings.xml"/><Relationship Id="rId71" Type="http://schemas.openxmlformats.org/officeDocument/2006/relationships/hyperlink" Target="https://doi.org/10.1093/brain/awab154" TargetMode="External"/><Relationship Id="rId2" Type="http://schemas.openxmlformats.org/officeDocument/2006/relationships/customXml" Target="../customXml/item2.xml"/><Relationship Id="rId29" Type="http://schemas.openxmlformats.org/officeDocument/2006/relationships/hyperlink" Target="https://doi.org/10.3399/BJGPO.2024.0039" TargetMode="External"/><Relationship Id="rId24" Type="http://schemas.openxmlformats.org/officeDocument/2006/relationships/hyperlink" Target="https://doi.org/10.1007/978-3-031-31570-1" TargetMode="External"/><Relationship Id="rId40" Type="http://schemas.openxmlformats.org/officeDocument/2006/relationships/hyperlink" Target="https://doi.org/10.1186/s12875-024-02336-1" TargetMode="External"/><Relationship Id="rId45" Type="http://schemas.openxmlformats.org/officeDocument/2006/relationships/hyperlink" Target="https://assets.publishing.service.gov.uk/media/5a7a15a7ed915d6eaf153a36/dh_094051.pdf" TargetMode="External"/><Relationship Id="rId66" Type="http://schemas.openxmlformats.org/officeDocument/2006/relationships/hyperlink" Target="https://doi.org/10.3389/frma.2023.1268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59bd2e260ac05fa5f0b6ba6e34755b2a">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9cfc0b28d0ffd885fe423883581a093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FBEBB273-E744-4745-A3FB-C78692A1740D}">
  <ds:schemaRefs>
    <ds:schemaRef ds:uri="http://schemas.openxmlformats.org/officeDocument/2006/bibliography"/>
  </ds:schemaRefs>
</ds:datastoreItem>
</file>

<file path=customXml/itemProps2.xml><?xml version="1.0" encoding="utf-8"?>
<ds:datastoreItem xmlns:ds="http://schemas.openxmlformats.org/officeDocument/2006/customXml" ds:itemID="{68418338-2BEB-49F5-BDDE-B433A907F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EC8D1-1909-4460-BA39-1F4A8E6BE325}">
  <ds:schemaRefs>
    <ds:schemaRef ds:uri="http://schemas.microsoft.com/sharepoint/v3/contenttype/forms"/>
  </ds:schemaRefs>
</ds:datastoreItem>
</file>

<file path=customXml/itemProps4.xml><?xml version="1.0" encoding="utf-8"?>
<ds:datastoreItem xmlns:ds="http://schemas.openxmlformats.org/officeDocument/2006/customXml" ds:itemID="{0EB216A2-C876-46DF-8B41-DBD2780C9572}">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55</Pages>
  <Words>16930</Words>
  <Characters>96507</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Naznin Mahmood (2215438)</cp:lastModifiedBy>
  <cp:revision>63</cp:revision>
  <cp:lastPrinted>2026-06-09T16:43:00Z</cp:lastPrinted>
  <dcterms:created xsi:type="dcterms:W3CDTF">2026-07-13T09:11:00Z</dcterms:created>
  <dcterms:modified xsi:type="dcterms:W3CDTF">2026-07-13T15:48:00Z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35802959-d52b-4905-8b63-d13774525a96</vt:lpwstr>
  </property>
  <property fmtid="{D5CDD505-2E9C-101B-9397-08002B2CF9AE}" pid="3" name="ContentTypeId">
    <vt:lpwstr>0x010100F8BF9AC769AD6E4EA4D545CCC79C824F</vt:lpwstr>
  </property>
</Properties>
</file>