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F4C1B" w14:textId="77777777" w:rsidR="00E22CC6" w:rsidRDefault="00000000">
      <w:pPr>
        <w:pStyle w:val="Title"/>
      </w:pPr>
      <w:r>
        <w:t>Planning and Delivering an International Meeting/Event</w:t>
      </w:r>
    </w:p>
    <w:p w14:paraId="5657798E" w14:textId="77777777" w:rsidR="00E22CC6" w:rsidRDefault="00E22CC6"/>
    <w:p w14:paraId="74DF1CF1" w14:textId="77777777" w:rsidR="00E22CC6" w:rsidRDefault="00000000">
      <w:pPr>
        <w:spacing w:line="259" w:lineRule="auto"/>
        <w:jc w:val="center"/>
        <w:rPr>
          <w:sz w:val="28"/>
          <w:szCs w:val="24"/>
        </w:rPr>
      </w:pPr>
      <w:r>
        <w:rPr>
          <w:sz w:val="28"/>
          <w:szCs w:val="24"/>
        </w:rPr>
        <w:t>Module Title: International Meetings Management BMIH6007</w:t>
      </w:r>
    </w:p>
    <w:p w14:paraId="2E663A05" w14:textId="77777777" w:rsidR="00E22CC6" w:rsidRDefault="00E22CC6"/>
    <w:p w14:paraId="22CC9E05" w14:textId="77777777" w:rsidR="00E22CC6" w:rsidRDefault="00E22CC6"/>
    <w:p w14:paraId="1ED6F53E" w14:textId="77777777" w:rsidR="00E22CC6" w:rsidRDefault="00E22CC6"/>
    <w:p w14:paraId="378B13AE" w14:textId="77777777" w:rsidR="00E22CC6" w:rsidRDefault="00E22CC6"/>
    <w:p w14:paraId="6D7ED0FA" w14:textId="77777777" w:rsidR="00E22CC6" w:rsidRDefault="00E22CC6">
      <w:pPr>
        <w:spacing w:line="259" w:lineRule="auto"/>
        <w:jc w:val="left"/>
      </w:pPr>
    </w:p>
    <w:p w14:paraId="3523EDB3" w14:textId="305A249F" w:rsidR="00E22CC6" w:rsidRDefault="00000000">
      <w:pPr>
        <w:spacing w:line="259" w:lineRule="auto"/>
        <w:jc w:val="center"/>
        <w:rPr>
          <w:sz w:val="28"/>
          <w:szCs w:val="24"/>
        </w:rPr>
      </w:pPr>
      <w:r>
        <w:rPr>
          <w:sz w:val="28"/>
          <w:szCs w:val="24"/>
        </w:rPr>
        <w:t>Student Name:</w:t>
      </w:r>
      <w:r w:rsidR="00077B44">
        <w:rPr>
          <w:sz w:val="28"/>
          <w:szCs w:val="24"/>
        </w:rPr>
        <w:t xml:space="preserve"> Krystal Gardner</w:t>
      </w:r>
    </w:p>
    <w:p w14:paraId="1C852A1A" w14:textId="77777777" w:rsidR="00C51DA5" w:rsidRDefault="00000000" w:rsidP="00C51DA5">
      <w:pPr>
        <w:spacing w:line="259" w:lineRule="auto"/>
        <w:jc w:val="center"/>
        <w:rPr>
          <w:sz w:val="28"/>
          <w:szCs w:val="24"/>
        </w:rPr>
      </w:pPr>
      <w:r>
        <w:rPr>
          <w:sz w:val="28"/>
          <w:szCs w:val="24"/>
        </w:rPr>
        <w:t>Student ID:</w:t>
      </w:r>
      <w:r w:rsidR="00077B44">
        <w:rPr>
          <w:sz w:val="28"/>
          <w:szCs w:val="24"/>
        </w:rPr>
        <w:t>202</w:t>
      </w:r>
      <w:r w:rsidR="00EC512D">
        <w:rPr>
          <w:sz w:val="28"/>
          <w:szCs w:val="24"/>
        </w:rPr>
        <w:t>7750</w:t>
      </w:r>
    </w:p>
    <w:p w14:paraId="2AD49413" w14:textId="1E25F446" w:rsidR="00E22CC6" w:rsidRPr="00C51DA5" w:rsidRDefault="00000000" w:rsidP="00C51DA5">
      <w:pPr>
        <w:spacing w:line="259" w:lineRule="auto"/>
        <w:jc w:val="center"/>
        <w:rPr>
          <w:sz w:val="28"/>
          <w:szCs w:val="24"/>
        </w:rPr>
      </w:pPr>
      <w:r>
        <w:rPr>
          <w:sz w:val="28"/>
          <w:szCs w:val="24"/>
        </w:rPr>
        <w:t xml:space="preserve">Lecturer’s </w:t>
      </w:r>
      <w:r w:rsidR="00A07B6B">
        <w:rPr>
          <w:sz w:val="28"/>
          <w:szCs w:val="24"/>
        </w:rPr>
        <w:t>Name</w:t>
      </w:r>
      <w:r>
        <w:rPr>
          <w:sz w:val="28"/>
          <w:szCs w:val="24"/>
          <w:lang w:val="en-AU"/>
        </w:rPr>
        <w:t>:</w:t>
      </w:r>
      <w:r w:rsidR="00C51DA5">
        <w:rPr>
          <w:sz w:val="28"/>
          <w:szCs w:val="24"/>
          <w:lang w:val="en-AU"/>
        </w:rPr>
        <w:t xml:space="preserve"> Kathryn Flynn </w:t>
      </w:r>
    </w:p>
    <w:p w14:paraId="38416A27" w14:textId="77777777" w:rsidR="00E22CC6" w:rsidRDefault="00E22CC6">
      <w:pPr>
        <w:spacing w:line="259" w:lineRule="auto"/>
        <w:jc w:val="center"/>
        <w:rPr>
          <w:sz w:val="28"/>
          <w:szCs w:val="24"/>
        </w:rPr>
      </w:pPr>
    </w:p>
    <w:p w14:paraId="40923E6C" w14:textId="77777777" w:rsidR="00E22CC6" w:rsidRDefault="00E22CC6"/>
    <w:p w14:paraId="4571906C" w14:textId="77777777" w:rsidR="00E22CC6" w:rsidRDefault="00E22CC6"/>
    <w:p w14:paraId="30BE5B3F" w14:textId="77777777" w:rsidR="00E22CC6" w:rsidRDefault="00000000">
      <w:pPr>
        <w:jc w:val="center"/>
        <w:rPr>
          <w:lang w:bidi="ar-SA"/>
        </w:rPr>
      </w:pPr>
      <w:r>
        <w:rPr>
          <w:lang w:bidi="ar-SA"/>
        </w:rPr>
        <w:t xml:space="preserve">I confirm that I have not used any AI tools in the research and creation of this assignment. I confirm that I have not presented in any AI-generated materials as my own work. I confirm I have copies of my </w:t>
      </w:r>
      <w:r>
        <w:rPr>
          <w:lang w:val="en-AU" w:bidi="ar-SA"/>
        </w:rPr>
        <w:t xml:space="preserve">draft </w:t>
      </w:r>
      <w:r>
        <w:rPr>
          <w:lang w:bidi="ar-SA"/>
        </w:rPr>
        <w:t>notes and other resources I used, which I may be asked to provide in evidence.</w:t>
      </w:r>
    </w:p>
    <w:p w14:paraId="11BF5BD4" w14:textId="77777777" w:rsidR="00E22CC6" w:rsidRDefault="00E22CC6"/>
    <w:p w14:paraId="7532829E" w14:textId="77777777" w:rsidR="00E22CC6" w:rsidRDefault="00E22CC6"/>
    <w:p w14:paraId="2DC9E6DA" w14:textId="77777777" w:rsidR="00E22CC6" w:rsidRDefault="00000000">
      <w:pPr>
        <w:pStyle w:val="Heading1"/>
      </w:pPr>
      <w:r>
        <w:lastRenderedPageBreak/>
        <w:t>Introduction</w:t>
      </w:r>
    </w:p>
    <w:p w14:paraId="35AA11FC" w14:textId="2F6A8E2F" w:rsidR="00E22CC6" w:rsidRDefault="00000000">
      <w:r>
        <w:t xml:space="preserve">Equity, Diversity, and Inclusion are one of the key driving factors of </w:t>
      </w:r>
      <w:proofErr w:type="spellStart"/>
      <w:r w:rsidR="00BC6F13">
        <w:t>organisations</w:t>
      </w:r>
      <w:proofErr w:type="spellEnd"/>
      <w:r>
        <w:t xml:space="preserve"> in today’s age. At the same time, they also ensure that underrepresented communities are receiving the opportunities they deserve. In fact, businesses spend more than USD 8 billion per year for DE&amp;I initiatives (Herbert, 2024).</w:t>
      </w:r>
    </w:p>
    <w:p w14:paraId="5880D3C0" w14:textId="38E18CCD" w:rsidR="00E22CC6" w:rsidRDefault="00000000">
      <w:r>
        <w:t xml:space="preserve">Therefore, there is a need to address this issue and create a platform that will help find the root cause of lack of diversity within </w:t>
      </w:r>
      <w:proofErr w:type="spellStart"/>
      <w:r w:rsidR="00BC6F13">
        <w:t>organisations</w:t>
      </w:r>
      <w:proofErr w:type="spellEnd"/>
      <w:r>
        <w:t xml:space="preserve"> despite such investments. Based on this premise, the MICE event that has been chosen for this project is called the “Global Harmony Summit: Celebrating Cultures, Driving Inclusion (Darby, 2024).</w:t>
      </w:r>
    </w:p>
    <w:p w14:paraId="61485978" w14:textId="257AC501" w:rsidR="00E22CC6" w:rsidRDefault="00000000">
      <w:r>
        <w:t xml:space="preserve">This event will be a conference that will allow the participants to network with leaders, policymakers, and </w:t>
      </w:r>
      <w:proofErr w:type="spellStart"/>
      <w:r w:rsidR="00BC6F13">
        <w:t>organisations</w:t>
      </w:r>
      <w:proofErr w:type="spellEnd"/>
      <w:r>
        <w:t xml:space="preserve"> that can provide underrepresented communities and minorities with the right opportunities to grow their career. As a result, the theme of this event is “Diversity, Equity, and Inclusion within Industry”. The core purpose of the event will be to address challenges within the realm of DE&amp;I and create opportunities for the underrepresented communities. The location for the event will be London, UK as it is a global hub that can bring in people from various places around the world. Overall, this event will work on addressing the gap between the efforts of achieving DE&amp;I within </w:t>
      </w:r>
      <w:proofErr w:type="spellStart"/>
      <w:r w:rsidR="00BC6F13">
        <w:t>organisations</w:t>
      </w:r>
      <w:proofErr w:type="spellEnd"/>
      <w:r>
        <w:t xml:space="preserve"> and the outcomes, which will allow for these efforts to and promises to turn into reality (</w:t>
      </w:r>
      <w:proofErr w:type="spellStart"/>
      <w:r>
        <w:t>Odisho</w:t>
      </w:r>
      <w:proofErr w:type="spellEnd"/>
      <w:r>
        <w:t>, 2024).</w:t>
      </w:r>
    </w:p>
    <w:p w14:paraId="2F9D3FF0" w14:textId="77777777" w:rsidR="00E22CC6" w:rsidRDefault="00000000">
      <w:pPr>
        <w:pStyle w:val="Heading1"/>
      </w:pPr>
      <w:r>
        <w:t>The Event Cycle</w:t>
      </w:r>
    </w:p>
    <w:p w14:paraId="3EAAB0E1" w14:textId="652B1186" w:rsidR="00E22CC6" w:rsidRDefault="00000000">
      <w:r>
        <w:t xml:space="preserve">Event cycle refers to the process of </w:t>
      </w:r>
      <w:proofErr w:type="spellStart"/>
      <w:r w:rsidR="00BC6F13">
        <w:t>organising</w:t>
      </w:r>
      <w:proofErr w:type="spellEnd"/>
      <w:r>
        <w:t xml:space="preserve"> an event from start to finish through separate stages. There are a number of models that are used to describe event cycles (Lee and </w:t>
      </w:r>
      <w:proofErr w:type="spellStart"/>
      <w:r>
        <w:t>Goldblatt</w:t>
      </w:r>
      <w:proofErr w:type="spellEnd"/>
      <w:r>
        <w:t>, 2020). One of the most popular ones that can be applied to this event is the “</w:t>
      </w:r>
      <w:proofErr w:type="spellStart"/>
      <w:r>
        <w:t>Goldblatt’s</w:t>
      </w:r>
      <w:proofErr w:type="spellEnd"/>
      <w:r>
        <w:t xml:space="preserve"> Five Phases of Event Management. As the name suggests, there are five chronological stages that take place one after the other and ensure successful completion of the event in question (Molina, 2007). </w:t>
      </w:r>
    </w:p>
    <w:p w14:paraId="355087A6" w14:textId="77777777" w:rsidR="00E22CC6" w:rsidRDefault="00000000">
      <w:pPr>
        <w:jc w:val="center"/>
      </w:pPr>
      <w:r>
        <w:rPr>
          <w:noProof/>
        </w:rPr>
        <w:lastRenderedPageBreak/>
        <w:drawing>
          <wp:inline distT="0" distB="0" distL="0" distR="0" wp14:anchorId="07C4AF70" wp14:editId="1F8AFFF5">
            <wp:extent cx="2124075" cy="2152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124075" cy="2152650"/>
                    </a:xfrm>
                    <a:prstGeom prst="rect">
                      <a:avLst/>
                    </a:prstGeom>
                    <a:noFill/>
                    <a:ln>
                      <a:noFill/>
                    </a:ln>
                  </pic:spPr>
                </pic:pic>
              </a:graphicData>
            </a:graphic>
          </wp:inline>
        </w:drawing>
      </w:r>
    </w:p>
    <w:p w14:paraId="6D70B1F6" w14:textId="77777777" w:rsidR="00E22CC6" w:rsidRDefault="00000000">
      <w:pPr>
        <w:jc w:val="center"/>
        <w:rPr>
          <w:b/>
          <w:bCs/>
        </w:rPr>
      </w:pPr>
      <w:r>
        <w:rPr>
          <w:b/>
          <w:bCs/>
        </w:rPr>
        <w:t xml:space="preserve">Figure 1: </w:t>
      </w:r>
      <w:proofErr w:type="spellStart"/>
      <w:r>
        <w:rPr>
          <w:b/>
          <w:bCs/>
        </w:rPr>
        <w:t>Goldblatt’s</w:t>
      </w:r>
      <w:proofErr w:type="spellEnd"/>
      <w:r>
        <w:rPr>
          <w:b/>
          <w:bCs/>
        </w:rPr>
        <w:t xml:space="preserve"> Five Phases of Event Management</w:t>
      </w:r>
    </w:p>
    <w:p w14:paraId="17680F39" w14:textId="77777777" w:rsidR="00E22CC6" w:rsidRDefault="00000000">
      <w:r>
        <w:t>The model is described below through the lens of the Global Harmony Summit-</w:t>
      </w:r>
    </w:p>
    <w:p w14:paraId="0E1CC3EB" w14:textId="77777777" w:rsidR="00E22CC6" w:rsidRDefault="00000000">
      <w:pPr>
        <w:pStyle w:val="Heading2"/>
      </w:pPr>
      <w:r>
        <w:t>Research</w:t>
      </w:r>
    </w:p>
    <w:p w14:paraId="0094C96B" w14:textId="77777777" w:rsidR="00E22CC6" w:rsidRDefault="00000000">
      <w:r>
        <w:t>The first phase of the event will be “Research. This is crucial to determine the feasibility of the event as well as the target audience and their expectations. First, the demand for the event will be evaluated from a number of perspectives including business leaders, policymakers, HR professionals, DE&amp;I experts, and underrepresented communities. Based on the demand and needs of the target audience, other factors of the event will be researched such as event segments, date and time, location, objectives, outcomes, and more.</w:t>
      </w:r>
    </w:p>
    <w:p w14:paraId="66FFC671" w14:textId="77777777" w:rsidR="00E22CC6" w:rsidRDefault="00000000">
      <w:pPr>
        <w:pStyle w:val="Heading2"/>
      </w:pPr>
      <w:r>
        <w:t>Design</w:t>
      </w:r>
    </w:p>
    <w:p w14:paraId="7D6CBC35" w14:textId="77777777" w:rsidR="00E22CC6" w:rsidRDefault="00000000">
      <w:r>
        <w:t>Based on the outcomes of the research, the design of the event will be determined next. This involves developing a detailed event itinerary. Therefore, it will involve designing the pre-event activities such as preparing the sponsorship proposal, determining the registration process, and preparing the guest invitations. It will also involve designing the event activities such as the event schedule, seating arrangements, food and hospitality services, stage management, and more. Finally, a number of post-event activities must also be designed such as the feedback collection process.</w:t>
      </w:r>
    </w:p>
    <w:p w14:paraId="4F7D3CC8" w14:textId="016E90FC" w:rsidR="00E22CC6" w:rsidRDefault="00C46EA6">
      <w:pPr>
        <w:pStyle w:val="Heading2"/>
      </w:pPr>
      <w:proofErr w:type="spellStart"/>
      <w:r>
        <w:lastRenderedPageBreak/>
        <w:t>Organisation</w:t>
      </w:r>
      <w:proofErr w:type="spellEnd"/>
    </w:p>
    <w:p w14:paraId="1291A458" w14:textId="5A4649BD" w:rsidR="00E22CC6" w:rsidRDefault="00000000">
      <w:r>
        <w:t xml:space="preserve">Once the design has been set, the </w:t>
      </w:r>
      <w:proofErr w:type="spellStart"/>
      <w:r w:rsidR="00C46EA6">
        <w:t>organisation</w:t>
      </w:r>
      <w:proofErr w:type="spellEnd"/>
      <w:r>
        <w:t xml:space="preserve"> part begins. This is the phase from where event execution starts. First, the website for event registration will have to be launched. At the same time, sponsors, partners, and guests must be approached to join the event. The pre-event marketing activities are also a part of the </w:t>
      </w:r>
      <w:proofErr w:type="spellStart"/>
      <w:r w:rsidR="00C46EA6">
        <w:t>organising</w:t>
      </w:r>
      <w:proofErr w:type="spellEnd"/>
      <w:r>
        <w:t xml:space="preserve"> process. Finally, every activity that will take place on the event must be secured in this stage. This will involve </w:t>
      </w:r>
      <w:r w:rsidR="005E1324">
        <w:t>completing</w:t>
      </w:r>
      <w:r>
        <w:t xml:space="preserve"> and securing the venue, procuring relevant materials, onboarding relevant staff, and more.</w:t>
      </w:r>
    </w:p>
    <w:p w14:paraId="785A75B8" w14:textId="77777777" w:rsidR="00E22CC6" w:rsidRDefault="00000000">
      <w:pPr>
        <w:pStyle w:val="Heading2"/>
      </w:pPr>
      <w:r>
        <w:t>Coordination</w:t>
      </w:r>
    </w:p>
    <w:p w14:paraId="41630510" w14:textId="767DB5C1" w:rsidR="00E22CC6" w:rsidRPr="005E1324" w:rsidRDefault="00000000">
      <w:pPr>
        <w:rPr>
          <w:color w:val="000000" w:themeColor="text1"/>
        </w:rPr>
      </w:pPr>
      <w:r>
        <w:t xml:space="preserve">Coordination is also a part of the event execution process. Here, all the different teams of the event will be connected to ensure synergy and punctuality (Getz and Page, 2019). All the cross-functional teams will be communicated to ensure all parts are moving accordingly and in a timely manner. The collaborative effort will continue till the end of the event. </w:t>
      </w:r>
      <w:r w:rsidRPr="005E1324">
        <w:rPr>
          <w:color w:val="000000" w:themeColor="text1"/>
        </w:rPr>
        <w:t xml:space="preserve">Operational theories become essential during the Coordination and Execution stage of event management for efficient implementation to take place. The </w:t>
      </w:r>
      <w:r w:rsidRPr="0063644D">
        <w:rPr>
          <w:color w:val="000000" w:themeColor="text1"/>
        </w:rPr>
        <w:t xml:space="preserve">Lean Operations theory </w:t>
      </w:r>
      <w:r w:rsidRPr="005E1324">
        <w:rPr>
          <w:color w:val="000000" w:themeColor="text1"/>
        </w:rPr>
        <w:t xml:space="preserve">seeks to reduce every form of waste and maximize the efficient </w:t>
      </w:r>
      <w:proofErr w:type="spellStart"/>
      <w:r w:rsidR="0063644D">
        <w:rPr>
          <w:color w:val="000000" w:themeColor="text1"/>
        </w:rPr>
        <w:t>utilisation</w:t>
      </w:r>
      <w:proofErr w:type="spellEnd"/>
      <w:r w:rsidRPr="005E1324">
        <w:rPr>
          <w:color w:val="000000" w:themeColor="text1"/>
        </w:rPr>
        <w:t xml:space="preserve"> of resources. The </w:t>
      </w:r>
      <w:r w:rsidRPr="0063644D">
        <w:rPr>
          <w:color w:val="000000" w:themeColor="text1"/>
        </w:rPr>
        <w:t xml:space="preserve">Just-in-Time (JIT) </w:t>
      </w:r>
      <w:r w:rsidRPr="005E1324">
        <w:rPr>
          <w:color w:val="000000" w:themeColor="text1"/>
        </w:rPr>
        <w:t>theory will be applied to effectively handle resource availability and timing for both equipment and materials and human workforce deployment. Event teams reduce costs through JIT principles by making resources available exactly on schedule thus reducing delays and superfluous inventory expenses.</w:t>
      </w:r>
    </w:p>
    <w:p w14:paraId="0EC5FBFA" w14:textId="77777777" w:rsidR="00E22CC6" w:rsidRPr="005E1324" w:rsidRDefault="00000000">
      <w:pPr>
        <w:pStyle w:val="Heading2"/>
      </w:pPr>
      <w:r w:rsidRPr="005E1324">
        <w:t>Evaluation</w:t>
      </w:r>
    </w:p>
    <w:p w14:paraId="5C604C08" w14:textId="77777777" w:rsidR="00E22CC6" w:rsidRDefault="00000000">
      <w:r>
        <w:t>The final step of five phases of event management is “Evaluation”. This will involve comparing the cost and revenue of the event to determine whether it was profitable not (</w:t>
      </w:r>
      <w:proofErr w:type="spellStart"/>
      <w:r>
        <w:t>Bowdin</w:t>
      </w:r>
      <w:proofErr w:type="spellEnd"/>
      <w:r>
        <w:t xml:space="preserve"> et al., 2023). At the same time, feedback on the event will also be collected to determine what needs to be done to make this a sustainable and regular event that can take place at least on an annual basis.</w:t>
      </w:r>
    </w:p>
    <w:p w14:paraId="7551C12B" w14:textId="77777777" w:rsidR="00E22CC6" w:rsidRDefault="00000000">
      <w:r>
        <w:t>This completes the event cycle for the “Global Harmony Summit”.</w:t>
      </w:r>
    </w:p>
    <w:p w14:paraId="5C6C8EE6" w14:textId="77777777" w:rsidR="00E22CC6" w:rsidRDefault="00000000">
      <w:pPr>
        <w:pStyle w:val="Heading1"/>
      </w:pPr>
      <w:r>
        <w:t>Event Concept</w:t>
      </w:r>
    </w:p>
    <w:p w14:paraId="4BB2E632" w14:textId="77777777" w:rsidR="00E22CC6" w:rsidRDefault="00000000">
      <w:r>
        <w:t>The event format will be divided into 4 parts that will adequately incorporate the five target groups. The target groups are-</w:t>
      </w:r>
    </w:p>
    <w:p w14:paraId="2935E16F" w14:textId="77777777" w:rsidR="00E22CC6" w:rsidRDefault="00000000">
      <w:r>
        <w:lastRenderedPageBreak/>
        <w:t>1. Business Leaders</w:t>
      </w:r>
    </w:p>
    <w:p w14:paraId="13162DED" w14:textId="77777777" w:rsidR="00E22CC6" w:rsidRDefault="00000000">
      <w:r>
        <w:t>2. HR Professionals</w:t>
      </w:r>
    </w:p>
    <w:p w14:paraId="54ECA554" w14:textId="77777777" w:rsidR="00E22CC6" w:rsidRDefault="00000000">
      <w:r>
        <w:t>3. Policymakers</w:t>
      </w:r>
    </w:p>
    <w:p w14:paraId="158F6541" w14:textId="77777777" w:rsidR="00E22CC6" w:rsidRDefault="00000000">
      <w:r>
        <w:t>4. DE&amp;I Experts</w:t>
      </w:r>
    </w:p>
    <w:p w14:paraId="392C2B02" w14:textId="77777777" w:rsidR="00E22CC6" w:rsidRDefault="00000000">
      <w:r>
        <w:t>5. DE&amp;I Representatives</w:t>
      </w:r>
    </w:p>
    <w:p w14:paraId="6E7AAEA3" w14:textId="77777777" w:rsidR="00E22CC6" w:rsidRDefault="00000000">
      <w:r>
        <w:t>Based on the target audience. The four segments of the event are discussed below-</w:t>
      </w:r>
    </w:p>
    <w:p w14:paraId="738A84EB" w14:textId="77777777" w:rsidR="00E22CC6" w:rsidRDefault="00000000">
      <w:pPr>
        <w:pStyle w:val="Heading2"/>
      </w:pPr>
      <w:r>
        <w:t>Speeches</w:t>
      </w:r>
    </w:p>
    <w:p w14:paraId="241A262E" w14:textId="77777777" w:rsidR="00E22CC6" w:rsidRDefault="00000000">
      <w:r>
        <w:t xml:space="preserve">Here, there will be speeches by prominent business leaders and policymakers within the space. First, there will be business leaders who will showcase their journey and motivate the participants through their speeches. They will discuss how they are working from the top to incorporate DE&amp;I into the corporate strategy of the company. One example of a business leader who is being targeted is Lisa Su, the CEO of AMD (AMD, 2024). </w:t>
      </w:r>
    </w:p>
    <w:p w14:paraId="1A378177" w14:textId="3DF0613E" w:rsidR="00E22CC6" w:rsidRDefault="00000000">
      <w:r>
        <w:t xml:space="preserve">Experts in the field of DE&amp;I will also be giving speeches at the event to address the current gaps in the efforts of the </w:t>
      </w:r>
      <w:proofErr w:type="spellStart"/>
      <w:r w:rsidR="008F0124">
        <w:t>organisations</w:t>
      </w:r>
      <w:proofErr w:type="spellEnd"/>
      <w:r>
        <w:t xml:space="preserve"> as well as the potential solutions to close the gap. This segment will involve professors and researchers from different universities. Professors like Dr. </w:t>
      </w:r>
      <w:proofErr w:type="spellStart"/>
      <w:r>
        <w:t>Derald</w:t>
      </w:r>
      <w:proofErr w:type="spellEnd"/>
      <w:r>
        <w:t xml:space="preserve"> Wing sue from Columbia University, who has worked on topics that are focused on the issues underrepresented communities face will be invited to share their input in this segment (LACPA Office, 2024).</w:t>
      </w:r>
    </w:p>
    <w:p w14:paraId="5E6E6208" w14:textId="77777777" w:rsidR="00E22CC6" w:rsidRDefault="00000000">
      <w:pPr>
        <w:pStyle w:val="Heading2"/>
      </w:pPr>
      <w:r>
        <w:t>Panel Discussion</w:t>
      </w:r>
    </w:p>
    <w:p w14:paraId="4BB3C8C3" w14:textId="00D7062F" w:rsidR="00E22CC6" w:rsidRDefault="00000000">
      <w:r>
        <w:t xml:space="preserve">Next, there will be a panel discussion on DE&amp;I strategies among the HR professionals of leading </w:t>
      </w:r>
      <w:proofErr w:type="spellStart"/>
      <w:r w:rsidR="0041555B">
        <w:t>organisations</w:t>
      </w:r>
      <w:proofErr w:type="spellEnd"/>
      <w:r>
        <w:t>. This will involve inviting the top HR professionals around the world who will bring work opportunities for underrepresented communities to the event. We will be targeting HR leaders like Felicia Fields, VP of HR at Ford Motors, who played a key role in the company’s turnaround (Sagar, 2024).</w:t>
      </w:r>
    </w:p>
    <w:p w14:paraId="4B29C458" w14:textId="77777777" w:rsidR="00E22CC6" w:rsidRDefault="00000000">
      <w:r>
        <w:t xml:space="preserve">Next, we will also be targeting policymakers so that the business leaders and HR professionals can be in the same panel with policymakers and can collaborate together to bring changes in the </w:t>
      </w:r>
      <w:r>
        <w:lastRenderedPageBreak/>
        <w:t xml:space="preserve">industry at a policy level. One of our key targets will be onboarding Sima </w:t>
      </w:r>
      <w:proofErr w:type="spellStart"/>
      <w:r>
        <w:t>Bahous</w:t>
      </w:r>
      <w:proofErr w:type="spellEnd"/>
      <w:r>
        <w:t>, who is the executive director of UN Women (UN Women, 2019).</w:t>
      </w:r>
    </w:p>
    <w:p w14:paraId="1C5E4634" w14:textId="77777777" w:rsidR="00E22CC6" w:rsidRDefault="00000000">
      <w:pPr>
        <w:pStyle w:val="Heading2"/>
      </w:pPr>
      <w:r>
        <w:t>Networking Session and Workshop</w:t>
      </w:r>
    </w:p>
    <w:p w14:paraId="67B7F162" w14:textId="77777777" w:rsidR="00E22CC6" w:rsidRDefault="00000000">
      <w:r>
        <w:t>This segment will involve a short workshop by the leading HR professionals and policymakers to discuss the practical steps HR professionals should take to achieve their DE&amp;I goals while supporting the community. Ultimately, this segment will be focused on networking where representatives of the underrepresented communities will be able to connect with the HR leaders who can bring opportunities for these communities.</w:t>
      </w:r>
    </w:p>
    <w:p w14:paraId="16B43B29" w14:textId="77777777" w:rsidR="00E22CC6" w:rsidRDefault="00000000">
      <w:pPr>
        <w:pStyle w:val="Heading2"/>
      </w:pPr>
      <w:r>
        <w:t>DE&amp;I Work Opportunities</w:t>
      </w:r>
    </w:p>
    <w:p w14:paraId="1B4E3F5B" w14:textId="436A3BE3" w:rsidR="00E22CC6" w:rsidRDefault="00000000">
      <w:r>
        <w:t xml:space="preserve">Finally, there will be booths by participant </w:t>
      </w:r>
      <w:proofErr w:type="spellStart"/>
      <w:r w:rsidR="0041555B">
        <w:t>organisations</w:t>
      </w:r>
      <w:proofErr w:type="spellEnd"/>
      <w:r>
        <w:t xml:space="preserve"> where they will directly provide opportunities to underrepresented communities. Here, our most important target audience will be representatives of underrepresented communities. Especially people who can make sure the opportunities available at the conference are being provided to the right people who need it. This will include people like </w:t>
      </w:r>
      <w:proofErr w:type="spellStart"/>
      <w:r>
        <w:t>Jephtah</w:t>
      </w:r>
      <w:proofErr w:type="spellEnd"/>
      <w:r>
        <w:t xml:space="preserve"> Abu, founder of </w:t>
      </w:r>
      <w:proofErr w:type="spellStart"/>
      <w:r>
        <w:t>TalentPoel</w:t>
      </w:r>
      <w:proofErr w:type="spellEnd"/>
      <w:r>
        <w:t>, which is a platform for connecting underrepresented communities to prestigious working opportunities (Abu, 2023).</w:t>
      </w:r>
    </w:p>
    <w:p w14:paraId="23E14706" w14:textId="77777777" w:rsidR="00E22CC6" w:rsidRDefault="00000000">
      <w:r>
        <w:t>These four segments will take place chronologically throughout the day and conclude the event.</w:t>
      </w:r>
    </w:p>
    <w:p w14:paraId="146E772A" w14:textId="77777777" w:rsidR="00E22CC6" w:rsidRDefault="00000000">
      <w:pPr>
        <w:pStyle w:val="Heading1"/>
      </w:pPr>
      <w:r>
        <w:t>Aim and Objectives</w:t>
      </w:r>
    </w:p>
    <w:p w14:paraId="6CDE52C2" w14:textId="2C57EF56" w:rsidR="00E22CC6" w:rsidRDefault="00000000">
      <w:r>
        <w:t xml:space="preserve">The overarching aim of this event is to ensure effective </w:t>
      </w:r>
      <w:proofErr w:type="spellStart"/>
      <w:r w:rsidR="00106259">
        <w:t>utilisation</w:t>
      </w:r>
      <w:proofErr w:type="spellEnd"/>
      <w:r>
        <w:t xml:space="preserve"> of DE&amp;I investments in order to create opportunities for the underrepresented communities. SMART objectives will allow for practical target-setting for the event (</w:t>
      </w:r>
      <w:proofErr w:type="spellStart"/>
      <w:r>
        <w:t>Bjerke</w:t>
      </w:r>
      <w:proofErr w:type="spellEnd"/>
      <w:r>
        <w:t xml:space="preserve"> and </w:t>
      </w:r>
      <w:proofErr w:type="spellStart"/>
      <w:r>
        <w:t>Renger</w:t>
      </w:r>
      <w:proofErr w:type="spellEnd"/>
      <w:r>
        <w:t>, 2017). The 3 SMART objectives for the event are provided below-</w:t>
      </w:r>
    </w:p>
    <w:tbl>
      <w:tblPr>
        <w:tblStyle w:val="TableGrid"/>
        <w:tblW w:w="0" w:type="auto"/>
        <w:tblLook w:val="04A0" w:firstRow="1" w:lastRow="0" w:firstColumn="1" w:lastColumn="0" w:noHBand="0" w:noVBand="1"/>
      </w:tblPr>
      <w:tblGrid>
        <w:gridCol w:w="1869"/>
        <w:gridCol w:w="1869"/>
        <w:gridCol w:w="1669"/>
        <w:gridCol w:w="1392"/>
        <w:gridCol w:w="1519"/>
        <w:gridCol w:w="1032"/>
      </w:tblGrid>
      <w:tr w:rsidR="00E22CC6" w14:paraId="2A7ED23F" w14:textId="77777777">
        <w:tc>
          <w:tcPr>
            <w:tcW w:w="1558" w:type="dxa"/>
            <w:vAlign w:val="center"/>
          </w:tcPr>
          <w:p w14:paraId="2819C7C7" w14:textId="77777777" w:rsidR="00E22CC6" w:rsidRDefault="00000000">
            <w:pPr>
              <w:spacing w:after="0"/>
              <w:jc w:val="left"/>
              <w:rPr>
                <w:b/>
                <w:bCs/>
              </w:rPr>
            </w:pPr>
            <w:r>
              <w:rPr>
                <w:b/>
                <w:bCs/>
              </w:rPr>
              <w:t>Objective</w:t>
            </w:r>
          </w:p>
        </w:tc>
        <w:tc>
          <w:tcPr>
            <w:tcW w:w="1558" w:type="dxa"/>
            <w:vAlign w:val="center"/>
          </w:tcPr>
          <w:p w14:paraId="0011D4F8" w14:textId="77777777" w:rsidR="00E22CC6" w:rsidRDefault="00000000">
            <w:pPr>
              <w:spacing w:after="0"/>
              <w:jc w:val="left"/>
              <w:rPr>
                <w:b/>
                <w:bCs/>
              </w:rPr>
            </w:pPr>
            <w:r>
              <w:rPr>
                <w:b/>
                <w:bCs/>
              </w:rPr>
              <w:t>Specific</w:t>
            </w:r>
          </w:p>
        </w:tc>
        <w:tc>
          <w:tcPr>
            <w:tcW w:w="1558" w:type="dxa"/>
            <w:vAlign w:val="center"/>
          </w:tcPr>
          <w:p w14:paraId="4723DFFF" w14:textId="77777777" w:rsidR="00E22CC6" w:rsidRDefault="00000000">
            <w:pPr>
              <w:spacing w:after="0"/>
              <w:jc w:val="left"/>
              <w:rPr>
                <w:b/>
                <w:bCs/>
              </w:rPr>
            </w:pPr>
            <w:r>
              <w:rPr>
                <w:b/>
                <w:bCs/>
              </w:rPr>
              <w:t>Measurable</w:t>
            </w:r>
          </w:p>
        </w:tc>
        <w:tc>
          <w:tcPr>
            <w:tcW w:w="1558" w:type="dxa"/>
            <w:vAlign w:val="center"/>
          </w:tcPr>
          <w:p w14:paraId="4655126E" w14:textId="77777777" w:rsidR="00E22CC6" w:rsidRDefault="00000000">
            <w:pPr>
              <w:spacing w:after="0"/>
              <w:jc w:val="left"/>
              <w:rPr>
                <w:b/>
                <w:bCs/>
              </w:rPr>
            </w:pPr>
            <w:r>
              <w:rPr>
                <w:b/>
                <w:bCs/>
              </w:rPr>
              <w:t>Achievable</w:t>
            </w:r>
          </w:p>
        </w:tc>
        <w:tc>
          <w:tcPr>
            <w:tcW w:w="1559" w:type="dxa"/>
            <w:vAlign w:val="center"/>
          </w:tcPr>
          <w:p w14:paraId="48B0D071" w14:textId="77777777" w:rsidR="00E22CC6" w:rsidRDefault="00000000">
            <w:pPr>
              <w:spacing w:after="0"/>
              <w:jc w:val="left"/>
              <w:rPr>
                <w:b/>
                <w:bCs/>
              </w:rPr>
            </w:pPr>
            <w:r>
              <w:rPr>
                <w:b/>
                <w:bCs/>
              </w:rPr>
              <w:t>Relevant</w:t>
            </w:r>
          </w:p>
        </w:tc>
        <w:tc>
          <w:tcPr>
            <w:tcW w:w="1559" w:type="dxa"/>
            <w:vAlign w:val="center"/>
          </w:tcPr>
          <w:p w14:paraId="423947A8" w14:textId="77777777" w:rsidR="00E22CC6" w:rsidRDefault="00000000">
            <w:pPr>
              <w:spacing w:after="0"/>
              <w:jc w:val="left"/>
              <w:rPr>
                <w:b/>
                <w:bCs/>
              </w:rPr>
            </w:pPr>
            <w:r>
              <w:rPr>
                <w:b/>
                <w:bCs/>
              </w:rPr>
              <w:t>Time-Bound</w:t>
            </w:r>
          </w:p>
        </w:tc>
      </w:tr>
      <w:tr w:rsidR="00E22CC6" w14:paraId="1A35E685" w14:textId="77777777">
        <w:tc>
          <w:tcPr>
            <w:tcW w:w="1558" w:type="dxa"/>
            <w:vAlign w:val="center"/>
          </w:tcPr>
          <w:p w14:paraId="5E548909" w14:textId="77777777" w:rsidR="00E22CC6" w:rsidRDefault="00000000">
            <w:pPr>
              <w:spacing w:after="0"/>
              <w:jc w:val="left"/>
            </w:pPr>
            <w:r>
              <w:t>Address challenges within the DE&amp;I space</w:t>
            </w:r>
          </w:p>
        </w:tc>
        <w:tc>
          <w:tcPr>
            <w:tcW w:w="1558" w:type="dxa"/>
            <w:vAlign w:val="center"/>
          </w:tcPr>
          <w:p w14:paraId="6C1A096A" w14:textId="77777777" w:rsidR="00E22CC6" w:rsidRDefault="00000000">
            <w:pPr>
              <w:spacing w:after="0"/>
              <w:jc w:val="left"/>
            </w:pPr>
            <w:r>
              <w:t xml:space="preserve">Find the root causes that are leading to lost opportunities for </w:t>
            </w:r>
            <w:r>
              <w:lastRenderedPageBreak/>
              <w:t>underrepresented communities</w:t>
            </w:r>
          </w:p>
        </w:tc>
        <w:tc>
          <w:tcPr>
            <w:tcW w:w="1558" w:type="dxa"/>
            <w:vAlign w:val="center"/>
          </w:tcPr>
          <w:p w14:paraId="3DE81DF8" w14:textId="77777777" w:rsidR="00E22CC6" w:rsidRDefault="00000000">
            <w:pPr>
              <w:spacing w:after="0"/>
              <w:jc w:val="left"/>
            </w:pPr>
            <w:r>
              <w:lastRenderedPageBreak/>
              <w:t xml:space="preserve">Determine at least 5 key issues that are </w:t>
            </w:r>
            <w:r>
              <w:lastRenderedPageBreak/>
              <w:t>leading to lost opportunities</w:t>
            </w:r>
          </w:p>
        </w:tc>
        <w:tc>
          <w:tcPr>
            <w:tcW w:w="1558" w:type="dxa"/>
            <w:vAlign w:val="center"/>
          </w:tcPr>
          <w:p w14:paraId="0CD293AE" w14:textId="77777777" w:rsidR="00E22CC6" w:rsidRDefault="00000000">
            <w:pPr>
              <w:spacing w:after="0"/>
              <w:jc w:val="left"/>
            </w:pPr>
            <w:r>
              <w:lastRenderedPageBreak/>
              <w:t xml:space="preserve">Determine issues that are solvable through </w:t>
            </w:r>
            <w:r>
              <w:lastRenderedPageBreak/>
              <w:t>available resources</w:t>
            </w:r>
          </w:p>
        </w:tc>
        <w:tc>
          <w:tcPr>
            <w:tcW w:w="1559" w:type="dxa"/>
            <w:vAlign w:val="center"/>
          </w:tcPr>
          <w:p w14:paraId="057832DC" w14:textId="52880C37" w:rsidR="00E22CC6" w:rsidRDefault="00000000">
            <w:pPr>
              <w:spacing w:after="0"/>
              <w:jc w:val="left"/>
            </w:pPr>
            <w:r>
              <w:lastRenderedPageBreak/>
              <w:t xml:space="preserve">Ensure that the issues are addressable for the </w:t>
            </w:r>
            <w:proofErr w:type="spellStart"/>
            <w:r w:rsidR="00106259">
              <w:lastRenderedPageBreak/>
              <w:t>organisations</w:t>
            </w:r>
            <w:proofErr w:type="spellEnd"/>
            <w:r>
              <w:t xml:space="preserve"> that are participating</w:t>
            </w:r>
          </w:p>
        </w:tc>
        <w:tc>
          <w:tcPr>
            <w:tcW w:w="1559" w:type="dxa"/>
            <w:vAlign w:val="center"/>
          </w:tcPr>
          <w:p w14:paraId="6F43E1AF" w14:textId="77777777" w:rsidR="00E22CC6" w:rsidRDefault="00000000">
            <w:pPr>
              <w:spacing w:after="0"/>
              <w:jc w:val="left"/>
            </w:pPr>
            <w:r>
              <w:lastRenderedPageBreak/>
              <w:t>Event Day</w:t>
            </w:r>
          </w:p>
        </w:tc>
      </w:tr>
      <w:tr w:rsidR="00E22CC6" w14:paraId="49BB576B" w14:textId="77777777">
        <w:tc>
          <w:tcPr>
            <w:tcW w:w="1558" w:type="dxa"/>
            <w:vAlign w:val="center"/>
          </w:tcPr>
          <w:p w14:paraId="20D93E08" w14:textId="77777777" w:rsidR="00E22CC6" w:rsidRDefault="00000000">
            <w:pPr>
              <w:spacing w:after="0"/>
              <w:jc w:val="left"/>
            </w:pPr>
            <w:r>
              <w:t>Determine solutions to overcome the challenges within the DE&amp;I space</w:t>
            </w:r>
          </w:p>
        </w:tc>
        <w:tc>
          <w:tcPr>
            <w:tcW w:w="1558" w:type="dxa"/>
            <w:vAlign w:val="center"/>
          </w:tcPr>
          <w:p w14:paraId="492D77D9" w14:textId="77777777" w:rsidR="00E22CC6" w:rsidRDefault="00000000">
            <w:pPr>
              <w:spacing w:after="0"/>
              <w:jc w:val="left"/>
            </w:pPr>
            <w:r>
              <w:t>Set out action plans for the key issues that were determined through the first objective</w:t>
            </w:r>
          </w:p>
        </w:tc>
        <w:tc>
          <w:tcPr>
            <w:tcW w:w="1558" w:type="dxa"/>
            <w:vAlign w:val="center"/>
          </w:tcPr>
          <w:p w14:paraId="705B897C" w14:textId="77777777" w:rsidR="00E22CC6" w:rsidRDefault="00000000">
            <w:pPr>
              <w:spacing w:after="0"/>
              <w:jc w:val="left"/>
            </w:pPr>
            <w:r>
              <w:t>Set out at least 5 comprehensive actions plans based on the key issues</w:t>
            </w:r>
          </w:p>
        </w:tc>
        <w:tc>
          <w:tcPr>
            <w:tcW w:w="1558" w:type="dxa"/>
            <w:vAlign w:val="center"/>
          </w:tcPr>
          <w:p w14:paraId="02B64918" w14:textId="77777777" w:rsidR="00E22CC6" w:rsidRDefault="00000000">
            <w:pPr>
              <w:spacing w:after="0"/>
              <w:jc w:val="left"/>
            </w:pPr>
            <w:r>
              <w:t>Ensure that the action plans are within allowable budget</w:t>
            </w:r>
          </w:p>
        </w:tc>
        <w:tc>
          <w:tcPr>
            <w:tcW w:w="1559" w:type="dxa"/>
            <w:vAlign w:val="center"/>
          </w:tcPr>
          <w:p w14:paraId="261ED88A" w14:textId="77777777" w:rsidR="00E22CC6" w:rsidRDefault="00000000">
            <w:pPr>
              <w:spacing w:after="0"/>
              <w:jc w:val="left"/>
            </w:pPr>
            <w:r>
              <w:t>Connect all the action plans with the organizations that are present</w:t>
            </w:r>
          </w:p>
        </w:tc>
        <w:tc>
          <w:tcPr>
            <w:tcW w:w="1559" w:type="dxa"/>
            <w:vAlign w:val="center"/>
          </w:tcPr>
          <w:p w14:paraId="0865F02B" w14:textId="77777777" w:rsidR="00E22CC6" w:rsidRDefault="00000000">
            <w:pPr>
              <w:spacing w:after="0"/>
              <w:jc w:val="left"/>
            </w:pPr>
            <w:r>
              <w:t>Event Day</w:t>
            </w:r>
          </w:p>
        </w:tc>
      </w:tr>
      <w:tr w:rsidR="00E22CC6" w14:paraId="59F6D012" w14:textId="77777777">
        <w:tc>
          <w:tcPr>
            <w:tcW w:w="1558" w:type="dxa"/>
            <w:vAlign w:val="center"/>
          </w:tcPr>
          <w:p w14:paraId="33158DBF" w14:textId="77777777" w:rsidR="00E22CC6" w:rsidRDefault="00000000">
            <w:pPr>
              <w:spacing w:after="0"/>
              <w:jc w:val="left"/>
            </w:pPr>
            <w:r>
              <w:t>Provide work opportunities to underrepresented communities</w:t>
            </w:r>
          </w:p>
        </w:tc>
        <w:tc>
          <w:tcPr>
            <w:tcW w:w="1558" w:type="dxa"/>
            <w:vAlign w:val="center"/>
          </w:tcPr>
          <w:p w14:paraId="5CEBA51D" w14:textId="77777777" w:rsidR="00E22CC6" w:rsidRDefault="00000000">
            <w:pPr>
              <w:spacing w:after="0"/>
              <w:jc w:val="left"/>
            </w:pPr>
            <w:r>
              <w:t>Connect the participating companies with representatives of the underrepresented communities through which the opportunities can be disseminated</w:t>
            </w:r>
          </w:p>
        </w:tc>
        <w:tc>
          <w:tcPr>
            <w:tcW w:w="1558" w:type="dxa"/>
            <w:vAlign w:val="center"/>
          </w:tcPr>
          <w:p w14:paraId="572A2360" w14:textId="77777777" w:rsidR="00E22CC6" w:rsidRDefault="00000000">
            <w:pPr>
              <w:spacing w:after="0"/>
              <w:jc w:val="left"/>
            </w:pPr>
            <w:r>
              <w:t>Connect at least 15 companies with 5 different communities or platforms</w:t>
            </w:r>
          </w:p>
        </w:tc>
        <w:tc>
          <w:tcPr>
            <w:tcW w:w="1558" w:type="dxa"/>
            <w:vAlign w:val="center"/>
          </w:tcPr>
          <w:p w14:paraId="069BEB8D" w14:textId="77777777" w:rsidR="00E22CC6" w:rsidRDefault="00000000">
            <w:pPr>
              <w:spacing w:after="0"/>
              <w:jc w:val="left"/>
            </w:pPr>
            <w:r>
              <w:t>Ensure at least 400 job placements on the event day</w:t>
            </w:r>
          </w:p>
        </w:tc>
        <w:tc>
          <w:tcPr>
            <w:tcW w:w="1559" w:type="dxa"/>
            <w:vAlign w:val="center"/>
          </w:tcPr>
          <w:p w14:paraId="26A83340" w14:textId="77777777" w:rsidR="00E22CC6" w:rsidRDefault="00000000">
            <w:pPr>
              <w:spacing w:after="0"/>
              <w:jc w:val="left"/>
            </w:pPr>
            <w:r>
              <w:t>Make sure all the opportunities progress the DE&amp;I cause</w:t>
            </w:r>
          </w:p>
        </w:tc>
        <w:tc>
          <w:tcPr>
            <w:tcW w:w="1559" w:type="dxa"/>
            <w:vAlign w:val="center"/>
          </w:tcPr>
          <w:p w14:paraId="1DC2EC7A" w14:textId="77777777" w:rsidR="00E22CC6" w:rsidRDefault="00000000">
            <w:pPr>
              <w:spacing w:after="0"/>
              <w:jc w:val="left"/>
            </w:pPr>
            <w:r>
              <w:t>Event Day</w:t>
            </w:r>
          </w:p>
        </w:tc>
      </w:tr>
    </w:tbl>
    <w:p w14:paraId="6C9934E1" w14:textId="77777777" w:rsidR="00E22CC6" w:rsidRDefault="00E22CC6"/>
    <w:p w14:paraId="4C8E7C9F" w14:textId="77777777" w:rsidR="00E22CC6" w:rsidRDefault="00000000">
      <w:pPr>
        <w:pStyle w:val="Heading1"/>
      </w:pPr>
      <w:r>
        <w:t>Event Management</w:t>
      </w:r>
    </w:p>
    <w:p w14:paraId="114FB45C" w14:textId="77777777" w:rsidR="00E22CC6" w:rsidRDefault="00000000">
      <w:pPr>
        <w:pStyle w:val="Heading2"/>
      </w:pPr>
      <w:r>
        <w:t>Marketing Strategy</w:t>
      </w:r>
    </w:p>
    <w:p w14:paraId="39C6E3AC" w14:textId="62E64E28" w:rsidR="00E22CC6" w:rsidRDefault="00000000">
      <w:r>
        <w:t xml:space="preserve">In order to </w:t>
      </w:r>
      <w:proofErr w:type="spellStart"/>
      <w:r w:rsidR="00D559A7">
        <w:t>organise</w:t>
      </w:r>
      <w:proofErr w:type="spellEnd"/>
      <w:r>
        <w:t xml:space="preserve"> a successful event, the first job is to market the event properly and ensure that the target audience is being reached and converted (</w:t>
      </w:r>
      <w:proofErr w:type="spellStart"/>
      <w:r>
        <w:t>Bladen</w:t>
      </w:r>
      <w:proofErr w:type="spellEnd"/>
      <w:r>
        <w:t xml:space="preserve"> et al., 2023). This is because there is a lot of competition in the segment like the AES International Conference on DEI (AES, 2025) and the SHRM Inclusion 2025 taking place in 2025 (SHRM, 2025).</w:t>
      </w:r>
    </w:p>
    <w:p w14:paraId="1E190472" w14:textId="77777777" w:rsidR="00E22CC6" w:rsidRDefault="00000000">
      <w:pPr>
        <w:spacing w:line="240" w:lineRule="auto"/>
        <w:jc w:val="center"/>
      </w:pPr>
      <w:r>
        <w:rPr>
          <w:noProof/>
        </w:rPr>
        <w:lastRenderedPageBreak/>
        <w:drawing>
          <wp:inline distT="0" distB="0" distL="0" distR="0" wp14:anchorId="328A0A2F" wp14:editId="74B57F0B">
            <wp:extent cx="4562475" cy="3648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562475" cy="3648075"/>
                    </a:xfrm>
                    <a:prstGeom prst="rect">
                      <a:avLst/>
                    </a:prstGeom>
                    <a:noFill/>
                    <a:ln>
                      <a:noFill/>
                    </a:ln>
                  </pic:spPr>
                </pic:pic>
              </a:graphicData>
            </a:graphic>
          </wp:inline>
        </w:drawing>
      </w:r>
    </w:p>
    <w:p w14:paraId="40CC3D6A" w14:textId="77777777" w:rsidR="00E22CC6" w:rsidRDefault="00000000">
      <w:pPr>
        <w:jc w:val="center"/>
        <w:rPr>
          <w:b/>
          <w:bCs/>
        </w:rPr>
      </w:pPr>
      <w:r>
        <w:rPr>
          <w:b/>
          <w:bCs/>
        </w:rPr>
        <w:t>Figure 2: McCarthy’s 4Ps of Marketing</w:t>
      </w:r>
    </w:p>
    <w:p w14:paraId="765CE797" w14:textId="77777777" w:rsidR="00E22CC6" w:rsidRPr="009C0D93" w:rsidRDefault="00000000">
      <w:pPr>
        <w:rPr>
          <w:color w:val="000000" w:themeColor="text1"/>
        </w:rPr>
      </w:pPr>
      <w:r>
        <w:t xml:space="preserve">First, Social and digital media will play the most prominent role here in terms of creating mind share for the event. Facebook and LinkedIn’s “Events” feature will be utilized with high-quality content marketing to attract the audience. </w:t>
      </w:r>
      <w:r w:rsidRPr="009C0D93">
        <w:rPr>
          <w:color w:val="000000" w:themeColor="text1"/>
        </w:rPr>
        <w:t xml:space="preserve">This aligns with McCarthy’s 4P framework’s </w:t>
      </w:r>
      <w:r w:rsidRPr="009C0D93">
        <w:rPr>
          <w:b/>
          <w:bCs/>
          <w:color w:val="000000" w:themeColor="text1"/>
        </w:rPr>
        <w:t>Promotion,</w:t>
      </w:r>
      <w:r w:rsidRPr="009C0D93">
        <w:rPr>
          <w:color w:val="000000" w:themeColor="text1"/>
        </w:rPr>
        <w:t xml:space="preserve"> where targeted content and digital advertisements are used as the primary promotional tools to create awareness.  At the same time, email marketing will also serve as a key component to directly reach out to the audience, which is also an important part of Place and Promotion in McCarthy’s 4P marketing mix model. (University of Michigan, 2024). </w:t>
      </w:r>
    </w:p>
    <w:p w14:paraId="652D951F" w14:textId="437F2FAF" w:rsidR="00E22CC6" w:rsidRDefault="00000000">
      <w:r w:rsidRPr="009C0D93">
        <w:rPr>
          <w:color w:val="000000" w:themeColor="text1"/>
        </w:rPr>
        <w:t xml:space="preserve">Next, direct partnerships will take place with </w:t>
      </w:r>
      <w:proofErr w:type="spellStart"/>
      <w:r w:rsidR="007B2F3C">
        <w:rPr>
          <w:color w:val="000000" w:themeColor="text1"/>
        </w:rPr>
        <w:t>organisations</w:t>
      </w:r>
      <w:proofErr w:type="spellEnd"/>
      <w:r w:rsidRPr="009C0D93">
        <w:rPr>
          <w:color w:val="000000" w:themeColor="text1"/>
        </w:rPr>
        <w:t xml:space="preserve"> that can help reach the target audience. A few examples of the target partners for the event include UN Women, Columbia University, and Google. These partnerships serve as a Place of 4P. At the same time, there will also be focus on media coverage through collaborations with outlets like the BBC, Forbes, and prominent HR magazines which aligns with the Product component of 4P (Castillo, 2024). Finally, underrepresented communities will be reached through </w:t>
      </w:r>
      <w:proofErr w:type="spellStart"/>
      <w:r w:rsidR="007B2F3C">
        <w:rPr>
          <w:color w:val="000000" w:themeColor="text1"/>
        </w:rPr>
        <w:t>organisations</w:t>
      </w:r>
      <w:proofErr w:type="spellEnd"/>
      <w:r w:rsidRPr="009C0D93">
        <w:rPr>
          <w:color w:val="000000" w:themeColor="text1"/>
        </w:rPr>
        <w:t xml:space="preserve"> like </w:t>
      </w:r>
      <w:proofErr w:type="spellStart"/>
      <w:r w:rsidRPr="009C0D93">
        <w:rPr>
          <w:color w:val="000000" w:themeColor="text1"/>
        </w:rPr>
        <w:t>TalenPoel</w:t>
      </w:r>
      <w:proofErr w:type="spellEnd"/>
      <w:r w:rsidRPr="009C0D93">
        <w:rPr>
          <w:color w:val="000000" w:themeColor="text1"/>
        </w:rPr>
        <w:t xml:space="preserve"> and Diversity.com as they are trusted by the communities and have a lar</w:t>
      </w:r>
      <w:r>
        <w:t>ge pool of ideal candidates (Rogers and Wynn-Moylan, 2022).</w:t>
      </w:r>
    </w:p>
    <w:p w14:paraId="20BEBD7A" w14:textId="77777777" w:rsidR="00E22CC6" w:rsidRDefault="00000000">
      <w:pPr>
        <w:pStyle w:val="Heading2"/>
      </w:pPr>
      <w:r>
        <w:lastRenderedPageBreak/>
        <w:t>Venue and Suitability</w:t>
      </w:r>
    </w:p>
    <w:p w14:paraId="5077A46C" w14:textId="77777777" w:rsidR="00E22CC6" w:rsidRDefault="00000000">
      <w:r>
        <w:t>The venue that has been chosen for the event is ExCel London. It has the largest auditorium in the UK, the ICC London. It is also a high-quality location at the heart of London’s event district. The venue holds more than 300 events per year with more than 4 million participants (Excel London, 2024). Moreover, this venue is highly accessible for people with special needs through its well-thought design and offerings. Finally, there are more than 10,000 hotels nearby within a 20-minute distance (Visiting London, 2024). All of these factors make it the ideal venue to hold the event.</w:t>
      </w:r>
    </w:p>
    <w:p w14:paraId="18EB986E" w14:textId="77777777" w:rsidR="00E22CC6" w:rsidRDefault="00000000">
      <w:pPr>
        <w:pStyle w:val="Heading2"/>
      </w:pPr>
      <w:r>
        <w:t>Operating Factors</w:t>
      </w:r>
    </w:p>
    <w:p w14:paraId="21437B98" w14:textId="77777777" w:rsidR="00E22CC6" w:rsidRDefault="00000000">
      <w:r>
        <w:t>Operating factors for this event is crucial as it would be the difference between a successful and unsuccessful event (SBI Association Management, 2024). A breakdown of the staffing and resource allocation for the event is provided below-</w:t>
      </w:r>
    </w:p>
    <w:tbl>
      <w:tblPr>
        <w:tblW w:w="5000" w:type="pct"/>
        <w:tblCellMar>
          <w:left w:w="0" w:type="dxa"/>
          <w:right w:w="0" w:type="dxa"/>
        </w:tblCellMar>
        <w:tblLook w:val="04A0" w:firstRow="1" w:lastRow="0" w:firstColumn="1" w:lastColumn="0" w:noHBand="0" w:noVBand="1"/>
      </w:tblPr>
      <w:tblGrid>
        <w:gridCol w:w="2656"/>
        <w:gridCol w:w="3650"/>
        <w:gridCol w:w="3034"/>
      </w:tblGrid>
      <w:tr w:rsidR="00E22CC6" w14:paraId="03FC1F79"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34E94292" w14:textId="77777777" w:rsidR="00E22CC6" w:rsidRDefault="00000000">
            <w:pPr>
              <w:spacing w:after="0"/>
              <w:jc w:val="center"/>
              <w:rPr>
                <w:b/>
                <w:bCs/>
              </w:rPr>
            </w:pPr>
            <w:r>
              <w:rPr>
                <w:b/>
                <w:bCs/>
              </w:rPr>
              <w:t>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73ABB866" w14:textId="77777777" w:rsidR="00E22CC6" w:rsidRDefault="00000000">
            <w:pPr>
              <w:spacing w:after="0"/>
              <w:jc w:val="center"/>
              <w:rPr>
                <w:b/>
                <w:bCs/>
              </w:rPr>
            </w:pPr>
            <w:r>
              <w:rPr>
                <w:b/>
                <w:bCs/>
              </w:rPr>
              <w:t>Responsibilities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DCE0756" w14:textId="77777777" w:rsidR="00E22CC6" w:rsidRDefault="00000000">
            <w:pPr>
              <w:spacing w:after="0"/>
              <w:jc w:val="center"/>
              <w:rPr>
                <w:b/>
                <w:bCs/>
              </w:rPr>
            </w:pPr>
            <w:r>
              <w:rPr>
                <w:b/>
                <w:bCs/>
              </w:rPr>
              <w:t>Team Size</w:t>
            </w:r>
          </w:p>
        </w:tc>
      </w:tr>
      <w:tr w:rsidR="00E22CC6" w14:paraId="5EE680CA"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7A502564" w14:textId="77777777" w:rsidR="00E22CC6" w:rsidRDefault="00000000">
            <w:pPr>
              <w:spacing w:after="0"/>
              <w:jc w:val="center"/>
            </w:pPr>
            <w:r>
              <w:t>1. Event Management &amp; Coordination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FB7759F" w14:textId="77777777" w:rsidR="00E22CC6" w:rsidRDefault="00000000">
            <w:pPr>
              <w:spacing w:after="0"/>
              <w:jc w:val="center"/>
            </w:pPr>
            <w:r>
              <w:t>Oversee logistics, budgeting, and stakeholder coordination. Ensure smooth execution &amp; troubleshoot on-site issues.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C283E2F" w14:textId="77777777" w:rsidR="00E22CC6" w:rsidRDefault="00000000">
            <w:pPr>
              <w:spacing w:after="0"/>
              <w:jc w:val="center"/>
            </w:pPr>
            <w:r>
              <w:t>6 (Event Manager, Assistant Coordinators, Admin Staff)</w:t>
            </w:r>
          </w:p>
        </w:tc>
      </w:tr>
      <w:tr w:rsidR="00E22CC6" w14:paraId="2477B5B0"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4BE7BEFE" w14:textId="77777777" w:rsidR="00E22CC6" w:rsidRDefault="00000000">
            <w:pPr>
              <w:spacing w:after="0"/>
              <w:jc w:val="center"/>
            </w:pPr>
            <w:r>
              <w:t>2. Venue Setup &amp; Seating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496E88C" w14:textId="77777777" w:rsidR="00E22CC6" w:rsidRDefault="00000000">
            <w:pPr>
              <w:spacing w:after="0"/>
              <w:jc w:val="center"/>
            </w:pPr>
            <w:r>
              <w:t>Arrange seating (theatre-style, round tables, breakout rooms). Manage VIP seating &amp; accessibility requirements.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7C640744" w14:textId="77777777" w:rsidR="00E22CC6" w:rsidRDefault="00000000">
            <w:pPr>
              <w:spacing w:after="0"/>
              <w:jc w:val="center"/>
            </w:pPr>
            <w:r>
              <w:t>8 (Setup Crew, Layout Coordinators)</w:t>
            </w:r>
          </w:p>
        </w:tc>
      </w:tr>
      <w:tr w:rsidR="00E22CC6" w14:paraId="1D893B7B"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F81EFB0" w14:textId="77777777" w:rsidR="00E22CC6" w:rsidRDefault="00000000">
            <w:pPr>
              <w:spacing w:after="0"/>
              <w:jc w:val="center"/>
            </w:pPr>
            <w:r>
              <w:t>3. Audio-Visual &amp; Tech Support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56D5091B" w14:textId="77777777" w:rsidR="00E22CC6" w:rsidRDefault="00000000">
            <w:pPr>
              <w:spacing w:after="0"/>
              <w:jc w:val="center"/>
            </w:pPr>
            <w:r>
              <w:t>Manage microphones, projectors, hybrid event streaming. Handle IT support for virtual attendees &amp; presentations.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45CB264D" w14:textId="77777777" w:rsidR="00E22CC6" w:rsidRDefault="00000000">
            <w:pPr>
              <w:spacing w:after="0"/>
              <w:jc w:val="center"/>
            </w:pPr>
            <w:r>
              <w:t>5 (AV Technicians, IT Support)</w:t>
            </w:r>
          </w:p>
        </w:tc>
      </w:tr>
      <w:tr w:rsidR="00E22CC6" w14:paraId="696D301C"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34BB998D" w14:textId="77777777" w:rsidR="00E22CC6" w:rsidRDefault="00000000">
            <w:pPr>
              <w:spacing w:after="0"/>
              <w:jc w:val="center"/>
            </w:pPr>
            <w:r>
              <w:t>4. Catering &amp; Hospitality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BFE9516" w14:textId="77777777" w:rsidR="00E22CC6" w:rsidRDefault="00000000">
            <w:pPr>
              <w:spacing w:after="0"/>
              <w:jc w:val="center"/>
            </w:pPr>
            <w:r>
              <w:t>Food &amp; beverage service (buffet, plated meals, refreshments). Special dietary accommodations &amp; staff for VIP dining.</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0AA1ED3" w14:textId="77777777" w:rsidR="00E22CC6" w:rsidRDefault="00000000">
            <w:pPr>
              <w:spacing w:after="0"/>
              <w:jc w:val="center"/>
            </w:pPr>
            <w:r>
              <w:t>15 (Catering Manager, Waitstaff, Kitchen Crew)</w:t>
            </w:r>
          </w:p>
        </w:tc>
      </w:tr>
      <w:tr w:rsidR="00E22CC6" w14:paraId="0B7A6429"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CDB8980" w14:textId="77777777" w:rsidR="00E22CC6" w:rsidRDefault="00000000">
            <w:pPr>
              <w:spacing w:after="0"/>
              <w:jc w:val="center"/>
            </w:pPr>
            <w:r>
              <w:lastRenderedPageBreak/>
              <w:t>5. Marketing, Branding &amp; Signage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2D36B97C" w14:textId="77777777" w:rsidR="00E22CC6" w:rsidRDefault="00000000">
            <w:pPr>
              <w:spacing w:after="0"/>
              <w:jc w:val="center"/>
            </w:pPr>
            <w:r>
              <w:t xml:space="preserve">Manage banners, digital displays, and </w:t>
            </w:r>
            <w:proofErr w:type="spellStart"/>
            <w:r>
              <w:t>wayfinding</w:t>
            </w:r>
            <w:proofErr w:type="spellEnd"/>
            <w:r>
              <w:t xml:space="preserve"> signage. Oversee branding areas for sponsors &amp; exhibitor booths.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2776968D" w14:textId="77777777" w:rsidR="00E22CC6" w:rsidRDefault="00000000">
            <w:pPr>
              <w:spacing w:after="0"/>
              <w:jc w:val="center"/>
            </w:pPr>
            <w:r>
              <w:t>6 (Graphic Designers, Print Coordinators, Event Branding Specialists)</w:t>
            </w:r>
          </w:p>
        </w:tc>
      </w:tr>
      <w:tr w:rsidR="00E22CC6" w14:paraId="36BBDCD0"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71613090" w14:textId="77777777" w:rsidR="00E22CC6" w:rsidRDefault="00000000">
            <w:pPr>
              <w:spacing w:after="0"/>
              <w:jc w:val="center"/>
            </w:pPr>
            <w:r>
              <w:t>6. Registration &amp; Guest Experience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389102F1" w14:textId="77777777" w:rsidR="00E22CC6" w:rsidRDefault="00000000">
            <w:pPr>
              <w:spacing w:after="0"/>
              <w:jc w:val="center"/>
            </w:pPr>
            <w:r>
              <w:t>Check-in guests, distribute event materials (badges, brochures). Provide assistance &amp; handle on-site queries.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2E2AB058" w14:textId="77777777" w:rsidR="00E22CC6" w:rsidRDefault="00000000">
            <w:pPr>
              <w:spacing w:after="0"/>
              <w:jc w:val="center"/>
            </w:pPr>
            <w:r>
              <w:t>10 (Registration Desk Staff, Guest Relations Officers)</w:t>
            </w:r>
          </w:p>
        </w:tc>
      </w:tr>
      <w:tr w:rsidR="00E22CC6" w14:paraId="7587F5E4"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012DDEB" w14:textId="77777777" w:rsidR="00E22CC6" w:rsidRDefault="00000000">
            <w:pPr>
              <w:spacing w:after="0"/>
              <w:jc w:val="center"/>
            </w:pPr>
            <w:r>
              <w:t>7. Security &amp; Emergency Response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4ED86FB7" w14:textId="514D512B" w:rsidR="00E22CC6" w:rsidRDefault="00000000">
            <w:pPr>
              <w:spacing w:after="0"/>
              <w:jc w:val="center"/>
            </w:pPr>
            <w:r>
              <w:t xml:space="preserve">Manage entry points, prevent </w:t>
            </w:r>
            <w:proofErr w:type="spellStart"/>
            <w:r w:rsidR="00BE097B">
              <w:t>unauthorised</w:t>
            </w:r>
            <w:proofErr w:type="spellEnd"/>
            <w:r w:rsidR="00BE097B">
              <w:t xml:space="preserve"> </w:t>
            </w:r>
            <w:r>
              <w:t>access. Oversee emergency protocols (first aid, fire safety).</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042962C" w14:textId="77777777" w:rsidR="00E22CC6" w:rsidRDefault="00000000">
            <w:pPr>
              <w:spacing w:after="0"/>
              <w:jc w:val="center"/>
            </w:pPr>
            <w:r>
              <w:t>12 (Security Guards, First Aid Officers)</w:t>
            </w:r>
          </w:p>
        </w:tc>
      </w:tr>
      <w:tr w:rsidR="00E22CC6" w14:paraId="78DA6DAE"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7BF118D8" w14:textId="77777777" w:rsidR="00E22CC6" w:rsidRDefault="00000000">
            <w:pPr>
              <w:spacing w:after="0"/>
              <w:jc w:val="center"/>
            </w:pPr>
            <w:r>
              <w:t>8. Parking &amp; Transportation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B5321C2" w14:textId="77777777" w:rsidR="00E22CC6" w:rsidRDefault="00000000">
            <w:pPr>
              <w:spacing w:after="0"/>
              <w:jc w:val="center"/>
            </w:pPr>
            <w:r>
              <w:t>Coordinate shuttle services &amp; direct attendees to parking areas. Assist VIPs with transportation needs.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F430317" w14:textId="77777777" w:rsidR="00E22CC6" w:rsidRDefault="00000000">
            <w:pPr>
              <w:spacing w:after="0"/>
              <w:jc w:val="center"/>
            </w:pPr>
            <w:r>
              <w:t>5 (Traffic Coordinators, Transport Assistants)</w:t>
            </w:r>
          </w:p>
        </w:tc>
      </w:tr>
      <w:tr w:rsidR="00E22CC6" w14:paraId="6953CA24"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EAEB4CD" w14:textId="77777777" w:rsidR="00E22CC6" w:rsidRDefault="00000000">
            <w:pPr>
              <w:spacing w:after="0"/>
              <w:jc w:val="center"/>
            </w:pPr>
            <w:r>
              <w:t>9. Waste Management &amp; Sustainability Team</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3F5B21C5" w14:textId="77777777" w:rsidR="00E22CC6" w:rsidRDefault="00000000">
            <w:pPr>
              <w:spacing w:after="0"/>
              <w:jc w:val="center"/>
            </w:pPr>
            <w:r>
              <w:t>Oversee recycling &amp; eco-friendly waste disposal. Ensure sustainability measures (paperless materials, minimal plastic use).</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262B61CD" w14:textId="77777777" w:rsidR="00E22CC6" w:rsidRDefault="00000000">
            <w:pPr>
              <w:spacing w:after="0"/>
              <w:jc w:val="center"/>
            </w:pPr>
            <w:r>
              <w:t>4 (Waste Management Specialists, Green Event Coordinators)</w:t>
            </w:r>
          </w:p>
        </w:tc>
      </w:tr>
      <w:tr w:rsidR="00E22CC6" w14:paraId="1ECFB2A0" w14:textId="77777777">
        <w:trPr>
          <w:trHeight w:val="20"/>
        </w:trPr>
        <w:tc>
          <w:tcPr>
            <w:tcW w:w="1422"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4E7EAAA8" w14:textId="77777777" w:rsidR="00E22CC6" w:rsidRDefault="00000000">
            <w:pPr>
              <w:spacing w:after="0"/>
              <w:jc w:val="center"/>
            </w:pPr>
            <w:r>
              <w:rPr>
                <w:b/>
                <w:bCs/>
              </w:rPr>
              <w:t>Total Estimated Team Size</w:t>
            </w:r>
          </w:p>
        </w:tc>
        <w:tc>
          <w:tcPr>
            <w:tcW w:w="195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6C65D83A" w14:textId="77777777" w:rsidR="00E22CC6" w:rsidRDefault="00E22CC6">
            <w:pPr>
              <w:spacing w:after="0"/>
              <w:jc w:val="center"/>
            </w:pP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9" w:type="dxa"/>
              <w:left w:w="9" w:type="dxa"/>
              <w:bottom w:w="0" w:type="dxa"/>
              <w:right w:w="9" w:type="dxa"/>
            </w:tcMar>
            <w:vAlign w:val="center"/>
          </w:tcPr>
          <w:p w14:paraId="1A252A2D" w14:textId="77777777" w:rsidR="00E22CC6" w:rsidRDefault="00000000">
            <w:pPr>
              <w:spacing w:after="0"/>
              <w:jc w:val="center"/>
            </w:pPr>
            <w:r>
              <w:rPr>
                <w:b/>
                <w:bCs/>
              </w:rPr>
              <w:t>71 Members</w:t>
            </w:r>
          </w:p>
        </w:tc>
      </w:tr>
    </w:tbl>
    <w:p w14:paraId="21047965" w14:textId="77777777" w:rsidR="00E22CC6" w:rsidRDefault="00000000">
      <w:pPr>
        <w:spacing w:before="240"/>
      </w:pPr>
      <w:r>
        <w:t>In order to execute the event, the skills that will be required include project management and coordination, digital marketing and content production, website development and management, public relations and hospitality, and expertise on Diversity, equity, and inclusion (</w:t>
      </w:r>
      <w:proofErr w:type="spellStart"/>
      <w:r>
        <w:t>Seigle</w:t>
      </w:r>
      <w:proofErr w:type="spellEnd"/>
      <w:r>
        <w:t>, 2024).</w:t>
      </w:r>
    </w:p>
    <w:p w14:paraId="43B1E64B" w14:textId="77777777" w:rsidR="00E22CC6" w:rsidRDefault="00000000">
      <w:pPr>
        <w:pStyle w:val="Heading1"/>
      </w:pPr>
      <w:r>
        <w:t>Event Budget</w:t>
      </w:r>
    </w:p>
    <w:p w14:paraId="1ADC937B" w14:textId="77777777" w:rsidR="00E22CC6" w:rsidRDefault="00000000">
      <w:r>
        <w:t>The cost estimates for the event are provided below-</w:t>
      </w:r>
    </w:p>
    <w:tbl>
      <w:tblPr>
        <w:tblW w:w="5000" w:type="pct"/>
        <w:tblCellMar>
          <w:left w:w="0" w:type="dxa"/>
          <w:right w:w="0" w:type="dxa"/>
        </w:tblCellMar>
        <w:tblLook w:val="04A0" w:firstRow="1" w:lastRow="0" w:firstColumn="1" w:lastColumn="0" w:noHBand="0" w:noVBand="1"/>
      </w:tblPr>
      <w:tblGrid>
        <w:gridCol w:w="1608"/>
        <w:gridCol w:w="4698"/>
        <w:gridCol w:w="3034"/>
      </w:tblGrid>
      <w:tr w:rsidR="00E22CC6" w14:paraId="7CFD3BF1"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B128D0F" w14:textId="77777777" w:rsidR="00E22CC6" w:rsidRDefault="00000000">
            <w:pPr>
              <w:spacing w:after="0"/>
              <w:jc w:val="center"/>
              <w:rPr>
                <w:b/>
                <w:bCs/>
              </w:rPr>
            </w:pPr>
            <w:r>
              <w:rPr>
                <w:b/>
                <w:bCs/>
              </w:rPr>
              <w:t>Category</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31BA34D8" w14:textId="77777777" w:rsidR="00E22CC6" w:rsidRDefault="00000000">
            <w:pPr>
              <w:spacing w:after="0"/>
              <w:jc w:val="center"/>
              <w:rPr>
                <w:b/>
                <w:bCs/>
              </w:rPr>
            </w:pPr>
            <w:r>
              <w:rPr>
                <w:b/>
                <w:bCs/>
              </w:rPr>
              <w:t>Details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F8A0561" w14:textId="77777777" w:rsidR="00E22CC6" w:rsidRDefault="00000000">
            <w:pPr>
              <w:spacing w:after="0"/>
              <w:jc w:val="center"/>
              <w:rPr>
                <w:b/>
                <w:bCs/>
              </w:rPr>
            </w:pPr>
            <w:r>
              <w:rPr>
                <w:b/>
                <w:bCs/>
              </w:rPr>
              <w:t>Estimated Cost (GBP)</w:t>
            </w:r>
          </w:p>
        </w:tc>
      </w:tr>
      <w:tr w:rsidR="00E22CC6" w14:paraId="1DBE9EAA"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9F1875C" w14:textId="77777777" w:rsidR="00E22CC6" w:rsidRDefault="00000000">
            <w:pPr>
              <w:spacing w:after="0"/>
              <w:jc w:val="center"/>
            </w:pPr>
            <w:r>
              <w:lastRenderedPageBreak/>
              <w:t>Venue Rental</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1E2A32B" w14:textId="77777777" w:rsidR="00E22CC6" w:rsidRDefault="00000000">
            <w:pPr>
              <w:spacing w:after="0"/>
              <w:jc w:val="center"/>
            </w:pPr>
            <w:r>
              <w:t>ExCeL London (1-day rental, conference hall, breakout rooms)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E9AA527" w14:textId="77777777" w:rsidR="00E22CC6" w:rsidRDefault="00000000">
            <w:pPr>
              <w:spacing w:after="0"/>
              <w:jc w:val="center"/>
            </w:pPr>
            <w:r>
              <w:t>£50,000</w:t>
            </w:r>
          </w:p>
        </w:tc>
      </w:tr>
      <w:tr w:rsidR="00E22CC6" w14:paraId="2D5C65EE"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34D99CE6" w14:textId="77777777" w:rsidR="00E22CC6" w:rsidRDefault="00000000">
            <w:pPr>
              <w:spacing w:after="0"/>
              <w:jc w:val="center"/>
            </w:pPr>
            <w:r>
              <w:t>AV &amp; Tech</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B6505CA" w14:textId="77777777" w:rsidR="00E22CC6" w:rsidRDefault="00000000">
            <w:pPr>
              <w:spacing w:after="0"/>
              <w:jc w:val="center"/>
            </w:pPr>
            <w:r>
              <w:t>Sound systems, projectors, stage lighting, hybrid event setup</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D9BCEE2" w14:textId="77777777" w:rsidR="00E22CC6" w:rsidRDefault="00000000">
            <w:pPr>
              <w:spacing w:after="0"/>
              <w:jc w:val="center"/>
            </w:pPr>
            <w:r>
              <w:t>£20,000</w:t>
            </w:r>
          </w:p>
        </w:tc>
      </w:tr>
      <w:tr w:rsidR="00E22CC6" w14:paraId="611EE868"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CBF2D48" w14:textId="77777777" w:rsidR="00E22CC6" w:rsidRDefault="00000000">
            <w:pPr>
              <w:spacing w:after="0"/>
              <w:jc w:val="center"/>
            </w:pPr>
            <w:r>
              <w:t>Catering</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D390A7B" w14:textId="77777777" w:rsidR="00E22CC6" w:rsidRDefault="00000000">
            <w:pPr>
              <w:spacing w:after="0"/>
              <w:jc w:val="center"/>
            </w:pPr>
            <w:r>
              <w:t>Lunch, coffee breaks, VIP dining (standard + dietary accommodations)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053FD07" w14:textId="77777777" w:rsidR="00E22CC6" w:rsidRDefault="00000000">
            <w:pPr>
              <w:spacing w:after="0"/>
              <w:jc w:val="center"/>
            </w:pPr>
            <w:r>
              <w:t>£30,000</w:t>
            </w:r>
          </w:p>
        </w:tc>
      </w:tr>
      <w:tr w:rsidR="00E22CC6" w14:paraId="46515927"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9C6C926" w14:textId="77777777" w:rsidR="00E22CC6" w:rsidRDefault="00000000">
            <w:pPr>
              <w:spacing w:after="0"/>
              <w:jc w:val="center"/>
            </w:pPr>
            <w:r>
              <w:t>Branding &amp; Signage</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A1FC22C" w14:textId="77777777" w:rsidR="00E22CC6" w:rsidRDefault="00000000">
            <w:pPr>
              <w:spacing w:after="0"/>
              <w:jc w:val="center"/>
            </w:pPr>
            <w:r>
              <w:t>Digital screens, printed banners, registration materials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F68E622" w14:textId="77777777" w:rsidR="00E22CC6" w:rsidRDefault="00000000">
            <w:pPr>
              <w:spacing w:after="0"/>
              <w:jc w:val="center"/>
            </w:pPr>
            <w:r>
              <w:t>£10,000</w:t>
            </w:r>
          </w:p>
        </w:tc>
      </w:tr>
      <w:tr w:rsidR="00E22CC6" w14:paraId="0CBB5E75"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39D60CDA" w14:textId="77777777" w:rsidR="00E22CC6" w:rsidRDefault="00000000">
            <w:pPr>
              <w:spacing w:after="0"/>
              <w:jc w:val="center"/>
            </w:pPr>
            <w:r>
              <w:t>Event Staffing</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3B7DF4F" w14:textId="77777777" w:rsidR="00E22CC6" w:rsidRDefault="00000000">
            <w:pPr>
              <w:spacing w:after="0"/>
              <w:jc w:val="center"/>
            </w:pPr>
            <w:r>
              <w:t>Logistics, hospitality, guest registration, security, technical support</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FFECAEB" w14:textId="77777777" w:rsidR="00E22CC6" w:rsidRDefault="00000000">
            <w:pPr>
              <w:spacing w:after="0"/>
              <w:jc w:val="center"/>
            </w:pPr>
            <w:r>
              <w:t>£15,000</w:t>
            </w:r>
          </w:p>
        </w:tc>
      </w:tr>
      <w:tr w:rsidR="00E22CC6" w14:paraId="566F0E92"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B23741E" w14:textId="77777777" w:rsidR="00E22CC6" w:rsidRDefault="00000000">
            <w:pPr>
              <w:spacing w:after="0"/>
              <w:jc w:val="center"/>
            </w:pPr>
            <w:r>
              <w:t>Marketing &amp; PR</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A2A4C8E" w14:textId="77777777" w:rsidR="00E22CC6" w:rsidRDefault="00000000">
            <w:pPr>
              <w:spacing w:after="0"/>
              <w:jc w:val="center"/>
            </w:pPr>
            <w:r>
              <w:t>Online ads, influencer partnerships, email campaigns, press releases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3C7E37C" w14:textId="77777777" w:rsidR="00E22CC6" w:rsidRDefault="00000000">
            <w:pPr>
              <w:spacing w:after="0"/>
              <w:jc w:val="center"/>
            </w:pPr>
            <w:r>
              <w:t>£12,000</w:t>
            </w:r>
          </w:p>
        </w:tc>
      </w:tr>
      <w:tr w:rsidR="00E22CC6" w14:paraId="54652376"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D8EE0E9" w14:textId="77777777" w:rsidR="00E22CC6" w:rsidRDefault="00000000">
            <w:pPr>
              <w:spacing w:after="0"/>
              <w:jc w:val="center"/>
            </w:pPr>
            <w:r>
              <w:t>Sponsorship Benefits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D573DBB" w14:textId="77777777" w:rsidR="00E22CC6" w:rsidRDefault="00000000">
            <w:pPr>
              <w:spacing w:after="0"/>
              <w:jc w:val="center"/>
            </w:pPr>
            <w:r>
              <w:t>Special perks for sponsors (VIP seating, branding space)</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6E82F23" w14:textId="77777777" w:rsidR="00E22CC6" w:rsidRDefault="00000000">
            <w:pPr>
              <w:spacing w:after="0"/>
              <w:jc w:val="center"/>
            </w:pPr>
            <w:r>
              <w:t>£8,000</w:t>
            </w:r>
          </w:p>
        </w:tc>
      </w:tr>
      <w:tr w:rsidR="00E22CC6" w14:paraId="785823C6"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70E463A" w14:textId="77777777" w:rsidR="00E22CC6" w:rsidRDefault="00000000">
            <w:pPr>
              <w:spacing w:after="0"/>
              <w:jc w:val="center"/>
            </w:pPr>
            <w:r>
              <w:t>Exhibitor Setup</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9A8E92E" w14:textId="789EC8BD" w:rsidR="00E22CC6" w:rsidRDefault="00000000">
            <w:pPr>
              <w:spacing w:after="0"/>
              <w:jc w:val="center"/>
            </w:pPr>
            <w:r>
              <w:t xml:space="preserve">Booth structures for </w:t>
            </w:r>
            <w:proofErr w:type="spellStart"/>
            <w:r w:rsidR="00AA3136">
              <w:t>organisations</w:t>
            </w:r>
            <w:proofErr w:type="spellEnd"/>
            <w:r>
              <w:t>/businesses (DEI-focused)</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30062F7A" w14:textId="77777777" w:rsidR="00E22CC6" w:rsidRDefault="00000000">
            <w:pPr>
              <w:spacing w:after="0"/>
              <w:jc w:val="center"/>
            </w:pPr>
            <w:r>
              <w:t>£18,000</w:t>
            </w:r>
          </w:p>
        </w:tc>
      </w:tr>
      <w:tr w:rsidR="00E22CC6" w14:paraId="6D980690"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8615591" w14:textId="77777777" w:rsidR="00E22CC6" w:rsidRDefault="00000000">
            <w:pPr>
              <w:spacing w:after="0"/>
              <w:jc w:val="center"/>
            </w:pPr>
            <w:r>
              <w:t>Security &amp; Insurance</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91C986E" w14:textId="77777777" w:rsidR="00E22CC6" w:rsidRDefault="00000000">
            <w:pPr>
              <w:spacing w:after="0"/>
              <w:jc w:val="center"/>
            </w:pPr>
            <w:r>
              <w:t>On-site security, liability coverage, health &amp; safety compliance</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9109E5C" w14:textId="77777777" w:rsidR="00E22CC6" w:rsidRDefault="00000000">
            <w:pPr>
              <w:spacing w:after="0"/>
              <w:jc w:val="center"/>
            </w:pPr>
            <w:r>
              <w:t>£7,000</w:t>
            </w:r>
          </w:p>
        </w:tc>
      </w:tr>
      <w:tr w:rsidR="00E22CC6" w14:paraId="687269FB"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C40A5AA" w14:textId="77777777" w:rsidR="00E22CC6" w:rsidRDefault="00000000">
            <w:pPr>
              <w:spacing w:after="0"/>
              <w:jc w:val="center"/>
            </w:pPr>
            <w:r>
              <w:t>Miscellaneous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720656A" w14:textId="77777777" w:rsidR="00E22CC6" w:rsidRDefault="00000000">
            <w:pPr>
              <w:spacing w:after="0"/>
              <w:jc w:val="center"/>
            </w:pPr>
            <w:r>
              <w:t>Speaker fees, emergency expenses, sustainability initiatives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0DF7AB0" w14:textId="77777777" w:rsidR="00E22CC6" w:rsidRDefault="00000000">
            <w:pPr>
              <w:spacing w:after="0"/>
              <w:jc w:val="center"/>
            </w:pPr>
            <w:r>
              <w:t>£10,000</w:t>
            </w:r>
          </w:p>
        </w:tc>
      </w:tr>
      <w:tr w:rsidR="00E22CC6" w14:paraId="1731230B" w14:textId="77777777">
        <w:trPr>
          <w:trHeight w:val="20"/>
        </w:trPr>
        <w:tc>
          <w:tcPr>
            <w:tcW w:w="3376" w:type="pct"/>
            <w:gridSpan w:val="2"/>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858BD4B" w14:textId="77777777" w:rsidR="00E22CC6" w:rsidRDefault="00000000">
            <w:pPr>
              <w:spacing w:after="0"/>
              <w:jc w:val="center"/>
              <w:rPr>
                <w:b/>
                <w:bCs/>
              </w:rPr>
            </w:pPr>
            <w:r>
              <w:rPr>
                <w:b/>
                <w:bCs/>
              </w:rPr>
              <w:t>Total Estimated Cost</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F62AA6E" w14:textId="77777777" w:rsidR="00E22CC6" w:rsidRDefault="00000000">
            <w:pPr>
              <w:spacing w:after="0"/>
              <w:jc w:val="center"/>
              <w:rPr>
                <w:b/>
                <w:bCs/>
              </w:rPr>
            </w:pPr>
            <w:r>
              <w:rPr>
                <w:b/>
                <w:bCs/>
              </w:rPr>
              <w:t>£180,000</w:t>
            </w:r>
          </w:p>
        </w:tc>
      </w:tr>
    </w:tbl>
    <w:p w14:paraId="531A11BF" w14:textId="77777777" w:rsidR="00E22CC6" w:rsidRDefault="00000000">
      <w:pPr>
        <w:spacing w:before="240"/>
      </w:pPr>
      <w:r>
        <w:t>The revenue and profitability are provided below-</w:t>
      </w:r>
    </w:p>
    <w:tbl>
      <w:tblPr>
        <w:tblW w:w="5000" w:type="pct"/>
        <w:tblCellMar>
          <w:left w:w="0" w:type="dxa"/>
          <w:right w:w="0" w:type="dxa"/>
        </w:tblCellMar>
        <w:tblLook w:val="04A0" w:firstRow="1" w:lastRow="0" w:firstColumn="1" w:lastColumn="0" w:noHBand="0" w:noVBand="1"/>
      </w:tblPr>
      <w:tblGrid>
        <w:gridCol w:w="1608"/>
        <w:gridCol w:w="4698"/>
        <w:gridCol w:w="3034"/>
      </w:tblGrid>
      <w:tr w:rsidR="00E22CC6" w14:paraId="098ABDC2"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2A27A16F" w14:textId="77777777" w:rsidR="00E22CC6" w:rsidRDefault="00000000">
            <w:pPr>
              <w:spacing w:after="0"/>
              <w:jc w:val="center"/>
              <w:rPr>
                <w:b/>
                <w:bCs/>
              </w:rPr>
            </w:pPr>
            <w:r>
              <w:rPr>
                <w:b/>
                <w:bCs/>
              </w:rPr>
              <w:t>Revenue Source</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D68D905" w14:textId="77777777" w:rsidR="00E22CC6" w:rsidRDefault="00000000">
            <w:pPr>
              <w:spacing w:after="0"/>
              <w:jc w:val="center"/>
              <w:rPr>
                <w:b/>
                <w:bCs/>
              </w:rPr>
            </w:pPr>
            <w:r>
              <w:rPr>
                <w:b/>
                <w:bCs/>
              </w:rPr>
              <w:t>Details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A5A6969" w14:textId="77777777" w:rsidR="00E22CC6" w:rsidRDefault="00000000">
            <w:pPr>
              <w:spacing w:after="0"/>
              <w:jc w:val="center"/>
              <w:rPr>
                <w:b/>
                <w:bCs/>
              </w:rPr>
            </w:pPr>
            <w:r>
              <w:rPr>
                <w:b/>
                <w:bCs/>
              </w:rPr>
              <w:t>Estimated Revenue (GBP)</w:t>
            </w:r>
          </w:p>
        </w:tc>
      </w:tr>
      <w:tr w:rsidR="00E22CC6" w14:paraId="2E917B16"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2A9E826F" w14:textId="77777777" w:rsidR="00E22CC6" w:rsidRDefault="00000000">
            <w:pPr>
              <w:spacing w:after="0"/>
              <w:jc w:val="center"/>
            </w:pPr>
            <w:r>
              <w:t>Corporate Sponsorships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DFEB6B1" w14:textId="77777777" w:rsidR="00E22CC6" w:rsidRDefault="00000000">
            <w:pPr>
              <w:spacing w:after="0"/>
              <w:jc w:val="center"/>
            </w:pPr>
            <w:r>
              <w:t>DEI-aligned companies (platinum, gold, silver tiers)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FB35A06" w14:textId="77777777" w:rsidR="00E22CC6" w:rsidRDefault="00000000">
            <w:pPr>
              <w:spacing w:after="0"/>
              <w:jc w:val="center"/>
            </w:pPr>
            <w:r>
              <w:t>£120,000</w:t>
            </w:r>
          </w:p>
        </w:tc>
      </w:tr>
      <w:tr w:rsidR="00E22CC6" w14:paraId="0718336F"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E2BCBD8" w14:textId="77777777" w:rsidR="00E22CC6" w:rsidRDefault="00000000">
            <w:pPr>
              <w:spacing w:after="0"/>
              <w:jc w:val="center"/>
            </w:pPr>
            <w:r>
              <w:t>Exhibitor Fees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137D093" w14:textId="77777777" w:rsidR="00E22CC6" w:rsidRDefault="00000000">
            <w:pPr>
              <w:spacing w:after="0"/>
              <w:jc w:val="center"/>
            </w:pPr>
            <w:r>
              <w:t>DEI-focused companies pay for branded booths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2549463C" w14:textId="77777777" w:rsidR="00E22CC6" w:rsidRDefault="00000000">
            <w:pPr>
              <w:spacing w:after="0"/>
              <w:jc w:val="center"/>
            </w:pPr>
            <w:r>
              <w:t>£60,000</w:t>
            </w:r>
          </w:p>
        </w:tc>
      </w:tr>
      <w:tr w:rsidR="00E22CC6" w14:paraId="325D4F1B"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679CF50" w14:textId="77777777" w:rsidR="00E22CC6" w:rsidRDefault="00000000">
            <w:pPr>
              <w:spacing w:after="0"/>
              <w:jc w:val="center"/>
            </w:pPr>
            <w:r>
              <w:lastRenderedPageBreak/>
              <w:t>Brand Activations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A130D6C" w14:textId="77777777" w:rsidR="00E22CC6" w:rsidRDefault="00000000">
            <w:pPr>
              <w:spacing w:after="0"/>
              <w:jc w:val="center"/>
            </w:pPr>
            <w:r>
              <w:t>Sponsored panel discussions, workshops, networking lounges</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7F6CE83" w14:textId="77777777" w:rsidR="00E22CC6" w:rsidRDefault="00000000">
            <w:pPr>
              <w:spacing w:after="0"/>
              <w:jc w:val="center"/>
            </w:pPr>
            <w:r>
              <w:t>£25,000</w:t>
            </w:r>
          </w:p>
        </w:tc>
      </w:tr>
      <w:tr w:rsidR="00E22CC6" w14:paraId="318CF711"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0B09EA4" w14:textId="77777777" w:rsidR="00E22CC6" w:rsidRDefault="00000000">
            <w:pPr>
              <w:spacing w:after="0"/>
              <w:jc w:val="center"/>
            </w:pPr>
            <w:r>
              <w:t>Advertising &amp; Media Rights</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52C2DFA1" w14:textId="77777777" w:rsidR="00E22CC6" w:rsidRDefault="00000000">
            <w:pPr>
              <w:spacing w:after="0"/>
              <w:jc w:val="center"/>
            </w:pPr>
            <w:r>
              <w:t>Event coverage, featured articles, exclusive branding</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90A0C77" w14:textId="77777777" w:rsidR="00E22CC6" w:rsidRDefault="00000000">
            <w:pPr>
              <w:spacing w:after="0"/>
              <w:jc w:val="center"/>
            </w:pPr>
            <w:r>
              <w:t>£15,000</w:t>
            </w:r>
          </w:p>
        </w:tc>
      </w:tr>
      <w:tr w:rsidR="00E22CC6" w14:paraId="056DF6F3"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7EF05BF" w14:textId="77777777" w:rsidR="00E22CC6" w:rsidRDefault="00000000">
            <w:pPr>
              <w:spacing w:after="0"/>
              <w:jc w:val="center"/>
              <w:rPr>
                <w:b/>
                <w:bCs/>
              </w:rPr>
            </w:pPr>
            <w:r>
              <w:rPr>
                <w:b/>
                <w:bCs/>
              </w:rPr>
              <w:t>Total Estimated Revenue</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77BC1732" w14:textId="77777777" w:rsidR="00E22CC6" w:rsidRDefault="00000000">
            <w:pPr>
              <w:spacing w:after="0"/>
              <w:jc w:val="center"/>
              <w:rPr>
                <w:b/>
                <w:bCs/>
              </w:rPr>
            </w:pPr>
            <w:r>
              <w:rPr>
                <w:b/>
                <w:bCs/>
              </w:rPr>
              <w:t>—</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05D2DCD1" w14:textId="77777777" w:rsidR="00E22CC6" w:rsidRDefault="00000000">
            <w:pPr>
              <w:spacing w:after="0"/>
              <w:jc w:val="center"/>
              <w:rPr>
                <w:b/>
                <w:bCs/>
              </w:rPr>
            </w:pPr>
            <w:r>
              <w:rPr>
                <w:b/>
                <w:bCs/>
              </w:rPr>
              <w:t>£220,000</w:t>
            </w:r>
          </w:p>
        </w:tc>
      </w:tr>
      <w:tr w:rsidR="00E22CC6" w14:paraId="3E151618" w14:textId="77777777">
        <w:trPr>
          <w:trHeight w:val="20"/>
        </w:trPr>
        <w:tc>
          <w:tcPr>
            <w:tcW w:w="861"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66A78485" w14:textId="77777777" w:rsidR="00E22CC6" w:rsidRDefault="00000000">
            <w:pPr>
              <w:spacing w:after="0"/>
              <w:jc w:val="center"/>
              <w:rPr>
                <w:b/>
                <w:bCs/>
              </w:rPr>
            </w:pPr>
            <w:r>
              <w:rPr>
                <w:b/>
                <w:bCs/>
              </w:rPr>
              <w:t>Profit</w:t>
            </w:r>
          </w:p>
        </w:tc>
        <w:tc>
          <w:tcPr>
            <w:tcW w:w="2515"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393BDA7" w14:textId="77777777" w:rsidR="00E22CC6" w:rsidRDefault="00000000">
            <w:pPr>
              <w:spacing w:after="0"/>
              <w:jc w:val="center"/>
              <w:rPr>
                <w:b/>
                <w:bCs/>
              </w:rPr>
            </w:pPr>
            <w:r>
              <w:rPr>
                <w:b/>
                <w:bCs/>
              </w:rPr>
              <w:t>Revenue-Cost</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5DF999F" w14:textId="77777777" w:rsidR="00E22CC6" w:rsidRDefault="00000000">
            <w:pPr>
              <w:spacing w:after="0"/>
              <w:jc w:val="center"/>
              <w:rPr>
                <w:b/>
                <w:bCs/>
              </w:rPr>
            </w:pPr>
            <w:r>
              <w:rPr>
                <w:b/>
                <w:bCs/>
              </w:rPr>
              <w:t>£40,000</w:t>
            </w:r>
          </w:p>
        </w:tc>
      </w:tr>
      <w:tr w:rsidR="00E22CC6" w14:paraId="1E7BC02B" w14:textId="77777777">
        <w:trPr>
          <w:trHeight w:val="20"/>
        </w:trPr>
        <w:tc>
          <w:tcPr>
            <w:tcW w:w="3376" w:type="pct"/>
            <w:gridSpan w:val="2"/>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49FD6C70" w14:textId="77777777" w:rsidR="00E22CC6" w:rsidRDefault="00000000">
            <w:pPr>
              <w:spacing w:after="0"/>
              <w:jc w:val="center"/>
              <w:rPr>
                <w:b/>
                <w:bCs/>
              </w:rPr>
            </w:pPr>
            <w:r>
              <w:rPr>
                <w:b/>
                <w:bCs/>
              </w:rPr>
              <w:t>Profit Margin</w:t>
            </w:r>
          </w:p>
        </w:tc>
        <w:tc>
          <w:tcPr>
            <w:tcW w:w="1624" w:type="pct"/>
            <w:tcBorders>
              <w:top w:val="single" w:sz="8" w:space="0" w:color="337E90"/>
              <w:left w:val="single" w:sz="8" w:space="0" w:color="337E90"/>
              <w:bottom w:val="single" w:sz="8" w:space="0" w:color="337E90"/>
              <w:right w:val="single" w:sz="8" w:space="0" w:color="337E90"/>
            </w:tcBorders>
            <w:shd w:val="clear" w:color="auto" w:fill="auto"/>
            <w:tcMar>
              <w:top w:w="15" w:type="dxa"/>
              <w:left w:w="15" w:type="dxa"/>
              <w:bottom w:w="0" w:type="dxa"/>
              <w:right w:w="15" w:type="dxa"/>
            </w:tcMar>
            <w:vAlign w:val="center"/>
          </w:tcPr>
          <w:p w14:paraId="1A35D6BD" w14:textId="77777777" w:rsidR="00E22CC6" w:rsidRDefault="00000000">
            <w:pPr>
              <w:spacing w:after="0"/>
              <w:jc w:val="center"/>
              <w:rPr>
                <w:b/>
                <w:bCs/>
              </w:rPr>
            </w:pPr>
            <w:r>
              <w:rPr>
                <w:b/>
                <w:bCs/>
              </w:rPr>
              <w:t>18.18%</w:t>
            </w:r>
          </w:p>
        </w:tc>
      </w:tr>
    </w:tbl>
    <w:p w14:paraId="0C87EB3F" w14:textId="77777777" w:rsidR="00E22CC6" w:rsidRPr="00AA3136" w:rsidRDefault="00000000">
      <w:pPr>
        <w:pStyle w:val="Heading1"/>
      </w:pPr>
      <w:r w:rsidRPr="00AA3136">
        <w:t>Analysis of The Financial Figures</w:t>
      </w:r>
    </w:p>
    <w:p w14:paraId="55587726" w14:textId="77777777" w:rsidR="00E22CC6" w:rsidRPr="00AA3136" w:rsidRDefault="00000000">
      <w:pPr>
        <w:rPr>
          <w:color w:val="000000" w:themeColor="text1"/>
        </w:rPr>
      </w:pPr>
      <w:r w:rsidRPr="00AA3136">
        <w:rPr>
          <w:color w:val="000000" w:themeColor="text1"/>
        </w:rPr>
        <w:t>The calculated profit margin of 18.18% supports the event's financial stability due to £220,000 in projected revenue and £180,000 in costs. The main expense components, which are venue rental and catering, follow typical patterns for events of this magnitude. The main profit sources at this event are corporate sponsorships worth £120,000 and exhibitor fees worth £60,000. This means revenue depends heavily on maintaining these business partnerships. The financial performance of the event depends heavily on the participation of sponsors and exhibitors because any failure in their commitment will impact the overall profitability. The financial projection of £40,000 profit appears acceptable, yet additional business partners and backup plans would strengthen the outlook by decreasing potential exposure to risks.</w:t>
      </w:r>
    </w:p>
    <w:p w14:paraId="3DDFCD8A" w14:textId="77777777" w:rsidR="00E22CC6" w:rsidRPr="00AA3136" w:rsidRDefault="00000000">
      <w:pPr>
        <w:pStyle w:val="Heading1"/>
      </w:pPr>
      <w:r w:rsidRPr="00AA3136">
        <w:t>Industry Trends</w:t>
      </w:r>
    </w:p>
    <w:p w14:paraId="4DDCEDB7" w14:textId="77777777" w:rsidR="00E22CC6" w:rsidRDefault="00000000">
      <w:r>
        <w:t xml:space="preserve">Businesses are projected to invest USD 15.4 billion by 2026 in DE&amp;I initiatives (McKinsey, 2023). However, despite the investment, 68% business leaders believe that there is a lack of diversity within their workforce. There is truth to the belief of the business leaders as it would take 151 years to close the global economic gender gap at the current rate. Even developed countries like the UK face similar issues. Here, the unemployment rate for ethnic minorities has gone up from 7.2% to 8% in just 1 year while the overall unemployment rate stands at only 4.1% (Powell, Francis-Devine and Foley, 2020). While the macro situation is yet to improve, companies that are achieving their DE&amp;I targets are also enjoying its financial benefits. Companies in top quartile of gender and ethnic diversity are 21% more likely to outperform peers and 33% more likely to be </w:t>
      </w:r>
      <w:r>
        <w:lastRenderedPageBreak/>
        <w:t>industry leaders in terms of profitability (</w:t>
      </w:r>
      <w:proofErr w:type="spellStart"/>
      <w:r>
        <w:t>Sterndorff</w:t>
      </w:r>
      <w:proofErr w:type="spellEnd"/>
      <w:r>
        <w:t>, 2024). Therefore, industry trends point towards the importance of such an event.</w:t>
      </w:r>
    </w:p>
    <w:p w14:paraId="2F98635E" w14:textId="77777777" w:rsidR="00E22CC6" w:rsidRDefault="00000000">
      <w:pPr>
        <w:pStyle w:val="Heading1"/>
      </w:pPr>
      <w:r>
        <w:t>Situational and Cultural Considerations</w:t>
      </w:r>
    </w:p>
    <w:p w14:paraId="0428D77B" w14:textId="77777777" w:rsidR="00E22CC6" w:rsidRDefault="00000000">
      <w:r>
        <w:t>Based on the complete strategic event planning, the situational and cultural considerations are addressed below through a SWOT analysis-</w:t>
      </w:r>
    </w:p>
    <w:p w14:paraId="2DDF445B" w14:textId="77777777" w:rsidR="00E22CC6" w:rsidRDefault="00000000">
      <w:pPr>
        <w:pStyle w:val="Heading2"/>
      </w:pPr>
      <w:r>
        <w:t>Strengths</w:t>
      </w:r>
    </w:p>
    <w:p w14:paraId="694E1326" w14:textId="77777777" w:rsidR="00E22CC6" w:rsidRDefault="00000000">
      <w:pPr>
        <w:pStyle w:val="ListParagraph"/>
        <w:numPr>
          <w:ilvl w:val="0"/>
          <w:numId w:val="1"/>
        </w:numPr>
      </w:pPr>
      <w:r>
        <w:t>A globally accepted venue like ExCel London.</w:t>
      </w:r>
    </w:p>
    <w:p w14:paraId="73418C91" w14:textId="77777777" w:rsidR="00E22CC6" w:rsidRDefault="00000000">
      <w:pPr>
        <w:pStyle w:val="ListParagraph"/>
        <w:numPr>
          <w:ilvl w:val="0"/>
          <w:numId w:val="1"/>
        </w:numPr>
      </w:pPr>
      <w:r>
        <w:t>Bringing in all relevant parties in one place to drive practical change.</w:t>
      </w:r>
    </w:p>
    <w:p w14:paraId="34BA88DE" w14:textId="77777777" w:rsidR="00E22CC6" w:rsidRDefault="00000000">
      <w:pPr>
        <w:pStyle w:val="ListParagraph"/>
        <w:numPr>
          <w:ilvl w:val="0"/>
          <w:numId w:val="1"/>
        </w:numPr>
      </w:pPr>
      <w:r>
        <w:t>Focusing on providing opportunities to underrepresented communities directly.</w:t>
      </w:r>
    </w:p>
    <w:p w14:paraId="73217F97" w14:textId="77777777" w:rsidR="00E22CC6" w:rsidRDefault="00000000">
      <w:pPr>
        <w:pStyle w:val="Heading2"/>
      </w:pPr>
      <w:r>
        <w:t>Weaknesses</w:t>
      </w:r>
    </w:p>
    <w:p w14:paraId="6728C6FA" w14:textId="77777777" w:rsidR="00E22CC6" w:rsidRDefault="00000000">
      <w:pPr>
        <w:pStyle w:val="ListParagraph"/>
        <w:numPr>
          <w:ilvl w:val="0"/>
          <w:numId w:val="2"/>
        </w:numPr>
      </w:pPr>
      <w:r>
        <w:t>High cost associated with landing a large-scale event.</w:t>
      </w:r>
    </w:p>
    <w:p w14:paraId="22666014" w14:textId="77777777" w:rsidR="00E22CC6" w:rsidRDefault="00000000">
      <w:pPr>
        <w:pStyle w:val="ListParagraph"/>
        <w:numPr>
          <w:ilvl w:val="0"/>
          <w:numId w:val="2"/>
        </w:numPr>
      </w:pPr>
      <w:r>
        <w:t>Potentially missing out on truly underrepresented communities as they may not be able to come to the event due to its location.</w:t>
      </w:r>
    </w:p>
    <w:p w14:paraId="4C80B163" w14:textId="77777777" w:rsidR="00E22CC6" w:rsidRDefault="00000000">
      <w:pPr>
        <w:pStyle w:val="Heading2"/>
      </w:pPr>
      <w:r>
        <w:t>Opportunities</w:t>
      </w:r>
    </w:p>
    <w:p w14:paraId="0021FFCE" w14:textId="77777777" w:rsidR="00E22CC6" w:rsidRDefault="00000000">
      <w:pPr>
        <w:pStyle w:val="ListParagraph"/>
        <w:numPr>
          <w:ilvl w:val="0"/>
          <w:numId w:val="3"/>
        </w:numPr>
      </w:pPr>
      <w:r>
        <w:t>Converting the event into an annual conference that progresses the cause.</w:t>
      </w:r>
    </w:p>
    <w:p w14:paraId="335F3756" w14:textId="77777777" w:rsidR="00E22CC6" w:rsidRDefault="00000000">
      <w:pPr>
        <w:pStyle w:val="ListParagraph"/>
        <w:numPr>
          <w:ilvl w:val="0"/>
          <w:numId w:val="3"/>
        </w:numPr>
      </w:pPr>
      <w:r>
        <w:t>Rising investment in DE&amp;I initiatives along with increasing awareness.</w:t>
      </w:r>
    </w:p>
    <w:p w14:paraId="66DAAC3E" w14:textId="77777777" w:rsidR="00E22CC6" w:rsidRDefault="00000000">
      <w:pPr>
        <w:pStyle w:val="Heading2"/>
      </w:pPr>
      <w:r>
        <w:t>Threats</w:t>
      </w:r>
    </w:p>
    <w:p w14:paraId="6E0EB21E" w14:textId="77777777" w:rsidR="00E22CC6" w:rsidRDefault="00000000">
      <w:pPr>
        <w:pStyle w:val="ListParagraph"/>
        <w:numPr>
          <w:ilvl w:val="0"/>
          <w:numId w:val="4"/>
        </w:numPr>
      </w:pPr>
      <w:r>
        <w:t>Failing to land a prominent speaker or panelist or the target audience.</w:t>
      </w:r>
    </w:p>
    <w:p w14:paraId="44D422CF" w14:textId="77777777" w:rsidR="00E22CC6" w:rsidRDefault="00000000">
      <w:pPr>
        <w:pStyle w:val="ListParagraph"/>
        <w:numPr>
          <w:ilvl w:val="0"/>
          <w:numId w:val="4"/>
        </w:numPr>
      </w:pPr>
      <w:r>
        <w:t xml:space="preserve">Shift of political environment towards </w:t>
      </w:r>
      <w:proofErr w:type="spellStart"/>
      <w:r>
        <w:t>conservativism</w:t>
      </w:r>
      <w:proofErr w:type="spellEnd"/>
      <w:r>
        <w:t xml:space="preserve"> with the election of Donald Trump in the USA (Prakash, 2025).</w:t>
      </w:r>
    </w:p>
    <w:p w14:paraId="1948270F" w14:textId="77777777" w:rsidR="00E22CC6" w:rsidRDefault="00000000">
      <w:pPr>
        <w:pStyle w:val="ListParagraph"/>
        <w:numPr>
          <w:ilvl w:val="0"/>
          <w:numId w:val="4"/>
        </w:numPr>
      </w:pPr>
      <w:r>
        <w:t>Financial hardships of companies in the post-covid era combined with the disruptions of Russia-Ukraine war.</w:t>
      </w:r>
    </w:p>
    <w:p w14:paraId="000F2559" w14:textId="3DE00983" w:rsidR="00E22CC6" w:rsidRDefault="00000000">
      <w:r>
        <w:t xml:space="preserve">Through the SWOT analysis, the situational and cultural considerations of the event have been </w:t>
      </w:r>
      <w:proofErr w:type="spellStart"/>
      <w:r w:rsidR="00480544">
        <w:t>summarised</w:t>
      </w:r>
      <w:proofErr w:type="spellEnd"/>
      <w:r>
        <w:t>. Therefore, strategically addressing these concerns would lead to a successful event.</w:t>
      </w:r>
    </w:p>
    <w:p w14:paraId="601871F7" w14:textId="77777777" w:rsidR="00E22CC6" w:rsidRDefault="00E22CC6"/>
    <w:p w14:paraId="24D8F823" w14:textId="77777777" w:rsidR="00E22CC6" w:rsidRPr="00480544" w:rsidRDefault="00000000">
      <w:pPr>
        <w:pStyle w:val="Heading1"/>
      </w:pPr>
      <w:r w:rsidRPr="00480544">
        <w:lastRenderedPageBreak/>
        <w:t>Conclusion</w:t>
      </w:r>
    </w:p>
    <w:p w14:paraId="32B40AF1" w14:textId="77777777" w:rsidR="00E22CC6" w:rsidRPr="00480544" w:rsidRDefault="00000000">
      <w:pPr>
        <w:rPr>
          <w:color w:val="000000" w:themeColor="text1"/>
        </w:rPr>
      </w:pPr>
      <w:r w:rsidRPr="00480544">
        <w:rPr>
          <w:color w:val="000000" w:themeColor="text1"/>
        </w:rPr>
        <w:t>The proposed DEI-focused event demonstrates a thoughtful framework to manage financial aspects as well as operational requirements for delivering successful events. Budget projections demonstrate a positive financial outcome since they predict a profit of £40,000 alongside a profit margin reaching 18.18%. Long-term sustainability requires examining both market competition risks along with unforeseen costs because the current figures demonstrate promising potential.</w:t>
      </w:r>
    </w:p>
    <w:p w14:paraId="40148A2E" w14:textId="77777777" w:rsidR="00E22CC6" w:rsidRPr="00480544" w:rsidRDefault="00000000">
      <w:pPr>
        <w:rPr>
          <w:color w:val="000000" w:themeColor="text1"/>
        </w:rPr>
      </w:pPr>
      <w:r w:rsidRPr="00480544">
        <w:rPr>
          <w:color w:val="000000" w:themeColor="text1"/>
        </w:rPr>
        <w:t>The marketing and sponsorship approaches match the event's goals and they aim to generate substantial involvement from companies and exhibitors dedicated to DEI principles. The operational plans consisting of venue choices and technical configurations and personnel arrangements are established to deliver efficient execution. The establishment of successful events depends on incorporating marketing theories and operational strategies and financial evaluations that are relevant to the event.</w:t>
      </w:r>
    </w:p>
    <w:p w14:paraId="6F05DD40" w14:textId="77777777" w:rsidR="00E22CC6" w:rsidRPr="00480544" w:rsidRDefault="00000000">
      <w:pPr>
        <w:rPr>
          <w:color w:val="000000" w:themeColor="text1"/>
        </w:rPr>
      </w:pPr>
      <w:r w:rsidRPr="00480544">
        <w:rPr>
          <w:color w:val="000000" w:themeColor="text1"/>
        </w:rPr>
        <w:t>Moving ahead the main priority will be to improve financial projections along with marketing approaches and to maintain operational optimization while adapting to new situations that require adjustment. The event shows promise to fulfill financial targets alongside making significant contributions to diversity and inclusion discussions in the industry through proper management and execution.</w:t>
      </w:r>
    </w:p>
    <w:p w14:paraId="4F05D896" w14:textId="77777777" w:rsidR="00E22CC6" w:rsidRDefault="00E22CC6"/>
    <w:p w14:paraId="2E52C165" w14:textId="77777777" w:rsidR="00E22CC6" w:rsidRDefault="00E22CC6"/>
    <w:p w14:paraId="37D1FD6F" w14:textId="77777777" w:rsidR="00E22CC6" w:rsidRDefault="00E22CC6"/>
    <w:p w14:paraId="0DF45894" w14:textId="77777777" w:rsidR="00E22CC6" w:rsidRDefault="00E22CC6"/>
    <w:p w14:paraId="71F6E3A7" w14:textId="77777777" w:rsidR="00E22CC6" w:rsidRDefault="00E22CC6"/>
    <w:p w14:paraId="27887F39" w14:textId="77777777" w:rsidR="00E22CC6" w:rsidRDefault="00E22CC6"/>
    <w:p w14:paraId="3A85636E" w14:textId="77777777" w:rsidR="00E22CC6" w:rsidRDefault="00E22CC6"/>
    <w:p w14:paraId="2A4455DE" w14:textId="77777777" w:rsidR="00E22CC6" w:rsidRDefault="00E22CC6"/>
    <w:p w14:paraId="1A9EF680" w14:textId="77777777" w:rsidR="00E22CC6" w:rsidRDefault="00E22CC6"/>
    <w:p w14:paraId="5F633F99" w14:textId="77777777" w:rsidR="00E22CC6" w:rsidRDefault="00E22CC6"/>
    <w:p w14:paraId="7D8BCC23" w14:textId="77777777" w:rsidR="00E22CC6" w:rsidRDefault="00E22CC6"/>
    <w:p w14:paraId="772348B5" w14:textId="77777777" w:rsidR="00E22CC6" w:rsidRDefault="00E22CC6"/>
    <w:p w14:paraId="1FA93A79" w14:textId="77777777" w:rsidR="00E22CC6" w:rsidRDefault="00E22CC6"/>
    <w:p w14:paraId="3A34EB08" w14:textId="77777777" w:rsidR="00E22CC6" w:rsidRDefault="00E22CC6"/>
    <w:p w14:paraId="1B2958CA" w14:textId="77777777" w:rsidR="00E22CC6" w:rsidRDefault="00E22CC6"/>
    <w:p w14:paraId="1C4010C8" w14:textId="77777777" w:rsidR="00E22CC6" w:rsidRDefault="00E22CC6"/>
    <w:p w14:paraId="60D08280" w14:textId="77777777" w:rsidR="00E22CC6" w:rsidRDefault="00E22CC6"/>
    <w:p w14:paraId="3A2B4B08" w14:textId="77777777" w:rsidR="00E22CC6" w:rsidRDefault="00000000">
      <w:pPr>
        <w:pStyle w:val="Heading1"/>
      </w:pPr>
      <w:r>
        <w:t>References</w:t>
      </w:r>
    </w:p>
    <w:p w14:paraId="29EA4647" w14:textId="354FF1D4" w:rsidR="00E22CC6" w:rsidRDefault="00000000">
      <w:r>
        <w:t>Abu, J. (2023). </w:t>
      </w:r>
      <w:r>
        <w:rPr>
          <w:i/>
          <w:iCs/>
        </w:rPr>
        <w:t>Clocktower Advisors</w:t>
      </w:r>
      <w:r>
        <w:t xml:space="preserve">. </w:t>
      </w:r>
      <w:r w:rsidR="00403EB1">
        <w:t>(</w:t>
      </w:r>
      <w:r>
        <w:t>online</w:t>
      </w:r>
      <w:r w:rsidR="00403EB1">
        <w:t xml:space="preserve">) </w:t>
      </w:r>
      <w:r>
        <w:t xml:space="preserve">Clocktower Advisors. Available at: https://www.clocktoweradvisors.com/blog/talentpoel-matching-african-talent-worldwide </w:t>
      </w:r>
      <w:r w:rsidR="00403EB1">
        <w:t>(</w:t>
      </w:r>
      <w:r>
        <w:t>Accessed 1 Feb. 2025</w:t>
      </w:r>
      <w:r w:rsidR="00403EB1">
        <w:t>).</w:t>
      </w:r>
    </w:p>
    <w:p w14:paraId="1B96D980" w14:textId="2EE4554E" w:rsidR="00E22CC6" w:rsidRDefault="00000000">
      <w:r>
        <w:t>AES. (2025). </w:t>
      </w:r>
      <w:r>
        <w:rPr>
          <w:i/>
          <w:iCs/>
        </w:rPr>
        <w:t>2025 AES International Conference on Breaking Barriers in Audio - AES</w:t>
      </w:r>
      <w:r>
        <w:t xml:space="preserve">. </w:t>
      </w:r>
      <w:r w:rsidR="00403EB1">
        <w:t>(</w:t>
      </w:r>
      <w:r>
        <w:t>onlin</w:t>
      </w:r>
      <w:r w:rsidR="00403EB1">
        <w:t xml:space="preserve">e) </w:t>
      </w:r>
      <w:r>
        <w:t xml:space="preserve">Available at: https://aes2.org/events-calendar/2025-aes-international-conference-on-breaking-barriers-in-audio/ </w:t>
      </w:r>
      <w:r w:rsidR="00403EB1">
        <w:t>(</w:t>
      </w:r>
      <w:r>
        <w:t>Accessed 1 Feb. 2025</w:t>
      </w:r>
      <w:r w:rsidR="00403EB1">
        <w:t>).</w:t>
      </w:r>
    </w:p>
    <w:p w14:paraId="0522D6D3" w14:textId="512B3911" w:rsidR="00E22CC6" w:rsidRDefault="00000000">
      <w:r>
        <w:t>AMD (2024). </w:t>
      </w:r>
      <w:r>
        <w:rPr>
          <w:i/>
          <w:iCs/>
        </w:rPr>
        <w:t>Dr. Lisa Su</w:t>
      </w:r>
      <w:r>
        <w:t xml:space="preserve">. </w:t>
      </w:r>
      <w:r w:rsidR="00403EB1">
        <w:t>(</w:t>
      </w:r>
      <w:r>
        <w:t>online</w:t>
      </w:r>
      <w:r w:rsidR="00403EB1">
        <w:t>)</w:t>
      </w:r>
      <w:r>
        <w:t xml:space="preserve"> AMD. Available at: </w:t>
      </w:r>
      <w:hyperlink r:id="rId9" w:history="1">
        <w:r>
          <w:rPr>
            <w:rStyle w:val="Hyperlink"/>
          </w:rPr>
          <w:t>https://www.amd.com/en/corporate/leadership/lisa-su.html</w:t>
        </w:r>
      </w:hyperlink>
      <w:r>
        <w:t>.</w:t>
      </w:r>
    </w:p>
    <w:p w14:paraId="24980F88" w14:textId="77777777" w:rsidR="00E22CC6" w:rsidRDefault="00000000">
      <w:proofErr w:type="spellStart"/>
      <w:r>
        <w:t>Bjerke</w:t>
      </w:r>
      <w:proofErr w:type="spellEnd"/>
      <w:r>
        <w:t xml:space="preserve">, M.B. and </w:t>
      </w:r>
      <w:proofErr w:type="spellStart"/>
      <w:r>
        <w:t>Renger</w:t>
      </w:r>
      <w:proofErr w:type="spellEnd"/>
      <w:r>
        <w:t>, R., 2017. Being smart about writing SMART objectives. </w:t>
      </w:r>
      <w:r>
        <w:rPr>
          <w:i/>
          <w:iCs/>
        </w:rPr>
        <w:t>Evaluation and program planning</w:t>
      </w:r>
      <w:r>
        <w:t>, </w:t>
      </w:r>
      <w:r>
        <w:rPr>
          <w:i/>
          <w:iCs/>
        </w:rPr>
        <w:t>61</w:t>
      </w:r>
      <w:r>
        <w:t>, pp.125-127.</w:t>
      </w:r>
    </w:p>
    <w:p w14:paraId="789894B1" w14:textId="77777777" w:rsidR="00E22CC6" w:rsidRDefault="00000000">
      <w:pPr>
        <w:pStyle w:val="NormalWeb"/>
        <w:spacing w:before="0" w:beforeAutospacing="0" w:after="240" w:afterAutospacing="0" w:line="360" w:lineRule="auto"/>
      </w:pPr>
      <w:proofErr w:type="spellStart"/>
      <w:r>
        <w:t>Bladen</w:t>
      </w:r>
      <w:proofErr w:type="spellEnd"/>
      <w:r>
        <w:t xml:space="preserve">, C., </w:t>
      </w:r>
      <w:proofErr w:type="spellStart"/>
      <w:r>
        <w:t>Kennell</w:t>
      </w:r>
      <w:proofErr w:type="spellEnd"/>
      <w:r>
        <w:t xml:space="preserve">, J., </w:t>
      </w:r>
      <w:proofErr w:type="spellStart"/>
      <w:r>
        <w:t>Abson</w:t>
      </w:r>
      <w:proofErr w:type="spellEnd"/>
      <w:r>
        <w:t xml:space="preserve">, E. and Wilde, N. (2023). </w:t>
      </w:r>
      <w:r>
        <w:rPr>
          <w:i/>
          <w:iCs/>
        </w:rPr>
        <w:t>Events Management</w:t>
      </w:r>
      <w:r>
        <w:t>. Taylor &amp; Francis.</w:t>
      </w:r>
    </w:p>
    <w:p w14:paraId="108D44A9" w14:textId="77777777" w:rsidR="00E22CC6" w:rsidRDefault="00000000">
      <w:pPr>
        <w:pStyle w:val="NormalWeb"/>
        <w:spacing w:before="0" w:beforeAutospacing="0" w:after="240" w:afterAutospacing="0" w:line="360" w:lineRule="auto"/>
        <w:jc w:val="both"/>
      </w:pPr>
      <w:proofErr w:type="spellStart"/>
      <w:r>
        <w:t>Bowdin</w:t>
      </w:r>
      <w:proofErr w:type="spellEnd"/>
      <w:r>
        <w:t xml:space="preserve">, G., Allen, J., Harris, R., </w:t>
      </w:r>
      <w:proofErr w:type="spellStart"/>
      <w:r>
        <w:t>Jago</w:t>
      </w:r>
      <w:proofErr w:type="spellEnd"/>
      <w:r>
        <w:t xml:space="preserve">, L., O’Toole, W. and McDonnell, I. (2023). </w:t>
      </w:r>
      <w:r>
        <w:rPr>
          <w:i/>
          <w:iCs/>
        </w:rPr>
        <w:t>Events Management</w:t>
      </w:r>
      <w:r>
        <w:t>. 4th ed. Taylor &amp; Francis.</w:t>
      </w:r>
    </w:p>
    <w:p w14:paraId="168FD2B3" w14:textId="77777777" w:rsidR="00E22CC6" w:rsidRDefault="00000000">
      <w:r>
        <w:lastRenderedPageBreak/>
        <w:t>Castillo, M., 2024. Adapting the language of DEI: Communication Frameworks.</w:t>
      </w:r>
    </w:p>
    <w:p w14:paraId="2692E58F" w14:textId="25AC8583" w:rsidR="00E22CC6" w:rsidRDefault="00000000">
      <w:r>
        <w:t>Darby, J. (2024). </w:t>
      </w:r>
      <w:r>
        <w:rPr>
          <w:i/>
          <w:iCs/>
        </w:rPr>
        <w:t>The Importance of Cultural Diversity in the Workplace</w:t>
      </w:r>
      <w:r>
        <w:t xml:space="preserve">. </w:t>
      </w:r>
      <w:r w:rsidR="00403EB1">
        <w:t>(</w:t>
      </w:r>
      <w:r>
        <w:t>online</w:t>
      </w:r>
      <w:r w:rsidR="00403EB1">
        <w:t>)</w:t>
      </w:r>
      <w:r>
        <w:t xml:space="preserve"> Thomas International. Available at: </w:t>
      </w:r>
      <w:hyperlink r:id="rId10" w:history="1">
        <w:r>
          <w:rPr>
            <w:rStyle w:val="Hyperlink"/>
          </w:rPr>
          <w:t>https://www.thomas.co/resources/type/hr-blog/importance-cultural-diversity-workplace</w:t>
        </w:r>
      </w:hyperlink>
      <w:r>
        <w:t>.</w:t>
      </w:r>
    </w:p>
    <w:p w14:paraId="6C7D7231" w14:textId="18666F91" w:rsidR="00E22CC6" w:rsidRDefault="00000000">
      <w:r>
        <w:t>ExCel London. (2024). </w:t>
      </w:r>
      <w:proofErr w:type="spellStart"/>
      <w:r>
        <w:rPr>
          <w:i/>
          <w:iCs/>
        </w:rPr>
        <w:t>Organising</w:t>
      </w:r>
      <w:proofErr w:type="spellEnd"/>
      <w:r>
        <w:rPr>
          <w:i/>
          <w:iCs/>
        </w:rPr>
        <w:t xml:space="preserve"> an event at ExCeL | Welcome to ExCeL London</w:t>
      </w:r>
      <w:r>
        <w:t xml:space="preserve">. </w:t>
      </w:r>
      <w:r w:rsidR="0055693F">
        <w:t>(</w:t>
      </w:r>
      <w:r>
        <w:t>online</w:t>
      </w:r>
      <w:r w:rsidR="00403EB1">
        <w:t>)</w:t>
      </w:r>
      <w:r>
        <w:t xml:space="preserve"> Available at: </w:t>
      </w:r>
      <w:hyperlink r:id="rId11" w:history="1">
        <w:r>
          <w:rPr>
            <w:rStyle w:val="Hyperlink"/>
          </w:rPr>
          <w:t>https://www.excel.london/organiser</w:t>
        </w:r>
      </w:hyperlink>
      <w:r>
        <w:t>.</w:t>
      </w:r>
    </w:p>
    <w:p w14:paraId="2392BA70" w14:textId="77777777" w:rsidR="00E22CC6" w:rsidRDefault="00000000">
      <w:pPr>
        <w:pStyle w:val="NormalWeb"/>
        <w:spacing w:before="0" w:beforeAutospacing="0" w:after="240" w:afterAutospacing="0" w:line="360" w:lineRule="auto"/>
        <w:jc w:val="both"/>
      </w:pPr>
      <w:r>
        <w:t xml:space="preserve">Getz, D. and Page, S.J. (2019). </w:t>
      </w:r>
      <w:r>
        <w:rPr>
          <w:i/>
          <w:iCs/>
        </w:rPr>
        <w:t>Event studies : theory, research, and policy for planned events, 3rd edition</w:t>
      </w:r>
      <w:r>
        <w:t xml:space="preserve">. New York: </w:t>
      </w:r>
      <w:proofErr w:type="spellStart"/>
      <w:r>
        <w:t>Routledge</w:t>
      </w:r>
      <w:proofErr w:type="spellEnd"/>
      <w:r>
        <w:t>, Taylor &amp; Francis Group.</w:t>
      </w:r>
    </w:p>
    <w:p w14:paraId="4F071F19" w14:textId="72A99845" w:rsidR="00E22CC6" w:rsidRDefault="00000000">
      <w:r>
        <w:t>Herbert, T. (2024). Council Post: The Importance Of DEI Initiatives In Tech. </w:t>
      </w:r>
      <w:r>
        <w:rPr>
          <w:i/>
          <w:iCs/>
        </w:rPr>
        <w:t>Forbes</w:t>
      </w:r>
      <w:r>
        <w:t xml:space="preserve">. </w:t>
      </w:r>
      <w:r w:rsidR="00CB7D39">
        <w:t>(</w:t>
      </w:r>
      <w:r>
        <w:t>online</w:t>
      </w:r>
      <w:r w:rsidR="00CB7D39">
        <w:t>)</w:t>
      </w:r>
      <w:r>
        <w:t xml:space="preserve"> 12 Aug. Available at: </w:t>
      </w:r>
      <w:hyperlink r:id="rId12" w:history="1">
        <w:r>
          <w:rPr>
            <w:rStyle w:val="Hyperlink"/>
          </w:rPr>
          <w:t>https://www.forbes.com/councils/forbesbusinesscouncil/2022/11/15/the-importance-of-dei-initiatives-in-tech/</w:t>
        </w:r>
      </w:hyperlink>
      <w:r>
        <w:t>.</w:t>
      </w:r>
    </w:p>
    <w:p w14:paraId="5F40D5B3" w14:textId="502AA753" w:rsidR="00E22CC6" w:rsidRDefault="00000000">
      <w:r>
        <w:t>LACPA Office. (2024). </w:t>
      </w:r>
      <w:r>
        <w:rPr>
          <w:i/>
          <w:iCs/>
        </w:rPr>
        <w:t xml:space="preserve">Celebrating AAPI Heritage Month - A Dr. </w:t>
      </w:r>
      <w:proofErr w:type="spellStart"/>
      <w:r>
        <w:rPr>
          <w:i/>
          <w:iCs/>
        </w:rPr>
        <w:t>Derald</w:t>
      </w:r>
      <w:proofErr w:type="spellEnd"/>
      <w:r>
        <w:rPr>
          <w:i/>
          <w:iCs/>
        </w:rPr>
        <w:t xml:space="preserve"> Wing Sue Highlight</w:t>
      </w:r>
      <w:r>
        <w:t xml:space="preserve">. </w:t>
      </w:r>
      <w:r w:rsidR="0043555F">
        <w:t>(</w:t>
      </w:r>
      <w:r>
        <w:t>online</w:t>
      </w:r>
      <w:r w:rsidR="0043555F">
        <w:t xml:space="preserve">) </w:t>
      </w:r>
      <w:r>
        <w:t>Lacpa.org. Available at: https://www.lacpa.org/celebrating-aapi-heritage-month---a-dr--</w:t>
      </w:r>
      <w:proofErr w:type="spellStart"/>
      <w:r>
        <w:t>derald-wing-sue</w:t>
      </w:r>
      <w:proofErr w:type="spellEnd"/>
      <w:r>
        <w:t xml:space="preserve">-highlight </w:t>
      </w:r>
      <w:r w:rsidR="002F68D4">
        <w:t>(</w:t>
      </w:r>
      <w:r>
        <w:t>Accessed 1 Feb. 2025</w:t>
      </w:r>
      <w:r w:rsidR="002F68D4">
        <w:t>).</w:t>
      </w:r>
    </w:p>
    <w:p w14:paraId="55532924" w14:textId="77777777" w:rsidR="00E22CC6" w:rsidRDefault="00000000">
      <w:r>
        <w:t xml:space="preserve">Lee, S.S. and </w:t>
      </w:r>
      <w:proofErr w:type="spellStart"/>
      <w:r>
        <w:t>Goldblatt</w:t>
      </w:r>
      <w:proofErr w:type="spellEnd"/>
      <w:r>
        <w:t>, J., 2020. </w:t>
      </w:r>
      <w:r>
        <w:rPr>
          <w:i/>
          <w:iCs/>
        </w:rPr>
        <w:t>Special events: The brave new world for bolder and better live events</w:t>
      </w:r>
      <w:r>
        <w:t>. John Wiley &amp; Sons.</w:t>
      </w:r>
    </w:p>
    <w:p w14:paraId="725E203E" w14:textId="62D9B8D3" w:rsidR="00E22CC6" w:rsidRDefault="00000000">
      <w:r>
        <w:t>McKinsey (2023). </w:t>
      </w:r>
      <w:r>
        <w:rPr>
          <w:i/>
          <w:iCs/>
        </w:rPr>
        <w:t>Diversity, Equity and Inclusion Lighthouses 2023 | McKinsey</w:t>
      </w:r>
      <w:r>
        <w:t xml:space="preserve">. </w:t>
      </w:r>
      <w:r w:rsidR="002F68D4">
        <w:t>(</w:t>
      </w:r>
      <w:r>
        <w:t>online</w:t>
      </w:r>
      <w:r w:rsidR="002F68D4">
        <w:t xml:space="preserve">) </w:t>
      </w:r>
      <w:r>
        <w:t>www.mckinsey.com. Available at: https://www.mckinsey.com/featured-insights/diversity-and-inclusion/diversity-equity-and-inclusion-lighthouses-2023.</w:t>
      </w:r>
    </w:p>
    <w:p w14:paraId="2007E662" w14:textId="19F80A57" w:rsidR="00E22CC6" w:rsidRDefault="00000000">
      <w:r>
        <w:t>Molina, N. (2007). </w:t>
      </w:r>
      <w:r>
        <w:rPr>
          <w:i/>
          <w:iCs/>
        </w:rPr>
        <w:t>UNLV Theses, Dissertations, Professional Papers, and Capstones Fall</w:t>
      </w:r>
      <w:r>
        <w:t xml:space="preserve">. </w:t>
      </w:r>
      <w:r w:rsidR="002F68D4">
        <w:t>(</w:t>
      </w:r>
      <w:r>
        <w:t>online</w:t>
      </w:r>
      <w:r w:rsidR="002F68D4">
        <w:t>)</w:t>
      </w:r>
      <w:r>
        <w:t xml:space="preserve"> Available at: </w:t>
      </w:r>
      <w:hyperlink r:id="rId13" w:history="1">
        <w:r>
          <w:rPr>
            <w:rStyle w:val="Hyperlink"/>
          </w:rPr>
          <w:t>https://digitalscholarship.unlv.edu/cgi/viewcontent.cgi?article=1623&amp;context=thesesdissertations</w:t>
        </w:r>
      </w:hyperlink>
      <w:r>
        <w:t>.</w:t>
      </w:r>
    </w:p>
    <w:p w14:paraId="6A1DFAD1" w14:textId="4709DCD1" w:rsidR="00E22CC6" w:rsidRDefault="00000000">
      <w:proofErr w:type="spellStart"/>
      <w:r>
        <w:t>Odisho</w:t>
      </w:r>
      <w:proofErr w:type="spellEnd"/>
      <w:r>
        <w:t>, T. (2023). </w:t>
      </w:r>
      <w:r>
        <w:rPr>
          <w:i/>
          <w:iCs/>
        </w:rPr>
        <w:t>8 Steps to Host a DEI Summit - Senior Executive</w:t>
      </w:r>
      <w:r>
        <w:t xml:space="preserve">. </w:t>
      </w:r>
      <w:r w:rsidR="002F68D4">
        <w:t>(</w:t>
      </w:r>
      <w:r>
        <w:t>online</w:t>
      </w:r>
      <w:r w:rsidR="002F68D4">
        <w:t xml:space="preserve">) </w:t>
      </w:r>
      <w:r>
        <w:t xml:space="preserve">Senior Executive. Available at: https://seniorexecutive.com/8-steps-to-host-a-dei-summit/ </w:t>
      </w:r>
      <w:r w:rsidR="002F68D4">
        <w:t>(</w:t>
      </w:r>
      <w:r>
        <w:t>Accessed 1 Feb. 2025</w:t>
      </w:r>
      <w:r w:rsidR="002F68D4">
        <w:t>).</w:t>
      </w:r>
    </w:p>
    <w:p w14:paraId="1B2C0D21" w14:textId="16B411FF" w:rsidR="00E22CC6" w:rsidRDefault="00000000">
      <w:r>
        <w:lastRenderedPageBreak/>
        <w:t>Powell, A., Francis-Devine, B. and Foley, N. (2020). Unemployment by ethnic background. </w:t>
      </w:r>
      <w:r>
        <w:rPr>
          <w:i/>
          <w:iCs/>
        </w:rPr>
        <w:t>commonslibrary.parliament.uk</w:t>
      </w:r>
      <w:r>
        <w:t xml:space="preserve">. </w:t>
      </w:r>
      <w:r w:rsidR="002F68D4">
        <w:t>(</w:t>
      </w:r>
      <w:r>
        <w:t>online</w:t>
      </w:r>
      <w:r w:rsidR="002F68D4">
        <w:t>)</w:t>
      </w:r>
      <w:r>
        <w:t xml:space="preserve"> Available at: </w:t>
      </w:r>
      <w:hyperlink r:id="rId14" w:history="1">
        <w:r>
          <w:rPr>
            <w:rStyle w:val="Hyperlink"/>
          </w:rPr>
          <w:t>https://commonslibrary.parliament.uk/research-briefings/sn06385/</w:t>
        </w:r>
      </w:hyperlink>
      <w:r>
        <w:t>.</w:t>
      </w:r>
    </w:p>
    <w:p w14:paraId="04005F5E" w14:textId="7C753436" w:rsidR="00E22CC6" w:rsidRDefault="00000000">
      <w:r>
        <w:t>Prakash, P. (2025). </w:t>
      </w:r>
      <w:r>
        <w:rPr>
          <w:i/>
          <w:iCs/>
        </w:rPr>
        <w:t>Europe could be a casualty under Donald Trump’s promised American ‘golden age’</w:t>
      </w:r>
      <w:r>
        <w:t xml:space="preserve">. </w:t>
      </w:r>
      <w:r w:rsidR="002F68D4">
        <w:t>(</w:t>
      </w:r>
      <w:r>
        <w:t>online</w:t>
      </w:r>
      <w:r w:rsidR="002F68D4">
        <w:t xml:space="preserve">) </w:t>
      </w:r>
      <w:r>
        <w:t xml:space="preserve">Fortune Europe. Available at: https://fortune.com/europe/article/europe-casualty-president-donald-trump/ </w:t>
      </w:r>
      <w:r w:rsidR="002F68D4">
        <w:t>(</w:t>
      </w:r>
      <w:r>
        <w:t>Accessed 4 Feb. 2025</w:t>
      </w:r>
      <w:r w:rsidR="002F68D4">
        <w:t>).</w:t>
      </w:r>
    </w:p>
    <w:p w14:paraId="1D574B5A" w14:textId="77777777" w:rsidR="00E22CC6" w:rsidRDefault="00000000">
      <w:r>
        <w:t>Rogers, T. and Wynn-Moylan, P., 2022. </w:t>
      </w:r>
      <w:r>
        <w:rPr>
          <w:i/>
          <w:iCs/>
        </w:rPr>
        <w:t>Conferences and conventions: A global industry</w:t>
      </w:r>
      <w:r>
        <w:t xml:space="preserve">. </w:t>
      </w:r>
      <w:proofErr w:type="spellStart"/>
      <w:r>
        <w:t>Routledge</w:t>
      </w:r>
      <w:proofErr w:type="spellEnd"/>
      <w:r>
        <w:t>.</w:t>
      </w:r>
    </w:p>
    <w:p w14:paraId="38F289FF" w14:textId="05BF588B" w:rsidR="00E22CC6" w:rsidRDefault="00000000">
      <w:r>
        <w:t>Sagar, K. (2024). </w:t>
      </w:r>
      <w:r>
        <w:rPr>
          <w:i/>
          <w:iCs/>
        </w:rPr>
        <w:t>20 Most Influential HR Leaders in 2024</w:t>
      </w:r>
      <w:r>
        <w:t xml:space="preserve">. </w:t>
      </w:r>
      <w:r w:rsidR="002F68D4">
        <w:t>(</w:t>
      </w:r>
      <w:r>
        <w:t>online</w:t>
      </w:r>
      <w:r w:rsidR="002F68D4">
        <w:t>)</w:t>
      </w:r>
      <w:r>
        <w:t xml:space="preserve"> SoftwareSuggest Blog. Available at: </w:t>
      </w:r>
      <w:hyperlink r:id="rId15" w:history="1">
        <w:r>
          <w:rPr>
            <w:rStyle w:val="Hyperlink"/>
          </w:rPr>
          <w:t>https://www.softwaresuggest.com/blog/top-hr-managers/</w:t>
        </w:r>
      </w:hyperlink>
      <w:r>
        <w:t>.</w:t>
      </w:r>
    </w:p>
    <w:p w14:paraId="4BA4CE5B" w14:textId="2B74236A" w:rsidR="00E22CC6" w:rsidRDefault="00000000">
      <w:r>
        <w:t>SBI Association Management (2024). </w:t>
      </w:r>
      <w:r>
        <w:rPr>
          <w:i/>
          <w:iCs/>
        </w:rPr>
        <w:t>Diversity, Equity, and Inclusion in Conference Planning: A Comprehensive Checklist - SBI Association Management</w:t>
      </w:r>
      <w:r>
        <w:t xml:space="preserve">. [online] SBI Association Management. Available at: https://sbims.com/diversity-equity-and-inclusion-in-conference-planning-a-comprehensive-checklist/ </w:t>
      </w:r>
      <w:r w:rsidR="002F68D4">
        <w:t>(</w:t>
      </w:r>
      <w:r>
        <w:t>Accessed 1 Feb. 2025</w:t>
      </w:r>
      <w:r w:rsidR="002F68D4">
        <w:t>).</w:t>
      </w:r>
    </w:p>
    <w:p w14:paraId="0C8D6748" w14:textId="701F74B0" w:rsidR="00E22CC6" w:rsidRDefault="00000000">
      <w:proofErr w:type="spellStart"/>
      <w:r>
        <w:t>Seigle</w:t>
      </w:r>
      <w:proofErr w:type="spellEnd"/>
      <w:r>
        <w:t>, S. (2024). </w:t>
      </w:r>
      <w:r>
        <w:rPr>
          <w:i/>
          <w:iCs/>
        </w:rPr>
        <w:t>5 KPIs to help events meet DEI targets</w:t>
      </w:r>
      <w:r>
        <w:t xml:space="preserve">. </w:t>
      </w:r>
      <w:r w:rsidR="002F68D4">
        <w:t>(</w:t>
      </w:r>
      <w:r>
        <w:t>online</w:t>
      </w:r>
      <w:r w:rsidR="002F68D4">
        <w:t>)</w:t>
      </w:r>
      <w:r>
        <w:t xml:space="preserve">Reed &amp; Mackay. Available at: https://reedmackay.com/5-kpis-to-help-events-meet-dei-targets </w:t>
      </w:r>
      <w:r w:rsidR="002F68D4">
        <w:t>(</w:t>
      </w:r>
      <w:r>
        <w:t>Accessed 1 Feb. 2025</w:t>
      </w:r>
      <w:r w:rsidR="002F68D4">
        <w:t>).</w:t>
      </w:r>
    </w:p>
    <w:p w14:paraId="27BFF00D" w14:textId="0E09166C" w:rsidR="00E22CC6" w:rsidRDefault="00000000">
      <w:r>
        <w:t>SHRM. (2025). </w:t>
      </w:r>
      <w:r>
        <w:rPr>
          <w:i/>
          <w:iCs/>
        </w:rPr>
        <w:t>INCLUSION 2025 | Conferences</w:t>
      </w:r>
      <w:r>
        <w:t xml:space="preserve">. </w:t>
      </w:r>
      <w:r w:rsidR="002F68D4">
        <w:t>(</w:t>
      </w:r>
      <w:r>
        <w:t>online</w:t>
      </w:r>
      <w:r w:rsidR="002F68D4">
        <w:t>)</w:t>
      </w:r>
      <w:r>
        <w:t xml:space="preserve"> Available at: </w:t>
      </w:r>
      <w:hyperlink r:id="rId16" w:history="1">
        <w:r>
          <w:rPr>
            <w:rStyle w:val="Hyperlink"/>
          </w:rPr>
          <w:t>https://conferences.shrm.org/inclusion</w:t>
        </w:r>
      </w:hyperlink>
      <w:r>
        <w:t>.</w:t>
      </w:r>
    </w:p>
    <w:p w14:paraId="0968F3B9" w14:textId="5F096438" w:rsidR="00E22CC6" w:rsidRDefault="00000000">
      <w:proofErr w:type="spellStart"/>
      <w:r>
        <w:t>Sterndorff</w:t>
      </w:r>
      <w:proofErr w:type="spellEnd"/>
      <w:r>
        <w:t>, M. (2024). </w:t>
      </w:r>
      <w:r>
        <w:rPr>
          <w:i/>
          <w:iCs/>
        </w:rPr>
        <w:t>The DEI Business Case: How DEI Drive Business Success</w:t>
      </w:r>
      <w:r>
        <w:t xml:space="preserve">. </w:t>
      </w:r>
      <w:r w:rsidR="002F68D4">
        <w:t>(</w:t>
      </w:r>
      <w:r>
        <w:t>online</w:t>
      </w:r>
      <w:r w:rsidR="002F68D4">
        <w:t xml:space="preserve">) </w:t>
      </w:r>
      <w:r>
        <w:t xml:space="preserve">Living Institute. Available at: </w:t>
      </w:r>
      <w:hyperlink r:id="rId17" w:history="1">
        <w:r>
          <w:rPr>
            <w:rStyle w:val="Hyperlink"/>
          </w:rPr>
          <w:t>https://livinginstitute.com/news/resources/dei-business-case/</w:t>
        </w:r>
      </w:hyperlink>
      <w:r>
        <w:t>.</w:t>
      </w:r>
    </w:p>
    <w:p w14:paraId="1A5AC13F" w14:textId="258FAD02" w:rsidR="00E22CC6" w:rsidRDefault="00000000">
      <w:r>
        <w:t>UN Women. (2019). </w:t>
      </w:r>
      <w:r>
        <w:rPr>
          <w:i/>
          <w:iCs/>
        </w:rPr>
        <w:t>About Us: Directorate: Executive Director</w:t>
      </w:r>
      <w:r>
        <w:t xml:space="preserve">. </w:t>
      </w:r>
      <w:r w:rsidR="002F68D4">
        <w:t>(</w:t>
      </w:r>
      <w:r>
        <w:t>online</w:t>
      </w:r>
      <w:r w:rsidR="002F68D4">
        <w:t>)</w:t>
      </w:r>
      <w:r>
        <w:t xml:space="preserve"> Available at: </w:t>
      </w:r>
      <w:hyperlink r:id="rId18" w:history="1">
        <w:r>
          <w:rPr>
            <w:rStyle w:val="Hyperlink"/>
          </w:rPr>
          <w:t>https://www.unwomen.org/en/about-us/directorate/executive-director</w:t>
        </w:r>
      </w:hyperlink>
      <w:r>
        <w:t>.</w:t>
      </w:r>
    </w:p>
    <w:p w14:paraId="26B45AD7" w14:textId="077BEF6E" w:rsidR="00E22CC6" w:rsidRDefault="00000000">
      <w:r>
        <w:t>University of Michigan. (2024). </w:t>
      </w:r>
      <w:r>
        <w:rPr>
          <w:i/>
          <w:iCs/>
        </w:rPr>
        <w:t>Marketing and Communications | Diversity, Equity &amp; Inclusion | University of Michigan</w:t>
      </w:r>
      <w:r>
        <w:t xml:space="preserve">. </w:t>
      </w:r>
      <w:r w:rsidR="002F68D4">
        <w:t>(</w:t>
      </w:r>
      <w:r>
        <w:t>online</w:t>
      </w:r>
      <w:r w:rsidR="002F68D4">
        <w:t>)</w:t>
      </w:r>
      <w:r>
        <w:t xml:space="preserve"> Available at: </w:t>
      </w:r>
      <w:hyperlink r:id="rId19" w:history="1">
        <w:r>
          <w:rPr>
            <w:rStyle w:val="Hyperlink"/>
          </w:rPr>
          <w:t>https://diversity.umich.edu/dei-strategic-plan/building-an-institutional-plan/foundational-components/marketing-and-communications/</w:t>
        </w:r>
      </w:hyperlink>
      <w:r>
        <w:t>.</w:t>
      </w:r>
    </w:p>
    <w:p w14:paraId="700DB27C" w14:textId="5F91727A" w:rsidR="00E22CC6" w:rsidRDefault="00000000">
      <w:r>
        <w:lastRenderedPageBreak/>
        <w:t>Visiting London. (2024). </w:t>
      </w:r>
      <w:r>
        <w:rPr>
          <w:i/>
          <w:iCs/>
        </w:rPr>
        <w:t>Excel London</w:t>
      </w:r>
      <w:r>
        <w:t xml:space="preserve">. </w:t>
      </w:r>
      <w:r w:rsidR="00864BAB">
        <w:t>(</w:t>
      </w:r>
      <w:r>
        <w:t>online</w:t>
      </w:r>
      <w:r w:rsidR="00864BAB">
        <w:t>)</w:t>
      </w:r>
      <w:r>
        <w:t xml:space="preserve"> Available at: https://www.visitlondon.com/things-to-do/place/178413-excel-london?_gl=1 </w:t>
      </w:r>
      <w:r w:rsidR="002F68D4">
        <w:t>(</w:t>
      </w:r>
      <w:r>
        <w:t>Accessed 1 Feb. 2025</w:t>
      </w:r>
      <w:r w:rsidR="002F68D4">
        <w:t>).</w:t>
      </w:r>
    </w:p>
    <w:p w14:paraId="58852AB8" w14:textId="77777777" w:rsidR="00E22CC6" w:rsidRDefault="00E22CC6"/>
    <w:sectPr w:rsidR="00E22CC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9BF47" w14:textId="77777777" w:rsidR="000F065A" w:rsidRDefault="000F065A">
      <w:pPr>
        <w:spacing w:line="240" w:lineRule="auto"/>
      </w:pPr>
      <w:r>
        <w:separator/>
      </w:r>
    </w:p>
  </w:endnote>
  <w:endnote w:type="continuationSeparator" w:id="0">
    <w:p w14:paraId="7FBA9AC6" w14:textId="77777777" w:rsidR="000F065A" w:rsidRDefault="000F06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790A3" w14:textId="77777777" w:rsidR="000F065A" w:rsidRDefault="000F065A">
      <w:pPr>
        <w:spacing w:after="0"/>
      </w:pPr>
      <w:r>
        <w:separator/>
      </w:r>
    </w:p>
  </w:footnote>
  <w:footnote w:type="continuationSeparator" w:id="0">
    <w:p w14:paraId="0A098581" w14:textId="77777777" w:rsidR="000F065A" w:rsidRDefault="000F065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7514E"/>
    <w:multiLevelType w:val="multilevel"/>
    <w:tmpl w:val="2717514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60062122"/>
    <w:multiLevelType w:val="multilevel"/>
    <w:tmpl w:val="6006212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C4570CD"/>
    <w:multiLevelType w:val="multilevel"/>
    <w:tmpl w:val="6C4570C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84D79E4"/>
    <w:multiLevelType w:val="multilevel"/>
    <w:tmpl w:val="784D79E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14756181">
    <w:abstractNumId w:val="2"/>
  </w:num>
  <w:num w:numId="2" w16cid:durableId="1702365987">
    <w:abstractNumId w:val="1"/>
  </w:num>
  <w:num w:numId="3" w16cid:durableId="1512374928">
    <w:abstractNumId w:val="0"/>
  </w:num>
  <w:num w:numId="4" w16cid:durableId="695421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0MDYwtjA0sDAxMjJW0lEKTi0uzszPAykwqQUABuuVkSwAAAA="/>
  </w:docVars>
  <w:rsids>
    <w:rsidRoot w:val="00423317"/>
    <w:rsid w:val="000133F1"/>
    <w:rsid w:val="00025EB3"/>
    <w:rsid w:val="0005153F"/>
    <w:rsid w:val="000647D0"/>
    <w:rsid w:val="00077B44"/>
    <w:rsid w:val="000B41FA"/>
    <w:rsid w:val="000F065A"/>
    <w:rsid w:val="000F0EF0"/>
    <w:rsid w:val="00106259"/>
    <w:rsid w:val="00123472"/>
    <w:rsid w:val="00144940"/>
    <w:rsid w:val="00174B13"/>
    <w:rsid w:val="0019055C"/>
    <w:rsid w:val="001C532C"/>
    <w:rsid w:val="001D0046"/>
    <w:rsid w:val="001D0F37"/>
    <w:rsid w:val="001E7D0B"/>
    <w:rsid w:val="001F15C2"/>
    <w:rsid w:val="00246A93"/>
    <w:rsid w:val="002741D1"/>
    <w:rsid w:val="00293EFA"/>
    <w:rsid w:val="002A63DC"/>
    <w:rsid w:val="002B5A45"/>
    <w:rsid w:val="002D66B7"/>
    <w:rsid w:val="002F0212"/>
    <w:rsid w:val="002F68D4"/>
    <w:rsid w:val="003750DB"/>
    <w:rsid w:val="00376128"/>
    <w:rsid w:val="003943D3"/>
    <w:rsid w:val="003A1731"/>
    <w:rsid w:val="003B06BC"/>
    <w:rsid w:val="003E4422"/>
    <w:rsid w:val="003F6FDA"/>
    <w:rsid w:val="00403EB1"/>
    <w:rsid w:val="00404F19"/>
    <w:rsid w:val="0041555B"/>
    <w:rsid w:val="00423317"/>
    <w:rsid w:val="0043555F"/>
    <w:rsid w:val="004603DD"/>
    <w:rsid w:val="004649DA"/>
    <w:rsid w:val="00474B59"/>
    <w:rsid w:val="00476E34"/>
    <w:rsid w:val="00480544"/>
    <w:rsid w:val="004931F4"/>
    <w:rsid w:val="004B6EF4"/>
    <w:rsid w:val="004D4179"/>
    <w:rsid w:val="00501A85"/>
    <w:rsid w:val="00506D08"/>
    <w:rsid w:val="005215B8"/>
    <w:rsid w:val="0055693F"/>
    <w:rsid w:val="005B0BFB"/>
    <w:rsid w:val="005C14E4"/>
    <w:rsid w:val="005E1324"/>
    <w:rsid w:val="005F7E80"/>
    <w:rsid w:val="00615513"/>
    <w:rsid w:val="0063412B"/>
    <w:rsid w:val="0063644D"/>
    <w:rsid w:val="00653947"/>
    <w:rsid w:val="006744F3"/>
    <w:rsid w:val="006C4142"/>
    <w:rsid w:val="006C7CA8"/>
    <w:rsid w:val="006D43A6"/>
    <w:rsid w:val="006F161F"/>
    <w:rsid w:val="006F3E51"/>
    <w:rsid w:val="00722983"/>
    <w:rsid w:val="00726B38"/>
    <w:rsid w:val="007704E0"/>
    <w:rsid w:val="00777CB8"/>
    <w:rsid w:val="0079384E"/>
    <w:rsid w:val="007B2F3C"/>
    <w:rsid w:val="007D171F"/>
    <w:rsid w:val="00801684"/>
    <w:rsid w:val="00804F29"/>
    <w:rsid w:val="00830520"/>
    <w:rsid w:val="008600E2"/>
    <w:rsid w:val="008640B6"/>
    <w:rsid w:val="00864BAB"/>
    <w:rsid w:val="00876039"/>
    <w:rsid w:val="00880965"/>
    <w:rsid w:val="008F0124"/>
    <w:rsid w:val="008F2891"/>
    <w:rsid w:val="009123A5"/>
    <w:rsid w:val="00941EC7"/>
    <w:rsid w:val="00942BC3"/>
    <w:rsid w:val="00965B4E"/>
    <w:rsid w:val="0099106E"/>
    <w:rsid w:val="009B66A8"/>
    <w:rsid w:val="009C0D93"/>
    <w:rsid w:val="009E17E5"/>
    <w:rsid w:val="00A07B6B"/>
    <w:rsid w:val="00A11D6C"/>
    <w:rsid w:val="00A37E9D"/>
    <w:rsid w:val="00A73430"/>
    <w:rsid w:val="00AA3136"/>
    <w:rsid w:val="00AE6FC8"/>
    <w:rsid w:val="00B74B00"/>
    <w:rsid w:val="00B84970"/>
    <w:rsid w:val="00BB7D05"/>
    <w:rsid w:val="00BC6F13"/>
    <w:rsid w:val="00BD0273"/>
    <w:rsid w:val="00BD3E89"/>
    <w:rsid w:val="00BE097B"/>
    <w:rsid w:val="00BE5956"/>
    <w:rsid w:val="00C00EEB"/>
    <w:rsid w:val="00C0620F"/>
    <w:rsid w:val="00C2441D"/>
    <w:rsid w:val="00C43D49"/>
    <w:rsid w:val="00C46EA6"/>
    <w:rsid w:val="00C51DA5"/>
    <w:rsid w:val="00C80DBE"/>
    <w:rsid w:val="00C940E2"/>
    <w:rsid w:val="00CB470F"/>
    <w:rsid w:val="00CB7D39"/>
    <w:rsid w:val="00CC12F8"/>
    <w:rsid w:val="00CC3887"/>
    <w:rsid w:val="00CD7453"/>
    <w:rsid w:val="00CE2F99"/>
    <w:rsid w:val="00CE3FBE"/>
    <w:rsid w:val="00D00720"/>
    <w:rsid w:val="00D00D77"/>
    <w:rsid w:val="00D0378A"/>
    <w:rsid w:val="00D559A7"/>
    <w:rsid w:val="00D70765"/>
    <w:rsid w:val="00D77D9D"/>
    <w:rsid w:val="00D80AC6"/>
    <w:rsid w:val="00D86866"/>
    <w:rsid w:val="00DB7EB9"/>
    <w:rsid w:val="00DF3EC0"/>
    <w:rsid w:val="00E11F76"/>
    <w:rsid w:val="00E22CC6"/>
    <w:rsid w:val="00E32400"/>
    <w:rsid w:val="00E337CF"/>
    <w:rsid w:val="00E61470"/>
    <w:rsid w:val="00E95312"/>
    <w:rsid w:val="00EC512D"/>
    <w:rsid w:val="00EC5B77"/>
    <w:rsid w:val="00EF07DA"/>
    <w:rsid w:val="00EF75CD"/>
    <w:rsid w:val="00F20690"/>
    <w:rsid w:val="00FE304F"/>
    <w:rsid w:val="787B1FB1"/>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F8B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cs="Times New Roman"/>
      <w:sz w:val="24"/>
      <w:szCs w:val="32"/>
      <w:lang w:val="en-US" w:eastAsia="en-US" w:bidi="bn-BD"/>
    </w:rPr>
  </w:style>
  <w:style w:type="paragraph" w:styleId="Heading1">
    <w:name w:val="heading 1"/>
    <w:basedOn w:val="Normal"/>
    <w:next w:val="Normal"/>
    <w:link w:val="Heading1Char"/>
    <w:uiPriority w:val="9"/>
    <w:qFormat/>
    <w:pPr>
      <w:keepNext/>
      <w:keepLines/>
      <w:spacing w:before="240" w:after="0"/>
      <w:outlineLvl w:val="0"/>
    </w:pPr>
    <w:rPr>
      <w:rFonts w:eastAsiaTheme="majorEastAsia"/>
      <w:b/>
      <w:bCs/>
      <w:color w:val="000000" w:themeColor="text1"/>
      <w:sz w:val="32"/>
      <w:szCs w:val="40"/>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olor w:val="000000" w:themeColor="text1"/>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line="240" w:lineRule="auto"/>
    </w:pPr>
    <w:rPr>
      <w:i/>
      <w:iCs/>
      <w:color w:val="1F497D" w:themeColor="text2"/>
      <w:sz w:val="18"/>
      <w:szCs w:val="18"/>
      <w:lang w:bidi="ar-SA"/>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before="120" w:after="120" w:line="240" w:lineRule="auto"/>
    </w:pPr>
    <w:rPr>
      <w:sz w:val="20"/>
      <w:szCs w:val="20"/>
      <w:lang w:bidi="ar-SA"/>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szCs w:val="24"/>
      <w:lang w:bidi="ar-SA"/>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jc w:val="center"/>
    </w:pPr>
    <w:rPr>
      <w:rFonts w:eastAsiaTheme="majorEastAsia"/>
      <w:color w:val="000000" w:themeColor="text1"/>
      <w:spacing w:val="-10"/>
      <w:kern w:val="28"/>
      <w:sz w:val="56"/>
      <w:szCs w:val="71"/>
    </w:rPr>
  </w:style>
  <w:style w:type="character" w:customStyle="1" w:styleId="CommentTextChar">
    <w:name w:val="Comment Text Char"/>
    <w:basedOn w:val="DefaultParagraphFont"/>
    <w:link w:val="CommentText"/>
    <w:uiPriority w:val="99"/>
    <w:semiHidden/>
    <w:qFormat/>
    <w:rPr>
      <w:rFonts w:ascii="Times New Roman" w:hAnsi="Times New Roman"/>
      <w:sz w:val="20"/>
      <w:szCs w:val="20"/>
      <w:lang w:bidi="ar-SA"/>
    </w:rPr>
  </w:style>
  <w:style w:type="character" w:customStyle="1" w:styleId="Heading1Char">
    <w:name w:val="Heading 1 Char"/>
    <w:basedOn w:val="DefaultParagraphFont"/>
    <w:link w:val="Heading1"/>
    <w:uiPriority w:val="9"/>
    <w:qFormat/>
    <w:rPr>
      <w:rFonts w:ascii="Times New Roman" w:eastAsiaTheme="majorEastAsia" w:hAnsi="Times New Roman" w:cs="Times New Roman"/>
      <w:b/>
      <w:bCs/>
      <w:color w:val="000000" w:themeColor="text1"/>
      <w:sz w:val="32"/>
      <w:szCs w:val="40"/>
    </w:rPr>
  </w:style>
  <w:style w:type="character" w:customStyle="1" w:styleId="Heading2Char">
    <w:name w:val="Heading 2 Char"/>
    <w:basedOn w:val="DefaultParagraphFont"/>
    <w:link w:val="Heading2"/>
    <w:uiPriority w:val="9"/>
    <w:qFormat/>
    <w:rPr>
      <w:rFonts w:ascii="Times New Roman" w:eastAsiaTheme="majorEastAsia" w:hAnsi="Times New Roman" w:cs="Times New Roman"/>
      <w:color w:val="000000" w:themeColor="text1"/>
      <w:sz w:val="32"/>
      <w:szCs w:val="40"/>
    </w:rPr>
  </w:style>
  <w:style w:type="character" w:customStyle="1" w:styleId="TitleChar">
    <w:name w:val="Title Char"/>
    <w:basedOn w:val="DefaultParagraphFont"/>
    <w:link w:val="Title"/>
    <w:uiPriority w:val="10"/>
    <w:qFormat/>
    <w:rPr>
      <w:rFonts w:ascii="Times New Roman" w:eastAsiaTheme="majorEastAsia" w:hAnsi="Times New Roman" w:cs="Times New Roman"/>
      <w:color w:val="000000" w:themeColor="text1"/>
      <w:spacing w:val="-10"/>
      <w:kern w:val="28"/>
      <w:sz w:val="56"/>
      <w:szCs w:val="71"/>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rPr>
      <w:rFonts w:ascii="Times New Roman" w:hAnsi="Times New Roman" w:cs="Times New Roman"/>
      <w:sz w:val="24"/>
      <w:szCs w:val="32"/>
    </w:rPr>
  </w:style>
  <w:style w:type="character" w:customStyle="1" w:styleId="FooterChar">
    <w:name w:val="Footer Char"/>
    <w:basedOn w:val="DefaultParagraphFont"/>
    <w:link w:val="Footer"/>
    <w:uiPriority w:val="99"/>
    <w:qFormat/>
    <w:rPr>
      <w:rFonts w:ascii="Times New Roman" w:hAnsi="Times New Roman" w:cs="Times New Roman"/>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gitalscholarship.unlv.edu/cgi/viewcontent.cgi?article=1623&amp;context=thesesdissertations" TargetMode="External"/><Relationship Id="rId18" Type="http://schemas.openxmlformats.org/officeDocument/2006/relationships/hyperlink" Target="https://www.unwomen.org/en/about-us/directorate/executive-directo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orbes.com/councils/forbesbusinesscouncil/2022/11/15/the-importance-of-dei-initiatives-in-tech/" TargetMode="External"/><Relationship Id="rId17" Type="http://schemas.openxmlformats.org/officeDocument/2006/relationships/hyperlink" Target="https://livinginstitute.com/news/resources/dei-business-case/" TargetMode="External"/><Relationship Id="rId2" Type="http://schemas.openxmlformats.org/officeDocument/2006/relationships/styles" Target="styles.xml"/><Relationship Id="rId16" Type="http://schemas.openxmlformats.org/officeDocument/2006/relationships/hyperlink" Target="https://conferences.shrm.org/inclus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xcel.london/organiser" TargetMode="External"/><Relationship Id="rId5" Type="http://schemas.openxmlformats.org/officeDocument/2006/relationships/footnotes" Target="footnotes.xml"/><Relationship Id="rId15" Type="http://schemas.openxmlformats.org/officeDocument/2006/relationships/hyperlink" Target="https://www.softwaresuggest.com/blog/top-hr-managers/" TargetMode="External"/><Relationship Id="rId10" Type="http://schemas.openxmlformats.org/officeDocument/2006/relationships/hyperlink" Target="https://www.thomas.co/resources/type/hr-blog/importance-cultural-diversity-workplace" TargetMode="External"/><Relationship Id="rId19" Type="http://schemas.openxmlformats.org/officeDocument/2006/relationships/hyperlink" Target="https://diversity.umich.edu/dei-strategic-plan/building-an-institutional-plan/foundational-components/marketing-and-communications/" TargetMode="External"/><Relationship Id="rId4" Type="http://schemas.openxmlformats.org/officeDocument/2006/relationships/webSettings" Target="webSettings.xml"/><Relationship Id="rId9" Type="http://schemas.openxmlformats.org/officeDocument/2006/relationships/hyperlink" Target="https://www.amd.com/en/corporate/leadership/lisa-su.html" TargetMode="External"/><Relationship Id="rId14" Type="http://schemas.openxmlformats.org/officeDocument/2006/relationships/hyperlink" Target="https://commonslibrary.parliament.uk/research-briefings/sn063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4019</Words>
  <Characters>22912</Characters>
  <Application>Microsoft Office Word</Application>
  <DocSecurity>0</DocSecurity>
  <Lines>190</Lines>
  <Paragraphs>53</Paragraphs>
  <ScaleCrop>false</ScaleCrop>
  <LinksUpToDate>false</LinksUpToDate>
  <CharactersWithSpaces>26878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2025-02-28T11:25:00Z</dcterms:created>
  <dcterms:modified xsi:type="dcterms:W3CDTF">2025-02-28T16:57:00Z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23a3717cff7acc0a88fcf2fb6da2116e49264a548c06150b30f61718208d079b</vt:lpwstr>
  </property>
  <property fmtid="{D5CDD505-2E9C-101B-9397-08002B2CF9AE}" pid="3" name="KSOProductBuildVer">
    <vt:lpwstr>1033-12.2.0.20323</vt:lpwstr>
  </property>
  <property fmtid="{D5CDD505-2E9C-101B-9397-08002B2CF9AE}" pid="4" name="ICV">
    <vt:lpwstr>3274C12D79674AD78E294274B5FE27A4_12</vt:lpwstr>
  </property>
</Properties>
</file>