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17C82" w14:textId="7D165739" w:rsidR="00BA539A" w:rsidRPr="00D24A13" w:rsidRDefault="00087CFD">
      <w:pPr>
        <w:rPr>
          <w:b/>
          <w:bCs/>
        </w:rPr>
      </w:pPr>
      <w:r w:rsidRPr="00D24A13">
        <w:rPr>
          <w:b/>
          <w:bCs/>
        </w:rPr>
        <w:t xml:space="preserve">Why </w:t>
      </w:r>
      <w:r w:rsidR="00D24A13" w:rsidRPr="00D24A13">
        <w:rPr>
          <w:b/>
          <w:bCs/>
        </w:rPr>
        <w:t>does heritage matter?</w:t>
      </w:r>
    </w:p>
    <w:p w14:paraId="27710D8E" w14:textId="6FB474C1" w:rsidR="00FC22C8" w:rsidRDefault="009148BC">
      <w:r>
        <w:t>On the 11</w:t>
      </w:r>
      <w:r w:rsidRPr="009148BC">
        <w:rPr>
          <w:vertAlign w:val="superscript"/>
        </w:rPr>
        <w:t>th</w:t>
      </w:r>
      <w:r>
        <w:t xml:space="preserve"> of March of 2023, </w:t>
      </w:r>
      <w:r w:rsidR="005F27CC">
        <w:t xml:space="preserve">a Ukrainian </w:t>
      </w:r>
      <w:r w:rsidR="00E474FC">
        <w:t xml:space="preserve">art historian, Yevheniia Moliar, published an article in </w:t>
      </w:r>
      <w:r w:rsidR="00E474FC" w:rsidRPr="003153C0">
        <w:rPr>
          <w:i/>
          <w:iCs/>
        </w:rPr>
        <w:t>The Spectator</w:t>
      </w:r>
      <w:r w:rsidR="00E474FC">
        <w:t xml:space="preserve"> </w:t>
      </w:r>
      <w:r w:rsidR="00797456">
        <w:t>entitled “Ukraine must stop destroying its cultural heritage”.</w:t>
      </w:r>
      <w:r w:rsidR="00AB0F9E">
        <w:rPr>
          <w:rStyle w:val="FootnoteReference"/>
        </w:rPr>
        <w:footnoteReference w:id="1"/>
      </w:r>
      <w:r w:rsidR="00AB0F9E">
        <w:t xml:space="preserve"> </w:t>
      </w:r>
      <w:r w:rsidR="00A33AE4">
        <w:t xml:space="preserve">In </w:t>
      </w:r>
      <w:r w:rsidR="005F3CD1">
        <w:t>it</w:t>
      </w:r>
      <w:r w:rsidR="00A33AE4">
        <w:t xml:space="preserve"> Moliar argue</w:t>
      </w:r>
      <w:r w:rsidR="005F3CD1">
        <w:t>d</w:t>
      </w:r>
      <w:r w:rsidR="00A33AE4">
        <w:t xml:space="preserve"> that </w:t>
      </w:r>
      <w:r w:rsidR="00C16115">
        <w:t xml:space="preserve">the </w:t>
      </w:r>
      <w:r w:rsidR="00842612">
        <w:t xml:space="preserve">ongoing </w:t>
      </w:r>
      <w:r w:rsidR="00C16115">
        <w:t>destruction of Soviet</w:t>
      </w:r>
      <w:r w:rsidR="00842612">
        <w:t>-</w:t>
      </w:r>
      <w:r w:rsidR="00C16115">
        <w:t>era monuments, statues and art in Ukraine</w:t>
      </w:r>
      <w:r w:rsidR="001E2798">
        <w:t xml:space="preserve"> is tantamount to destroying </w:t>
      </w:r>
      <w:r w:rsidR="00FC22C8">
        <w:t>part of Ukraine’s history</w:t>
      </w:r>
      <w:r w:rsidR="00B02821">
        <w:t>,</w:t>
      </w:r>
      <w:r w:rsidR="00FC22C8">
        <w:t xml:space="preserve"> and</w:t>
      </w:r>
      <w:r w:rsidR="00B02821">
        <w:t xml:space="preserve"> by extension </w:t>
      </w:r>
      <w:r w:rsidR="00BA2EE3">
        <w:t xml:space="preserve">part of </w:t>
      </w:r>
      <w:r w:rsidR="00C700AD">
        <w:t>Ukrainian</w:t>
      </w:r>
      <w:r w:rsidR="00FC22C8">
        <w:t xml:space="preserve"> identity</w:t>
      </w:r>
      <w:r w:rsidR="00B35462">
        <w:t xml:space="preserve"> (emphasis added)</w:t>
      </w:r>
      <w:r w:rsidR="00FC22C8">
        <w:t>:</w:t>
      </w:r>
    </w:p>
    <w:p w14:paraId="297A3C71" w14:textId="3AC13F21" w:rsidR="00B35462" w:rsidRPr="00B35462" w:rsidRDefault="00B35462" w:rsidP="00B35462">
      <w:pPr>
        <w:ind w:left="720"/>
        <w:rPr>
          <w:i/>
          <w:iCs/>
        </w:rPr>
      </w:pPr>
      <w:r w:rsidRPr="00B35462">
        <w:rPr>
          <w:i/>
          <w:iCs/>
        </w:rPr>
        <w:t xml:space="preserve">Ukrainians lived under the USSR for almost 70 years. There were those who did not accept Soviet power and those who fought against it. There were supporters and party leaders, and those who simply lived and survived as best they could. Modern Ukrainians are their descendants. Soviet history in Ukraine </w:t>
      </w:r>
      <w:proofErr w:type="gramStart"/>
      <w:r w:rsidRPr="00B35462">
        <w:rPr>
          <w:i/>
          <w:iCs/>
        </w:rPr>
        <w:t>is preserved</w:t>
      </w:r>
      <w:proofErr w:type="gramEnd"/>
      <w:r w:rsidRPr="00B35462">
        <w:rPr>
          <w:i/>
          <w:iCs/>
        </w:rPr>
        <w:t xml:space="preserve"> not only in museums and monuments but in every family photo album. In destroying Soviet art, </w:t>
      </w:r>
      <w:r w:rsidRPr="00B35462">
        <w:rPr>
          <w:i/>
          <w:iCs/>
          <w:u w:val="single"/>
        </w:rPr>
        <w:t>we destroy a part of our own history</w:t>
      </w:r>
      <w:r w:rsidRPr="00B35462">
        <w:rPr>
          <w:i/>
          <w:iCs/>
        </w:rPr>
        <w:t>.</w:t>
      </w:r>
      <w:r>
        <w:rPr>
          <w:rStyle w:val="FootnoteReference"/>
          <w:i/>
          <w:iCs/>
        </w:rPr>
        <w:footnoteReference w:id="2"/>
      </w:r>
    </w:p>
    <w:p w14:paraId="4C86B72B" w14:textId="48EE1961" w:rsidR="0029560C" w:rsidRDefault="008860FC" w:rsidP="00382366">
      <w:r>
        <w:t xml:space="preserve">Moliar emphasises that </w:t>
      </w:r>
      <w:r w:rsidR="006F401F">
        <w:t>Soviet</w:t>
      </w:r>
      <w:r w:rsidR="00C93F77">
        <w:t>-</w:t>
      </w:r>
      <w:r w:rsidR="006F401F">
        <w:t xml:space="preserve">era monuments </w:t>
      </w:r>
      <w:r w:rsidR="009A0536">
        <w:t xml:space="preserve">reflect </w:t>
      </w:r>
      <w:r w:rsidR="006F401F">
        <w:t>both Soviet domination</w:t>
      </w:r>
      <w:r w:rsidR="00B311F7">
        <w:t xml:space="preserve"> and rule, </w:t>
      </w:r>
      <w:r w:rsidR="005A377E">
        <w:t>and</w:t>
      </w:r>
      <w:r w:rsidR="00B311F7">
        <w:t xml:space="preserve"> the daily life and identity of the Ukrainians who lived through it and their descendants.</w:t>
      </w:r>
      <w:r w:rsidR="00A02C89">
        <w:t xml:space="preserve"> </w:t>
      </w:r>
      <w:r w:rsidR="00802C06">
        <w:t xml:space="preserve">She connects Soviet art to both the political and private </w:t>
      </w:r>
      <w:r w:rsidR="00AA0E76">
        <w:t>realms of Ukrainian life</w:t>
      </w:r>
      <w:r w:rsidR="001C148F">
        <w:t xml:space="preserve">. In doing this Moliar </w:t>
      </w:r>
      <w:r w:rsidR="005D6065">
        <w:t xml:space="preserve">is essentially arguing that </w:t>
      </w:r>
      <w:r w:rsidR="00653C91">
        <w:t xml:space="preserve">these monuments have an important role to play in Ukrainian public life and identity. </w:t>
      </w:r>
      <w:proofErr w:type="gramStart"/>
      <w:r w:rsidR="0057190A">
        <w:t>Arguably</w:t>
      </w:r>
      <w:r w:rsidR="00653C91">
        <w:t>, activists</w:t>
      </w:r>
      <w:proofErr w:type="gramEnd"/>
      <w:r w:rsidR="00653C91">
        <w:t xml:space="preserve"> who are seeking to destroy these monuments are</w:t>
      </w:r>
      <w:r w:rsidR="00DC605C">
        <w:t xml:space="preserve"> also recognising their cultural importance.</w:t>
      </w:r>
    </w:p>
    <w:p w14:paraId="5F93917A" w14:textId="77777777" w:rsidR="00BA196F" w:rsidRDefault="00CF7235" w:rsidP="00382366">
      <w:r>
        <w:t xml:space="preserve">This example illustrates </w:t>
      </w:r>
      <w:r w:rsidR="008B054A">
        <w:t xml:space="preserve">how heritage is more than </w:t>
      </w:r>
      <w:r w:rsidR="00B575EF">
        <w:t xml:space="preserve">old objects or buildings. It is </w:t>
      </w:r>
      <w:r w:rsidR="00DF1D14">
        <w:t xml:space="preserve">also political, </w:t>
      </w:r>
      <w:proofErr w:type="gramStart"/>
      <w:r w:rsidR="00276616">
        <w:t>cultural</w:t>
      </w:r>
      <w:proofErr w:type="gramEnd"/>
      <w:r w:rsidR="00A14323">
        <w:t xml:space="preserve"> </w:t>
      </w:r>
      <w:r w:rsidR="00AA5284">
        <w:t>and personal</w:t>
      </w:r>
      <w:r w:rsidR="00C53480">
        <w:t xml:space="preserve">. </w:t>
      </w:r>
      <w:r w:rsidR="00E3608B">
        <w:t>As Peter Howard has noted when</w:t>
      </w:r>
      <w:r w:rsidR="00382366">
        <w:t xml:space="preserve"> discussing the role of history in the politics of Northern Ireland: “</w:t>
      </w:r>
      <w:r w:rsidR="00382366" w:rsidRPr="00382366">
        <w:t>Everywhere heritage matters;</w:t>
      </w:r>
      <w:r w:rsidR="00382366">
        <w:t xml:space="preserve"> </w:t>
      </w:r>
      <w:r w:rsidR="00382366" w:rsidRPr="00382366">
        <w:t>identities are being fought over; traditions are being insulted. Heritage is of</w:t>
      </w:r>
      <w:r w:rsidR="00382366">
        <w:t xml:space="preserve"> </w:t>
      </w:r>
      <w:r w:rsidR="00382366" w:rsidRPr="00382366">
        <w:t>concern to all people who believe in something, or who simply believe they are</w:t>
      </w:r>
      <w:r w:rsidR="00382366">
        <w:t xml:space="preserve"> </w:t>
      </w:r>
      <w:r w:rsidR="00382366" w:rsidRPr="00382366">
        <w:t>different</w:t>
      </w:r>
      <w:r w:rsidR="00382366">
        <w:t>”</w:t>
      </w:r>
      <w:r w:rsidR="00382366" w:rsidRPr="00382366">
        <w:t>.</w:t>
      </w:r>
      <w:r w:rsidR="0045692C">
        <w:rPr>
          <w:rStyle w:val="FootnoteReference"/>
        </w:rPr>
        <w:footnoteReference w:id="3"/>
      </w:r>
      <w:r w:rsidR="000F00FB">
        <w:t xml:space="preserve"> Therefore Howard, like Moliar, </w:t>
      </w:r>
      <w:r w:rsidR="00E9186D">
        <w:t>conceives</w:t>
      </w:r>
      <w:r w:rsidR="00D07783">
        <w:t xml:space="preserve"> of</w:t>
      </w:r>
      <w:r w:rsidR="000F00FB">
        <w:t xml:space="preserve"> heritage as </w:t>
      </w:r>
      <w:r w:rsidR="00AF0CCA">
        <w:t>how</w:t>
      </w:r>
      <w:r w:rsidR="00C52945">
        <w:t xml:space="preserve"> people understand their own history, traditions and </w:t>
      </w:r>
      <w:r w:rsidR="009B1825">
        <w:t>identity within the landscape which they inhabit</w:t>
      </w:r>
      <w:r w:rsidR="001C1339">
        <w:t xml:space="preserve">, and </w:t>
      </w:r>
      <w:r w:rsidR="00AF0CCA">
        <w:t xml:space="preserve">use this </w:t>
      </w:r>
      <w:r w:rsidR="00994BB1">
        <w:t xml:space="preserve">understanding </w:t>
      </w:r>
      <w:r w:rsidR="001C1339">
        <w:t>as a reference point for current values and actions.</w:t>
      </w:r>
    </w:p>
    <w:p w14:paraId="5D1D260F" w14:textId="68A1B4BB" w:rsidR="00D24A13" w:rsidRDefault="00E10CD2" w:rsidP="00382366">
      <w:r>
        <w:t xml:space="preserve">On this understanding, both the art historian trying to preserve the Soviet monument, and the activist trying to destroy it are both </w:t>
      </w:r>
      <w:r w:rsidR="007F7821">
        <w:t>interpreting the object in relation to their personal identity</w:t>
      </w:r>
      <w:r w:rsidR="001D4294">
        <w:t xml:space="preserve"> and their politics. The </w:t>
      </w:r>
      <w:r w:rsidR="00023BF6">
        <w:t xml:space="preserve">art historian accepts the monument as an aspect of their personal history, while the activist rejects it, however both are </w:t>
      </w:r>
      <w:r w:rsidR="005807FF">
        <w:t xml:space="preserve">interpreting the value of the monument, albeit in different ways. </w:t>
      </w:r>
      <w:r w:rsidR="00730151">
        <w:t>Therefore</w:t>
      </w:r>
      <w:r w:rsidR="009720D3">
        <w:t>,</w:t>
      </w:r>
      <w:r w:rsidR="00730151">
        <w:t xml:space="preserve"> b</w:t>
      </w:r>
      <w:r w:rsidR="00E16854">
        <w:t xml:space="preserve">oth understand the monument as cultural heritage </w:t>
      </w:r>
      <w:r w:rsidR="009E65A9">
        <w:t xml:space="preserve">and </w:t>
      </w:r>
      <w:r w:rsidR="00E16854">
        <w:t xml:space="preserve">both are </w:t>
      </w:r>
      <w:r w:rsidR="00E16854" w:rsidRPr="00B5478F">
        <w:rPr>
          <w:i/>
          <w:iCs/>
        </w:rPr>
        <w:t>practicing heritage</w:t>
      </w:r>
      <w:r w:rsidR="00270AF0">
        <w:t>, in that they are both arguing about how best to interpret and understand the relics of the past</w:t>
      </w:r>
      <w:r w:rsidR="00CD482A">
        <w:t xml:space="preserve">, and how </w:t>
      </w:r>
      <w:r w:rsidR="00E83D61">
        <w:t>they</w:t>
      </w:r>
      <w:r w:rsidR="00CD482A">
        <w:t xml:space="preserve"> should be used</w:t>
      </w:r>
      <w:r w:rsidR="00FF2BD8">
        <w:t xml:space="preserve"> -</w:t>
      </w:r>
      <w:r w:rsidR="00CD482A">
        <w:t xml:space="preserve"> or not</w:t>
      </w:r>
      <w:r w:rsidR="006273C3">
        <w:t xml:space="preserve"> used</w:t>
      </w:r>
      <w:r w:rsidR="00FF2BD8">
        <w:t xml:space="preserve"> -</w:t>
      </w:r>
      <w:r w:rsidR="00CD482A">
        <w:t xml:space="preserve"> in the present.</w:t>
      </w:r>
    </w:p>
    <w:p w14:paraId="1487A592" w14:textId="114ED7B3" w:rsidR="00FC37D5" w:rsidRDefault="00CC62A9" w:rsidP="00382366">
      <w:r>
        <w:lastRenderedPageBreak/>
        <w:t xml:space="preserve">This reflects </w:t>
      </w:r>
      <w:r w:rsidR="003D032C">
        <w:t xml:space="preserve">Rodney </w:t>
      </w:r>
      <w:r w:rsidR="003408BC">
        <w:t xml:space="preserve">Harrison’s understanding of </w:t>
      </w:r>
      <w:r w:rsidR="00D63B4D">
        <w:t xml:space="preserve">heritage as consisting of both the </w:t>
      </w:r>
      <w:r w:rsidR="00D63B4D" w:rsidRPr="003D032C">
        <w:rPr>
          <w:i/>
          <w:iCs/>
        </w:rPr>
        <w:t>objects and places</w:t>
      </w:r>
      <w:r w:rsidR="00D63B4D">
        <w:t xml:space="preserve"> of heritage, as well as the </w:t>
      </w:r>
      <w:r w:rsidR="00D63B4D" w:rsidRPr="003D032C">
        <w:rPr>
          <w:i/>
          <w:iCs/>
        </w:rPr>
        <w:t>practices</w:t>
      </w:r>
      <w:r w:rsidR="00D63B4D">
        <w:t xml:space="preserve"> of heritage.</w:t>
      </w:r>
      <w:r w:rsidR="007B3A3F">
        <w:rPr>
          <w:rStyle w:val="FootnoteReference"/>
        </w:rPr>
        <w:footnoteReference w:id="4"/>
      </w:r>
      <w:r w:rsidR="007B3A3F">
        <w:t xml:space="preserve"> </w:t>
      </w:r>
      <w:r w:rsidR="0055483D">
        <w:t xml:space="preserve">The </w:t>
      </w:r>
      <w:r w:rsidR="0055483D" w:rsidRPr="0072595A">
        <w:rPr>
          <w:i/>
          <w:iCs/>
        </w:rPr>
        <w:t>objects and places</w:t>
      </w:r>
      <w:r w:rsidR="0055483D">
        <w:t xml:space="preserve"> of heritage consist of the historic buildings, archaeological sites</w:t>
      </w:r>
      <w:r w:rsidR="003E4696">
        <w:t>,</w:t>
      </w:r>
      <w:r w:rsidR="0055483D">
        <w:t xml:space="preserve"> and other places of recognised historic </w:t>
      </w:r>
      <w:r w:rsidR="003F50D5">
        <w:t>interest</w:t>
      </w:r>
      <w:r w:rsidR="00E723FF">
        <w:t xml:space="preserve">, </w:t>
      </w:r>
      <w:r w:rsidR="000B0C87">
        <w:t xml:space="preserve">such as the Soviet monuments in the Ukrainian example. The </w:t>
      </w:r>
      <w:r w:rsidR="000B0C87" w:rsidRPr="0072595A">
        <w:rPr>
          <w:i/>
          <w:iCs/>
        </w:rPr>
        <w:t>practices</w:t>
      </w:r>
      <w:r w:rsidR="000B0C87">
        <w:t xml:space="preserve"> of heritage </w:t>
      </w:r>
      <w:r w:rsidR="00D16C84">
        <w:t xml:space="preserve">comprise the cultural </w:t>
      </w:r>
      <w:r w:rsidR="00E2034B">
        <w:t>information that is passed down through generations</w:t>
      </w:r>
      <w:r w:rsidR="00466AB3">
        <w:t>, such as language, customs</w:t>
      </w:r>
      <w:r w:rsidR="00190EB5">
        <w:t>,</w:t>
      </w:r>
      <w:r w:rsidR="00466AB3">
        <w:t xml:space="preserve"> and traditions, which </w:t>
      </w:r>
      <w:r w:rsidR="001E29BE">
        <w:t xml:space="preserve">help to shape the collective memory </w:t>
      </w:r>
      <w:r w:rsidR="007B5DCF">
        <w:t xml:space="preserve">and identity </w:t>
      </w:r>
      <w:r w:rsidR="001E29BE">
        <w:t xml:space="preserve">of a </w:t>
      </w:r>
      <w:r w:rsidR="007B5DCF">
        <w:t>culture</w:t>
      </w:r>
      <w:r w:rsidR="002F78AC">
        <w:t xml:space="preserve">. These practices of heritage </w:t>
      </w:r>
      <w:r w:rsidR="001D5E12">
        <w:t xml:space="preserve">also </w:t>
      </w:r>
      <w:r w:rsidR="002F78AC">
        <w:t xml:space="preserve">govern how </w:t>
      </w:r>
      <w:r w:rsidR="00591B93">
        <w:t>cultures interact with the relics of the past within their context, including deciding what is worthy of protection and preservation, and what isn’t</w:t>
      </w:r>
      <w:r w:rsidR="003C165E">
        <w:t>.</w:t>
      </w:r>
      <w:r w:rsidR="00F7023F">
        <w:rPr>
          <w:rStyle w:val="FootnoteReference"/>
        </w:rPr>
        <w:footnoteReference w:id="5"/>
      </w:r>
      <w:r w:rsidR="00A338E6">
        <w:t xml:space="preserve"> </w:t>
      </w:r>
      <w:r w:rsidR="001D5E12">
        <w:t xml:space="preserve">What is interesting in the Ukrainian example is that </w:t>
      </w:r>
      <w:r w:rsidR="004C211B">
        <w:t>what Harrison calls the</w:t>
      </w:r>
      <w:r w:rsidR="001D5E12">
        <w:t xml:space="preserve"> </w:t>
      </w:r>
      <w:r w:rsidR="004C211B" w:rsidRPr="00C50912">
        <w:rPr>
          <w:i/>
          <w:iCs/>
        </w:rPr>
        <w:t>practice</w:t>
      </w:r>
      <w:r w:rsidR="004C211B">
        <w:t xml:space="preserve"> of heritage is disputed, </w:t>
      </w:r>
      <w:r w:rsidR="000A330B">
        <w:t xml:space="preserve">a situation which </w:t>
      </w:r>
      <w:r w:rsidR="00FF430A">
        <w:t>is predicted in Howard’s work.</w:t>
      </w:r>
      <w:r w:rsidR="00FF430A">
        <w:rPr>
          <w:rStyle w:val="FootnoteReference"/>
        </w:rPr>
        <w:footnoteReference w:id="6"/>
      </w:r>
      <w:r w:rsidR="00FF430A">
        <w:t xml:space="preserve"> </w:t>
      </w:r>
      <w:r w:rsidR="000B2B60">
        <w:t xml:space="preserve">As Moliar notes in her article, the </w:t>
      </w:r>
      <w:r w:rsidR="001120EF">
        <w:t xml:space="preserve">political history of </w:t>
      </w:r>
      <w:r w:rsidR="00AD68D9">
        <w:t>Ukraine, which produced the Soviet monuments</w:t>
      </w:r>
      <w:r w:rsidR="00001390">
        <w:t>, has also shaped and informed the practice of heritage within that culture</w:t>
      </w:r>
      <w:r w:rsidR="00313E0F">
        <w:t xml:space="preserve">. However, </w:t>
      </w:r>
      <w:r w:rsidR="00697EDE">
        <w:t>the collapse of the Soviet regime, and the current war between Russia and Ukraine</w:t>
      </w:r>
      <w:r w:rsidR="00313E0F">
        <w:t xml:space="preserve">, </w:t>
      </w:r>
      <w:r w:rsidR="00234A14">
        <w:t xml:space="preserve">has had, and </w:t>
      </w:r>
      <w:r w:rsidR="00561C72">
        <w:t>will</w:t>
      </w:r>
      <w:r w:rsidR="00234A14">
        <w:t xml:space="preserve"> continue to</w:t>
      </w:r>
      <w:r w:rsidR="00561C72">
        <w:t xml:space="preserve"> have profound cultural impacts, which will in turn </w:t>
      </w:r>
      <w:r w:rsidR="00D56004">
        <w:t xml:space="preserve">create tension in how heritage </w:t>
      </w:r>
      <w:proofErr w:type="gramStart"/>
      <w:r w:rsidR="00D56004">
        <w:t xml:space="preserve">is </w:t>
      </w:r>
      <w:r w:rsidR="00FC37D5">
        <w:t>practiced</w:t>
      </w:r>
      <w:proofErr w:type="gramEnd"/>
      <w:r w:rsidR="00FC37D5">
        <w:t>, as is evidenced by Moliar’s article.</w:t>
      </w:r>
    </w:p>
    <w:p w14:paraId="5C05483B" w14:textId="36EA62D4" w:rsidR="00E158E7" w:rsidRDefault="002646AE" w:rsidP="00382366">
      <w:r>
        <w:t xml:space="preserve">Potentially what is </w:t>
      </w:r>
      <w:proofErr w:type="gramStart"/>
      <w:r>
        <w:t>being witnessed</w:t>
      </w:r>
      <w:proofErr w:type="gramEnd"/>
      <w:r>
        <w:t xml:space="preserve"> </w:t>
      </w:r>
      <w:r w:rsidR="00F13B45">
        <w:t>are</w:t>
      </w:r>
      <w:r>
        <w:t xml:space="preserve"> competing discourses about </w:t>
      </w:r>
      <w:r w:rsidR="00062271">
        <w:t>heritage</w:t>
      </w:r>
      <w:r w:rsidR="009B145C">
        <w:t xml:space="preserve"> from powerful forces within the culture. </w:t>
      </w:r>
      <w:r w:rsidR="004C748A">
        <w:t xml:space="preserve">Laurajane Smith has highlighted </w:t>
      </w:r>
      <w:r w:rsidR="002454A6">
        <w:t>the role of heritage discourses in shaping cultural understanding of heritage</w:t>
      </w:r>
      <w:r w:rsidR="002E45B8">
        <w:t>, a process she has labelled “authorised heritage discourse”, or AHD.</w:t>
      </w:r>
      <w:r w:rsidR="002E45B8">
        <w:rPr>
          <w:rStyle w:val="FootnoteReference"/>
        </w:rPr>
        <w:footnoteReference w:id="7"/>
      </w:r>
      <w:r w:rsidR="002E45B8">
        <w:t xml:space="preserve"> </w:t>
      </w:r>
      <w:r w:rsidR="002F27AC">
        <w:t xml:space="preserve">Smith notes that how cultural heritage is </w:t>
      </w:r>
      <w:r w:rsidR="009D0506">
        <w:t xml:space="preserve">represented, understood, preserved, </w:t>
      </w:r>
      <w:r w:rsidR="00A609EC">
        <w:t xml:space="preserve">and promoted is controlled by </w:t>
      </w:r>
      <w:r w:rsidR="002D32A0">
        <w:t>elite</w:t>
      </w:r>
      <w:r w:rsidR="00A609EC">
        <w:t xml:space="preserve"> elements within society, namely politic</w:t>
      </w:r>
      <w:r w:rsidR="002D32A0">
        <w:t>ians</w:t>
      </w:r>
      <w:r w:rsidR="00A609EC">
        <w:t xml:space="preserve">, and academic </w:t>
      </w:r>
      <w:r w:rsidR="00F75402">
        <w:t>and professional heritage practitioners</w:t>
      </w:r>
      <w:r w:rsidR="003F580A">
        <w:t xml:space="preserve">, who are able to name what is heritage, and what isn’t, and control narratives of meaning around the objects and places </w:t>
      </w:r>
      <w:r w:rsidR="00365891">
        <w:t>identified.</w:t>
      </w:r>
      <w:r w:rsidR="00365891">
        <w:rPr>
          <w:rStyle w:val="FootnoteReference"/>
        </w:rPr>
        <w:footnoteReference w:id="8"/>
      </w:r>
      <w:r w:rsidR="00654469">
        <w:t xml:space="preserve"> </w:t>
      </w:r>
      <w:r w:rsidR="00010407">
        <w:t xml:space="preserve">Smith also notes that this </w:t>
      </w:r>
      <w:r w:rsidR="001E5899">
        <w:t xml:space="preserve">tends to result in elite understandings of heritage being universalised </w:t>
      </w:r>
      <w:r w:rsidR="004D1E8F">
        <w:t>within a culture</w:t>
      </w:r>
      <w:r w:rsidR="00FE0FA7">
        <w:t xml:space="preserve">, which in turn </w:t>
      </w:r>
      <w:r w:rsidR="0015066E">
        <w:t>marginalises minority understandings of heritage</w:t>
      </w:r>
      <w:r w:rsidR="005D3F99">
        <w:t>, and disregards much of the “memory work” being done by non-expert members of a society at heritage sites</w:t>
      </w:r>
      <w:r w:rsidR="00425796">
        <w:t>.</w:t>
      </w:r>
      <w:r w:rsidR="00425796">
        <w:rPr>
          <w:rStyle w:val="FootnoteReference"/>
        </w:rPr>
        <w:footnoteReference w:id="9"/>
      </w:r>
      <w:r w:rsidR="0015066E">
        <w:t xml:space="preserve"> </w:t>
      </w:r>
      <w:r w:rsidR="00243A74">
        <w:t>The AHD is also political in nature, in that for the discourse to have effect within a society</w:t>
      </w:r>
      <w:r w:rsidR="00947551">
        <w:t>,</w:t>
      </w:r>
      <w:r w:rsidR="00243A74">
        <w:t xml:space="preserve"> mechanisms must exist within that society to give prominence to the expert groups who </w:t>
      </w:r>
      <w:r w:rsidR="00073B88">
        <w:t>articulate that discourse. In her work, Smith highlights the role of UNESCO, and various charters</w:t>
      </w:r>
      <w:r w:rsidR="00880560">
        <w:t xml:space="preserve">, such as the Venice Charter and the World Heritage Convention, in shaping the AHD </w:t>
      </w:r>
      <w:r w:rsidR="00880560">
        <w:lastRenderedPageBreak/>
        <w:t xml:space="preserve">of the </w:t>
      </w:r>
      <w:r w:rsidR="00CC5E77">
        <w:t>nations</w:t>
      </w:r>
      <w:r w:rsidR="00880560">
        <w:t xml:space="preserve"> that </w:t>
      </w:r>
      <w:r w:rsidR="007125E5">
        <w:t xml:space="preserve">have signed up to </w:t>
      </w:r>
      <w:r w:rsidR="00193490">
        <w:t>them and</w:t>
      </w:r>
      <w:r w:rsidR="007125E5">
        <w:t xml:space="preserve"> incorporated them into their heritage management practices.</w:t>
      </w:r>
      <w:r w:rsidR="007125E5">
        <w:rPr>
          <w:rStyle w:val="FootnoteReference"/>
        </w:rPr>
        <w:footnoteReference w:id="10"/>
      </w:r>
    </w:p>
    <w:p w14:paraId="0C1E183E" w14:textId="22FA41D6" w:rsidR="002768B3" w:rsidRDefault="00A55A0A" w:rsidP="00382366">
      <w:r>
        <w:t xml:space="preserve">This confluence of </w:t>
      </w:r>
      <w:r w:rsidR="005F0EDE">
        <w:t>political, elite</w:t>
      </w:r>
      <w:r w:rsidR="00E366A0">
        <w:t>,</w:t>
      </w:r>
      <w:r w:rsidR="005F0EDE">
        <w:t xml:space="preserve"> </w:t>
      </w:r>
      <w:r w:rsidR="00692BF4">
        <w:t>academic and professional interests in determining what heritage is and how it is understood is readily observed</w:t>
      </w:r>
      <w:r w:rsidR="00EE2948">
        <w:t xml:space="preserve"> in many contexts. For example, in England, </w:t>
      </w:r>
      <w:r w:rsidR="005F53CE">
        <w:t>heritage is managed in the planning and development process</w:t>
      </w:r>
      <w:r w:rsidR="00B90887">
        <w:t xml:space="preserve"> through policies provided in the National Planning Policy Framework (NPPF)</w:t>
      </w:r>
      <w:r w:rsidR="001342AA">
        <w:t>, and laws such as the 1990 Planning (Listed Buildings and Conservation Areas) Act and the 1979 Ancient Monuments and Archaeological Areas Act.</w:t>
      </w:r>
      <w:r w:rsidR="001342AA">
        <w:rPr>
          <w:rStyle w:val="FootnoteReference"/>
        </w:rPr>
        <w:footnoteReference w:id="11"/>
      </w:r>
      <w:r w:rsidR="00282E9E">
        <w:t xml:space="preserve"> </w:t>
      </w:r>
      <w:r w:rsidR="009F608D">
        <w:t xml:space="preserve">These documents define what is considered heritage, and by definition exclude </w:t>
      </w:r>
      <w:r w:rsidR="00CF200F">
        <w:t xml:space="preserve">any elements not included within the stated definition. For example, the NPPF </w:t>
      </w:r>
      <w:r w:rsidR="00753A11">
        <w:t xml:space="preserve">defines </w:t>
      </w:r>
      <w:r w:rsidR="00BE3E1D">
        <w:t>the term</w:t>
      </w:r>
      <w:r w:rsidR="00CF200F">
        <w:t xml:space="preserve"> “heritage asset”</w:t>
      </w:r>
      <w:r w:rsidR="004D0424">
        <w:t xml:space="preserve"> in England as follows:</w:t>
      </w:r>
    </w:p>
    <w:p w14:paraId="2A6046E1" w14:textId="7EA0E36B" w:rsidR="0095722D" w:rsidRPr="0095722D" w:rsidRDefault="0095722D" w:rsidP="0095722D">
      <w:pPr>
        <w:ind w:left="720"/>
        <w:rPr>
          <w:i/>
          <w:iCs/>
        </w:rPr>
      </w:pPr>
      <w:r w:rsidRPr="0095722D">
        <w:rPr>
          <w:i/>
          <w:iCs/>
        </w:rPr>
        <w:t>Heritage asset: A building, monument, site, place, area or landscape identified as having a degree of significance meriting consideration in planning decisions, because of its heritage interest. It includes designated heritage assets and assets identified by the local planning authority (including local listing).</w:t>
      </w:r>
      <w:r w:rsidR="00317C7C">
        <w:rPr>
          <w:rStyle w:val="FootnoteReference"/>
          <w:i/>
          <w:iCs/>
        </w:rPr>
        <w:footnoteReference w:id="12"/>
      </w:r>
    </w:p>
    <w:p w14:paraId="42264E2C" w14:textId="0BEB6A3A" w:rsidR="00507E37" w:rsidRDefault="006C7D92" w:rsidP="007B6B8B">
      <w:r>
        <w:t xml:space="preserve">The NPPF also </w:t>
      </w:r>
      <w:r w:rsidR="00FE66D4">
        <w:t xml:space="preserve">notes that heritage significance </w:t>
      </w:r>
      <w:r w:rsidR="00D86908">
        <w:t>derives</w:t>
      </w:r>
      <w:r w:rsidR="00FE66D4">
        <w:t xml:space="preserve"> from </w:t>
      </w:r>
      <w:r w:rsidR="007B6B8B">
        <w:t xml:space="preserve">either the </w:t>
      </w:r>
      <w:r w:rsidR="0015607B">
        <w:t xml:space="preserve">heritage </w:t>
      </w:r>
      <w:r w:rsidR="007B6B8B">
        <w:t xml:space="preserve">asset’s archaeological, architectural, artistic or historic interest, and also from its </w:t>
      </w:r>
      <w:r w:rsidR="00097C4C">
        <w:t>“</w:t>
      </w:r>
      <w:r w:rsidR="007B6B8B">
        <w:t>setting</w:t>
      </w:r>
      <w:r w:rsidR="00097C4C">
        <w:t>”, another technical term defined elsewhere in the document</w:t>
      </w:r>
      <w:r w:rsidR="007B6B8B">
        <w:t>.</w:t>
      </w:r>
      <w:r w:rsidR="00097C4C">
        <w:rPr>
          <w:rStyle w:val="FootnoteReference"/>
        </w:rPr>
        <w:footnoteReference w:id="13"/>
      </w:r>
      <w:r w:rsidR="00097C4C">
        <w:t xml:space="preserve"> </w:t>
      </w:r>
      <w:r w:rsidR="003D5AFD">
        <w:t xml:space="preserve">Some heritage assets, called “designated heritage assets” </w:t>
      </w:r>
      <w:r w:rsidR="002F6DEE">
        <w:t xml:space="preserve">such as listed buildings and scheduled monuments, are afforded </w:t>
      </w:r>
      <w:r w:rsidR="008021FD">
        <w:t xml:space="preserve">high protection within the policy, which reflects the laws which make provision for their identification </w:t>
      </w:r>
      <w:r w:rsidR="0066352F">
        <w:t>and set requirements for their preservation.</w:t>
      </w:r>
      <w:r w:rsidR="00D97043">
        <w:rPr>
          <w:rStyle w:val="FootnoteReference"/>
        </w:rPr>
        <w:footnoteReference w:id="14"/>
      </w:r>
      <w:r w:rsidR="0066352F">
        <w:t xml:space="preserve"> </w:t>
      </w:r>
      <w:r w:rsidR="00507E37">
        <w:t xml:space="preserve">The </w:t>
      </w:r>
      <w:r w:rsidR="005012CA">
        <w:t xml:space="preserve">decision of which heritage assets are identified as designated heritage assets lies with Historic England, who use </w:t>
      </w:r>
      <w:r w:rsidR="006A36CF">
        <w:t>expert</w:t>
      </w:r>
      <w:r w:rsidR="009E0085">
        <w:t>-</w:t>
      </w:r>
      <w:r w:rsidR="00164A97">
        <w:t>defined</w:t>
      </w:r>
      <w:r w:rsidR="005012CA">
        <w:t xml:space="preserve"> criteria </w:t>
      </w:r>
      <w:r w:rsidR="00164A97">
        <w:t xml:space="preserve">and </w:t>
      </w:r>
      <w:r w:rsidR="005012CA">
        <w:t>appraisals to make this decision.</w:t>
      </w:r>
      <w:r w:rsidR="00563B5A">
        <w:rPr>
          <w:rStyle w:val="FootnoteReference"/>
        </w:rPr>
        <w:footnoteReference w:id="15"/>
      </w:r>
    </w:p>
    <w:p w14:paraId="007FB1AA" w14:textId="139F5EC0" w:rsidR="0095722D" w:rsidRDefault="002B7F02" w:rsidP="007B6B8B">
      <w:r>
        <w:t xml:space="preserve">These definitions then govern the elements of the historic environment which </w:t>
      </w:r>
      <w:proofErr w:type="gramStart"/>
      <w:r>
        <w:t xml:space="preserve">are </w:t>
      </w:r>
      <w:r w:rsidR="004A50E1">
        <w:t>afforded</w:t>
      </w:r>
      <w:proofErr w:type="gramEnd"/>
      <w:r w:rsidR="004A50E1">
        <w:t xml:space="preserve"> protection </w:t>
      </w:r>
      <w:r>
        <w:t xml:space="preserve">by planning authorities throughout </w:t>
      </w:r>
      <w:r w:rsidR="00177CE2">
        <w:t>England</w:t>
      </w:r>
      <w:r>
        <w:t xml:space="preserve">. It also constrains what heritage practitioners can articulate within </w:t>
      </w:r>
      <w:r w:rsidR="00177CE2">
        <w:t>this process</w:t>
      </w:r>
      <w:r>
        <w:t xml:space="preserve">. For example, no mention is made within the policy of non-physical, intangible </w:t>
      </w:r>
      <w:r w:rsidR="00B6702C">
        <w:t xml:space="preserve">heritage, such as customs and local understandings of heritage. Therefore, these elements </w:t>
      </w:r>
      <w:r w:rsidR="00B6702C">
        <w:lastRenderedPageBreak/>
        <w:t xml:space="preserve">do not have equal weight as those within the definition, namely the physical remains of </w:t>
      </w:r>
      <w:r w:rsidR="00EF3C4E">
        <w:t xml:space="preserve">heritage assets, and the defined notions of </w:t>
      </w:r>
      <w:r w:rsidR="000F41D9">
        <w:t>their</w:t>
      </w:r>
      <w:r w:rsidR="00EF3C4E">
        <w:t xml:space="preserve"> significance. </w:t>
      </w:r>
      <w:r w:rsidR="0079438D">
        <w:t>Therefore, these expert</w:t>
      </w:r>
      <w:r w:rsidR="00353D8C">
        <w:t>-</w:t>
      </w:r>
      <w:r w:rsidR="0079438D">
        <w:t xml:space="preserve">defined criteria, measures and processes have a direct bearing on what elements within a landscape are deemed worthy of protection from development, and which aren’t. This means that they come to shape the </w:t>
      </w:r>
      <w:r w:rsidR="000D4F28">
        <w:t xml:space="preserve">places and landscapes society </w:t>
      </w:r>
      <w:r w:rsidR="00E61339">
        <w:t>occupies and</w:t>
      </w:r>
      <w:r w:rsidR="000D4F28">
        <w:t xml:space="preserve"> illustrate clearly the dynamic described by Smith.</w:t>
      </w:r>
      <w:r w:rsidR="00141B6B">
        <w:t xml:space="preserve"> The universal reach of the </w:t>
      </w:r>
      <w:r w:rsidR="005878E7">
        <w:t>laws</w:t>
      </w:r>
      <w:r w:rsidR="00B352C6">
        <w:t xml:space="preserve"> </w:t>
      </w:r>
      <w:r w:rsidR="005878E7">
        <w:t>and policies</w:t>
      </w:r>
      <w:r w:rsidR="00B352C6" w:rsidRPr="00B352C6">
        <w:t xml:space="preserve"> </w:t>
      </w:r>
      <w:r w:rsidR="00B352C6">
        <w:t>within the nation</w:t>
      </w:r>
      <w:r w:rsidR="005878E7">
        <w:t xml:space="preserve"> also ensures that similar types of heritage assets are protected across the country</w:t>
      </w:r>
      <w:r w:rsidR="00102E42">
        <w:t>,</w:t>
      </w:r>
      <w:r w:rsidR="00453BBF">
        <w:t xml:space="preserve"> further entrenching the </w:t>
      </w:r>
      <w:r w:rsidR="00E61339">
        <w:t>understanding of heritage held by academic and professional practitioners.</w:t>
      </w:r>
    </w:p>
    <w:p w14:paraId="1CCF7225" w14:textId="0FEAE77F" w:rsidR="00DB620F" w:rsidRDefault="004157A1" w:rsidP="007B6B8B">
      <w:r>
        <w:t>This situation can create tensions within a society, particularly where minority groups feel the</w:t>
      </w:r>
      <w:r w:rsidR="00DE4551">
        <w:t xml:space="preserve">ir understanding of heritage is </w:t>
      </w:r>
      <w:r>
        <w:t xml:space="preserve">not adequately </w:t>
      </w:r>
      <w:r w:rsidR="00DE4551">
        <w:t xml:space="preserve">represented, a dynamic </w:t>
      </w:r>
      <w:r w:rsidR="008B31CB">
        <w:t>Smith also identifies</w:t>
      </w:r>
      <w:r w:rsidR="009C3161">
        <w:t>.</w:t>
      </w:r>
      <w:r w:rsidR="009C3161">
        <w:rPr>
          <w:rStyle w:val="FootnoteReference"/>
        </w:rPr>
        <w:footnoteReference w:id="16"/>
      </w:r>
      <w:r w:rsidR="009C3161">
        <w:t xml:space="preserve"> </w:t>
      </w:r>
      <w:r w:rsidR="00872BBC">
        <w:t xml:space="preserve">An interesting illustration of this </w:t>
      </w:r>
      <w:r w:rsidR="00FE583D">
        <w:t>was the toppling</w:t>
      </w:r>
      <w:r w:rsidR="00EA5523">
        <w:t xml:space="preserve"> of the statue of Edward Colston in Bristol</w:t>
      </w:r>
      <w:r w:rsidR="000B0523">
        <w:t xml:space="preserve">, which </w:t>
      </w:r>
      <w:r w:rsidR="008C7746">
        <w:t>was also a designated heritage asset</w:t>
      </w:r>
      <w:r w:rsidR="00EA5523">
        <w:t>.</w:t>
      </w:r>
      <w:r w:rsidR="009F76A8">
        <w:rPr>
          <w:rStyle w:val="FootnoteReference"/>
        </w:rPr>
        <w:footnoteReference w:id="17"/>
      </w:r>
      <w:r w:rsidR="009F76A8">
        <w:t xml:space="preserve"> </w:t>
      </w:r>
      <w:r w:rsidR="00604978">
        <w:t xml:space="preserve">The toppling of the statue </w:t>
      </w:r>
      <w:r w:rsidR="00884AA2">
        <w:t>followed</w:t>
      </w:r>
      <w:r w:rsidR="00604978">
        <w:t xml:space="preserve"> numerous attempts by local activists to </w:t>
      </w:r>
      <w:r w:rsidR="008E7176">
        <w:t>have a plaque installed to explain the role Colston played in the trans</w:t>
      </w:r>
      <w:r w:rsidR="00E07347">
        <w:t>a</w:t>
      </w:r>
      <w:r w:rsidR="008E7176">
        <w:t xml:space="preserve">tlantic slave trade, </w:t>
      </w:r>
      <w:r w:rsidR="005A0BF4">
        <w:t xml:space="preserve">but these attempts were abandoned after the </w:t>
      </w:r>
      <w:r w:rsidR="00013F5C">
        <w:t xml:space="preserve">plaque’s </w:t>
      </w:r>
      <w:r w:rsidR="005A0BF4">
        <w:t>wording could not be agreed.</w:t>
      </w:r>
      <w:r w:rsidR="005A0BF4">
        <w:rPr>
          <w:rStyle w:val="FootnoteReference"/>
        </w:rPr>
        <w:footnoteReference w:id="18"/>
      </w:r>
      <w:r w:rsidR="005A0BF4">
        <w:t xml:space="preserve"> </w:t>
      </w:r>
      <w:r w:rsidR="009F76A8">
        <w:t>Th</w:t>
      </w:r>
      <w:r w:rsidR="005A0BF4">
        <w:t xml:space="preserve">e toppling of the statue </w:t>
      </w:r>
      <w:r w:rsidR="003E0E7F">
        <w:t xml:space="preserve">in 2020 </w:t>
      </w:r>
      <w:r w:rsidR="009F76A8">
        <w:t xml:space="preserve">triggered a wave of similar actions throughout the UK, and also prompted organisations to consider whether to remove statues of individuals with questionable </w:t>
      </w:r>
      <w:r w:rsidR="007E4673">
        <w:t>ethical connotations</w:t>
      </w:r>
      <w:r w:rsidR="00164394">
        <w:t>.</w:t>
      </w:r>
      <w:r w:rsidR="00164394">
        <w:rPr>
          <w:rStyle w:val="FootnoteReference"/>
        </w:rPr>
        <w:footnoteReference w:id="19"/>
      </w:r>
      <w:r w:rsidR="00164394">
        <w:t xml:space="preserve"> </w:t>
      </w:r>
      <w:r w:rsidR="00206E77">
        <w:t>Such was the controversy, that the UK Government updated the NPPF to include a paragraph instructing local planning authorities to consider contextualising controversial statues rather than simpl</w:t>
      </w:r>
      <w:r w:rsidR="00E9354A">
        <w:t>y</w:t>
      </w:r>
      <w:r w:rsidR="00206E77">
        <w:t xml:space="preserve"> </w:t>
      </w:r>
      <w:r w:rsidR="00165A1C">
        <w:t>removing them</w:t>
      </w:r>
      <w:r w:rsidR="00C84BA0">
        <w:t>.</w:t>
      </w:r>
      <w:r w:rsidR="00C84BA0">
        <w:rPr>
          <w:rStyle w:val="FootnoteReference"/>
        </w:rPr>
        <w:footnoteReference w:id="20"/>
      </w:r>
      <w:r w:rsidR="00F940B9">
        <w:t xml:space="preserve"> </w:t>
      </w:r>
    </w:p>
    <w:p w14:paraId="1C1D730F" w14:textId="7A508D2D" w:rsidR="00114EDF" w:rsidRDefault="00F940B9" w:rsidP="00382366">
      <w:r>
        <w:t xml:space="preserve">This conflict between different groups </w:t>
      </w:r>
      <w:r w:rsidR="00A30B5D">
        <w:t xml:space="preserve">over </w:t>
      </w:r>
      <w:r w:rsidR="00DB4164">
        <w:t>which</w:t>
      </w:r>
      <w:r w:rsidR="00A30B5D">
        <w:t xml:space="preserve"> </w:t>
      </w:r>
      <w:r w:rsidR="00B42927">
        <w:t xml:space="preserve">elements </w:t>
      </w:r>
      <w:r w:rsidR="005D14F6">
        <w:t xml:space="preserve">of the past </w:t>
      </w:r>
      <w:r w:rsidR="00A30B5D">
        <w:t>should be preserved</w:t>
      </w:r>
      <w:r w:rsidR="005D14F6">
        <w:t xml:space="preserve"> and </w:t>
      </w:r>
      <w:r w:rsidR="00A30B5D">
        <w:t>celebrated</w:t>
      </w:r>
      <w:r w:rsidR="005D14F6">
        <w:t>,</w:t>
      </w:r>
      <w:r w:rsidR="00A30B5D">
        <w:t xml:space="preserve"> and </w:t>
      </w:r>
      <w:r w:rsidR="005D14F6">
        <w:t xml:space="preserve">which </w:t>
      </w:r>
      <w:r w:rsidR="00B26CF4">
        <w:t xml:space="preserve">should be </w:t>
      </w:r>
      <w:r w:rsidR="00A30B5D">
        <w:t xml:space="preserve">discarded, </w:t>
      </w:r>
      <w:r w:rsidR="00D22689">
        <w:t xml:space="preserve">lies at the heart of why </w:t>
      </w:r>
      <w:r w:rsidR="004524BA">
        <w:t xml:space="preserve">the idea of </w:t>
      </w:r>
      <w:r w:rsidR="00D22689">
        <w:t xml:space="preserve">heritage </w:t>
      </w:r>
      <w:r w:rsidR="002A17C6">
        <w:t>matters</w:t>
      </w:r>
      <w:r w:rsidR="007A4176">
        <w:t>.</w:t>
      </w:r>
      <w:r w:rsidR="00026016">
        <w:t xml:space="preserve"> </w:t>
      </w:r>
      <w:r w:rsidR="00BF6AD2">
        <w:t>Consider the question: w</w:t>
      </w:r>
      <w:r w:rsidR="00026016">
        <w:t>hich aspect of the statue is more important</w:t>
      </w:r>
      <w:r w:rsidR="00546036">
        <w:t>; i</w:t>
      </w:r>
      <w:r w:rsidR="00026016">
        <w:t xml:space="preserve">ts architectural and historic interest as </w:t>
      </w:r>
      <w:r w:rsidR="00B10D5C">
        <w:t>defined</w:t>
      </w:r>
      <w:r w:rsidR="00026016">
        <w:t xml:space="preserve"> in policy</w:t>
      </w:r>
      <w:r w:rsidR="00546036">
        <w:t>, o</w:t>
      </w:r>
      <w:r w:rsidR="00026016">
        <w:t xml:space="preserve">r that it was a symbol of oppression of </w:t>
      </w:r>
      <w:r w:rsidR="00043AD6">
        <w:t>subaltern groups within British society</w:t>
      </w:r>
      <w:r w:rsidR="00B97DA9">
        <w:t xml:space="preserve"> as is argued by the activists who toppled it</w:t>
      </w:r>
      <w:r w:rsidR="00043AD6">
        <w:t>?</w:t>
      </w:r>
      <w:r w:rsidR="00F374D1">
        <w:t xml:space="preserve"> </w:t>
      </w:r>
      <w:r w:rsidR="00DF687B">
        <w:t xml:space="preserve">Irrespective of the </w:t>
      </w:r>
      <w:r w:rsidR="00A635DF">
        <w:t>answer given</w:t>
      </w:r>
      <w:r w:rsidR="00DF687B">
        <w:t>, b</w:t>
      </w:r>
      <w:r w:rsidR="00F374D1">
        <w:t>oth acts</w:t>
      </w:r>
      <w:r w:rsidR="00E229F5">
        <w:t xml:space="preserve"> -</w:t>
      </w:r>
      <w:r w:rsidR="00F374D1">
        <w:t xml:space="preserve"> preserving the statue and toppling it</w:t>
      </w:r>
      <w:r w:rsidR="00E229F5">
        <w:t xml:space="preserve"> -</w:t>
      </w:r>
      <w:r w:rsidR="00F374D1">
        <w:t xml:space="preserve"> </w:t>
      </w:r>
      <w:r w:rsidR="00B352F6">
        <w:t xml:space="preserve">are evidence of </w:t>
      </w:r>
      <w:r w:rsidR="007C2006">
        <w:t>its</w:t>
      </w:r>
      <w:r w:rsidR="00B352F6">
        <w:t xml:space="preserve"> cultural importance.</w:t>
      </w:r>
      <w:r w:rsidR="00370E05">
        <w:t xml:space="preserve"> They are competing </w:t>
      </w:r>
      <w:r w:rsidR="00370E05">
        <w:lastRenderedPageBreak/>
        <w:t xml:space="preserve">visions of </w:t>
      </w:r>
      <w:r w:rsidR="003D22A2">
        <w:t>the</w:t>
      </w:r>
      <w:r w:rsidR="00370E05">
        <w:t xml:space="preserve"> </w:t>
      </w:r>
      <w:r w:rsidR="00370E05" w:rsidRPr="003D22A2">
        <w:rPr>
          <w:i/>
          <w:iCs/>
        </w:rPr>
        <w:t>practice</w:t>
      </w:r>
      <w:r w:rsidR="003D22A2" w:rsidRPr="003D22A2">
        <w:rPr>
          <w:i/>
          <w:iCs/>
        </w:rPr>
        <w:t xml:space="preserve"> of</w:t>
      </w:r>
      <w:r w:rsidR="00370E05" w:rsidRPr="003D22A2">
        <w:rPr>
          <w:i/>
          <w:iCs/>
        </w:rPr>
        <w:t xml:space="preserve"> heritage</w:t>
      </w:r>
      <w:r w:rsidR="007C556B">
        <w:t xml:space="preserve">, </w:t>
      </w:r>
      <w:r w:rsidR="003D22A2">
        <w:t>as described by</w:t>
      </w:r>
      <w:r w:rsidR="007C556B">
        <w:t xml:space="preserve"> Harrison</w:t>
      </w:r>
      <w:r w:rsidR="003D22A2">
        <w:t>.</w:t>
      </w:r>
      <w:r w:rsidR="003D22A2">
        <w:rPr>
          <w:rStyle w:val="FootnoteReference"/>
        </w:rPr>
        <w:footnoteReference w:id="21"/>
      </w:r>
      <w:r w:rsidR="00B80125">
        <w:t xml:space="preserve"> </w:t>
      </w:r>
      <w:r w:rsidR="00A13AF0">
        <w:t xml:space="preserve">The </w:t>
      </w:r>
      <w:r w:rsidR="00EF5913">
        <w:t xml:space="preserve">issues around the </w:t>
      </w:r>
      <w:r w:rsidR="00EF350D">
        <w:t xml:space="preserve">disputed Soviet monuments </w:t>
      </w:r>
      <w:r w:rsidR="00463541">
        <w:t xml:space="preserve">in Ukraine </w:t>
      </w:r>
      <w:r w:rsidR="00EF350D">
        <w:t>and the Colston</w:t>
      </w:r>
      <w:r w:rsidR="008C78C0">
        <w:t xml:space="preserve"> statue</w:t>
      </w:r>
      <w:r w:rsidR="00EF350D">
        <w:t xml:space="preserve">, </w:t>
      </w:r>
      <w:r w:rsidR="00AD0A33">
        <w:t xml:space="preserve">while in different contexts with different histories, nonetheless share </w:t>
      </w:r>
      <w:r w:rsidR="00BC3361">
        <w:t xml:space="preserve">underlying </w:t>
      </w:r>
      <w:r w:rsidR="00F11640">
        <w:t>dynamics</w:t>
      </w:r>
      <w:r w:rsidR="00847AA3">
        <w:t>, which are instructive in understanding what heritage is, and why it is important</w:t>
      </w:r>
      <w:r w:rsidR="00F11640">
        <w:t xml:space="preserve">. </w:t>
      </w:r>
    </w:p>
    <w:p w14:paraId="4781D465" w14:textId="71DF29EC" w:rsidR="00114EDF" w:rsidRDefault="00A13F01" w:rsidP="00382366">
      <w:r>
        <w:t>Firstly, i</w:t>
      </w:r>
      <w:r w:rsidR="0076601F">
        <w:t xml:space="preserve">n the context of the discussion </w:t>
      </w:r>
      <w:r w:rsidR="00E60B69">
        <w:t>of monuments and statues in Ukraine and England, what can be said about what heritage is? Howard, Harrison</w:t>
      </w:r>
      <w:r w:rsidR="000870A8">
        <w:t>,</w:t>
      </w:r>
      <w:r w:rsidR="00E60B69">
        <w:t xml:space="preserve"> and Smith all conceive of heritage as more than just </w:t>
      </w:r>
      <w:r w:rsidR="00237847">
        <w:t xml:space="preserve">the objects, buildings and sites which survive from the past, </w:t>
      </w:r>
      <w:r w:rsidR="00332DB4">
        <w:t>arguing</w:t>
      </w:r>
      <w:r w:rsidR="00237847">
        <w:t xml:space="preserve"> that it </w:t>
      </w:r>
      <w:r w:rsidR="009A4100">
        <w:t>comprises</w:t>
      </w:r>
      <w:r w:rsidR="00237847">
        <w:t xml:space="preserve"> a process of how people in the present engage with the past.</w:t>
      </w:r>
      <w:r w:rsidR="00F85D8A">
        <w:t xml:space="preserve"> Smith has </w:t>
      </w:r>
      <w:r w:rsidR="00332DB4">
        <w:t>even</w:t>
      </w:r>
      <w:r w:rsidR="00F85D8A">
        <w:t xml:space="preserve"> stat</w:t>
      </w:r>
      <w:r w:rsidR="00332DB4">
        <w:t>ed</w:t>
      </w:r>
      <w:r w:rsidR="00F85D8A">
        <w:t xml:space="preserve"> that one of her objectives is </w:t>
      </w:r>
      <w:r w:rsidR="00D34A0B">
        <w:t>for</w:t>
      </w:r>
      <w:r w:rsidR="00F85D8A">
        <w:t xml:space="preserve"> heritage </w:t>
      </w:r>
      <w:r w:rsidR="00D34A0B">
        <w:t>to be</w:t>
      </w:r>
      <w:r w:rsidR="00F85D8A">
        <w:t xml:space="preserve"> conceived of </w:t>
      </w:r>
      <w:r w:rsidR="00A84A1E">
        <w:t>in</w:t>
      </w:r>
      <w:r w:rsidR="00D34A0B">
        <w:t xml:space="preserve"> purely</w:t>
      </w:r>
      <w:r w:rsidR="00A84A1E">
        <w:t xml:space="preserve"> intangible, non-physical terms.</w:t>
      </w:r>
      <w:r w:rsidR="00A84A1E">
        <w:rPr>
          <w:rStyle w:val="FootnoteReference"/>
        </w:rPr>
        <w:footnoteReference w:id="22"/>
      </w:r>
      <w:r w:rsidR="00470FEE">
        <w:t xml:space="preserve"> </w:t>
      </w:r>
      <w:r w:rsidR="00034D28">
        <w:t xml:space="preserve">But the examples </w:t>
      </w:r>
      <w:r w:rsidR="0004547C">
        <w:t xml:space="preserve">discussed </w:t>
      </w:r>
      <w:r w:rsidR="00034D28">
        <w:t>suggest th</w:t>
      </w:r>
      <w:r w:rsidR="0007437B">
        <w:t xml:space="preserve">at heritage </w:t>
      </w:r>
      <w:r w:rsidR="00AA5D26">
        <w:t>comprises</w:t>
      </w:r>
      <w:r w:rsidR="0007437B">
        <w:t xml:space="preserve"> more than mere cultural opinions about the past. All cultures are geographically </w:t>
      </w:r>
      <w:r w:rsidR="00C54FE7">
        <w:t>located and</w:t>
      </w:r>
      <w:r w:rsidR="00287BC9">
        <w:t xml:space="preserve"> are surrounded by the relics of their past. Any intangible experience or understanding </w:t>
      </w:r>
      <w:r w:rsidR="003E3C32">
        <w:t>of the past must therefore include an understanding of that geography, and of the relics it</w:t>
      </w:r>
      <w:r w:rsidR="001262DF">
        <w:t xml:space="preserve"> contains</w:t>
      </w:r>
      <w:r w:rsidR="003E3C32">
        <w:t xml:space="preserve">. In </w:t>
      </w:r>
      <w:r w:rsidR="00EC51CB">
        <w:t>other words</w:t>
      </w:r>
      <w:r w:rsidR="003E3C32">
        <w:t xml:space="preserve">, </w:t>
      </w:r>
      <w:r w:rsidR="00192919">
        <w:t xml:space="preserve">an intangible experience must refer to </w:t>
      </w:r>
      <w:r w:rsidR="00CC5DA4" w:rsidRPr="00EC51CB">
        <w:rPr>
          <w:i/>
          <w:iCs/>
        </w:rPr>
        <w:t>something</w:t>
      </w:r>
      <w:r w:rsidR="00192919">
        <w:t xml:space="preserve">, or </w:t>
      </w:r>
      <w:r w:rsidR="00192919" w:rsidRPr="00EC51CB">
        <w:rPr>
          <w:i/>
          <w:iCs/>
        </w:rPr>
        <w:t>some place</w:t>
      </w:r>
      <w:r w:rsidR="00CA61BE">
        <w:t xml:space="preserve"> to have meaning</w:t>
      </w:r>
      <w:r w:rsidR="000D6C16">
        <w:t>, as even historical details are geographically located.</w:t>
      </w:r>
      <w:r w:rsidR="00275E60">
        <w:t xml:space="preserve"> </w:t>
      </w:r>
      <w:r w:rsidR="00C12D25">
        <w:t>However, it is also clear that</w:t>
      </w:r>
      <w:r w:rsidR="00F543A2">
        <w:t xml:space="preserve"> what is considered heritage</w:t>
      </w:r>
      <w:r w:rsidR="00C12D25">
        <w:t xml:space="preserve"> </w:t>
      </w:r>
      <w:r w:rsidR="005A769B">
        <w:t>depends</w:t>
      </w:r>
      <w:r w:rsidR="00C12D25">
        <w:t xml:space="preserve"> on </w:t>
      </w:r>
      <w:r w:rsidR="007E3A5D">
        <w:t xml:space="preserve">the politics, </w:t>
      </w:r>
      <w:r w:rsidR="0055332D">
        <w:t>ideas,</w:t>
      </w:r>
      <w:r w:rsidR="007E3A5D">
        <w:t xml:space="preserve"> and </w:t>
      </w:r>
      <w:r w:rsidR="0087048B">
        <w:t>discourses in the present.</w:t>
      </w:r>
      <w:r w:rsidR="007000BB">
        <w:t xml:space="preserve"> </w:t>
      </w:r>
      <w:r w:rsidR="00483710">
        <w:t>Therefore, a</w:t>
      </w:r>
      <w:r w:rsidR="008F02A1">
        <w:t xml:space="preserve">s Harrison has argued, the </w:t>
      </w:r>
      <w:r w:rsidR="008F02A1" w:rsidRPr="008F02A1">
        <w:rPr>
          <w:i/>
          <w:iCs/>
        </w:rPr>
        <w:t>objects and places</w:t>
      </w:r>
      <w:r w:rsidR="00984286">
        <w:t xml:space="preserve">, and </w:t>
      </w:r>
      <w:r w:rsidR="00984286" w:rsidRPr="00984286">
        <w:rPr>
          <w:i/>
          <w:iCs/>
        </w:rPr>
        <w:t>practices</w:t>
      </w:r>
      <w:r w:rsidR="00984286">
        <w:t xml:space="preserve"> </w:t>
      </w:r>
      <w:r w:rsidR="008F02A1">
        <w:t xml:space="preserve">of heritage are </w:t>
      </w:r>
      <w:r w:rsidR="00984286">
        <w:t>all</w:t>
      </w:r>
      <w:r w:rsidR="008F02A1">
        <w:t xml:space="preserve"> important.</w:t>
      </w:r>
      <w:r w:rsidR="008F02A1">
        <w:rPr>
          <w:rStyle w:val="FootnoteReference"/>
        </w:rPr>
        <w:footnoteReference w:id="23"/>
      </w:r>
      <w:r w:rsidR="008F02A1">
        <w:t xml:space="preserve"> </w:t>
      </w:r>
      <w:r w:rsidR="007000BB" w:rsidRPr="007000BB">
        <w:t>Heritage could</w:t>
      </w:r>
      <w:r w:rsidR="007000BB">
        <w:t>, therefore,</w:t>
      </w:r>
      <w:r w:rsidR="007000BB" w:rsidRPr="007000BB">
        <w:t xml:space="preserve"> be said to </w:t>
      </w:r>
      <w:r w:rsidR="00695379">
        <w:t>comprise</w:t>
      </w:r>
      <w:r w:rsidR="007000BB" w:rsidRPr="007000BB">
        <w:t xml:space="preserve"> how humans perceive</w:t>
      </w:r>
      <w:r w:rsidR="00AC7D90">
        <w:t xml:space="preserve">, </w:t>
      </w:r>
      <w:r w:rsidR="007000BB" w:rsidRPr="007000BB">
        <w:t>value</w:t>
      </w:r>
      <w:r w:rsidR="009D7FF9">
        <w:t>,</w:t>
      </w:r>
      <w:r w:rsidR="00AC7D90">
        <w:t xml:space="preserve"> and interact with</w:t>
      </w:r>
      <w:r w:rsidR="007000BB" w:rsidRPr="007000BB">
        <w:t xml:space="preserve"> historic objects, places</w:t>
      </w:r>
      <w:r w:rsidR="00394DE7">
        <w:t>, events,</w:t>
      </w:r>
      <w:r w:rsidR="007000BB" w:rsidRPr="007000BB">
        <w:t xml:space="preserve"> and activities which </w:t>
      </w:r>
      <w:r w:rsidR="002C37B4">
        <w:t>are able to</w:t>
      </w:r>
      <w:r w:rsidR="007000BB" w:rsidRPr="007000BB">
        <w:t xml:space="preserve"> provide information about the past, and insight about the present. It is distinct from "history" in that it is not reducible to mere knowledge about the </w:t>
      </w:r>
      <w:r w:rsidR="00BC1847" w:rsidRPr="007000BB">
        <w:t>past but</w:t>
      </w:r>
      <w:r w:rsidR="007000BB" w:rsidRPr="007000BB">
        <w:t xml:space="preserve"> is rather an understanding of how the relics of the past are valued </w:t>
      </w:r>
      <w:r w:rsidR="00711E62">
        <w:t xml:space="preserve">and acted on </w:t>
      </w:r>
      <w:r w:rsidR="007000BB" w:rsidRPr="007000BB">
        <w:t>in the present.</w:t>
      </w:r>
      <w:r w:rsidR="007A6A3B">
        <w:t xml:space="preserve"> This is why the </w:t>
      </w:r>
      <w:r w:rsidR="0081730E">
        <w:t>contestation surrounding the monuments and statues discussed did not remain abstract notions but focussed on key objects and locations.</w:t>
      </w:r>
    </w:p>
    <w:p w14:paraId="3C574CDF" w14:textId="77777777" w:rsidR="00A753C9" w:rsidRDefault="00B551EE" w:rsidP="006D755C">
      <w:r>
        <w:t xml:space="preserve">Why then, </w:t>
      </w:r>
      <w:r w:rsidR="00274497">
        <w:t xml:space="preserve">if this is what heritage is, does heritage </w:t>
      </w:r>
      <w:r w:rsidR="00274497" w:rsidRPr="00D97E62">
        <w:rPr>
          <w:i/>
          <w:iCs/>
        </w:rPr>
        <w:t>matter</w:t>
      </w:r>
      <w:r w:rsidR="00274497">
        <w:t>?</w:t>
      </w:r>
    </w:p>
    <w:p w14:paraId="1C614002" w14:textId="73A88340" w:rsidR="006D755C" w:rsidRDefault="00332535" w:rsidP="006D755C">
      <w:r>
        <w:t xml:space="preserve">As Smith has argued, heritage matters because of how it is </w:t>
      </w:r>
      <w:r w:rsidRPr="00197487">
        <w:rPr>
          <w:i/>
          <w:iCs/>
        </w:rPr>
        <w:t>used</w:t>
      </w:r>
      <w:r w:rsidR="00197487">
        <w:t xml:space="preserve">. </w:t>
      </w:r>
      <w:r w:rsidR="00024D1A">
        <w:t xml:space="preserve">This </w:t>
      </w:r>
      <w:r w:rsidR="00212EB0">
        <w:t>is</w:t>
      </w:r>
      <w:r w:rsidR="00024D1A">
        <w:t xml:space="preserve"> seen in how the English planning system</w:t>
      </w:r>
      <w:r w:rsidR="00CD036F">
        <w:t xml:space="preserve"> </w:t>
      </w:r>
      <w:r w:rsidR="00C648BF">
        <w:t>use</w:t>
      </w:r>
      <w:r w:rsidR="00212EB0">
        <w:t>s</w:t>
      </w:r>
      <w:r w:rsidR="00024D1A">
        <w:t xml:space="preserve"> heritage to </w:t>
      </w:r>
      <w:r w:rsidR="00376719">
        <w:t xml:space="preserve">preserve some </w:t>
      </w:r>
      <w:r w:rsidR="00283C64">
        <w:t>types of heritage asset</w:t>
      </w:r>
      <w:r w:rsidR="001B0FAC">
        <w:t xml:space="preserve"> over others, </w:t>
      </w:r>
      <w:r w:rsidR="006B60B7">
        <w:t>with the highest protection often provided to buildings of powerful elements of society</w:t>
      </w:r>
      <w:r w:rsidR="007E46C7">
        <w:t xml:space="preserve"> and which reflect elite tastes</w:t>
      </w:r>
      <w:r w:rsidR="006B60B7">
        <w:t>.</w:t>
      </w:r>
      <w:r w:rsidR="002458B1">
        <w:t xml:space="preserve"> For example, </w:t>
      </w:r>
      <w:r w:rsidR="009676CF">
        <w:t>churches represent only 5% of listed buildings, but more than half of the highest grade of listed building are Church of England churches.</w:t>
      </w:r>
      <w:r w:rsidR="0005509C">
        <w:rPr>
          <w:rStyle w:val="FootnoteReference"/>
        </w:rPr>
        <w:footnoteReference w:id="24"/>
      </w:r>
      <w:r w:rsidR="007A3B27">
        <w:t xml:space="preserve"> This use of heritage constrains </w:t>
      </w:r>
      <w:r w:rsidR="009113B2">
        <w:t>the nature and location of</w:t>
      </w:r>
      <w:r w:rsidR="007A3B27">
        <w:t xml:space="preserve"> development and </w:t>
      </w:r>
      <w:r w:rsidR="006D5152">
        <w:t>shapes</w:t>
      </w:r>
      <w:r w:rsidR="007A3B27">
        <w:t xml:space="preserve"> the fabric of the modern landscape as a result.</w:t>
      </w:r>
      <w:r w:rsidR="00003C19">
        <w:t xml:space="preserve"> </w:t>
      </w:r>
      <w:r w:rsidR="00FD7E8E">
        <w:t xml:space="preserve">It can be seen in </w:t>
      </w:r>
      <w:r w:rsidR="002021A8">
        <w:lastRenderedPageBreak/>
        <w:t>arguments about</w:t>
      </w:r>
      <w:r w:rsidR="00DF37DF">
        <w:t xml:space="preserve"> whether to retain contested statues. </w:t>
      </w:r>
      <w:r w:rsidR="007B382D">
        <w:t xml:space="preserve">Activist groups argue that the statues represent </w:t>
      </w:r>
      <w:r w:rsidR="00032066">
        <w:t>oppression and</w:t>
      </w:r>
      <w:r w:rsidR="00EF6245">
        <w:t xml:space="preserve"> should </w:t>
      </w:r>
      <w:r w:rsidR="00032066">
        <w:t xml:space="preserve">therefore </w:t>
      </w:r>
      <w:r w:rsidR="00EF6245">
        <w:t xml:space="preserve">not form part of the current communal self-understanding. </w:t>
      </w:r>
      <w:r w:rsidR="008D7A7B">
        <w:t>Often expert heritage practitioners</w:t>
      </w:r>
      <w:r w:rsidR="003F3436">
        <w:t xml:space="preserve"> argue</w:t>
      </w:r>
      <w:r w:rsidR="008D7A7B">
        <w:t>, as Moliar</w:t>
      </w:r>
      <w:r w:rsidR="00E022EB">
        <w:t xml:space="preserve"> has done</w:t>
      </w:r>
      <w:r w:rsidR="008D7A7B">
        <w:t xml:space="preserve">, that the statues represent </w:t>
      </w:r>
      <w:r w:rsidR="00613889">
        <w:t>a complex</w:t>
      </w:r>
      <w:r w:rsidR="009922EA">
        <w:t>,</w:t>
      </w:r>
      <w:r w:rsidR="00613889">
        <w:t xml:space="preserve"> nuanced part of the communal past</w:t>
      </w:r>
      <w:r w:rsidR="0039790F">
        <w:t xml:space="preserve"> </w:t>
      </w:r>
      <w:r w:rsidR="009922EA">
        <w:t xml:space="preserve">and identity </w:t>
      </w:r>
      <w:r w:rsidR="0039790F">
        <w:t>that shouldn’t be discarded.</w:t>
      </w:r>
      <w:r w:rsidR="00E022EB">
        <w:rPr>
          <w:rStyle w:val="FootnoteReference"/>
        </w:rPr>
        <w:footnoteReference w:id="25"/>
      </w:r>
      <w:r w:rsidR="007A5068">
        <w:t xml:space="preserve"> Both positions are </w:t>
      </w:r>
      <w:r w:rsidR="007A5068" w:rsidRPr="007B4E94">
        <w:rPr>
          <w:i/>
          <w:iCs/>
        </w:rPr>
        <w:t>using</w:t>
      </w:r>
      <w:r w:rsidR="007A5068">
        <w:t xml:space="preserve"> heritage to argue for a worldview, an understanding of how the current culture should understand itself, and how the current landscape should be shaped to reflect this. </w:t>
      </w:r>
      <w:r w:rsidR="00672BAA">
        <w:t xml:space="preserve">It is in these </w:t>
      </w:r>
      <w:r w:rsidR="00235B13">
        <w:t>arguments</w:t>
      </w:r>
      <w:r w:rsidR="00672BAA">
        <w:t xml:space="preserve"> and interactions, these </w:t>
      </w:r>
      <w:r w:rsidR="00672BAA" w:rsidRPr="00180EE1">
        <w:rPr>
          <w:i/>
          <w:iCs/>
        </w:rPr>
        <w:t>uses</w:t>
      </w:r>
      <w:r w:rsidR="00672BAA">
        <w:t xml:space="preserve">, that heritage </w:t>
      </w:r>
      <w:r w:rsidR="00180EE1">
        <w:t xml:space="preserve">impacts our ideas, identity, and landscape. </w:t>
      </w:r>
      <w:r w:rsidR="006F5F3B">
        <w:t>Heritage matters because t</w:t>
      </w:r>
      <w:r w:rsidR="006D755C" w:rsidRPr="009C3652">
        <w:t>hose who can define the meaning of the past can determine what matters in the present</w:t>
      </w:r>
      <w:r w:rsidR="006D755C">
        <w:t>.</w:t>
      </w:r>
    </w:p>
    <w:p w14:paraId="441F4F8C" w14:textId="59E1576E" w:rsidR="00DF0943" w:rsidRDefault="00DF0943" w:rsidP="00382366"/>
    <w:p w14:paraId="12AB3E68" w14:textId="77777777" w:rsidR="00C57F1E" w:rsidRDefault="00C57F1E" w:rsidP="00382366"/>
    <w:p w14:paraId="612C4EE8" w14:textId="53CDAAA2" w:rsidR="001D18E9" w:rsidRDefault="001D18E9">
      <w:pPr>
        <w:spacing w:line="259" w:lineRule="auto"/>
      </w:pPr>
      <w:r>
        <w:br w:type="page"/>
      </w:r>
    </w:p>
    <w:p w14:paraId="322D433A" w14:textId="77777777" w:rsidR="00BC2A9E" w:rsidRPr="00BC2A9E" w:rsidRDefault="00BC2A9E" w:rsidP="00BC2A9E">
      <w:pPr>
        <w:spacing w:after="240"/>
        <w:jc w:val="center"/>
        <w:rPr>
          <w:rFonts w:ascii="Calibri" w:eastAsia="Times New Roman" w:hAnsi="Calibri" w:cs="Calibri"/>
          <w:b/>
          <w:bCs/>
          <w:kern w:val="0"/>
          <w:lang w:eastAsia="en-GB"/>
          <w14:ligatures w14:val="none"/>
        </w:rPr>
      </w:pPr>
      <w:r w:rsidRPr="00BC2A9E">
        <w:rPr>
          <w:rFonts w:ascii="Calibri" w:eastAsia="Times New Roman" w:hAnsi="Calibri" w:cs="Calibri"/>
          <w:b/>
          <w:bCs/>
          <w:kern w:val="0"/>
          <w:lang w:eastAsia="en-GB"/>
          <w14:ligatures w14:val="none"/>
        </w:rPr>
        <w:lastRenderedPageBreak/>
        <w:t>Bibliography</w:t>
      </w:r>
    </w:p>
    <w:p w14:paraId="0D78C990"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xml:space="preserve">BBC News. “Edward Colston: Plaque to Bristol Slave Trader Axed over Wording.” </w:t>
      </w:r>
      <w:r w:rsidRPr="00BC2A9E">
        <w:rPr>
          <w:rFonts w:ascii="Calibri" w:eastAsia="Times New Roman" w:hAnsi="Calibri" w:cs="Calibri"/>
          <w:i/>
          <w:iCs/>
          <w:kern w:val="0"/>
          <w:lang w:eastAsia="en-GB"/>
          <w14:ligatures w14:val="none"/>
        </w:rPr>
        <w:t>BBC News</w:t>
      </w:r>
      <w:r w:rsidRPr="00BC2A9E">
        <w:rPr>
          <w:rFonts w:ascii="Calibri" w:eastAsia="Times New Roman" w:hAnsi="Calibri" w:cs="Calibri"/>
          <w:kern w:val="0"/>
          <w:lang w:eastAsia="en-GB"/>
          <w14:ligatures w14:val="none"/>
        </w:rPr>
        <w:t>, March 25, 2019, sec. Bristol. https://www.bbc.co.uk/news/uk-england-bristol-47670756.</w:t>
      </w:r>
    </w:p>
    <w:p w14:paraId="6DD94358"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Foster, Max, Nada Bashir, Rob Picheta, and Susannah Cullinane. “UK Protesters Topple Statue of Slave Trader Edward Colston in Bristol.” CNN, June 7, 2020. https://edition.cnn.com/2020/06/07/europe/edward-colston-statue-bristol/index.html.</w:t>
      </w:r>
    </w:p>
    <w:p w14:paraId="42F9835A"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xml:space="preserve">Harrison, Rodney. </w:t>
      </w:r>
      <w:r w:rsidRPr="00BC2A9E">
        <w:rPr>
          <w:rFonts w:ascii="Calibri" w:eastAsia="Times New Roman" w:hAnsi="Calibri" w:cs="Calibri"/>
          <w:i/>
          <w:iCs/>
          <w:kern w:val="0"/>
          <w:lang w:eastAsia="en-GB"/>
          <w14:ligatures w14:val="none"/>
        </w:rPr>
        <w:t>Understanding the Politics of Heritage</w:t>
      </w:r>
      <w:r w:rsidRPr="00BC2A9E">
        <w:rPr>
          <w:rFonts w:ascii="Calibri" w:eastAsia="Times New Roman" w:hAnsi="Calibri" w:cs="Calibri"/>
          <w:kern w:val="0"/>
          <w:lang w:eastAsia="en-GB"/>
          <w14:ligatures w14:val="none"/>
        </w:rPr>
        <w:t>. Manchester: Manchester University Press in association with the Open University, 2010.</w:t>
      </w:r>
    </w:p>
    <w:p w14:paraId="7930DB40"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Historic England. “Identification and Designation of Heritage Assets | Historic England.” historicengland.org.uk. Historic England, 2023. https://historicengland.org.uk/advice/hpg/has/.</w:t>
      </w:r>
    </w:p>
    <w:p w14:paraId="625811FF"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xml:space="preserve">———. “STATUE of EDWARD COLSTON, </w:t>
      </w:r>
      <w:proofErr w:type="gramStart"/>
      <w:r w:rsidRPr="00BC2A9E">
        <w:rPr>
          <w:rFonts w:ascii="Calibri" w:eastAsia="Times New Roman" w:hAnsi="Calibri" w:cs="Calibri"/>
          <w:kern w:val="0"/>
          <w:lang w:eastAsia="en-GB"/>
          <w14:ligatures w14:val="none"/>
        </w:rPr>
        <w:t>Non Civil</w:t>
      </w:r>
      <w:proofErr w:type="gramEnd"/>
      <w:r w:rsidRPr="00BC2A9E">
        <w:rPr>
          <w:rFonts w:ascii="Calibri" w:eastAsia="Times New Roman" w:hAnsi="Calibri" w:cs="Calibri"/>
          <w:kern w:val="0"/>
          <w:lang w:eastAsia="en-GB"/>
          <w14:ligatures w14:val="none"/>
        </w:rPr>
        <w:t xml:space="preserve"> Parish - 1202137 | Historic England.” historicengland.org.uk, 2007. https://historicengland.org.uk/listing/the-list/list-entry/1202137?section=official-list-entry.</w:t>
      </w:r>
    </w:p>
    <w:p w14:paraId="67B74544"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xml:space="preserve">Howard, Peter. </w:t>
      </w:r>
      <w:proofErr w:type="gramStart"/>
      <w:r w:rsidRPr="00BC2A9E">
        <w:rPr>
          <w:rFonts w:ascii="Calibri" w:eastAsia="Times New Roman" w:hAnsi="Calibri" w:cs="Calibri"/>
          <w:i/>
          <w:iCs/>
          <w:kern w:val="0"/>
          <w:lang w:eastAsia="en-GB"/>
          <w14:ligatures w14:val="none"/>
        </w:rPr>
        <w:t>Heritage :</w:t>
      </w:r>
      <w:proofErr w:type="gramEnd"/>
      <w:r w:rsidRPr="00BC2A9E">
        <w:rPr>
          <w:rFonts w:ascii="Calibri" w:eastAsia="Times New Roman" w:hAnsi="Calibri" w:cs="Calibri"/>
          <w:i/>
          <w:iCs/>
          <w:kern w:val="0"/>
          <w:lang w:eastAsia="en-GB"/>
          <w14:ligatures w14:val="none"/>
        </w:rPr>
        <w:t xml:space="preserve"> Management, Interpretation, Identity</w:t>
      </w:r>
      <w:r w:rsidRPr="00BC2A9E">
        <w:rPr>
          <w:rFonts w:ascii="Calibri" w:eastAsia="Times New Roman" w:hAnsi="Calibri" w:cs="Calibri"/>
          <w:kern w:val="0"/>
          <w:lang w:eastAsia="en-GB"/>
          <w14:ligatures w14:val="none"/>
        </w:rPr>
        <w:t>. 2003. Reprint, London: Continuum, 2011.</w:t>
      </w:r>
    </w:p>
    <w:p w14:paraId="7CE9358A"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Ministry of Housing, Communities and Local Government. “National Planning Policy Framework,” July 20, 2021. www.gov.uk/government/publications.</w:t>
      </w:r>
    </w:p>
    <w:p w14:paraId="19B7E84B"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xml:space="preserve">Mohdin, Aamna, and Rhi Storer. “Tributes to Slave Traders and Colonialists Removed across UK.” </w:t>
      </w:r>
      <w:r w:rsidRPr="00BC2A9E">
        <w:rPr>
          <w:rFonts w:ascii="Calibri" w:eastAsia="Times New Roman" w:hAnsi="Calibri" w:cs="Calibri"/>
          <w:i/>
          <w:iCs/>
          <w:kern w:val="0"/>
          <w:lang w:eastAsia="en-GB"/>
          <w14:ligatures w14:val="none"/>
        </w:rPr>
        <w:t>The Guardian</w:t>
      </w:r>
      <w:r w:rsidRPr="00BC2A9E">
        <w:rPr>
          <w:rFonts w:ascii="Calibri" w:eastAsia="Times New Roman" w:hAnsi="Calibri" w:cs="Calibri"/>
          <w:kern w:val="0"/>
          <w:lang w:eastAsia="en-GB"/>
          <w14:ligatures w14:val="none"/>
        </w:rPr>
        <w:t>, January 29, 2021, sec. World news. https://www.theguardian.com/world/2021/jan/29/tributes-to-slave-traders-and-colonialists-removed-across-uk.</w:t>
      </w:r>
    </w:p>
    <w:p w14:paraId="3F575425"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Moliar, Yevheniia. “Ukraine Must Stop Destroying Its Cultural Heritage.” The Spectator, March 8, 2023. https://www.spectator.co.uk/article/ukraine-must-stop-destroying-its-cultural-heritage/.</w:t>
      </w:r>
    </w:p>
    <w:p w14:paraId="1443F38C"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xml:space="preserve">Smith, Laurajane. </w:t>
      </w:r>
      <w:r w:rsidRPr="00BC2A9E">
        <w:rPr>
          <w:rFonts w:ascii="Calibri" w:eastAsia="Times New Roman" w:hAnsi="Calibri" w:cs="Calibri"/>
          <w:i/>
          <w:iCs/>
          <w:kern w:val="0"/>
          <w:lang w:eastAsia="en-GB"/>
          <w14:ligatures w14:val="none"/>
        </w:rPr>
        <w:t>Uses of Heritage</w:t>
      </w:r>
      <w:r w:rsidRPr="00BC2A9E">
        <w:rPr>
          <w:rFonts w:ascii="Calibri" w:eastAsia="Times New Roman" w:hAnsi="Calibri" w:cs="Calibri"/>
          <w:kern w:val="0"/>
          <w:lang w:eastAsia="en-GB"/>
          <w14:ligatures w14:val="none"/>
        </w:rPr>
        <w:t>. London; New York, N.Y.: Routledge, 2006.</w:t>
      </w:r>
    </w:p>
    <w:p w14:paraId="0DE30F1D"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Taylor, Jonathan. “Listed Places of Worship.” www.buildingconservation.com, May 2010. https://www.buildingconservation.com/articles/listprot/listprot.htm.</w:t>
      </w:r>
    </w:p>
    <w:p w14:paraId="5AC7896D"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UNESCO. “Convention Concerning the Protection of the World Cultural and Natural Heritage,” November 16, 1972. https://whc.unesco.org/en/conventiontext/.</w:t>
      </w:r>
    </w:p>
    <w:p w14:paraId="33EFF5C9"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“UNESCO Declaration Concerning the Intentional Destruction of Cultural Heritage,” October 17, 2003. https://en.unesco.org/about-us/legal-affairs/unesco-declaration-concerning-intentional-destruction-cultural-heritage.</w:t>
      </w:r>
    </w:p>
    <w:p w14:paraId="17B4FC09"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lastRenderedPageBreak/>
        <w:t>United Kingdom. Ancient Monuments and Archaeological Areas Act 1979, c. 46 § (1979). https://www.legislation.gov.uk/ukpga/1979/46.</w:t>
      </w:r>
    </w:p>
    <w:p w14:paraId="15359AD9" w14:textId="77777777" w:rsidR="00BC2A9E" w:rsidRPr="00BC2A9E" w:rsidRDefault="00BC2A9E" w:rsidP="00BC2A9E">
      <w:pPr>
        <w:spacing w:after="0"/>
        <w:ind w:left="720" w:hanging="720"/>
        <w:rPr>
          <w:rFonts w:ascii="Calibri" w:eastAsia="Times New Roman" w:hAnsi="Calibri" w:cs="Calibri"/>
          <w:kern w:val="0"/>
          <w:lang w:eastAsia="en-GB"/>
          <w14:ligatures w14:val="none"/>
        </w:rPr>
      </w:pPr>
      <w:r w:rsidRPr="00BC2A9E">
        <w:rPr>
          <w:rFonts w:ascii="Calibri" w:eastAsia="Times New Roman" w:hAnsi="Calibri" w:cs="Calibri"/>
          <w:kern w:val="0"/>
          <w:lang w:eastAsia="en-GB"/>
          <w14:ligatures w14:val="none"/>
        </w:rPr>
        <w:t>———. Planning (Listed Buildings and Conservation Areas) Act 1990, c. 9 § (1990). https://www.legislation.gov.uk/ukpga/1990/9/contents.</w:t>
      </w:r>
    </w:p>
    <w:p w14:paraId="1417F44D" w14:textId="77777777" w:rsidR="00DB2255" w:rsidRDefault="00DB2255" w:rsidP="00382366"/>
    <w:sectPr w:rsidR="00DB225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06DE4" w14:textId="77777777" w:rsidR="0020776E" w:rsidRDefault="0020776E" w:rsidP="002D4A8D">
      <w:pPr>
        <w:spacing w:after="0" w:line="240" w:lineRule="auto"/>
      </w:pPr>
      <w:r>
        <w:separator/>
      </w:r>
    </w:p>
  </w:endnote>
  <w:endnote w:type="continuationSeparator" w:id="0">
    <w:p w14:paraId="48EA45EA" w14:textId="77777777" w:rsidR="0020776E" w:rsidRDefault="0020776E" w:rsidP="002D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646165"/>
      <w:docPartObj>
        <w:docPartGallery w:val="Page Numbers (Bottom of Page)"/>
        <w:docPartUnique/>
      </w:docPartObj>
    </w:sdtPr>
    <w:sdtEndPr/>
    <w:sdtContent>
      <w:p w14:paraId="2892C65A" w14:textId="3524F829" w:rsidR="0002253B" w:rsidRDefault="0002253B" w:rsidP="0002253B">
        <w:pPr>
          <w:pStyle w:val="Footer"/>
          <w:pBdr>
            <w:top w:val="single" w:sz="4" w:space="1" w:color="auto"/>
          </w:pBdr>
        </w:pPr>
        <w:r>
          <w:t>14 March 2023</w:t>
        </w:r>
        <w:r>
          <w:ptab w:relativeTo="margin" w:alignment="right" w:leader="none"/>
        </w:r>
        <w:r>
          <w:fldChar w:fldCharType="begin"/>
        </w:r>
        <w:r>
          <w:instrText>PAGE   \* MERGEFORMAT</w:instrText>
        </w:r>
        <w:r>
          <w:fldChar w:fldCharType="separate"/>
        </w:r>
        <w: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59D95" w14:textId="77777777" w:rsidR="0020776E" w:rsidRDefault="0020776E" w:rsidP="002D4A8D">
      <w:pPr>
        <w:spacing w:after="0" w:line="240" w:lineRule="auto"/>
      </w:pPr>
      <w:r>
        <w:separator/>
      </w:r>
    </w:p>
  </w:footnote>
  <w:footnote w:type="continuationSeparator" w:id="0">
    <w:p w14:paraId="67AA2BC2" w14:textId="77777777" w:rsidR="0020776E" w:rsidRDefault="0020776E" w:rsidP="002D4A8D">
      <w:pPr>
        <w:spacing w:after="0" w:line="240" w:lineRule="auto"/>
      </w:pPr>
      <w:r>
        <w:continuationSeparator/>
      </w:r>
    </w:p>
  </w:footnote>
  <w:footnote w:id="1">
    <w:p w14:paraId="52B19AE6" w14:textId="2C6C8E98" w:rsidR="00AB0F9E" w:rsidRDefault="00AB0F9E">
      <w:pPr>
        <w:pStyle w:val="FootnoteText"/>
      </w:pPr>
      <w:r>
        <w:rPr>
          <w:rStyle w:val="FootnoteReference"/>
        </w:rPr>
        <w:footnoteRef/>
      </w:r>
      <w:r>
        <w:t xml:space="preserve"> </w:t>
      </w:r>
      <w:r w:rsidRPr="00AB0F9E">
        <w:t xml:space="preserve">Yevheniia Moliar, “Ukraine Must Stop Destroying Its Cultural Heritage,” The Spectator, March 8, 2023, </w:t>
      </w:r>
      <w:hyperlink r:id="rId1" w:history="1">
        <w:r w:rsidRPr="00AB0F9E">
          <w:rPr>
            <w:rStyle w:val="Hyperlink"/>
          </w:rPr>
          <w:t>https://www.spectator.co.uk/article/ukraine-must-stop-destroying-its-cultural-heritage/</w:t>
        </w:r>
      </w:hyperlink>
      <w:r w:rsidRPr="00AB0F9E">
        <w:t>.</w:t>
      </w:r>
    </w:p>
  </w:footnote>
  <w:footnote w:id="2">
    <w:p w14:paraId="229FA9BC" w14:textId="1C82B9B6" w:rsidR="00B35462" w:rsidRDefault="00B35462">
      <w:pPr>
        <w:pStyle w:val="FootnoteText"/>
      </w:pPr>
      <w:r>
        <w:rPr>
          <w:rStyle w:val="FootnoteReference"/>
        </w:rPr>
        <w:footnoteRef/>
      </w:r>
      <w:r>
        <w:t xml:space="preserve"> </w:t>
      </w:r>
      <w:r w:rsidRPr="00AB0F9E">
        <w:t>Yevheniia Moliar, “Ukraine Must Stop Destroying Its Cultural Heritage,”</w:t>
      </w:r>
    </w:p>
  </w:footnote>
  <w:footnote w:id="3">
    <w:p w14:paraId="58A77F36" w14:textId="6CC191F0" w:rsidR="0045692C" w:rsidRDefault="0045692C">
      <w:pPr>
        <w:pStyle w:val="FootnoteText"/>
      </w:pPr>
      <w:r>
        <w:rPr>
          <w:rStyle w:val="FootnoteReference"/>
        </w:rPr>
        <w:footnoteRef/>
      </w:r>
      <w:r>
        <w:t xml:space="preserve"> </w:t>
      </w:r>
      <w:r w:rsidRPr="0045692C">
        <w:t xml:space="preserve">Peter Howard, </w:t>
      </w:r>
      <w:r w:rsidRPr="0045692C">
        <w:rPr>
          <w:i/>
          <w:iCs/>
        </w:rPr>
        <w:t>Heritage : Management, Interpretation, Identity</w:t>
      </w:r>
      <w:r w:rsidRPr="0045692C">
        <w:t xml:space="preserve"> (2003; repr., London: Continuum, 2011)</w:t>
      </w:r>
      <w:r>
        <w:t>, p 1.</w:t>
      </w:r>
    </w:p>
  </w:footnote>
  <w:footnote w:id="4">
    <w:p w14:paraId="7285183D" w14:textId="637918D2" w:rsidR="007B3A3F" w:rsidRDefault="007B3A3F">
      <w:pPr>
        <w:pStyle w:val="FootnoteText"/>
      </w:pPr>
      <w:r>
        <w:rPr>
          <w:rStyle w:val="FootnoteReference"/>
        </w:rPr>
        <w:footnoteRef/>
      </w:r>
      <w:r>
        <w:t xml:space="preserve"> </w:t>
      </w:r>
      <w:r w:rsidR="00F7023F" w:rsidRPr="00F7023F">
        <w:t xml:space="preserve">Rodney Harrison, </w:t>
      </w:r>
      <w:r w:rsidR="00F7023F" w:rsidRPr="00F7023F">
        <w:rPr>
          <w:i/>
          <w:iCs/>
        </w:rPr>
        <w:t>Understanding the Politics of Heritage</w:t>
      </w:r>
      <w:r w:rsidR="00F7023F" w:rsidRPr="00F7023F">
        <w:t xml:space="preserve"> (Manchester: Manchester University Press in association with the Open University, 2010)</w:t>
      </w:r>
      <w:r>
        <w:t>, 9.</w:t>
      </w:r>
    </w:p>
  </w:footnote>
  <w:footnote w:id="5">
    <w:p w14:paraId="56C8B0FC" w14:textId="3394559E" w:rsidR="00F7023F" w:rsidRDefault="00F7023F">
      <w:pPr>
        <w:pStyle w:val="FootnoteText"/>
      </w:pPr>
      <w:r>
        <w:rPr>
          <w:rStyle w:val="FootnoteReference"/>
        </w:rPr>
        <w:footnoteRef/>
      </w:r>
      <w:r>
        <w:t xml:space="preserve"> </w:t>
      </w:r>
      <w:r w:rsidRPr="00F7023F">
        <w:t xml:space="preserve">Rodney Harrison, </w:t>
      </w:r>
      <w:r w:rsidRPr="00F7023F">
        <w:rPr>
          <w:i/>
          <w:iCs/>
        </w:rPr>
        <w:t>Understanding the Politics of Heritage</w:t>
      </w:r>
      <w:r w:rsidRPr="00F7023F">
        <w:t>, 9</w:t>
      </w:r>
      <w:r w:rsidR="0009133C">
        <w:t>-10</w:t>
      </w:r>
      <w:r w:rsidRPr="00F7023F">
        <w:t>.</w:t>
      </w:r>
    </w:p>
  </w:footnote>
  <w:footnote w:id="6">
    <w:p w14:paraId="6BC735B2" w14:textId="2D2973BE" w:rsidR="00FF430A" w:rsidRDefault="00FF430A">
      <w:pPr>
        <w:pStyle w:val="FootnoteText"/>
      </w:pPr>
      <w:r>
        <w:rPr>
          <w:rStyle w:val="FootnoteReference"/>
        </w:rPr>
        <w:footnoteRef/>
      </w:r>
      <w:r>
        <w:t xml:space="preserve"> </w:t>
      </w:r>
      <w:r w:rsidRPr="0045692C">
        <w:t xml:space="preserve">Peter Howard, </w:t>
      </w:r>
      <w:r w:rsidRPr="0045692C">
        <w:rPr>
          <w:i/>
          <w:iCs/>
        </w:rPr>
        <w:t>Heritage : Management, Interpretation, Identity</w:t>
      </w:r>
      <w:r w:rsidRPr="00FF430A">
        <w:t>, 1</w:t>
      </w:r>
    </w:p>
  </w:footnote>
  <w:footnote w:id="7">
    <w:p w14:paraId="41E86406" w14:textId="425E291E" w:rsidR="002E45B8" w:rsidRDefault="002E45B8">
      <w:pPr>
        <w:pStyle w:val="FootnoteText"/>
      </w:pPr>
      <w:r>
        <w:rPr>
          <w:rStyle w:val="FootnoteReference"/>
        </w:rPr>
        <w:footnoteRef/>
      </w:r>
      <w:r>
        <w:t xml:space="preserve"> </w:t>
      </w:r>
      <w:r w:rsidRPr="002E45B8">
        <w:t xml:space="preserve">Laurajane Smith, </w:t>
      </w:r>
      <w:r w:rsidRPr="002E45B8">
        <w:rPr>
          <w:i/>
          <w:iCs/>
        </w:rPr>
        <w:t>Uses of Heritage</w:t>
      </w:r>
      <w:r w:rsidRPr="002E45B8">
        <w:t xml:space="preserve"> (London; New York, N.Y.: Routledge, 2006).</w:t>
      </w:r>
    </w:p>
  </w:footnote>
  <w:footnote w:id="8">
    <w:p w14:paraId="74E729EB" w14:textId="61D0CDFD" w:rsidR="00365891" w:rsidRDefault="00365891">
      <w:pPr>
        <w:pStyle w:val="FootnoteText"/>
      </w:pPr>
      <w:r>
        <w:rPr>
          <w:rStyle w:val="FootnoteReference"/>
        </w:rPr>
        <w:footnoteRef/>
      </w:r>
      <w:r>
        <w:t xml:space="preserve"> </w:t>
      </w:r>
      <w:r w:rsidRPr="002E45B8">
        <w:t xml:space="preserve">Laurajane Smith, </w:t>
      </w:r>
      <w:r w:rsidRPr="002E45B8">
        <w:rPr>
          <w:i/>
          <w:iCs/>
        </w:rPr>
        <w:t>Uses of Heritage</w:t>
      </w:r>
      <w:r w:rsidRPr="002015BE">
        <w:t xml:space="preserve">, </w:t>
      </w:r>
      <w:r w:rsidR="002015BE" w:rsidRPr="002015BE">
        <w:t>29.</w:t>
      </w:r>
    </w:p>
  </w:footnote>
  <w:footnote w:id="9">
    <w:p w14:paraId="2E369B8F" w14:textId="6D36375B" w:rsidR="00425796" w:rsidRDefault="00425796">
      <w:pPr>
        <w:pStyle w:val="FootnoteText"/>
      </w:pPr>
      <w:r>
        <w:rPr>
          <w:rStyle w:val="FootnoteReference"/>
        </w:rPr>
        <w:footnoteRef/>
      </w:r>
      <w:r>
        <w:t xml:space="preserve"> </w:t>
      </w:r>
      <w:r w:rsidRPr="002E45B8">
        <w:t xml:space="preserve">Laurajane Smith, </w:t>
      </w:r>
      <w:r w:rsidRPr="002E45B8">
        <w:rPr>
          <w:i/>
          <w:iCs/>
        </w:rPr>
        <w:t>Uses of Heritage</w:t>
      </w:r>
      <w:r w:rsidRPr="00425796">
        <w:t>, 30</w:t>
      </w:r>
      <w:r w:rsidR="005D3F99">
        <w:t>-34</w:t>
      </w:r>
      <w:r w:rsidRPr="00425796">
        <w:t>.</w:t>
      </w:r>
    </w:p>
  </w:footnote>
  <w:footnote w:id="10">
    <w:p w14:paraId="37646199" w14:textId="3931FB10" w:rsidR="007125E5" w:rsidRDefault="007125E5">
      <w:pPr>
        <w:pStyle w:val="FootnoteText"/>
      </w:pPr>
      <w:r>
        <w:rPr>
          <w:rStyle w:val="FootnoteReference"/>
        </w:rPr>
        <w:footnoteRef/>
      </w:r>
      <w:r>
        <w:t xml:space="preserve"> </w:t>
      </w:r>
      <w:r w:rsidRPr="002E45B8">
        <w:t xml:space="preserve">Laurajane Smith, </w:t>
      </w:r>
      <w:r w:rsidRPr="002E45B8">
        <w:rPr>
          <w:i/>
          <w:iCs/>
        </w:rPr>
        <w:t>Uses of Heritage</w:t>
      </w:r>
      <w:r>
        <w:rPr>
          <w:i/>
          <w:iCs/>
        </w:rPr>
        <w:t>,</w:t>
      </w:r>
      <w:r w:rsidRPr="007125E5">
        <w:t xml:space="preserve"> 8</w:t>
      </w:r>
      <w:r w:rsidR="00680971">
        <w:t>7</w:t>
      </w:r>
      <w:r w:rsidRPr="007125E5">
        <w:t>-114.</w:t>
      </w:r>
    </w:p>
  </w:footnote>
  <w:footnote w:id="11">
    <w:p w14:paraId="4564D9BB" w14:textId="34C22859" w:rsidR="001342AA" w:rsidRDefault="001342AA">
      <w:pPr>
        <w:pStyle w:val="FootnoteText"/>
      </w:pPr>
      <w:r>
        <w:rPr>
          <w:rStyle w:val="FootnoteReference"/>
        </w:rPr>
        <w:footnoteRef/>
      </w:r>
      <w:r>
        <w:t xml:space="preserve"> </w:t>
      </w:r>
      <w:r w:rsidR="00DD112A" w:rsidRPr="00DD112A">
        <w:t xml:space="preserve">Ministry of Housing, Communities and Local Government, “National Planning Policy Framework,” July 20, 2021, </w:t>
      </w:r>
      <w:hyperlink r:id="rId2" w:history="1">
        <w:r w:rsidR="00A52628" w:rsidRPr="00EC442A">
          <w:rPr>
            <w:rStyle w:val="Hyperlink"/>
          </w:rPr>
          <w:t>www.gov.uk/government/publications</w:t>
        </w:r>
      </w:hyperlink>
      <w:r w:rsidR="00A52628">
        <w:t xml:space="preserve">; </w:t>
      </w:r>
      <w:r w:rsidR="00A52628" w:rsidRPr="00A52628">
        <w:t xml:space="preserve">United Kingdom, “Planning (Listed Buildings and Conservation Areas) Act 1990,” c. 9 § (1990), </w:t>
      </w:r>
      <w:hyperlink r:id="rId3" w:history="1">
        <w:r w:rsidR="00A52628" w:rsidRPr="00A52628">
          <w:rPr>
            <w:rStyle w:val="Hyperlink"/>
          </w:rPr>
          <w:t>https://www.legislation.gov.uk/ukpga/1990/9/contents</w:t>
        </w:r>
      </w:hyperlink>
      <w:r w:rsidR="00A52628">
        <w:t xml:space="preserve">; </w:t>
      </w:r>
      <w:r w:rsidR="00A52628" w:rsidRPr="00A52628">
        <w:t xml:space="preserve">United Kingdom, “Ancient Monuments and Archaeological Areas Act 1979,” c. 46 § (1979), </w:t>
      </w:r>
      <w:hyperlink r:id="rId4" w:history="1">
        <w:r w:rsidR="00A52628" w:rsidRPr="00A52628">
          <w:rPr>
            <w:rStyle w:val="Hyperlink"/>
          </w:rPr>
          <w:t>https://www.legislation.gov.uk/ukpga/1979/46</w:t>
        </w:r>
      </w:hyperlink>
      <w:r w:rsidR="00A52628" w:rsidRPr="00A52628">
        <w:t>.</w:t>
      </w:r>
    </w:p>
  </w:footnote>
  <w:footnote w:id="12">
    <w:p w14:paraId="7D418743" w14:textId="4955D034" w:rsidR="00317C7C" w:rsidRDefault="00317C7C">
      <w:pPr>
        <w:pStyle w:val="FootnoteText"/>
      </w:pPr>
      <w:r>
        <w:rPr>
          <w:rStyle w:val="FootnoteReference"/>
        </w:rPr>
        <w:footnoteRef/>
      </w:r>
      <w:r>
        <w:t xml:space="preserve"> </w:t>
      </w:r>
      <w:r w:rsidRPr="00DD112A">
        <w:t>Ministry of Housing, Communities and Local Government, “National Planning Policy Framework,”</w:t>
      </w:r>
      <w:r>
        <w:t xml:space="preserve"> 67.</w:t>
      </w:r>
    </w:p>
  </w:footnote>
  <w:footnote w:id="13">
    <w:p w14:paraId="30C57978" w14:textId="654749C2" w:rsidR="00097C4C" w:rsidRDefault="00097C4C">
      <w:pPr>
        <w:pStyle w:val="FootnoteText"/>
      </w:pPr>
      <w:r>
        <w:rPr>
          <w:rStyle w:val="FootnoteReference"/>
        </w:rPr>
        <w:footnoteRef/>
      </w:r>
      <w:r>
        <w:t xml:space="preserve"> </w:t>
      </w:r>
      <w:r w:rsidRPr="00DD112A">
        <w:t>Ministry of Housing, Communities and Local Government, “National Planning Policy Framework,”</w:t>
      </w:r>
      <w:r>
        <w:t xml:space="preserve"> 72.</w:t>
      </w:r>
    </w:p>
  </w:footnote>
  <w:footnote w:id="14">
    <w:p w14:paraId="5B48353D" w14:textId="251C65F3" w:rsidR="00D97043" w:rsidRDefault="00D97043">
      <w:pPr>
        <w:pStyle w:val="FootnoteText"/>
      </w:pPr>
      <w:r>
        <w:rPr>
          <w:rStyle w:val="FootnoteReference"/>
        </w:rPr>
        <w:footnoteRef/>
      </w:r>
      <w:r>
        <w:t xml:space="preserve"> See </w:t>
      </w:r>
      <w:proofErr w:type="gramStart"/>
      <w:r>
        <w:t>in particular</w:t>
      </w:r>
      <w:r w:rsidR="0036692E">
        <w:t xml:space="preserve"> paragraphs</w:t>
      </w:r>
      <w:proofErr w:type="gramEnd"/>
      <w:r w:rsidR="0036692E">
        <w:t xml:space="preserve"> </w:t>
      </w:r>
      <w:r w:rsidR="009F648F">
        <w:t>199 through 202 in</w:t>
      </w:r>
      <w:r>
        <w:t xml:space="preserve"> </w:t>
      </w:r>
      <w:r w:rsidR="0036692E" w:rsidRPr="00DD112A">
        <w:t>Ministry of Housing, Communities and Local Government, “National Planning Policy Framework,”</w:t>
      </w:r>
      <w:r w:rsidR="0036692E">
        <w:t xml:space="preserve"> 57.</w:t>
      </w:r>
    </w:p>
  </w:footnote>
  <w:footnote w:id="15">
    <w:p w14:paraId="0A8117E8" w14:textId="1C8FF72A" w:rsidR="00563B5A" w:rsidRDefault="00563B5A">
      <w:pPr>
        <w:pStyle w:val="FootnoteText"/>
      </w:pPr>
      <w:r>
        <w:rPr>
          <w:rStyle w:val="FootnoteReference"/>
        </w:rPr>
        <w:footnoteRef/>
      </w:r>
      <w:r>
        <w:t xml:space="preserve"> </w:t>
      </w:r>
      <w:r w:rsidRPr="00563B5A">
        <w:t xml:space="preserve">Historic England, “Identification and Designation of Heritage Assets | Historic England,” historicengland.org.uk (Historic England, 2023), </w:t>
      </w:r>
      <w:hyperlink r:id="rId5" w:history="1">
        <w:r w:rsidRPr="00563B5A">
          <w:rPr>
            <w:rStyle w:val="Hyperlink"/>
          </w:rPr>
          <w:t>https://historicengland.org.uk/advice/hpg/has/</w:t>
        </w:r>
      </w:hyperlink>
      <w:r w:rsidRPr="00563B5A">
        <w:t>.</w:t>
      </w:r>
    </w:p>
  </w:footnote>
  <w:footnote w:id="16">
    <w:p w14:paraId="1CC44F4E" w14:textId="01360B0C" w:rsidR="009C3161" w:rsidRDefault="009C3161">
      <w:pPr>
        <w:pStyle w:val="FootnoteText"/>
      </w:pPr>
      <w:r>
        <w:rPr>
          <w:rStyle w:val="FootnoteReference"/>
        </w:rPr>
        <w:footnoteRef/>
      </w:r>
      <w:r>
        <w:t xml:space="preserve"> </w:t>
      </w:r>
      <w:r w:rsidRPr="002E45B8">
        <w:t xml:space="preserve">Laurajane Smith, </w:t>
      </w:r>
      <w:r w:rsidRPr="002E45B8">
        <w:rPr>
          <w:i/>
          <w:iCs/>
        </w:rPr>
        <w:t>Uses of Heritage</w:t>
      </w:r>
      <w:r>
        <w:rPr>
          <w:i/>
          <w:iCs/>
        </w:rPr>
        <w:t>,</w:t>
      </w:r>
      <w:r w:rsidRPr="007125E5">
        <w:t xml:space="preserve"> </w:t>
      </w:r>
      <w:r>
        <w:t>276-277</w:t>
      </w:r>
      <w:r w:rsidRPr="007125E5">
        <w:t>.</w:t>
      </w:r>
    </w:p>
  </w:footnote>
  <w:footnote w:id="17">
    <w:p w14:paraId="3474CA40" w14:textId="73894FE0" w:rsidR="009F76A8" w:rsidRDefault="009F76A8">
      <w:pPr>
        <w:pStyle w:val="FootnoteText"/>
      </w:pPr>
      <w:r>
        <w:rPr>
          <w:rStyle w:val="FootnoteReference"/>
        </w:rPr>
        <w:footnoteRef/>
      </w:r>
      <w:r>
        <w:t xml:space="preserve"> </w:t>
      </w:r>
      <w:r w:rsidRPr="009F76A8">
        <w:t xml:space="preserve">Max Foster et al., “UK Protesters Topple Statue of Slave Trader Edward Colston in Bristol,” CNN, June 7, 2020, </w:t>
      </w:r>
      <w:hyperlink r:id="rId6" w:history="1">
        <w:r w:rsidRPr="009F76A8">
          <w:rPr>
            <w:rStyle w:val="Hyperlink"/>
          </w:rPr>
          <w:t>https://edition.cnn.com/2020/06/07/europe/edward-colston-statue-bristol/index.html</w:t>
        </w:r>
      </w:hyperlink>
      <w:r w:rsidR="00A37DD4">
        <w:t>;</w:t>
      </w:r>
      <w:r w:rsidR="00F75410">
        <w:t xml:space="preserve"> </w:t>
      </w:r>
      <w:r w:rsidR="00F75410" w:rsidRPr="00F75410">
        <w:t xml:space="preserve">Historic England, “STATUE of EDWARD COLSTON, Non Civil Parish - 1202137 | Historic England,” historicengland.org.uk, 2007, </w:t>
      </w:r>
      <w:hyperlink r:id="rId7" w:history="1">
        <w:r w:rsidR="00F75410" w:rsidRPr="00F75410">
          <w:rPr>
            <w:rStyle w:val="Hyperlink"/>
          </w:rPr>
          <w:t>https://historicengland.org.uk/listing/the-list/list-entry/1202137?section=official-list-entry</w:t>
        </w:r>
      </w:hyperlink>
      <w:r w:rsidR="00F75410" w:rsidRPr="00F75410">
        <w:t>.</w:t>
      </w:r>
    </w:p>
  </w:footnote>
  <w:footnote w:id="18">
    <w:p w14:paraId="0B5E2CC6" w14:textId="02F656FC" w:rsidR="005A0BF4" w:rsidRDefault="005A0BF4">
      <w:pPr>
        <w:pStyle w:val="FootnoteText"/>
      </w:pPr>
      <w:r>
        <w:rPr>
          <w:rStyle w:val="FootnoteReference"/>
        </w:rPr>
        <w:footnoteRef/>
      </w:r>
      <w:r>
        <w:t xml:space="preserve"> </w:t>
      </w:r>
      <w:r w:rsidRPr="005A0BF4">
        <w:t xml:space="preserve">BBC News, “Edward Colston: Plaque to Bristol Slave Trader Axed over Wording,” </w:t>
      </w:r>
      <w:r w:rsidRPr="005A0BF4">
        <w:rPr>
          <w:i/>
          <w:iCs/>
        </w:rPr>
        <w:t>BBC News</w:t>
      </w:r>
      <w:r w:rsidRPr="005A0BF4">
        <w:t xml:space="preserve">, March 25, 2019, sec. Bristol, </w:t>
      </w:r>
      <w:hyperlink r:id="rId8" w:history="1">
        <w:r w:rsidRPr="005A0BF4">
          <w:rPr>
            <w:rStyle w:val="Hyperlink"/>
          </w:rPr>
          <w:t>https://www.bbc.co.uk/news/uk-england-bristol-47670756</w:t>
        </w:r>
      </w:hyperlink>
      <w:r w:rsidRPr="005A0BF4">
        <w:t>.</w:t>
      </w:r>
    </w:p>
  </w:footnote>
  <w:footnote w:id="19">
    <w:p w14:paraId="2D2EC459" w14:textId="387B4124" w:rsidR="00164394" w:rsidRDefault="00164394">
      <w:pPr>
        <w:pStyle w:val="FootnoteText"/>
      </w:pPr>
      <w:r>
        <w:rPr>
          <w:rStyle w:val="FootnoteReference"/>
        </w:rPr>
        <w:footnoteRef/>
      </w:r>
      <w:r>
        <w:t xml:space="preserve"> </w:t>
      </w:r>
      <w:r w:rsidRPr="00164394">
        <w:t xml:space="preserve">Aamna Mohdin and Rhi Storer, “Tributes to Slave Traders and Colonialists Removed across UK,” </w:t>
      </w:r>
      <w:r w:rsidRPr="00164394">
        <w:rPr>
          <w:i/>
          <w:iCs/>
        </w:rPr>
        <w:t>The Guardian</w:t>
      </w:r>
      <w:r w:rsidRPr="00164394">
        <w:t xml:space="preserve">, January 29, 2021, sec. World news, </w:t>
      </w:r>
      <w:hyperlink r:id="rId9" w:history="1">
        <w:r w:rsidRPr="00164394">
          <w:rPr>
            <w:rStyle w:val="Hyperlink"/>
          </w:rPr>
          <w:t>https://www.theguardian.com/world/2021/jan/29/tributes-to-slave-traders-and-colonialists-removed-across-uk</w:t>
        </w:r>
      </w:hyperlink>
      <w:r w:rsidRPr="00164394">
        <w:t>.</w:t>
      </w:r>
    </w:p>
  </w:footnote>
  <w:footnote w:id="20">
    <w:p w14:paraId="5499E6BA" w14:textId="74753CEF" w:rsidR="00C84BA0" w:rsidRDefault="00C84BA0">
      <w:pPr>
        <w:pStyle w:val="FootnoteText"/>
      </w:pPr>
      <w:r>
        <w:rPr>
          <w:rStyle w:val="FootnoteReference"/>
        </w:rPr>
        <w:footnoteRef/>
      </w:r>
      <w:r>
        <w:t xml:space="preserve"> </w:t>
      </w:r>
      <w:r w:rsidRPr="00C84BA0">
        <w:t xml:space="preserve">Ministry of Housing, Communities and Local Government, “National Planning Policy Framework,” </w:t>
      </w:r>
      <w:r>
        <w:t>56</w:t>
      </w:r>
      <w:r w:rsidR="004F123F">
        <w:t>, paragraph 198.</w:t>
      </w:r>
    </w:p>
  </w:footnote>
  <w:footnote w:id="21">
    <w:p w14:paraId="1C686906" w14:textId="02349A07" w:rsidR="003D22A2" w:rsidRDefault="003D22A2">
      <w:pPr>
        <w:pStyle w:val="FootnoteText"/>
      </w:pPr>
      <w:r>
        <w:rPr>
          <w:rStyle w:val="FootnoteReference"/>
        </w:rPr>
        <w:footnoteRef/>
      </w:r>
      <w:r>
        <w:t xml:space="preserve"> </w:t>
      </w:r>
      <w:r w:rsidRPr="00F7023F">
        <w:t xml:space="preserve">Rodney Harrison, </w:t>
      </w:r>
      <w:r w:rsidRPr="00F7023F">
        <w:rPr>
          <w:i/>
          <w:iCs/>
        </w:rPr>
        <w:t>Understanding the Politics of Heritage</w:t>
      </w:r>
      <w:r w:rsidRPr="00F7023F">
        <w:t>, 9</w:t>
      </w:r>
      <w:r>
        <w:t>-10</w:t>
      </w:r>
      <w:r w:rsidRPr="00F7023F">
        <w:t>.</w:t>
      </w:r>
    </w:p>
  </w:footnote>
  <w:footnote w:id="22">
    <w:p w14:paraId="44BD9DEB" w14:textId="44B6AB50" w:rsidR="00A84A1E" w:rsidRDefault="00A84A1E">
      <w:pPr>
        <w:pStyle w:val="FootnoteText"/>
      </w:pPr>
      <w:r>
        <w:rPr>
          <w:rStyle w:val="FootnoteReference"/>
        </w:rPr>
        <w:footnoteRef/>
      </w:r>
      <w:r>
        <w:t xml:space="preserve"> </w:t>
      </w:r>
      <w:r w:rsidR="00FA3340" w:rsidRPr="002E45B8">
        <w:t xml:space="preserve">Laurajane Smith, </w:t>
      </w:r>
      <w:r w:rsidR="00FA3340" w:rsidRPr="002E45B8">
        <w:rPr>
          <w:i/>
          <w:iCs/>
        </w:rPr>
        <w:t>Uses of Heritage</w:t>
      </w:r>
      <w:r w:rsidR="00FA3340">
        <w:rPr>
          <w:i/>
          <w:iCs/>
        </w:rPr>
        <w:t>,</w:t>
      </w:r>
      <w:r w:rsidR="00FA3340" w:rsidRPr="007125E5">
        <w:t xml:space="preserve"> </w:t>
      </w:r>
      <w:r w:rsidR="00FA3340">
        <w:t>56</w:t>
      </w:r>
      <w:r w:rsidR="00FA3340" w:rsidRPr="007125E5">
        <w:t>.</w:t>
      </w:r>
    </w:p>
  </w:footnote>
  <w:footnote w:id="23">
    <w:p w14:paraId="32B2CAEF" w14:textId="6DAA74C7" w:rsidR="008F02A1" w:rsidRDefault="008F02A1">
      <w:pPr>
        <w:pStyle w:val="FootnoteText"/>
      </w:pPr>
      <w:r>
        <w:rPr>
          <w:rStyle w:val="FootnoteReference"/>
        </w:rPr>
        <w:footnoteRef/>
      </w:r>
      <w:r>
        <w:t xml:space="preserve"> </w:t>
      </w:r>
      <w:r w:rsidRPr="00F7023F">
        <w:t xml:space="preserve">Rodney Harrison, </w:t>
      </w:r>
      <w:r w:rsidRPr="00F7023F">
        <w:rPr>
          <w:i/>
          <w:iCs/>
        </w:rPr>
        <w:t>Understanding the Politics of Heritage</w:t>
      </w:r>
      <w:r w:rsidRPr="00F7023F">
        <w:t>, 9</w:t>
      </w:r>
      <w:r>
        <w:t>-10</w:t>
      </w:r>
      <w:r w:rsidRPr="00F7023F">
        <w:t>.</w:t>
      </w:r>
    </w:p>
  </w:footnote>
  <w:footnote w:id="24">
    <w:p w14:paraId="58603639" w14:textId="57C8145E" w:rsidR="0005509C" w:rsidRDefault="0005509C">
      <w:pPr>
        <w:pStyle w:val="FootnoteText"/>
      </w:pPr>
      <w:r>
        <w:rPr>
          <w:rStyle w:val="FootnoteReference"/>
        </w:rPr>
        <w:footnoteRef/>
      </w:r>
      <w:r>
        <w:t xml:space="preserve"> </w:t>
      </w:r>
      <w:r w:rsidRPr="0005509C">
        <w:t xml:space="preserve">Jonathan Taylor, “Listed Places of Worship,” www.buildingconservation.com, May 2010, </w:t>
      </w:r>
      <w:hyperlink r:id="rId10" w:history="1">
        <w:r w:rsidRPr="0005509C">
          <w:rPr>
            <w:rStyle w:val="Hyperlink"/>
          </w:rPr>
          <w:t>https://www.buildingconservation.com/articles/listprot/listprot.htm</w:t>
        </w:r>
      </w:hyperlink>
      <w:r w:rsidRPr="0005509C">
        <w:t>.</w:t>
      </w:r>
    </w:p>
  </w:footnote>
  <w:footnote w:id="25">
    <w:p w14:paraId="4190528A" w14:textId="5C8FFE72" w:rsidR="00E022EB" w:rsidRDefault="00E022EB">
      <w:pPr>
        <w:pStyle w:val="FootnoteText"/>
      </w:pPr>
      <w:r>
        <w:rPr>
          <w:rStyle w:val="FootnoteReference"/>
        </w:rPr>
        <w:footnoteRef/>
      </w:r>
      <w:r>
        <w:t xml:space="preserve"> </w:t>
      </w:r>
      <w:r w:rsidRPr="00AB0F9E">
        <w:t>Yevheniia Moliar, “Ukraine Must Stop Destroying Its Cultural Heritage,”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F176" w14:textId="77777777" w:rsidR="002D4A8D" w:rsidRPr="00644A10" w:rsidRDefault="002D4A8D" w:rsidP="002D4A8D">
    <w:pPr>
      <w:pStyle w:val="Header"/>
      <w:pBdr>
        <w:bottom w:val="single" w:sz="4" w:space="1" w:color="auto"/>
      </w:pBdr>
    </w:pPr>
    <w:r>
      <w:t>William Bedford</w:t>
    </w:r>
    <w:r>
      <w:ptab w:relativeTo="margin" w:alignment="right" w:leader="none"/>
    </w:r>
    <w:r w:rsidRPr="00F8512B">
      <w:t xml:space="preserve"> 2221244</w:t>
    </w:r>
  </w:p>
  <w:p w14:paraId="12C6B500" w14:textId="77777777" w:rsidR="002D4A8D" w:rsidRDefault="002D4A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B33"/>
    <w:rsid w:val="00001390"/>
    <w:rsid w:val="00003C19"/>
    <w:rsid w:val="00010407"/>
    <w:rsid w:val="00013F5C"/>
    <w:rsid w:val="0002253B"/>
    <w:rsid w:val="00023BF6"/>
    <w:rsid w:val="00024D1A"/>
    <w:rsid w:val="00026016"/>
    <w:rsid w:val="00032066"/>
    <w:rsid w:val="00034D28"/>
    <w:rsid w:val="00041000"/>
    <w:rsid w:val="00043AD6"/>
    <w:rsid w:val="0004547C"/>
    <w:rsid w:val="0005509C"/>
    <w:rsid w:val="00062271"/>
    <w:rsid w:val="000650F2"/>
    <w:rsid w:val="00073B88"/>
    <w:rsid w:val="0007437B"/>
    <w:rsid w:val="000870A8"/>
    <w:rsid w:val="00087CFD"/>
    <w:rsid w:val="0009133C"/>
    <w:rsid w:val="00097C4C"/>
    <w:rsid w:val="000A330B"/>
    <w:rsid w:val="000B0523"/>
    <w:rsid w:val="000B0C87"/>
    <w:rsid w:val="000B2B60"/>
    <w:rsid w:val="000D4F28"/>
    <w:rsid w:val="000D6C16"/>
    <w:rsid w:val="000F00FB"/>
    <w:rsid w:val="000F41D9"/>
    <w:rsid w:val="000F4358"/>
    <w:rsid w:val="00102E42"/>
    <w:rsid w:val="00103A64"/>
    <w:rsid w:val="001055D6"/>
    <w:rsid w:val="001120EF"/>
    <w:rsid w:val="00114EDF"/>
    <w:rsid w:val="00120BF9"/>
    <w:rsid w:val="001211C0"/>
    <w:rsid w:val="001262DF"/>
    <w:rsid w:val="001342AA"/>
    <w:rsid w:val="00141B6B"/>
    <w:rsid w:val="0015066E"/>
    <w:rsid w:val="0015607B"/>
    <w:rsid w:val="00164394"/>
    <w:rsid w:val="00164A97"/>
    <w:rsid w:val="00165A1C"/>
    <w:rsid w:val="00177CE2"/>
    <w:rsid w:val="00180EE1"/>
    <w:rsid w:val="0018637F"/>
    <w:rsid w:val="0018640F"/>
    <w:rsid w:val="00187C6D"/>
    <w:rsid w:val="00190EB5"/>
    <w:rsid w:val="00192919"/>
    <w:rsid w:val="00193490"/>
    <w:rsid w:val="00197487"/>
    <w:rsid w:val="001B0FAC"/>
    <w:rsid w:val="001B1574"/>
    <w:rsid w:val="001C1339"/>
    <w:rsid w:val="001C148F"/>
    <w:rsid w:val="001D18E9"/>
    <w:rsid w:val="001D4294"/>
    <w:rsid w:val="001D5E12"/>
    <w:rsid w:val="001E2798"/>
    <w:rsid w:val="001E29BE"/>
    <w:rsid w:val="001E5899"/>
    <w:rsid w:val="001E5E5F"/>
    <w:rsid w:val="001E7C7D"/>
    <w:rsid w:val="002015BE"/>
    <w:rsid w:val="002021A8"/>
    <w:rsid w:val="00204F31"/>
    <w:rsid w:val="00206E77"/>
    <w:rsid w:val="0020776E"/>
    <w:rsid w:val="00212EB0"/>
    <w:rsid w:val="00216680"/>
    <w:rsid w:val="0022122B"/>
    <w:rsid w:val="00222FC7"/>
    <w:rsid w:val="00234A14"/>
    <w:rsid w:val="00235B13"/>
    <w:rsid w:val="00237847"/>
    <w:rsid w:val="00243A74"/>
    <w:rsid w:val="002454A6"/>
    <w:rsid w:val="002458B1"/>
    <w:rsid w:val="00257EBE"/>
    <w:rsid w:val="002646AE"/>
    <w:rsid w:val="00270AF0"/>
    <w:rsid w:val="00274497"/>
    <w:rsid w:val="00275E60"/>
    <w:rsid w:val="00276616"/>
    <w:rsid w:val="002768B3"/>
    <w:rsid w:val="00282E9E"/>
    <w:rsid w:val="00283C64"/>
    <w:rsid w:val="00287BC9"/>
    <w:rsid w:val="0029560C"/>
    <w:rsid w:val="002A17C6"/>
    <w:rsid w:val="002B7F02"/>
    <w:rsid w:val="002C37B4"/>
    <w:rsid w:val="002C5798"/>
    <w:rsid w:val="002D32A0"/>
    <w:rsid w:val="002D4A8D"/>
    <w:rsid w:val="002E45B8"/>
    <w:rsid w:val="002F27AC"/>
    <w:rsid w:val="002F6DEE"/>
    <w:rsid w:val="002F78AC"/>
    <w:rsid w:val="00313E0F"/>
    <w:rsid w:val="003153C0"/>
    <w:rsid w:val="00316D0B"/>
    <w:rsid w:val="00317C7C"/>
    <w:rsid w:val="003254E0"/>
    <w:rsid w:val="00332535"/>
    <w:rsid w:val="00332DB4"/>
    <w:rsid w:val="003358FB"/>
    <w:rsid w:val="003408BC"/>
    <w:rsid w:val="00353D8C"/>
    <w:rsid w:val="003567A9"/>
    <w:rsid w:val="00365891"/>
    <w:rsid w:val="0036692E"/>
    <w:rsid w:val="0037006B"/>
    <w:rsid w:val="00370E05"/>
    <w:rsid w:val="003726D5"/>
    <w:rsid w:val="00376719"/>
    <w:rsid w:val="00382366"/>
    <w:rsid w:val="00394DE7"/>
    <w:rsid w:val="0039790F"/>
    <w:rsid w:val="003A5583"/>
    <w:rsid w:val="003A6149"/>
    <w:rsid w:val="003C165E"/>
    <w:rsid w:val="003D032C"/>
    <w:rsid w:val="003D22A2"/>
    <w:rsid w:val="003D5AFD"/>
    <w:rsid w:val="003E0E7F"/>
    <w:rsid w:val="003E3C32"/>
    <w:rsid w:val="003E4696"/>
    <w:rsid w:val="003E7F1C"/>
    <w:rsid w:val="003F3436"/>
    <w:rsid w:val="003F349E"/>
    <w:rsid w:val="003F50D5"/>
    <w:rsid w:val="003F580A"/>
    <w:rsid w:val="00411B33"/>
    <w:rsid w:val="004157A1"/>
    <w:rsid w:val="00425796"/>
    <w:rsid w:val="004524BA"/>
    <w:rsid w:val="00453BBF"/>
    <w:rsid w:val="0045692C"/>
    <w:rsid w:val="0046205C"/>
    <w:rsid w:val="00463541"/>
    <w:rsid w:val="00466AB3"/>
    <w:rsid w:val="00470FEE"/>
    <w:rsid w:val="00483710"/>
    <w:rsid w:val="0049480E"/>
    <w:rsid w:val="004979B2"/>
    <w:rsid w:val="004A50E1"/>
    <w:rsid w:val="004A765F"/>
    <w:rsid w:val="004B2293"/>
    <w:rsid w:val="004C211B"/>
    <w:rsid w:val="004C32AC"/>
    <w:rsid w:val="004C748A"/>
    <w:rsid w:val="004C783B"/>
    <w:rsid w:val="004D0424"/>
    <w:rsid w:val="004D137A"/>
    <w:rsid w:val="004D1E8F"/>
    <w:rsid w:val="004F123F"/>
    <w:rsid w:val="00501166"/>
    <w:rsid w:val="005012CA"/>
    <w:rsid w:val="00507E37"/>
    <w:rsid w:val="0051632F"/>
    <w:rsid w:val="0052021E"/>
    <w:rsid w:val="00536FBE"/>
    <w:rsid w:val="00546036"/>
    <w:rsid w:val="0055332D"/>
    <w:rsid w:val="00553494"/>
    <w:rsid w:val="0055483D"/>
    <w:rsid w:val="00561C72"/>
    <w:rsid w:val="00563B5A"/>
    <w:rsid w:val="00570A8B"/>
    <w:rsid w:val="0057190A"/>
    <w:rsid w:val="005807FF"/>
    <w:rsid w:val="005878E7"/>
    <w:rsid w:val="00591B93"/>
    <w:rsid w:val="005A0BF4"/>
    <w:rsid w:val="005A377E"/>
    <w:rsid w:val="005A66B9"/>
    <w:rsid w:val="005A769B"/>
    <w:rsid w:val="005D14F6"/>
    <w:rsid w:val="005D3F99"/>
    <w:rsid w:val="005D6065"/>
    <w:rsid w:val="005F0EDE"/>
    <w:rsid w:val="005F27CC"/>
    <w:rsid w:val="005F3CD1"/>
    <w:rsid w:val="005F53CE"/>
    <w:rsid w:val="00602BDF"/>
    <w:rsid w:val="00604978"/>
    <w:rsid w:val="00613889"/>
    <w:rsid w:val="006273C3"/>
    <w:rsid w:val="00630327"/>
    <w:rsid w:val="00645041"/>
    <w:rsid w:val="00653C91"/>
    <w:rsid w:val="00654469"/>
    <w:rsid w:val="00655E6D"/>
    <w:rsid w:val="0066352F"/>
    <w:rsid w:val="006640E2"/>
    <w:rsid w:val="00672BAA"/>
    <w:rsid w:val="00673FA6"/>
    <w:rsid w:val="00680971"/>
    <w:rsid w:val="00692BF4"/>
    <w:rsid w:val="00694C56"/>
    <w:rsid w:val="00695379"/>
    <w:rsid w:val="00697EDE"/>
    <w:rsid w:val="006A36CF"/>
    <w:rsid w:val="006B60B7"/>
    <w:rsid w:val="006C7644"/>
    <w:rsid w:val="006C7D92"/>
    <w:rsid w:val="006D47F2"/>
    <w:rsid w:val="006D5152"/>
    <w:rsid w:val="006D755C"/>
    <w:rsid w:val="006F401F"/>
    <w:rsid w:val="006F5F3B"/>
    <w:rsid w:val="007000BB"/>
    <w:rsid w:val="0070651B"/>
    <w:rsid w:val="00711E62"/>
    <w:rsid w:val="007125E5"/>
    <w:rsid w:val="007227D0"/>
    <w:rsid w:val="0072595A"/>
    <w:rsid w:val="00726B46"/>
    <w:rsid w:val="00730151"/>
    <w:rsid w:val="007312E8"/>
    <w:rsid w:val="007354CA"/>
    <w:rsid w:val="00740E09"/>
    <w:rsid w:val="00747D1E"/>
    <w:rsid w:val="00753A11"/>
    <w:rsid w:val="0076601F"/>
    <w:rsid w:val="0079438D"/>
    <w:rsid w:val="00797456"/>
    <w:rsid w:val="007A3B27"/>
    <w:rsid w:val="007A4176"/>
    <w:rsid w:val="007A5068"/>
    <w:rsid w:val="007A6A3B"/>
    <w:rsid w:val="007B382D"/>
    <w:rsid w:val="007B3A3F"/>
    <w:rsid w:val="007B4E94"/>
    <w:rsid w:val="007B5DCF"/>
    <w:rsid w:val="007B6B8B"/>
    <w:rsid w:val="007C2006"/>
    <w:rsid w:val="007C556B"/>
    <w:rsid w:val="007D4D3B"/>
    <w:rsid w:val="007E3A5D"/>
    <w:rsid w:val="007E4673"/>
    <w:rsid w:val="007E46C7"/>
    <w:rsid w:val="007F7821"/>
    <w:rsid w:val="008021FD"/>
    <w:rsid w:val="00802C06"/>
    <w:rsid w:val="0081730E"/>
    <w:rsid w:val="00830D0F"/>
    <w:rsid w:val="00842612"/>
    <w:rsid w:val="00847AA3"/>
    <w:rsid w:val="00852089"/>
    <w:rsid w:val="00862954"/>
    <w:rsid w:val="008663D1"/>
    <w:rsid w:val="0087048B"/>
    <w:rsid w:val="00872BBC"/>
    <w:rsid w:val="00880560"/>
    <w:rsid w:val="00884AA2"/>
    <w:rsid w:val="008860FC"/>
    <w:rsid w:val="008A560E"/>
    <w:rsid w:val="008B054A"/>
    <w:rsid w:val="008B31CB"/>
    <w:rsid w:val="008B4D7A"/>
    <w:rsid w:val="008C7746"/>
    <w:rsid w:val="008C78C0"/>
    <w:rsid w:val="008D2510"/>
    <w:rsid w:val="008D7A7B"/>
    <w:rsid w:val="008E7176"/>
    <w:rsid w:val="008F02A1"/>
    <w:rsid w:val="009059E2"/>
    <w:rsid w:val="009113B2"/>
    <w:rsid w:val="009148BC"/>
    <w:rsid w:val="009401EA"/>
    <w:rsid w:val="00947551"/>
    <w:rsid w:val="0095722D"/>
    <w:rsid w:val="009676CF"/>
    <w:rsid w:val="009720D3"/>
    <w:rsid w:val="00980288"/>
    <w:rsid w:val="00984286"/>
    <w:rsid w:val="009922EA"/>
    <w:rsid w:val="00994BB1"/>
    <w:rsid w:val="009A0536"/>
    <w:rsid w:val="009A4100"/>
    <w:rsid w:val="009B145C"/>
    <w:rsid w:val="009B1825"/>
    <w:rsid w:val="009B651F"/>
    <w:rsid w:val="009C3161"/>
    <w:rsid w:val="009C3652"/>
    <w:rsid w:val="009C6B25"/>
    <w:rsid w:val="009D0506"/>
    <w:rsid w:val="009D7FF9"/>
    <w:rsid w:val="009E0085"/>
    <w:rsid w:val="009E65A9"/>
    <w:rsid w:val="009F608D"/>
    <w:rsid w:val="009F648F"/>
    <w:rsid w:val="009F76A8"/>
    <w:rsid w:val="00A02C89"/>
    <w:rsid w:val="00A13AF0"/>
    <w:rsid w:val="00A13F01"/>
    <w:rsid w:val="00A14323"/>
    <w:rsid w:val="00A30B5D"/>
    <w:rsid w:val="00A338E6"/>
    <w:rsid w:val="00A33AE4"/>
    <w:rsid w:val="00A37DD4"/>
    <w:rsid w:val="00A52628"/>
    <w:rsid w:val="00A55A0A"/>
    <w:rsid w:val="00A609EC"/>
    <w:rsid w:val="00A635DF"/>
    <w:rsid w:val="00A753C9"/>
    <w:rsid w:val="00A84A1E"/>
    <w:rsid w:val="00AA0E76"/>
    <w:rsid w:val="00AA5284"/>
    <w:rsid w:val="00AA5D26"/>
    <w:rsid w:val="00AA7A67"/>
    <w:rsid w:val="00AB0F9E"/>
    <w:rsid w:val="00AC7D90"/>
    <w:rsid w:val="00AD0A33"/>
    <w:rsid w:val="00AD68D9"/>
    <w:rsid w:val="00AD7BE3"/>
    <w:rsid w:val="00AF0CCA"/>
    <w:rsid w:val="00AF39D4"/>
    <w:rsid w:val="00AF4E18"/>
    <w:rsid w:val="00B013C2"/>
    <w:rsid w:val="00B02821"/>
    <w:rsid w:val="00B10D5C"/>
    <w:rsid w:val="00B12B92"/>
    <w:rsid w:val="00B26CF4"/>
    <w:rsid w:val="00B311F7"/>
    <w:rsid w:val="00B352C6"/>
    <w:rsid w:val="00B352F6"/>
    <w:rsid w:val="00B35462"/>
    <w:rsid w:val="00B4067E"/>
    <w:rsid w:val="00B42927"/>
    <w:rsid w:val="00B42E4E"/>
    <w:rsid w:val="00B5478F"/>
    <w:rsid w:val="00B551EE"/>
    <w:rsid w:val="00B575EF"/>
    <w:rsid w:val="00B6702C"/>
    <w:rsid w:val="00B75A2C"/>
    <w:rsid w:val="00B80125"/>
    <w:rsid w:val="00B80CFB"/>
    <w:rsid w:val="00B818CE"/>
    <w:rsid w:val="00B90887"/>
    <w:rsid w:val="00B97DA9"/>
    <w:rsid w:val="00BA196F"/>
    <w:rsid w:val="00BA2EE3"/>
    <w:rsid w:val="00BA539A"/>
    <w:rsid w:val="00BC1847"/>
    <w:rsid w:val="00BC2A9E"/>
    <w:rsid w:val="00BC3361"/>
    <w:rsid w:val="00BE3E1D"/>
    <w:rsid w:val="00BF6AD2"/>
    <w:rsid w:val="00BF716D"/>
    <w:rsid w:val="00C02B22"/>
    <w:rsid w:val="00C113C7"/>
    <w:rsid w:val="00C12D25"/>
    <w:rsid w:val="00C16115"/>
    <w:rsid w:val="00C50912"/>
    <w:rsid w:val="00C52945"/>
    <w:rsid w:val="00C53480"/>
    <w:rsid w:val="00C54FE7"/>
    <w:rsid w:val="00C57F1E"/>
    <w:rsid w:val="00C648BF"/>
    <w:rsid w:val="00C668EF"/>
    <w:rsid w:val="00C700AD"/>
    <w:rsid w:val="00C83F61"/>
    <w:rsid w:val="00C84BA0"/>
    <w:rsid w:val="00C93F77"/>
    <w:rsid w:val="00CA61BE"/>
    <w:rsid w:val="00CC5DA4"/>
    <w:rsid w:val="00CC5E77"/>
    <w:rsid w:val="00CC62A9"/>
    <w:rsid w:val="00CD036F"/>
    <w:rsid w:val="00CD3AA8"/>
    <w:rsid w:val="00CD482A"/>
    <w:rsid w:val="00CF200F"/>
    <w:rsid w:val="00CF7235"/>
    <w:rsid w:val="00D07513"/>
    <w:rsid w:val="00D07783"/>
    <w:rsid w:val="00D16C84"/>
    <w:rsid w:val="00D2224D"/>
    <w:rsid w:val="00D22689"/>
    <w:rsid w:val="00D24A13"/>
    <w:rsid w:val="00D34A0B"/>
    <w:rsid w:val="00D56004"/>
    <w:rsid w:val="00D63B4D"/>
    <w:rsid w:val="00D7578D"/>
    <w:rsid w:val="00D8475E"/>
    <w:rsid w:val="00D86908"/>
    <w:rsid w:val="00D86D9C"/>
    <w:rsid w:val="00D97043"/>
    <w:rsid w:val="00D97E62"/>
    <w:rsid w:val="00DB2255"/>
    <w:rsid w:val="00DB4164"/>
    <w:rsid w:val="00DB620F"/>
    <w:rsid w:val="00DC605C"/>
    <w:rsid w:val="00DD112A"/>
    <w:rsid w:val="00DE4551"/>
    <w:rsid w:val="00DF0943"/>
    <w:rsid w:val="00DF1D14"/>
    <w:rsid w:val="00DF37DF"/>
    <w:rsid w:val="00DF687B"/>
    <w:rsid w:val="00E022EB"/>
    <w:rsid w:val="00E07347"/>
    <w:rsid w:val="00E07C12"/>
    <w:rsid w:val="00E10CD2"/>
    <w:rsid w:val="00E1168B"/>
    <w:rsid w:val="00E158E7"/>
    <w:rsid w:val="00E16854"/>
    <w:rsid w:val="00E2034B"/>
    <w:rsid w:val="00E229F5"/>
    <w:rsid w:val="00E3608B"/>
    <w:rsid w:val="00E366A0"/>
    <w:rsid w:val="00E474FC"/>
    <w:rsid w:val="00E50976"/>
    <w:rsid w:val="00E608AC"/>
    <w:rsid w:val="00E60B69"/>
    <w:rsid w:val="00E61339"/>
    <w:rsid w:val="00E723FF"/>
    <w:rsid w:val="00E83026"/>
    <w:rsid w:val="00E83D61"/>
    <w:rsid w:val="00E844E7"/>
    <w:rsid w:val="00E9186D"/>
    <w:rsid w:val="00E9354A"/>
    <w:rsid w:val="00EA5523"/>
    <w:rsid w:val="00EB3247"/>
    <w:rsid w:val="00EC51CB"/>
    <w:rsid w:val="00EE2948"/>
    <w:rsid w:val="00EF350D"/>
    <w:rsid w:val="00EF3C4E"/>
    <w:rsid w:val="00EF5913"/>
    <w:rsid w:val="00EF6245"/>
    <w:rsid w:val="00F00524"/>
    <w:rsid w:val="00F06FC5"/>
    <w:rsid w:val="00F11640"/>
    <w:rsid w:val="00F13B45"/>
    <w:rsid w:val="00F374D1"/>
    <w:rsid w:val="00F543A2"/>
    <w:rsid w:val="00F7023F"/>
    <w:rsid w:val="00F75402"/>
    <w:rsid w:val="00F75410"/>
    <w:rsid w:val="00F77DAC"/>
    <w:rsid w:val="00F85D8A"/>
    <w:rsid w:val="00F940B9"/>
    <w:rsid w:val="00FA3340"/>
    <w:rsid w:val="00FA7434"/>
    <w:rsid w:val="00FC22C8"/>
    <w:rsid w:val="00FC37D5"/>
    <w:rsid w:val="00FD7E8E"/>
    <w:rsid w:val="00FE0FA7"/>
    <w:rsid w:val="00FE583D"/>
    <w:rsid w:val="00FE66D4"/>
    <w:rsid w:val="00FF2BD8"/>
    <w:rsid w:val="00FF4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3CAF9"/>
  <w15:chartTrackingRefBased/>
  <w15:docId w15:val="{A58FD23B-7AE5-4A94-B771-23B4B2E02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BB1"/>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4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A8D"/>
  </w:style>
  <w:style w:type="paragraph" w:styleId="Footer">
    <w:name w:val="footer"/>
    <w:basedOn w:val="Normal"/>
    <w:link w:val="FooterChar"/>
    <w:uiPriority w:val="99"/>
    <w:unhideWhenUsed/>
    <w:rsid w:val="002D4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A8D"/>
  </w:style>
  <w:style w:type="paragraph" w:styleId="FootnoteText">
    <w:name w:val="footnote text"/>
    <w:basedOn w:val="Normal"/>
    <w:link w:val="FootnoteTextChar"/>
    <w:uiPriority w:val="99"/>
    <w:semiHidden/>
    <w:unhideWhenUsed/>
    <w:rsid w:val="00AB0F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0F9E"/>
    <w:rPr>
      <w:sz w:val="20"/>
      <w:szCs w:val="20"/>
    </w:rPr>
  </w:style>
  <w:style w:type="character" w:styleId="FootnoteReference">
    <w:name w:val="footnote reference"/>
    <w:basedOn w:val="DefaultParagraphFont"/>
    <w:uiPriority w:val="99"/>
    <w:semiHidden/>
    <w:unhideWhenUsed/>
    <w:rsid w:val="00AB0F9E"/>
    <w:rPr>
      <w:vertAlign w:val="superscript"/>
    </w:rPr>
  </w:style>
  <w:style w:type="character" w:styleId="Hyperlink">
    <w:name w:val="Hyperlink"/>
    <w:basedOn w:val="DefaultParagraphFont"/>
    <w:uiPriority w:val="99"/>
    <w:unhideWhenUsed/>
    <w:rsid w:val="00AB0F9E"/>
    <w:rPr>
      <w:color w:val="0563C1" w:themeColor="hyperlink"/>
      <w:u w:val="single"/>
    </w:rPr>
  </w:style>
  <w:style w:type="character" w:styleId="UnresolvedMention">
    <w:name w:val="Unresolved Mention"/>
    <w:basedOn w:val="DefaultParagraphFont"/>
    <w:uiPriority w:val="99"/>
    <w:semiHidden/>
    <w:unhideWhenUsed/>
    <w:rsid w:val="00AB0F9E"/>
    <w:rPr>
      <w:color w:val="605E5C"/>
      <w:shd w:val="clear" w:color="auto" w:fill="E1DFDD"/>
    </w:rPr>
  </w:style>
  <w:style w:type="paragraph" w:styleId="NormalWeb">
    <w:name w:val="Normal (Web)"/>
    <w:basedOn w:val="Normal"/>
    <w:uiPriority w:val="99"/>
    <w:semiHidden/>
    <w:unhideWhenUsed/>
    <w:rsid w:val="007B3A3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B80C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548439">
      <w:bodyDiv w:val="1"/>
      <w:marLeft w:val="0"/>
      <w:marRight w:val="0"/>
      <w:marTop w:val="0"/>
      <w:marBottom w:val="0"/>
      <w:divBdr>
        <w:top w:val="none" w:sz="0" w:space="0" w:color="auto"/>
        <w:left w:val="none" w:sz="0" w:space="0" w:color="auto"/>
        <w:bottom w:val="none" w:sz="0" w:space="0" w:color="auto"/>
        <w:right w:val="none" w:sz="0" w:space="0" w:color="auto"/>
      </w:divBdr>
      <w:divsChild>
        <w:div w:id="136805422">
          <w:marLeft w:val="0"/>
          <w:marRight w:val="0"/>
          <w:marTop w:val="0"/>
          <w:marBottom w:val="0"/>
          <w:divBdr>
            <w:top w:val="none" w:sz="0" w:space="0" w:color="auto"/>
            <w:left w:val="none" w:sz="0" w:space="0" w:color="auto"/>
            <w:bottom w:val="none" w:sz="0" w:space="0" w:color="auto"/>
            <w:right w:val="none" w:sz="0" w:space="0" w:color="auto"/>
          </w:divBdr>
        </w:div>
      </w:divsChild>
    </w:div>
    <w:div w:id="717388926">
      <w:bodyDiv w:val="1"/>
      <w:marLeft w:val="0"/>
      <w:marRight w:val="0"/>
      <w:marTop w:val="0"/>
      <w:marBottom w:val="0"/>
      <w:divBdr>
        <w:top w:val="none" w:sz="0" w:space="0" w:color="auto"/>
        <w:left w:val="none" w:sz="0" w:space="0" w:color="auto"/>
        <w:bottom w:val="none" w:sz="0" w:space="0" w:color="auto"/>
        <w:right w:val="none" w:sz="0" w:space="0" w:color="auto"/>
      </w:divBdr>
      <w:divsChild>
        <w:div w:id="700325307">
          <w:marLeft w:val="0"/>
          <w:marRight w:val="0"/>
          <w:marTop w:val="0"/>
          <w:marBottom w:val="0"/>
          <w:divBdr>
            <w:top w:val="none" w:sz="0" w:space="0" w:color="auto"/>
            <w:left w:val="none" w:sz="0" w:space="0" w:color="auto"/>
            <w:bottom w:val="none" w:sz="0" w:space="0" w:color="auto"/>
            <w:right w:val="none" w:sz="0" w:space="0" w:color="auto"/>
          </w:divBdr>
        </w:div>
      </w:divsChild>
    </w:div>
    <w:div w:id="868487844">
      <w:bodyDiv w:val="1"/>
      <w:marLeft w:val="0"/>
      <w:marRight w:val="0"/>
      <w:marTop w:val="0"/>
      <w:marBottom w:val="0"/>
      <w:divBdr>
        <w:top w:val="none" w:sz="0" w:space="0" w:color="auto"/>
        <w:left w:val="none" w:sz="0" w:space="0" w:color="auto"/>
        <w:bottom w:val="none" w:sz="0" w:space="0" w:color="auto"/>
        <w:right w:val="none" w:sz="0" w:space="0" w:color="auto"/>
      </w:divBdr>
      <w:divsChild>
        <w:div w:id="1037316601">
          <w:marLeft w:val="0"/>
          <w:marRight w:val="0"/>
          <w:marTop w:val="0"/>
          <w:marBottom w:val="0"/>
          <w:divBdr>
            <w:top w:val="none" w:sz="0" w:space="0" w:color="auto"/>
            <w:left w:val="none" w:sz="0" w:space="0" w:color="auto"/>
            <w:bottom w:val="none" w:sz="0" w:space="0" w:color="auto"/>
            <w:right w:val="none" w:sz="0" w:space="0" w:color="auto"/>
          </w:divBdr>
        </w:div>
      </w:divsChild>
    </w:div>
    <w:div w:id="1918585582">
      <w:bodyDiv w:val="1"/>
      <w:marLeft w:val="0"/>
      <w:marRight w:val="0"/>
      <w:marTop w:val="0"/>
      <w:marBottom w:val="0"/>
      <w:divBdr>
        <w:top w:val="none" w:sz="0" w:space="0" w:color="auto"/>
        <w:left w:val="none" w:sz="0" w:space="0" w:color="auto"/>
        <w:bottom w:val="none" w:sz="0" w:space="0" w:color="auto"/>
        <w:right w:val="none" w:sz="0" w:space="0" w:color="auto"/>
      </w:divBdr>
      <w:divsChild>
        <w:div w:id="676882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news/uk-england-bristol-47670756" TargetMode="External"/><Relationship Id="rId3" Type="http://schemas.openxmlformats.org/officeDocument/2006/relationships/hyperlink" Target="https://www.legislation.gov.uk/ukpga/1990/9/contents" TargetMode="External"/><Relationship Id="rId7" Type="http://schemas.openxmlformats.org/officeDocument/2006/relationships/hyperlink" Target="https://historicengland.org.uk/listing/the-list/list-entry/1202137?section=official-list-entry" TargetMode="External"/><Relationship Id="rId2" Type="http://schemas.openxmlformats.org/officeDocument/2006/relationships/hyperlink" Target="http://www.gov.uk/government/publications" TargetMode="External"/><Relationship Id="rId1" Type="http://schemas.openxmlformats.org/officeDocument/2006/relationships/hyperlink" Target="https://www.spectator.co.uk/article/ukraine-must-stop-destroying-its-cultural-heritage/" TargetMode="External"/><Relationship Id="rId6" Type="http://schemas.openxmlformats.org/officeDocument/2006/relationships/hyperlink" Target="https://edition.cnn.com/2020/06/07/europe/edward-colston-statue-bristol/index.html" TargetMode="External"/><Relationship Id="rId5" Type="http://schemas.openxmlformats.org/officeDocument/2006/relationships/hyperlink" Target="https://historicengland.org.uk/advice/hpg/has/" TargetMode="External"/><Relationship Id="rId10" Type="http://schemas.openxmlformats.org/officeDocument/2006/relationships/hyperlink" Target="https://www.buildingconservation.com/articles/listprot/listprot.htm" TargetMode="External"/><Relationship Id="rId4" Type="http://schemas.openxmlformats.org/officeDocument/2006/relationships/hyperlink" Target="https://www.legislation.gov.uk/ukpga/1979/46" TargetMode="External"/><Relationship Id="rId9" Type="http://schemas.openxmlformats.org/officeDocument/2006/relationships/hyperlink" Target="https://www.theguardian.com/world/2021/jan/29/tributes-to-slave-traders-and-colonialists-removed-acros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8B134B8-623E-4B22-92AB-D82C7D419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2311</Words>
  <Characters>13650</Characters>
  <Application>Microsoft Office Word</Application>
  <DocSecurity>0</DocSecurity>
  <Lines>113</Lines>
  <Paragraphs>31</Paragraphs>
  <ScaleCrop>false</ScaleCrop>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Bedford</dc:creator>
  <cp:keywords/>
  <dc:description/>
  <cp:lastModifiedBy>Will Bedford</cp:lastModifiedBy>
  <cp:revision>456</cp:revision>
  <dcterms:created xsi:type="dcterms:W3CDTF">2023-03-14T07:31:00Z</dcterms:created>
  <dcterms:modified xsi:type="dcterms:W3CDTF">2023-03-14T21:17:00Z</dcterms:modified>
</cp:coreProperties>
</file>