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0EAD68" w14:textId="071D2AED" w:rsidR="004E56FC" w:rsidRPr="004E56FC" w:rsidRDefault="004E56FC" w:rsidP="004E56FC">
      <w:pPr>
        <w:rPr>
          <w:b/>
          <w:bCs/>
        </w:rPr>
      </w:pPr>
      <w:r w:rsidRPr="004E56FC">
        <w:rPr>
          <w:b/>
          <w:bCs/>
        </w:rPr>
        <w:t>Introduction</w:t>
      </w:r>
    </w:p>
    <w:p w14:paraId="771F3882" w14:textId="77777777" w:rsidR="004E56FC" w:rsidRPr="004E56FC" w:rsidRDefault="004E56FC" w:rsidP="004E56FC">
      <w:r w:rsidRPr="004E56FC">
        <w:t>The global metals and mining industry underpins economic development by supplying essential raw materials for infrastructure, manufacturing, renewable energy technologies and electric vehicles. However, the sector is also responsible for approximately one-quarter of the greenhouse gas emissions generated by the world's largest corporations, placing it under increasing scrutiny from governments, investors and environmentally conscious customers (Kotler et al., 2024). As climate change intensifies, sustainability has evolved from a regulatory obligation into a strategic marketing imperative that shapes corporate reputation, stakeholder trust and long-term competitiveness. Consequently, the growing demand for lower-carbon products, including responsibly sourced iron ore, copper and nickel, is reshaping customer expectations and investment priorities (International Energy Agency (IEA), 2024).</w:t>
      </w:r>
    </w:p>
    <w:p w14:paraId="03C7C93E" w14:textId="77777777" w:rsidR="004E56FC" w:rsidRPr="004E56FC" w:rsidRDefault="004E56FC" w:rsidP="004E56FC">
      <w:r w:rsidRPr="004E56FC">
        <w:t>BHP Group, one of the world's leading diversified mining companies, has responded by integrating decarbonisation, operational innovation and sustainability into its corporate strategy to support the global energy transition (BHP, 2025). This report critically analyses the external marketing environment influencing BHP's transition towards lower-carbon products, with particular emphasis on the natural environment and political-legal factors. Building on this analysis, the report recommends an appropriate growth strategy using the Ansoff Matrix and evaluates how BHP can strengthen its competitive advantage while supporting sustainable business transformation.</w:t>
      </w:r>
    </w:p>
    <w:p w14:paraId="168B1F10" w14:textId="77777777" w:rsidR="004E56FC" w:rsidRDefault="004E56FC" w:rsidP="004E56FC">
      <w:pPr>
        <w:rPr>
          <w:b/>
          <w:bCs/>
        </w:rPr>
      </w:pPr>
    </w:p>
    <w:p w14:paraId="456CA672" w14:textId="79F06622" w:rsidR="004E56FC" w:rsidRPr="004E56FC" w:rsidRDefault="004E56FC" w:rsidP="004E56FC">
      <w:pPr>
        <w:rPr>
          <w:b/>
          <w:bCs/>
        </w:rPr>
      </w:pPr>
      <w:r w:rsidRPr="004E56FC">
        <w:rPr>
          <w:b/>
          <w:bCs/>
        </w:rPr>
        <w:t>Task 1: Marketing Environment Analysis</w:t>
      </w:r>
    </w:p>
    <w:p w14:paraId="743A3B74" w14:textId="77777777" w:rsidR="004E56FC" w:rsidRPr="004E56FC" w:rsidRDefault="004E56FC" w:rsidP="004E56FC">
      <w:pPr>
        <w:rPr>
          <w:b/>
          <w:bCs/>
        </w:rPr>
      </w:pPr>
      <w:r w:rsidRPr="004E56FC">
        <w:rPr>
          <w:b/>
          <w:bCs/>
        </w:rPr>
        <w:t>1.1 Natural Environment: The Primary External Marketing Environment Actor</w:t>
      </w:r>
    </w:p>
    <w:p w14:paraId="7907BB63" w14:textId="77777777" w:rsidR="004E56FC" w:rsidRPr="004E56FC" w:rsidRDefault="004E56FC" w:rsidP="004E56FC">
      <w:r w:rsidRPr="004E56FC">
        <w:t>The natural environment has become one of the most influential external forces shaping marketing strategies within the global mining industry. Climate change, increasing stakeholder expectations and the transition towards a low-carbon economy have transformed environmental sustainability from a compliance obligation into a strategic source of competitive advantage (Kotler et al., 2024). As one of the world's largest diversified mining companies, BHP operates in an industry responsible for significant greenhouse gas (GHG) emissions, making environmental performance increasingly important for customers, investors and governments. Consequently, BHP's marketing strategy extends beyond operational efficiency to emphasise sustainability leadership as a means of strengthening brand reputation and long-term competitiveness.</w:t>
      </w:r>
    </w:p>
    <w:p w14:paraId="38ACB4AF" w14:textId="77777777" w:rsidR="004E56FC" w:rsidRPr="004E56FC" w:rsidRDefault="004E56FC" w:rsidP="004E56FC">
      <w:r w:rsidRPr="004E56FC">
        <w:t>Climate change has significantly altered demand within BHP's key markets. The rapid expansion of renewable energy technologies, electric vehicles and low-carbon infrastructure has increased demand for transition minerals such as copper and nickel while reducing reliance on carbon-intensive production methods (International Energy Agency (IEA), 2024). In response, BHP has committed to achieving net zero operational emissions by 2050 and reducing operational emissions by at least 30% by 2030 from its FY2020 baseline (BHP, 2025). These commitments strengthen relationships with environmentally conscious customers and investors while enhancing the company's sustainability positioning.</w:t>
      </w:r>
    </w:p>
    <w:p w14:paraId="549C70D2" w14:textId="77777777" w:rsidR="004E56FC" w:rsidRPr="004E56FC" w:rsidRDefault="004E56FC" w:rsidP="004E56FC">
      <w:r w:rsidRPr="004E56FC">
        <w:t>Growing pressure to reduce Scope 3 emissions has also influenced purchasing decisions across business-to-business markets. Steel manufacturers, automotive companies and renewable energy developers increasingly prefer suppliers capable of providing lower-carbon raw materials. Consequently, BHP has invested in renewable electricity, operational electrification and partnerships supporting low-carbon steelmaking technologies, enabling the company to differentiate itself through sustainability while creating additional customer value (BHP, 2025).</w:t>
      </w:r>
    </w:p>
    <w:p w14:paraId="10A0FA90" w14:textId="77777777" w:rsidR="004E56FC" w:rsidRPr="004E56FC" w:rsidRDefault="004E56FC" w:rsidP="004E56FC">
      <w:r w:rsidRPr="004E56FC">
        <w:t>Renewable-powered mining and circular economy practices further support BHP's competitive position. Increased use of renewable energy reduces operational emissions and long-term energy costs, while circular economy initiatives improve resource efficiency, minimise waste and strengthen environmental performance (United Nations Environment Programme, 2024). These initiatives align with rising Environmental, Social and Governance (ESG) expectations, which increasingly influence procurement decisions, investment flows and corporate reputation. Therefore, ESG performance has evolved from a reporting requirement into a valuable marketing asset that strengthens stakeholder trust.</w:t>
      </w:r>
    </w:p>
    <w:p w14:paraId="0AB92ABA" w14:textId="77777777" w:rsidR="004E56FC" w:rsidRPr="004E56FC" w:rsidRDefault="004E56FC" w:rsidP="004E56FC">
      <w:r w:rsidRPr="004E56FC">
        <w:t>Carbon pricing has become another significant environmental factor influencing BHP's strategic decisions. Carbon taxes and emissions trading schemes increase production costs for carbon-intensive operations but simultaneously encourage investment in cleaner technologies. Rather than viewing carbon pricing solely as a financial burden, BHP increasingly positions lower-carbon minerals as premium products capable of supporting customers' decarbonisation strategies (World Bank, 2024). This demonstrates how environmental pressures can generate opportunities for product differentiation and market value creation.</w:t>
      </w:r>
    </w:p>
    <w:p w14:paraId="7CA8CED3" w14:textId="77777777" w:rsidR="004E56FC" w:rsidRPr="004E56FC" w:rsidRDefault="004E56FC" w:rsidP="004E56FC">
      <w:r w:rsidRPr="004E56FC">
        <w:t>Despite these opportunities, significant challenges remain. Transitioning towards lower-carbon mining requires substantial investment in renewable energy infrastructure, electrification and emerging technologies, potentially reducing short-term profitability. Moreover, technologies such as hydrogen-powered mining equipment and large-scale carbon capture remain commercially uncertain. Consequently, BHP must balance ambitious sustainability commitments with operational feasibility and shareholder expectations.</w:t>
      </w:r>
    </w:p>
    <w:p w14:paraId="731369C3" w14:textId="77777777" w:rsidR="004E56FC" w:rsidRPr="004E56FC" w:rsidRDefault="004E56FC" w:rsidP="004E56FC">
      <w:r w:rsidRPr="004E56FC">
        <w:t>Academic perspectives on sustainability-led competitive advantage remain divided. Porter and Kramer (2019) argue that environmental innovation creates shared value by improving both competitiveness and societal outcomes. Conversely, Eccles and Klimenko (2019) suggest that extensive sustainability investments may not always generate lasting competitive advantage because technological uncertainty, high implementation costs and rapid imitation by competitors can erode differentiation. Therefore, BHP's long-term success depends on maintaining technological leadership while responding effectively to evolving market and regulatory expectations.</w:t>
      </w:r>
    </w:p>
    <w:p w14:paraId="4ACD5A72" w14:textId="77777777" w:rsidR="004E56FC" w:rsidRPr="004E56FC" w:rsidRDefault="004E56FC" w:rsidP="004E56FC">
      <w:pPr>
        <w:rPr>
          <w:b/>
          <w:bCs/>
        </w:rPr>
      </w:pPr>
      <w:r w:rsidRPr="004E56FC">
        <w:rPr>
          <w:b/>
          <w:bCs/>
        </w:rPr>
        <w:t>Table 1. External Natural Environment Factors Influencing BHP</w:t>
      </w:r>
    </w:p>
    <w:tbl>
      <w:tblPr>
        <w:tblStyle w:val="TableGrid"/>
        <w:tblW w:w="0" w:type="auto"/>
        <w:tblLook w:val="04A0" w:firstRow="1" w:lastRow="0" w:firstColumn="1" w:lastColumn="0" w:noHBand="0" w:noVBand="1"/>
      </w:tblPr>
      <w:tblGrid>
        <w:gridCol w:w="2042"/>
        <w:gridCol w:w="3815"/>
        <w:gridCol w:w="3159"/>
      </w:tblGrid>
      <w:tr w:rsidR="004E56FC" w:rsidRPr="004E56FC" w14:paraId="66D8712B" w14:textId="77777777" w:rsidTr="004E56FC">
        <w:tc>
          <w:tcPr>
            <w:tcW w:w="0" w:type="auto"/>
            <w:hideMark/>
          </w:tcPr>
          <w:p w14:paraId="4313A3F3" w14:textId="77777777" w:rsidR="004E56FC" w:rsidRPr="004E56FC" w:rsidRDefault="004E56FC" w:rsidP="004E56FC">
            <w:pPr>
              <w:spacing w:after="160" w:line="259" w:lineRule="auto"/>
              <w:rPr>
                <w:b/>
                <w:bCs/>
              </w:rPr>
            </w:pPr>
            <w:r w:rsidRPr="004E56FC">
              <w:rPr>
                <w:b/>
                <w:bCs/>
              </w:rPr>
              <w:t>Environmental Factor</w:t>
            </w:r>
          </w:p>
        </w:tc>
        <w:tc>
          <w:tcPr>
            <w:tcW w:w="0" w:type="auto"/>
            <w:hideMark/>
          </w:tcPr>
          <w:p w14:paraId="638587A1" w14:textId="77777777" w:rsidR="004E56FC" w:rsidRPr="004E56FC" w:rsidRDefault="004E56FC" w:rsidP="004E56FC">
            <w:pPr>
              <w:spacing w:after="160" w:line="259" w:lineRule="auto"/>
              <w:rPr>
                <w:b/>
                <w:bCs/>
              </w:rPr>
            </w:pPr>
            <w:r w:rsidRPr="004E56FC">
              <w:rPr>
                <w:b/>
                <w:bCs/>
              </w:rPr>
              <w:t>Marketing Opportunity</w:t>
            </w:r>
          </w:p>
        </w:tc>
        <w:tc>
          <w:tcPr>
            <w:tcW w:w="0" w:type="auto"/>
            <w:hideMark/>
          </w:tcPr>
          <w:p w14:paraId="14B109FA" w14:textId="77777777" w:rsidR="004E56FC" w:rsidRPr="004E56FC" w:rsidRDefault="004E56FC" w:rsidP="004E56FC">
            <w:pPr>
              <w:spacing w:after="160" w:line="259" w:lineRule="auto"/>
              <w:rPr>
                <w:b/>
                <w:bCs/>
              </w:rPr>
            </w:pPr>
            <w:r w:rsidRPr="004E56FC">
              <w:rPr>
                <w:b/>
                <w:bCs/>
              </w:rPr>
              <w:t>Strategic Challenge</w:t>
            </w:r>
          </w:p>
        </w:tc>
      </w:tr>
      <w:tr w:rsidR="004E56FC" w:rsidRPr="004E56FC" w14:paraId="0103C7F9" w14:textId="77777777" w:rsidTr="004E56FC">
        <w:tc>
          <w:tcPr>
            <w:tcW w:w="0" w:type="auto"/>
            <w:hideMark/>
          </w:tcPr>
          <w:p w14:paraId="187A650D" w14:textId="77777777" w:rsidR="004E56FC" w:rsidRPr="004E56FC" w:rsidRDefault="004E56FC" w:rsidP="004E56FC">
            <w:pPr>
              <w:spacing w:after="160" w:line="259" w:lineRule="auto"/>
            </w:pPr>
            <w:r w:rsidRPr="004E56FC">
              <w:t>Climate change</w:t>
            </w:r>
          </w:p>
        </w:tc>
        <w:tc>
          <w:tcPr>
            <w:tcW w:w="0" w:type="auto"/>
            <w:hideMark/>
          </w:tcPr>
          <w:p w14:paraId="2A8362D0" w14:textId="77777777" w:rsidR="004E56FC" w:rsidRPr="004E56FC" w:rsidRDefault="004E56FC" w:rsidP="004E56FC">
            <w:pPr>
              <w:spacing w:after="160" w:line="259" w:lineRule="auto"/>
            </w:pPr>
            <w:r w:rsidRPr="004E56FC">
              <w:t>Increased demand for transition minerals</w:t>
            </w:r>
          </w:p>
        </w:tc>
        <w:tc>
          <w:tcPr>
            <w:tcW w:w="0" w:type="auto"/>
            <w:hideMark/>
          </w:tcPr>
          <w:p w14:paraId="0D729D28" w14:textId="77777777" w:rsidR="004E56FC" w:rsidRPr="004E56FC" w:rsidRDefault="004E56FC" w:rsidP="004E56FC">
            <w:pPr>
              <w:spacing w:after="160" w:line="259" w:lineRule="auto"/>
            </w:pPr>
            <w:r w:rsidRPr="004E56FC">
              <w:t>Pressure to reduce operational emissions</w:t>
            </w:r>
          </w:p>
        </w:tc>
      </w:tr>
      <w:tr w:rsidR="004E56FC" w:rsidRPr="004E56FC" w14:paraId="0248906F" w14:textId="77777777" w:rsidTr="004E56FC">
        <w:tc>
          <w:tcPr>
            <w:tcW w:w="0" w:type="auto"/>
            <w:hideMark/>
          </w:tcPr>
          <w:p w14:paraId="091B5707" w14:textId="77777777" w:rsidR="004E56FC" w:rsidRPr="004E56FC" w:rsidRDefault="004E56FC" w:rsidP="004E56FC">
            <w:pPr>
              <w:spacing w:after="160" w:line="259" w:lineRule="auto"/>
            </w:pPr>
            <w:r w:rsidRPr="004E56FC">
              <w:t>Net Zero commitments</w:t>
            </w:r>
          </w:p>
        </w:tc>
        <w:tc>
          <w:tcPr>
            <w:tcW w:w="0" w:type="auto"/>
            <w:hideMark/>
          </w:tcPr>
          <w:p w14:paraId="78E66A87" w14:textId="77777777" w:rsidR="004E56FC" w:rsidRPr="004E56FC" w:rsidRDefault="004E56FC" w:rsidP="004E56FC">
            <w:pPr>
              <w:spacing w:after="160" w:line="259" w:lineRule="auto"/>
            </w:pPr>
            <w:r w:rsidRPr="004E56FC">
              <w:t>Enhanced corporate reputation and stakeholder trust</w:t>
            </w:r>
          </w:p>
        </w:tc>
        <w:tc>
          <w:tcPr>
            <w:tcW w:w="0" w:type="auto"/>
            <w:hideMark/>
          </w:tcPr>
          <w:p w14:paraId="3A91B138" w14:textId="77777777" w:rsidR="004E56FC" w:rsidRPr="004E56FC" w:rsidRDefault="004E56FC" w:rsidP="004E56FC">
            <w:pPr>
              <w:spacing w:after="160" w:line="259" w:lineRule="auto"/>
            </w:pPr>
            <w:r w:rsidRPr="004E56FC">
              <w:t>Significant decarbonisation investment</w:t>
            </w:r>
          </w:p>
        </w:tc>
      </w:tr>
      <w:tr w:rsidR="004E56FC" w:rsidRPr="004E56FC" w14:paraId="665B3532" w14:textId="77777777" w:rsidTr="004E56FC">
        <w:tc>
          <w:tcPr>
            <w:tcW w:w="0" w:type="auto"/>
            <w:hideMark/>
          </w:tcPr>
          <w:p w14:paraId="34D992B2" w14:textId="77777777" w:rsidR="004E56FC" w:rsidRPr="004E56FC" w:rsidRDefault="004E56FC" w:rsidP="004E56FC">
            <w:pPr>
              <w:spacing w:after="160" w:line="259" w:lineRule="auto"/>
            </w:pPr>
            <w:r w:rsidRPr="004E56FC">
              <w:t>Renewable energy</w:t>
            </w:r>
          </w:p>
        </w:tc>
        <w:tc>
          <w:tcPr>
            <w:tcW w:w="0" w:type="auto"/>
            <w:hideMark/>
          </w:tcPr>
          <w:p w14:paraId="19DD7C21" w14:textId="77777777" w:rsidR="004E56FC" w:rsidRPr="004E56FC" w:rsidRDefault="004E56FC" w:rsidP="004E56FC">
            <w:pPr>
              <w:spacing w:after="160" w:line="259" w:lineRule="auto"/>
            </w:pPr>
            <w:r w:rsidRPr="004E56FC">
              <w:t>Lower operating costs and cleaner production</w:t>
            </w:r>
          </w:p>
        </w:tc>
        <w:tc>
          <w:tcPr>
            <w:tcW w:w="0" w:type="auto"/>
            <w:hideMark/>
          </w:tcPr>
          <w:p w14:paraId="60EFB0B7" w14:textId="77777777" w:rsidR="004E56FC" w:rsidRPr="004E56FC" w:rsidRDefault="004E56FC" w:rsidP="004E56FC">
            <w:pPr>
              <w:spacing w:after="160" w:line="259" w:lineRule="auto"/>
            </w:pPr>
            <w:r w:rsidRPr="004E56FC">
              <w:t>Infrastructure transition costs</w:t>
            </w:r>
          </w:p>
        </w:tc>
      </w:tr>
      <w:tr w:rsidR="004E56FC" w:rsidRPr="004E56FC" w14:paraId="237A071C" w14:textId="77777777" w:rsidTr="004E56FC">
        <w:tc>
          <w:tcPr>
            <w:tcW w:w="0" w:type="auto"/>
            <w:hideMark/>
          </w:tcPr>
          <w:p w14:paraId="54149B66" w14:textId="77777777" w:rsidR="004E56FC" w:rsidRPr="004E56FC" w:rsidRDefault="004E56FC" w:rsidP="004E56FC">
            <w:pPr>
              <w:spacing w:after="160" w:line="259" w:lineRule="auto"/>
            </w:pPr>
            <w:r w:rsidRPr="004E56FC">
              <w:t>Circular economy</w:t>
            </w:r>
          </w:p>
        </w:tc>
        <w:tc>
          <w:tcPr>
            <w:tcW w:w="0" w:type="auto"/>
            <w:hideMark/>
          </w:tcPr>
          <w:p w14:paraId="359A88E6" w14:textId="77777777" w:rsidR="004E56FC" w:rsidRPr="004E56FC" w:rsidRDefault="004E56FC" w:rsidP="004E56FC">
            <w:pPr>
              <w:spacing w:after="160" w:line="259" w:lineRule="auto"/>
            </w:pPr>
            <w:r w:rsidRPr="004E56FC">
              <w:t>Resource efficiency and sustainability branding</w:t>
            </w:r>
          </w:p>
        </w:tc>
        <w:tc>
          <w:tcPr>
            <w:tcW w:w="0" w:type="auto"/>
            <w:hideMark/>
          </w:tcPr>
          <w:p w14:paraId="0482A82A" w14:textId="77777777" w:rsidR="004E56FC" w:rsidRPr="004E56FC" w:rsidRDefault="004E56FC" w:rsidP="004E56FC">
            <w:pPr>
              <w:spacing w:after="160" w:line="259" w:lineRule="auto"/>
            </w:pPr>
            <w:r w:rsidRPr="004E56FC">
              <w:t>Operational redesign</w:t>
            </w:r>
          </w:p>
        </w:tc>
      </w:tr>
      <w:tr w:rsidR="004E56FC" w:rsidRPr="004E56FC" w14:paraId="264DA707" w14:textId="77777777" w:rsidTr="004E56FC">
        <w:tc>
          <w:tcPr>
            <w:tcW w:w="0" w:type="auto"/>
            <w:hideMark/>
          </w:tcPr>
          <w:p w14:paraId="1B6F8B53" w14:textId="77777777" w:rsidR="004E56FC" w:rsidRPr="004E56FC" w:rsidRDefault="004E56FC" w:rsidP="004E56FC">
            <w:pPr>
              <w:spacing w:after="160" w:line="259" w:lineRule="auto"/>
            </w:pPr>
            <w:r w:rsidRPr="004E56FC">
              <w:t>ESG expectations</w:t>
            </w:r>
          </w:p>
        </w:tc>
        <w:tc>
          <w:tcPr>
            <w:tcW w:w="0" w:type="auto"/>
            <w:hideMark/>
          </w:tcPr>
          <w:p w14:paraId="2140B3F0" w14:textId="77777777" w:rsidR="004E56FC" w:rsidRPr="004E56FC" w:rsidRDefault="004E56FC" w:rsidP="004E56FC">
            <w:pPr>
              <w:spacing w:after="160" w:line="259" w:lineRule="auto"/>
            </w:pPr>
            <w:r w:rsidRPr="004E56FC">
              <w:t>Greater investor confidence and customer preference</w:t>
            </w:r>
          </w:p>
        </w:tc>
        <w:tc>
          <w:tcPr>
            <w:tcW w:w="0" w:type="auto"/>
            <w:hideMark/>
          </w:tcPr>
          <w:p w14:paraId="4A43CE49" w14:textId="77777777" w:rsidR="004E56FC" w:rsidRPr="004E56FC" w:rsidRDefault="004E56FC" w:rsidP="004E56FC">
            <w:pPr>
              <w:spacing w:after="160" w:line="259" w:lineRule="auto"/>
            </w:pPr>
            <w:r w:rsidRPr="004E56FC">
              <w:t>Ongoing ESG reporting requirements</w:t>
            </w:r>
          </w:p>
        </w:tc>
      </w:tr>
      <w:tr w:rsidR="004E56FC" w:rsidRPr="004E56FC" w14:paraId="48A41DB9" w14:textId="77777777" w:rsidTr="004E56FC">
        <w:tc>
          <w:tcPr>
            <w:tcW w:w="0" w:type="auto"/>
            <w:hideMark/>
          </w:tcPr>
          <w:p w14:paraId="0C0D8F96" w14:textId="77777777" w:rsidR="004E56FC" w:rsidRPr="004E56FC" w:rsidRDefault="004E56FC" w:rsidP="004E56FC">
            <w:pPr>
              <w:spacing w:after="160" w:line="259" w:lineRule="auto"/>
            </w:pPr>
            <w:r w:rsidRPr="004E56FC">
              <w:t>Carbon pricing</w:t>
            </w:r>
          </w:p>
        </w:tc>
        <w:tc>
          <w:tcPr>
            <w:tcW w:w="0" w:type="auto"/>
            <w:hideMark/>
          </w:tcPr>
          <w:p w14:paraId="7F4A3160" w14:textId="77777777" w:rsidR="004E56FC" w:rsidRPr="004E56FC" w:rsidRDefault="004E56FC" w:rsidP="004E56FC">
            <w:pPr>
              <w:spacing w:after="160" w:line="259" w:lineRule="auto"/>
            </w:pPr>
            <w:r w:rsidRPr="004E56FC">
              <w:t>Premium positioning of lower-carbon products</w:t>
            </w:r>
          </w:p>
        </w:tc>
        <w:tc>
          <w:tcPr>
            <w:tcW w:w="0" w:type="auto"/>
            <w:hideMark/>
          </w:tcPr>
          <w:p w14:paraId="5C551F71" w14:textId="77777777" w:rsidR="004E56FC" w:rsidRPr="004E56FC" w:rsidRDefault="004E56FC" w:rsidP="004E56FC">
            <w:pPr>
              <w:spacing w:after="160" w:line="259" w:lineRule="auto"/>
            </w:pPr>
            <w:r w:rsidRPr="004E56FC">
              <w:t>Higher compliance and production costs</w:t>
            </w:r>
          </w:p>
        </w:tc>
      </w:tr>
    </w:tbl>
    <w:p w14:paraId="5B151CB8" w14:textId="77777777" w:rsidR="004E56FC" w:rsidRPr="004E56FC" w:rsidRDefault="004E56FC" w:rsidP="004E56FC">
      <w:r w:rsidRPr="004E56FC">
        <w:rPr>
          <w:b/>
          <w:bCs/>
        </w:rPr>
        <w:t>Source:</w:t>
      </w:r>
      <w:r w:rsidRPr="004E56FC">
        <w:t xml:space="preserve"> Developed by the author using Kotler et al. (2024), BHP (2025), IEA (2024) and World Bank (2024).</w:t>
      </w:r>
    </w:p>
    <w:p w14:paraId="53FBA8DE" w14:textId="6F285922" w:rsidR="004E56FC" w:rsidRPr="004E56FC" w:rsidRDefault="004E56FC" w:rsidP="004E56FC"/>
    <w:p w14:paraId="788A274F" w14:textId="77777777" w:rsidR="004E56FC" w:rsidRPr="004E56FC" w:rsidRDefault="004E56FC" w:rsidP="004E56FC">
      <w:pPr>
        <w:rPr>
          <w:b/>
          <w:bCs/>
        </w:rPr>
      </w:pPr>
      <w:r w:rsidRPr="004E56FC">
        <w:rPr>
          <w:b/>
          <w:bCs/>
        </w:rPr>
        <w:t>1.2 Political and Legal Environment</w:t>
      </w:r>
    </w:p>
    <w:p w14:paraId="6712F9A8" w14:textId="77777777" w:rsidR="004E56FC" w:rsidRPr="004E56FC" w:rsidRDefault="004E56FC" w:rsidP="004E56FC">
      <w:r w:rsidRPr="004E56FC">
        <w:t>Political and legal factors also shape BHP's marketing environment by influencing production standards, investment priorities and customer expectations. The Paris Agreement has accelerated global commitments to decarbonisation, increasing regulatory pressure on mining companies to reduce greenhouse gas emissions while demonstrating credible sustainability performance (UNFCCC, 2015). Consequently, environmental compliance has become an important source of competitive positioning rather than merely a legal obligation.</w:t>
      </w:r>
    </w:p>
    <w:p w14:paraId="5E009AE4" w14:textId="77777777" w:rsidR="004E56FC" w:rsidRPr="004E56FC" w:rsidRDefault="004E56FC" w:rsidP="004E56FC">
      <w:r w:rsidRPr="004E56FC">
        <w:t>Australia's climate policies encourage industrial decarbonisation through emissions reduction targets and climate investment initiatives. At the same time, carbon pricing mechanisms increase costs for organisations with carbon-intensive operations, encouraging investment in cleaner production technologies (Australian Government, 2024). These developments directly influence BHP's marketing strategy by strengthening demand for responsibly produced minerals among environmentally conscious customers and investors.</w:t>
      </w:r>
    </w:p>
    <w:p w14:paraId="5842F624" w14:textId="77777777" w:rsidR="004E56FC" w:rsidRPr="004E56FC" w:rsidRDefault="004E56FC" w:rsidP="004E56FC">
      <w:r w:rsidRPr="004E56FC">
        <w:t>Similarly, the European Union's Carbon Border Adjustment Mechanism (CBAM) incentivises international suppliers to reduce embedded carbon emissions throughout their value chains. Although CBAM primarily targets downstream industries such as steel manufacturing, it indirectly influences mining companies because customers increasingly favour suppliers capable of demonstrating lower-carbon production (European Commission, 2024). BHP's investments in sustainable mining therefore support both regulatory compliance and international market competitiveness.</w:t>
      </w:r>
    </w:p>
    <w:p w14:paraId="1BE9B0B3" w14:textId="77777777" w:rsidR="004E56FC" w:rsidRPr="004E56FC" w:rsidRDefault="004E56FC" w:rsidP="004E56FC">
      <w:r w:rsidRPr="004E56FC">
        <w:t>Nevertheless, regulatory environments remain uncertain. Differences in climate policies, carbon pricing systems and reporting requirements across jurisdictions increase compliance complexity and investment risk for multinational organisations. Therefore, while environmental regulation encourages innovation and sustainability-focused marketing, it also creates operational challenges that require continuous strategic adaptation.</w:t>
      </w:r>
    </w:p>
    <w:p w14:paraId="6F2C92E6" w14:textId="77777777" w:rsidR="004E56FC" w:rsidRPr="004E56FC" w:rsidRDefault="004E56FC" w:rsidP="004E56FC">
      <w:r w:rsidRPr="004E56FC">
        <w:t>Overall, the interaction between environmental and political forces demonstrates that BHP's transition towards lower-carbon products is driven by both regulatory requirements and changing market expectations. Organisations capable of integrating sustainability into their marketing strategy are more likely to strengthen competitive advantage within an increasingly carbon-conscious global economy.</w:t>
      </w:r>
    </w:p>
    <w:p w14:paraId="20A4D912" w14:textId="77777777" w:rsidR="004E56FC" w:rsidRDefault="004E56FC" w:rsidP="004E56FC">
      <w:pPr>
        <w:rPr>
          <w:b/>
          <w:bCs/>
        </w:rPr>
      </w:pPr>
    </w:p>
    <w:p w14:paraId="13FEEC05" w14:textId="627E4188" w:rsidR="004E56FC" w:rsidRPr="004E56FC" w:rsidRDefault="004E56FC" w:rsidP="004E56FC">
      <w:pPr>
        <w:rPr>
          <w:b/>
          <w:bCs/>
        </w:rPr>
      </w:pPr>
      <w:r w:rsidRPr="004E56FC">
        <w:rPr>
          <w:b/>
          <w:bCs/>
        </w:rPr>
        <w:t>Task 2: Strategic Growth and Competitive Positioning</w:t>
      </w:r>
    </w:p>
    <w:p w14:paraId="35B14985" w14:textId="77777777" w:rsidR="004E56FC" w:rsidRPr="004E56FC" w:rsidRDefault="004E56FC" w:rsidP="004E56FC">
      <w:pPr>
        <w:rPr>
          <w:b/>
          <w:bCs/>
        </w:rPr>
      </w:pPr>
      <w:r w:rsidRPr="004E56FC">
        <w:rPr>
          <w:b/>
          <w:bCs/>
        </w:rPr>
        <w:t>2.1 Strategic Growth through the Ansoff Matrix</w:t>
      </w:r>
    </w:p>
    <w:p w14:paraId="6D5E34A7" w14:textId="77777777" w:rsidR="004E56FC" w:rsidRPr="004E56FC" w:rsidRDefault="004E56FC" w:rsidP="004E56FC">
      <w:r w:rsidRPr="004E56FC">
        <w:t>The external marketing environment analysed in Task 1 demonstrates that climate change, stricter environmental regulations and evolving customer expectations are reshaping competition within the global mining industry. To maintain long-term competitiveness while responding to these environmental pressures, BHP should adopt a Product Development Strategy within the Ansoff Matrix. Product development involves introducing new or significantly improved products into existing markets, enabling organisations to satisfy changing customer needs while leveraging established market relationships (Ansoff, 1957).</w:t>
      </w:r>
    </w:p>
    <w:p w14:paraId="5216D37E" w14:textId="77777777" w:rsidR="004E56FC" w:rsidRPr="004E56FC" w:rsidRDefault="004E56FC" w:rsidP="004E56FC">
      <w:r w:rsidRPr="004E56FC">
        <w:t>For BHP, product development extends beyond increasing production volumes to delivering minerals with significantly lower carbon footprints. Industrial customers, particularly steel manufacturers, automotive companies and renewable energy producers, increasingly seek responsibly sourced raw materials that support their own decarbonisation objectives (International Energy Agency (IEA), 2024). Consequently, investing in lower-carbon iron ore, copper and nickel allows BHP to strengthen customer relationships while differentiating itself in increasingly sustainability-driven markets.</w:t>
      </w:r>
    </w:p>
    <w:p w14:paraId="50BC671C" w14:textId="77777777" w:rsidR="004E56FC" w:rsidRPr="004E56FC" w:rsidRDefault="004E56FC" w:rsidP="004E56FC">
      <w:r w:rsidRPr="004E56FC">
        <w:t>Compared with alternative growth strategies, product development offers the most appropriate balance between opportunity and risk. Market penetration focuses primarily on increasing sales of existing products within existing markets but provides limited scope for addressing sustainability expectations. Market development, involving expansion into new geographical markets, may increase revenue but does not directly strengthen BHP's competitive position regarding decarbonisation. Diversification, although capable of generating future growth, would require substantial investment in unfamiliar industries and expose the organisation to greater strategic uncertainty (Kotler et al., 2024). Therefore, product development aligns more closely with both market demand and BHP's existing operational capabilities.</w:t>
      </w:r>
    </w:p>
    <w:p w14:paraId="66CC6AF2" w14:textId="77777777" w:rsidR="004E56FC" w:rsidRPr="004E56FC" w:rsidRDefault="004E56FC" w:rsidP="004E56FC">
      <w:r w:rsidRPr="004E56FC">
        <w:t>Furthermore, product development supports BHP's long-term strategic objective of becoming a leading supplier of transition minerals required for renewable energy technologies and electric vehicles. By integrating sustainability into product innovation rather than treating it solely as a compliance activity, BHP creates additional customer value while strengthening competitive differentiation.</w:t>
      </w:r>
    </w:p>
    <w:p w14:paraId="002F9CD6" w14:textId="4745F96A" w:rsidR="004E56FC" w:rsidRPr="004E56FC" w:rsidRDefault="004E56FC" w:rsidP="004E56FC"/>
    <w:tbl>
      <w:tblPr>
        <w:tblStyle w:val="TableGrid"/>
        <w:tblW w:w="0" w:type="auto"/>
        <w:tblLook w:val="04A0" w:firstRow="1" w:lastRow="0" w:firstColumn="1" w:lastColumn="0" w:noHBand="0" w:noVBand="1"/>
      </w:tblPr>
      <w:tblGrid>
        <w:gridCol w:w="3460"/>
        <w:gridCol w:w="5556"/>
      </w:tblGrid>
      <w:tr w:rsidR="004E56FC" w:rsidRPr="004E56FC" w14:paraId="4EC6513B" w14:textId="77777777" w:rsidTr="004E56FC">
        <w:tc>
          <w:tcPr>
            <w:tcW w:w="0" w:type="auto"/>
            <w:hideMark/>
          </w:tcPr>
          <w:p w14:paraId="3DA07604" w14:textId="77777777" w:rsidR="004E56FC" w:rsidRPr="004E56FC" w:rsidRDefault="004E56FC" w:rsidP="004E56FC">
            <w:pPr>
              <w:spacing w:after="160" w:line="259" w:lineRule="auto"/>
              <w:rPr>
                <w:b/>
                <w:bCs/>
              </w:rPr>
            </w:pPr>
            <w:r w:rsidRPr="004E56FC">
              <w:rPr>
                <w:b/>
                <w:bCs/>
              </w:rPr>
              <w:t>Existing Products</w:t>
            </w:r>
          </w:p>
        </w:tc>
        <w:tc>
          <w:tcPr>
            <w:tcW w:w="0" w:type="auto"/>
            <w:hideMark/>
          </w:tcPr>
          <w:p w14:paraId="4FDC3ABD" w14:textId="77777777" w:rsidR="004E56FC" w:rsidRPr="004E56FC" w:rsidRDefault="004E56FC" w:rsidP="004E56FC">
            <w:pPr>
              <w:spacing w:after="160" w:line="259" w:lineRule="auto"/>
              <w:rPr>
                <w:b/>
                <w:bCs/>
              </w:rPr>
            </w:pPr>
            <w:r w:rsidRPr="004E56FC">
              <w:rPr>
                <w:b/>
                <w:bCs/>
              </w:rPr>
              <w:t>New Products</w:t>
            </w:r>
          </w:p>
        </w:tc>
      </w:tr>
      <w:tr w:rsidR="004E56FC" w:rsidRPr="004E56FC" w14:paraId="7CE6C6CA" w14:textId="77777777" w:rsidTr="004E56FC">
        <w:tc>
          <w:tcPr>
            <w:tcW w:w="0" w:type="auto"/>
            <w:hideMark/>
          </w:tcPr>
          <w:p w14:paraId="292725D8" w14:textId="77777777" w:rsidR="004E56FC" w:rsidRPr="004E56FC" w:rsidRDefault="004E56FC" w:rsidP="004E56FC">
            <w:pPr>
              <w:spacing w:after="160" w:line="259" w:lineRule="auto"/>
            </w:pPr>
            <w:r w:rsidRPr="004E56FC">
              <w:rPr>
                <w:b/>
                <w:bCs/>
              </w:rPr>
              <w:t>Existing Markets</w:t>
            </w:r>
          </w:p>
        </w:tc>
        <w:tc>
          <w:tcPr>
            <w:tcW w:w="0" w:type="auto"/>
            <w:hideMark/>
          </w:tcPr>
          <w:p w14:paraId="5DE3880A" w14:textId="77777777" w:rsidR="004E56FC" w:rsidRPr="004E56FC" w:rsidRDefault="004E56FC" w:rsidP="004E56FC">
            <w:pPr>
              <w:spacing w:after="160" w:line="259" w:lineRule="auto"/>
            </w:pPr>
            <w:r w:rsidRPr="004E56FC">
              <w:rPr>
                <w:b/>
                <w:bCs/>
              </w:rPr>
              <w:t>Product Development (Recommended)</w:t>
            </w:r>
          </w:p>
        </w:tc>
      </w:tr>
      <w:tr w:rsidR="004E56FC" w:rsidRPr="004E56FC" w14:paraId="1ABDA93C" w14:textId="77777777" w:rsidTr="004E56FC">
        <w:tc>
          <w:tcPr>
            <w:tcW w:w="0" w:type="auto"/>
            <w:hideMark/>
          </w:tcPr>
          <w:p w14:paraId="3C652773" w14:textId="77777777" w:rsidR="004E56FC" w:rsidRPr="004E56FC" w:rsidRDefault="004E56FC" w:rsidP="004E56FC">
            <w:pPr>
              <w:spacing w:after="160" w:line="259" w:lineRule="auto"/>
            </w:pPr>
            <w:r w:rsidRPr="004E56FC">
              <w:t>Traditional iron ore, copper and nickel</w:t>
            </w:r>
          </w:p>
        </w:tc>
        <w:tc>
          <w:tcPr>
            <w:tcW w:w="0" w:type="auto"/>
            <w:hideMark/>
          </w:tcPr>
          <w:p w14:paraId="0FA72831" w14:textId="77777777" w:rsidR="004E56FC" w:rsidRPr="004E56FC" w:rsidRDefault="004E56FC" w:rsidP="004E56FC">
            <w:pPr>
              <w:spacing w:after="160" w:line="259" w:lineRule="auto"/>
            </w:pPr>
            <w:r w:rsidRPr="004E56FC">
              <w:t>Low-carbon iron ore, green steel inputs, responsibly sourced transition minerals</w:t>
            </w:r>
          </w:p>
        </w:tc>
      </w:tr>
      <w:tr w:rsidR="004E56FC" w:rsidRPr="004E56FC" w14:paraId="74CD5F8B" w14:textId="77777777" w:rsidTr="004E56FC">
        <w:tc>
          <w:tcPr>
            <w:tcW w:w="0" w:type="auto"/>
            <w:hideMark/>
          </w:tcPr>
          <w:p w14:paraId="79121692" w14:textId="77777777" w:rsidR="004E56FC" w:rsidRPr="004E56FC" w:rsidRDefault="004E56FC" w:rsidP="004E56FC">
            <w:pPr>
              <w:spacing w:after="160" w:line="259" w:lineRule="auto"/>
            </w:pPr>
            <w:r w:rsidRPr="004E56FC">
              <w:rPr>
                <w:b/>
                <w:bCs/>
              </w:rPr>
              <w:t>New Markets</w:t>
            </w:r>
          </w:p>
        </w:tc>
        <w:tc>
          <w:tcPr>
            <w:tcW w:w="0" w:type="auto"/>
            <w:hideMark/>
          </w:tcPr>
          <w:p w14:paraId="45F8CC96" w14:textId="77777777" w:rsidR="004E56FC" w:rsidRPr="004E56FC" w:rsidRDefault="004E56FC" w:rsidP="004E56FC">
            <w:pPr>
              <w:spacing w:after="160" w:line="259" w:lineRule="auto"/>
            </w:pPr>
            <w:r w:rsidRPr="004E56FC">
              <w:t>Diversification</w:t>
            </w:r>
          </w:p>
        </w:tc>
      </w:tr>
      <w:tr w:rsidR="004E56FC" w:rsidRPr="004E56FC" w14:paraId="4D416795" w14:textId="77777777" w:rsidTr="004E56FC">
        <w:tc>
          <w:tcPr>
            <w:tcW w:w="0" w:type="auto"/>
            <w:hideMark/>
          </w:tcPr>
          <w:p w14:paraId="05D75B86" w14:textId="77777777" w:rsidR="004E56FC" w:rsidRPr="004E56FC" w:rsidRDefault="004E56FC" w:rsidP="004E56FC">
            <w:pPr>
              <w:spacing w:after="160" w:line="259" w:lineRule="auto"/>
            </w:pPr>
            <w:r w:rsidRPr="004E56FC">
              <w:t>Market development into emerging economies</w:t>
            </w:r>
          </w:p>
        </w:tc>
        <w:tc>
          <w:tcPr>
            <w:tcW w:w="0" w:type="auto"/>
            <w:hideMark/>
          </w:tcPr>
          <w:p w14:paraId="31DED941" w14:textId="77777777" w:rsidR="004E56FC" w:rsidRPr="004E56FC" w:rsidRDefault="004E56FC" w:rsidP="004E56FC">
            <w:pPr>
              <w:spacing w:after="160" w:line="259" w:lineRule="auto"/>
            </w:pPr>
            <w:r w:rsidRPr="004E56FC">
              <w:t>Expansion into unrelated industries</w:t>
            </w:r>
          </w:p>
        </w:tc>
      </w:tr>
    </w:tbl>
    <w:p w14:paraId="612F9838" w14:textId="77777777" w:rsidR="004E56FC" w:rsidRPr="004E56FC" w:rsidRDefault="004E56FC" w:rsidP="004E56FC">
      <w:r w:rsidRPr="004E56FC">
        <w:rPr>
          <w:b/>
          <w:bCs/>
        </w:rPr>
        <w:t>Source:</w:t>
      </w:r>
      <w:r w:rsidRPr="004E56FC">
        <w:t xml:space="preserve"> Adapted from Ansoff (1957) and developed by the author for BHP.</w:t>
      </w:r>
    </w:p>
    <w:p w14:paraId="79EF750E" w14:textId="126FC416" w:rsidR="004E56FC" w:rsidRPr="004E56FC" w:rsidRDefault="004E56FC" w:rsidP="004E56FC"/>
    <w:p w14:paraId="726A9CAF" w14:textId="77777777" w:rsidR="004E56FC" w:rsidRPr="004E56FC" w:rsidRDefault="004E56FC" w:rsidP="004E56FC">
      <w:pPr>
        <w:rPr>
          <w:b/>
          <w:bCs/>
        </w:rPr>
      </w:pPr>
      <w:r w:rsidRPr="004E56FC">
        <w:rPr>
          <w:b/>
          <w:bCs/>
        </w:rPr>
        <w:t>2.2 Achieving Competitive Advantage through Differentiation</w:t>
      </w:r>
    </w:p>
    <w:p w14:paraId="7F09D67D" w14:textId="77777777" w:rsidR="004E56FC" w:rsidRPr="004E56FC" w:rsidRDefault="004E56FC" w:rsidP="004E56FC">
      <w:r w:rsidRPr="004E56FC">
        <w:t>While growth determines future market opportunities, sustaining competitive advantage requires an appropriate competitive positioning strategy. Porter's Generic Strategies identify cost leadership, differentiation and focus as the principal approaches through which organisations achieve superior performance (Porter, 1985). Considering increasing environmental expectations within global mining markets, differentiation represents the most suitable strategy for BHP.</w:t>
      </w:r>
    </w:p>
    <w:p w14:paraId="37766F6C" w14:textId="77777777" w:rsidR="004E56FC" w:rsidRPr="004E56FC" w:rsidRDefault="004E56FC" w:rsidP="004E56FC">
      <w:r w:rsidRPr="004E56FC">
        <w:t>Historically, mining companies competed primarily through operational efficiency and economies of scale. However, contemporary competition increasingly incorporates sustainability performance, environmental transparency and responsible resource management. Customers now evaluate suppliers not only on price but also on carbon emissions, ESG performance and supply chain resilience (Kotler et al., 2024). Consequently, differentiation based on lower-carbon production enables BHP to create value beyond commodity pricing.</w:t>
      </w:r>
    </w:p>
    <w:p w14:paraId="559D5F5F" w14:textId="77777777" w:rsidR="004E56FC" w:rsidRPr="004E56FC" w:rsidRDefault="004E56FC" w:rsidP="004E56FC">
      <w:r w:rsidRPr="004E56FC">
        <w:t>BHP's investments in renewable-powered mining operations, operational electrification and emissions reduction initiatives strengthen this differentiation strategy. In addition, partnerships supporting low-carbon steel production allow BHP to position itself as a strategic partner within customers' decarbonisation journeys rather than merely a supplier of raw materials (BHP, 2025). This strengthens long-term customer relationships while reducing competitive pressure associated with commodity markets.</w:t>
      </w:r>
    </w:p>
    <w:p w14:paraId="116090E3" w14:textId="77777777" w:rsidR="004E56FC" w:rsidRPr="004E56FC" w:rsidRDefault="004E56FC" w:rsidP="004E56FC">
      <w:r w:rsidRPr="004E56FC">
        <w:t>Differentiation also enhances investor confidence. Increasing numbers of institutional investors incorporate ESG performance into investment decisions, rewarding organisations demonstrating credible climate strategies and transparent sustainability reporting (Eccles and Klimenko, 2019). Consequently, strong sustainability performance improves both corporate reputation and access to long-term capital, further reinforcing BHP's competitive position.</w:t>
      </w:r>
    </w:p>
    <w:p w14:paraId="40A311FB" w14:textId="77777777" w:rsidR="004E56FC" w:rsidRPr="004E56FC" w:rsidRDefault="004E56FC" w:rsidP="004E56FC">
      <w:r w:rsidRPr="004E56FC">
        <w:t>Nevertheless, differentiation is not without limitations. Premium sustainability initiatives require substantial financial investment, while customer willingness to pay higher prices for lower-carbon minerals remains uncertain in some markets. Competitors such as Rio Tinto and Anglo American are also accelerating sustainability investments, reducing the uniqueness of environmental differentiation over time. Therefore, BHP must continuously innovate to maintain competitive advantage rather than relying solely on existing sustainability achievements.</w:t>
      </w:r>
    </w:p>
    <w:p w14:paraId="4AF5A8E5" w14:textId="77777777" w:rsidR="004E56FC" w:rsidRPr="004E56FC" w:rsidRDefault="004E56FC" w:rsidP="004E56FC">
      <w:r w:rsidRPr="004E56FC">
        <w:t>Academic literature reflects this debate. Porter and Kramer (2019) argue that environmental innovation creates shared value by improving organisational competitiveness while addressing societal challenges. Conversely, Barney (1991) suggests that sustainable competitive advantage depends upon resources remaining valuable, rare, inimitable and organisationally embedded. As sustainability technologies become more widely adopted across the mining industry, BHP must continue investing in innovation, digital technologies and stakeholder relationships to preserve strategic differentiation.</w:t>
      </w:r>
    </w:p>
    <w:p w14:paraId="4D5D2372" w14:textId="6B22003B" w:rsidR="004E56FC" w:rsidRPr="004E56FC" w:rsidRDefault="004E56FC" w:rsidP="004E56FC"/>
    <w:p w14:paraId="0925A67B" w14:textId="77777777" w:rsidR="004E56FC" w:rsidRPr="004E56FC" w:rsidRDefault="004E56FC" w:rsidP="004E56FC">
      <w:pPr>
        <w:rPr>
          <w:b/>
          <w:bCs/>
        </w:rPr>
      </w:pPr>
      <w:r w:rsidRPr="004E56FC">
        <w:rPr>
          <w:b/>
          <w:bCs/>
        </w:rPr>
        <w:t>2.3 Strategic Recommendations</w:t>
      </w:r>
    </w:p>
    <w:p w14:paraId="04707CE7" w14:textId="77777777" w:rsidR="004E56FC" w:rsidRPr="004E56FC" w:rsidRDefault="004E56FC" w:rsidP="004E56FC">
      <w:r w:rsidRPr="004E56FC">
        <w:t>To strengthen competitive advantage while supporting sustainable growth, BHP should implement several complementary strategic initiatives.</w:t>
      </w:r>
    </w:p>
    <w:p w14:paraId="6A745094" w14:textId="77777777" w:rsidR="004E56FC" w:rsidRPr="004E56FC" w:rsidRDefault="004E56FC" w:rsidP="004E56FC">
      <w:r w:rsidRPr="004E56FC">
        <w:t>First, the organisation should accelerate investment in renewable-powered mining operations by expanding renewable electricity generation and electrifying heavy mining equipment. This would reduce operational emissions while improving long-term cost efficiency and strengthening environmental credibility.</w:t>
      </w:r>
    </w:p>
    <w:p w14:paraId="0B44337B" w14:textId="77777777" w:rsidR="004E56FC" w:rsidRPr="004E56FC" w:rsidRDefault="004E56FC" w:rsidP="004E56FC">
      <w:r w:rsidRPr="004E56FC">
        <w:t>Second, BHP should expand research and development partnerships supporting green steel technologies and hydrogen-based mining solutions. Such collaboration enables access to emerging technologies while reducing technological uncertainty associated with large-scale decarbonisation.</w:t>
      </w:r>
    </w:p>
    <w:p w14:paraId="5277B6DF" w14:textId="77777777" w:rsidR="004E56FC" w:rsidRPr="004E56FC" w:rsidRDefault="004E56FC" w:rsidP="004E56FC">
      <w:r w:rsidRPr="004E56FC">
        <w:t>Third, digital technologies should become central to BHP's sustainability strategy. Artificial intelligence, predictive analytics and digital monitoring systems can optimise energy consumption, improve operational efficiency and provide customers with transparent environmental performance data throughout the supply chain. Enhanced data transparency also strengthens customer trust and supports ESG reporting requirements (World Economic Forum, 2024).</w:t>
      </w:r>
    </w:p>
    <w:p w14:paraId="55AF63E6" w14:textId="77777777" w:rsidR="004E56FC" w:rsidRPr="004E56FC" w:rsidRDefault="004E56FC" w:rsidP="004E56FC">
      <w:r w:rsidRPr="004E56FC">
        <w:t>Finally, BHP should strengthen sustainability-focused marketing communications by emphasising measurable environmental outcomes rather than broad corporate commitments. Increasingly, industrial customers seek credible evidence regarding carbon reductions, responsible sourcing and supply chain transparency. Demonstrating verified environmental performance can therefore strengthen customer loyalty while supporting premium positioning within global markets.</w:t>
      </w:r>
    </w:p>
    <w:p w14:paraId="4498550E" w14:textId="77777777" w:rsidR="004E56FC" w:rsidRPr="004E56FC" w:rsidRDefault="004E56FC" w:rsidP="004E56FC">
      <w:pPr>
        <w:rPr>
          <w:b/>
          <w:bCs/>
        </w:rPr>
      </w:pPr>
      <w:r w:rsidRPr="004E56FC">
        <w:rPr>
          <w:b/>
          <w:bCs/>
        </w:rPr>
        <w:t>Table 2. Strategic Recommendations for BHP</w:t>
      </w:r>
    </w:p>
    <w:tbl>
      <w:tblPr>
        <w:tblStyle w:val="TableGrid"/>
        <w:tblW w:w="0" w:type="auto"/>
        <w:tblLook w:val="04A0" w:firstRow="1" w:lastRow="0" w:firstColumn="1" w:lastColumn="0" w:noHBand="0" w:noVBand="1"/>
      </w:tblPr>
      <w:tblGrid>
        <w:gridCol w:w="3229"/>
        <w:gridCol w:w="5787"/>
      </w:tblGrid>
      <w:tr w:rsidR="004E56FC" w:rsidRPr="004E56FC" w14:paraId="3A557FD7" w14:textId="77777777" w:rsidTr="004E56FC">
        <w:tc>
          <w:tcPr>
            <w:tcW w:w="0" w:type="auto"/>
            <w:hideMark/>
          </w:tcPr>
          <w:p w14:paraId="2303E682" w14:textId="77777777" w:rsidR="004E56FC" w:rsidRPr="004E56FC" w:rsidRDefault="004E56FC" w:rsidP="004E56FC">
            <w:pPr>
              <w:spacing w:after="160" w:line="259" w:lineRule="auto"/>
              <w:rPr>
                <w:b/>
                <w:bCs/>
              </w:rPr>
            </w:pPr>
            <w:r w:rsidRPr="004E56FC">
              <w:rPr>
                <w:b/>
                <w:bCs/>
              </w:rPr>
              <w:t>Strategic Initiative</w:t>
            </w:r>
          </w:p>
        </w:tc>
        <w:tc>
          <w:tcPr>
            <w:tcW w:w="0" w:type="auto"/>
            <w:hideMark/>
          </w:tcPr>
          <w:p w14:paraId="67AEDCB2" w14:textId="77777777" w:rsidR="004E56FC" w:rsidRPr="004E56FC" w:rsidRDefault="004E56FC" w:rsidP="004E56FC">
            <w:pPr>
              <w:spacing w:after="160" w:line="259" w:lineRule="auto"/>
              <w:rPr>
                <w:b/>
                <w:bCs/>
              </w:rPr>
            </w:pPr>
            <w:r w:rsidRPr="004E56FC">
              <w:rPr>
                <w:b/>
                <w:bCs/>
              </w:rPr>
              <w:t>Expected Marketing Benefit</w:t>
            </w:r>
          </w:p>
        </w:tc>
      </w:tr>
      <w:tr w:rsidR="004E56FC" w:rsidRPr="004E56FC" w14:paraId="72B00449" w14:textId="77777777" w:rsidTr="004E56FC">
        <w:tc>
          <w:tcPr>
            <w:tcW w:w="0" w:type="auto"/>
            <w:hideMark/>
          </w:tcPr>
          <w:p w14:paraId="7D163983" w14:textId="77777777" w:rsidR="004E56FC" w:rsidRPr="004E56FC" w:rsidRDefault="004E56FC" w:rsidP="004E56FC">
            <w:pPr>
              <w:spacing w:after="160" w:line="259" w:lineRule="auto"/>
            </w:pPr>
            <w:r w:rsidRPr="004E56FC">
              <w:t>Renewable-powered mining</w:t>
            </w:r>
          </w:p>
        </w:tc>
        <w:tc>
          <w:tcPr>
            <w:tcW w:w="0" w:type="auto"/>
            <w:hideMark/>
          </w:tcPr>
          <w:p w14:paraId="58A951B2" w14:textId="77777777" w:rsidR="004E56FC" w:rsidRPr="004E56FC" w:rsidRDefault="004E56FC" w:rsidP="004E56FC">
            <w:pPr>
              <w:spacing w:after="160" w:line="259" w:lineRule="auto"/>
            </w:pPr>
            <w:r w:rsidRPr="004E56FC">
              <w:t>Stronger sustainability positioning and lower operating costs</w:t>
            </w:r>
          </w:p>
        </w:tc>
      </w:tr>
      <w:tr w:rsidR="004E56FC" w:rsidRPr="004E56FC" w14:paraId="2BF8B248" w14:textId="77777777" w:rsidTr="004E56FC">
        <w:tc>
          <w:tcPr>
            <w:tcW w:w="0" w:type="auto"/>
            <w:hideMark/>
          </w:tcPr>
          <w:p w14:paraId="65A15090" w14:textId="77777777" w:rsidR="004E56FC" w:rsidRPr="004E56FC" w:rsidRDefault="004E56FC" w:rsidP="004E56FC">
            <w:pPr>
              <w:spacing w:after="160" w:line="259" w:lineRule="auto"/>
            </w:pPr>
            <w:r w:rsidRPr="004E56FC">
              <w:t>Green steel partnerships</w:t>
            </w:r>
          </w:p>
        </w:tc>
        <w:tc>
          <w:tcPr>
            <w:tcW w:w="0" w:type="auto"/>
            <w:hideMark/>
          </w:tcPr>
          <w:p w14:paraId="789CA1D0" w14:textId="77777777" w:rsidR="004E56FC" w:rsidRPr="004E56FC" w:rsidRDefault="004E56FC" w:rsidP="004E56FC">
            <w:pPr>
              <w:spacing w:after="160" w:line="259" w:lineRule="auto"/>
            </w:pPr>
            <w:r w:rsidRPr="004E56FC">
              <w:t>Increased demand from low-carbon manufacturing customers</w:t>
            </w:r>
          </w:p>
        </w:tc>
      </w:tr>
      <w:tr w:rsidR="004E56FC" w:rsidRPr="004E56FC" w14:paraId="3ED6451C" w14:textId="77777777" w:rsidTr="004E56FC">
        <w:tc>
          <w:tcPr>
            <w:tcW w:w="0" w:type="auto"/>
            <w:hideMark/>
          </w:tcPr>
          <w:p w14:paraId="7EDC4899" w14:textId="77777777" w:rsidR="004E56FC" w:rsidRPr="004E56FC" w:rsidRDefault="004E56FC" w:rsidP="004E56FC">
            <w:pPr>
              <w:spacing w:after="160" w:line="259" w:lineRule="auto"/>
            </w:pPr>
            <w:r w:rsidRPr="004E56FC">
              <w:t>AI-enabled operational optimisation</w:t>
            </w:r>
          </w:p>
        </w:tc>
        <w:tc>
          <w:tcPr>
            <w:tcW w:w="0" w:type="auto"/>
            <w:hideMark/>
          </w:tcPr>
          <w:p w14:paraId="63DA0A9E" w14:textId="77777777" w:rsidR="004E56FC" w:rsidRPr="004E56FC" w:rsidRDefault="004E56FC" w:rsidP="004E56FC">
            <w:pPr>
              <w:spacing w:after="160" w:line="259" w:lineRule="auto"/>
            </w:pPr>
            <w:r w:rsidRPr="004E56FC">
              <w:t>Greater efficiency, transparency and customer confidence</w:t>
            </w:r>
          </w:p>
        </w:tc>
      </w:tr>
      <w:tr w:rsidR="004E56FC" w:rsidRPr="004E56FC" w14:paraId="04BF3D39" w14:textId="77777777" w:rsidTr="004E56FC">
        <w:tc>
          <w:tcPr>
            <w:tcW w:w="0" w:type="auto"/>
            <w:hideMark/>
          </w:tcPr>
          <w:p w14:paraId="3D262AB9" w14:textId="77777777" w:rsidR="004E56FC" w:rsidRPr="004E56FC" w:rsidRDefault="004E56FC" w:rsidP="004E56FC">
            <w:pPr>
              <w:spacing w:after="160" w:line="259" w:lineRule="auto"/>
            </w:pPr>
            <w:r w:rsidRPr="004E56FC">
              <w:t>Supply chain carbon reporting</w:t>
            </w:r>
          </w:p>
        </w:tc>
        <w:tc>
          <w:tcPr>
            <w:tcW w:w="0" w:type="auto"/>
            <w:hideMark/>
          </w:tcPr>
          <w:p w14:paraId="7C41D617" w14:textId="77777777" w:rsidR="004E56FC" w:rsidRPr="004E56FC" w:rsidRDefault="004E56FC" w:rsidP="004E56FC">
            <w:pPr>
              <w:spacing w:after="160" w:line="259" w:lineRule="auto"/>
            </w:pPr>
            <w:r w:rsidRPr="004E56FC">
              <w:t>Enhanced ESG reputation and investor trust</w:t>
            </w:r>
          </w:p>
        </w:tc>
      </w:tr>
      <w:tr w:rsidR="004E56FC" w:rsidRPr="004E56FC" w14:paraId="3316D8A9" w14:textId="77777777" w:rsidTr="004E56FC">
        <w:tc>
          <w:tcPr>
            <w:tcW w:w="0" w:type="auto"/>
            <w:hideMark/>
          </w:tcPr>
          <w:p w14:paraId="379C79C4" w14:textId="77777777" w:rsidR="004E56FC" w:rsidRPr="004E56FC" w:rsidRDefault="004E56FC" w:rsidP="004E56FC">
            <w:pPr>
              <w:spacing w:after="160" w:line="259" w:lineRule="auto"/>
            </w:pPr>
            <w:r w:rsidRPr="004E56FC">
              <w:t>Sustainability-focused marketing</w:t>
            </w:r>
          </w:p>
        </w:tc>
        <w:tc>
          <w:tcPr>
            <w:tcW w:w="0" w:type="auto"/>
            <w:hideMark/>
          </w:tcPr>
          <w:p w14:paraId="08F827AD" w14:textId="77777777" w:rsidR="004E56FC" w:rsidRPr="004E56FC" w:rsidRDefault="004E56FC" w:rsidP="004E56FC">
            <w:pPr>
              <w:spacing w:after="160" w:line="259" w:lineRule="auto"/>
            </w:pPr>
            <w:r w:rsidRPr="004E56FC">
              <w:t>Stronger brand differentiation and long-term customer relationships</w:t>
            </w:r>
          </w:p>
        </w:tc>
      </w:tr>
    </w:tbl>
    <w:p w14:paraId="174958E3" w14:textId="77777777" w:rsidR="004E56FC" w:rsidRDefault="004E56FC" w:rsidP="004E56FC">
      <w:pPr>
        <w:rPr>
          <w:b/>
          <w:bCs/>
        </w:rPr>
      </w:pPr>
    </w:p>
    <w:p w14:paraId="68F0D050" w14:textId="765789AB" w:rsidR="004E56FC" w:rsidRPr="004E56FC" w:rsidRDefault="004E56FC" w:rsidP="004E56FC">
      <w:pPr>
        <w:rPr>
          <w:b/>
          <w:bCs/>
        </w:rPr>
      </w:pPr>
      <w:r w:rsidRPr="004E56FC">
        <w:rPr>
          <w:b/>
          <w:bCs/>
        </w:rPr>
        <w:t>2.4 Critical Evaluation</w:t>
      </w:r>
    </w:p>
    <w:p w14:paraId="79747223" w14:textId="77777777" w:rsidR="004E56FC" w:rsidRPr="004E56FC" w:rsidRDefault="004E56FC" w:rsidP="004E56FC">
      <w:r w:rsidRPr="004E56FC">
        <w:t>Although product development and differentiation provide a coherent strategic pathway for BHP, successful implementation depends upon factors beyond organisational control. Regulatory uncertainty, fluctuating commodity prices and technological maturity may influence the commercial viability of lower-carbon mining initiatives. Furthermore, sustainability leadership alone cannot guarantee competitive advantage if competitors rapidly replicate similar environmental innovations.</w:t>
      </w:r>
    </w:p>
    <w:p w14:paraId="034BAA32" w14:textId="77777777" w:rsidR="004E56FC" w:rsidRPr="004E56FC" w:rsidRDefault="004E56FC" w:rsidP="004E56FC">
      <w:r w:rsidRPr="004E56FC">
        <w:t>Nevertheless, the interaction between environmental pressures, political regulations and changing customer expectations suggests that maintaining traditional cost-based competition is unlikely to ensure long-term success. Instead, integrating sustainability into product development, operational innovation and strategic marketing enables BHP to create greater customer value while strengthening resilience within an increasingly carbon-conscious global economy. Consequently, product development supported by a differentiation strategy represents the most appropriate approach for achieving sustainable growth and long-term competitive advantage.</w:t>
      </w:r>
    </w:p>
    <w:p w14:paraId="42AF1FDF" w14:textId="77777777" w:rsidR="004E56FC" w:rsidRDefault="004E56FC" w:rsidP="004E56FC">
      <w:pPr>
        <w:rPr>
          <w:b/>
          <w:bCs/>
        </w:rPr>
      </w:pPr>
    </w:p>
    <w:p w14:paraId="5ED08092" w14:textId="33BBB22C" w:rsidR="004E56FC" w:rsidRPr="004E56FC" w:rsidRDefault="004E56FC" w:rsidP="004E56FC">
      <w:pPr>
        <w:rPr>
          <w:b/>
          <w:bCs/>
        </w:rPr>
      </w:pPr>
      <w:r w:rsidRPr="004E56FC">
        <w:rPr>
          <w:b/>
          <w:bCs/>
        </w:rPr>
        <w:t>Task C: Reflective Report</w:t>
      </w:r>
    </w:p>
    <w:p w14:paraId="7FE13A46" w14:textId="77777777" w:rsidR="004E56FC" w:rsidRPr="004E56FC" w:rsidRDefault="004E56FC" w:rsidP="004E56FC">
      <w:pPr>
        <w:rPr>
          <w:b/>
          <w:bCs/>
        </w:rPr>
      </w:pPr>
      <w:r w:rsidRPr="004E56FC">
        <w:rPr>
          <w:b/>
          <w:bCs/>
        </w:rPr>
        <w:t>Responsible Use of AI in HR Decision-Making and Personal Capability Development</w:t>
      </w:r>
    </w:p>
    <w:p w14:paraId="7E859C71" w14:textId="77777777" w:rsidR="004E56FC" w:rsidRPr="004E56FC" w:rsidRDefault="004E56FC" w:rsidP="004E56FC">
      <w:r w:rsidRPr="004E56FC">
        <w:t>Artificial intelligence has become an important decision-support tool within strategic human capital management because it enables organisations to analyse workforce data, identify skills gaps and support evidence-based workforce planning. Nevertheless, AI should complement rather than replace human judgement, particularly in high-stakes HR decisions such as recruitment, promotion and performance management. Although AI improves efficiency and predictive accuracy, algorithms may reinforce historical biases, reduce transparency and overlook contextual factors that influence employee performance (CIPD, 2024; UNESCO, 2023). Consequently, I recognise that responsible HR practice requires maintaining human oversight, ethical accountability and fairness throughout AI-assisted decision-making. Rather than accepting AI recommendations uncritically, I will evaluate their validity against organisational objectives, professional judgement and legal obligations before making decisions.</w:t>
      </w:r>
    </w:p>
    <w:p w14:paraId="66CF958E" w14:textId="77777777" w:rsidR="004E56FC" w:rsidRPr="004E56FC" w:rsidRDefault="004E56FC" w:rsidP="004E56FC">
      <w:r w:rsidRPr="004E56FC">
        <w:t>Reflecting on my future professional development, I recognise that successful HR professionals require capabilities extending beyond traditional people management. To strengthen my employability, I intend to develop advanced data literacy by improving my ability to interpret workforce analytics and HR dashboards for strategic decision-making. I will also enhance my understanding of AI applications in HR, including predictive analytics, talent intelligence and responsible AI governance, through continuous professional learning and industry certifications. Furthermore, I aim to strengthen my strategic influencing skills by developing confidence in communicating evidence-based recommendations to senior leaders and managing organisational change effectively. Finally, I will improve my global mobility awareness by understanding cross-cultural workforce management and international employment practices, enabling me to operate successfully within multinational organisations such as Helios Urban Mobility.</w:t>
      </w:r>
    </w:p>
    <w:p w14:paraId="44A96830" w14:textId="77777777" w:rsidR="004E56FC" w:rsidRPr="004E56FC" w:rsidRDefault="004E56FC" w:rsidP="004E56FC">
      <w:r w:rsidRPr="004E56FC">
        <w:t>This reflection has reinforced that future HR leaders will create value not by replacing human expertise with AI but by integrating technological capabilities with ethical judgement, strategic thinking and continuous professional development. Developing these competencies will enable me to contribute responsibly to organisational performance while supporting sustainable human capital management.</w:t>
      </w:r>
    </w:p>
    <w:p w14:paraId="7FB7A659" w14:textId="257FD283" w:rsidR="004E56FC" w:rsidRPr="004E56FC" w:rsidRDefault="004E56FC" w:rsidP="004E56FC"/>
    <w:p w14:paraId="437595EC" w14:textId="77777777" w:rsidR="004E56FC" w:rsidRPr="004E56FC" w:rsidRDefault="004E56FC" w:rsidP="004E56FC">
      <w:pPr>
        <w:rPr>
          <w:b/>
          <w:bCs/>
        </w:rPr>
      </w:pPr>
      <w:r w:rsidRPr="004E56FC">
        <w:rPr>
          <w:b/>
          <w:bCs/>
        </w:rPr>
        <w:t>Conclusion</w:t>
      </w:r>
    </w:p>
    <w:p w14:paraId="110566AA" w14:textId="77777777" w:rsidR="004E56FC" w:rsidRPr="004E56FC" w:rsidRDefault="004E56FC" w:rsidP="004E56FC">
      <w:r w:rsidRPr="004E56FC">
        <w:t>This report demonstrates that sustainable organisational performance depends upon an integrated human capital architecture rather than isolated HR initiatives. Strategic organisational socialisation strengthens organisational commitment, ethical professionalism and employee identification, while innovative job architecture enhances intrinsic motivation, workforce agility and continuous innovation through skills-based design and responsible AI integration. Finally, reflective capability development ensures that future HR professionals combine technological competence with ethical judgement and strategic leadership. Collectively, these recommendations provide Helios Urban Mobility with a coherent human capital strategy that supports strategic renewal, improves employee engagement and retention, and strengthens long-term organisational resilience in an increasingly AI-enabled business environment.</w:t>
      </w:r>
    </w:p>
    <w:p w14:paraId="39E38729" w14:textId="77777777" w:rsidR="006B01C2" w:rsidRDefault="006B01C2"/>
    <w:sectPr w:rsidR="006B01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6FC"/>
    <w:rsid w:val="00013EDC"/>
    <w:rsid w:val="000E2C44"/>
    <w:rsid w:val="002275A3"/>
    <w:rsid w:val="00387053"/>
    <w:rsid w:val="004E1A24"/>
    <w:rsid w:val="004E56FC"/>
    <w:rsid w:val="004E5D94"/>
    <w:rsid w:val="00512961"/>
    <w:rsid w:val="005606D3"/>
    <w:rsid w:val="006B01C2"/>
    <w:rsid w:val="006E7942"/>
    <w:rsid w:val="00721044"/>
    <w:rsid w:val="0074186B"/>
    <w:rsid w:val="009823C4"/>
    <w:rsid w:val="00A955EC"/>
    <w:rsid w:val="00B369CA"/>
    <w:rsid w:val="00C77A97"/>
    <w:rsid w:val="00D91C68"/>
    <w:rsid w:val="00E16342"/>
    <w:rsid w:val="00E27655"/>
    <w:rsid w:val="00E346C3"/>
    <w:rsid w:val="00FB59E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20C4B"/>
  <w15:chartTrackingRefBased/>
  <w15:docId w15:val="{A4D76822-30B3-4738-8FE8-A9242F738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4E56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E56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E56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56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E56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E56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6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6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6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6FC"/>
    <w:rPr>
      <w:rFonts w:asciiTheme="majorHAnsi" w:eastAsiaTheme="majorEastAsia" w:hAnsiTheme="majorHAnsi" w:cstheme="majorBidi"/>
      <w:noProof/>
      <w:color w:val="2F5496" w:themeColor="accent1" w:themeShade="BF"/>
      <w:sz w:val="40"/>
      <w:szCs w:val="40"/>
    </w:rPr>
  </w:style>
  <w:style w:type="character" w:customStyle="1" w:styleId="Heading2Char">
    <w:name w:val="Heading 2 Char"/>
    <w:basedOn w:val="DefaultParagraphFont"/>
    <w:link w:val="Heading2"/>
    <w:uiPriority w:val="9"/>
    <w:semiHidden/>
    <w:rsid w:val="004E56FC"/>
    <w:rPr>
      <w:rFonts w:asciiTheme="majorHAnsi" w:eastAsiaTheme="majorEastAsia" w:hAnsiTheme="majorHAnsi" w:cstheme="majorBidi"/>
      <w:noProof/>
      <w:color w:val="2F5496" w:themeColor="accent1" w:themeShade="BF"/>
      <w:sz w:val="32"/>
      <w:szCs w:val="32"/>
    </w:rPr>
  </w:style>
  <w:style w:type="character" w:customStyle="1" w:styleId="Heading3Char">
    <w:name w:val="Heading 3 Char"/>
    <w:basedOn w:val="DefaultParagraphFont"/>
    <w:link w:val="Heading3"/>
    <w:uiPriority w:val="9"/>
    <w:semiHidden/>
    <w:rsid w:val="004E56FC"/>
    <w:rPr>
      <w:rFonts w:eastAsiaTheme="majorEastAsia"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4E56FC"/>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4E56FC"/>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4E56FC"/>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4E56FC"/>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4E56FC"/>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4E56FC"/>
    <w:rPr>
      <w:rFonts w:eastAsiaTheme="majorEastAsia" w:cstheme="majorBidi"/>
      <w:noProof/>
      <w:color w:val="272727" w:themeColor="text1" w:themeTint="D8"/>
    </w:rPr>
  </w:style>
  <w:style w:type="paragraph" w:styleId="Title">
    <w:name w:val="Title"/>
    <w:basedOn w:val="Normal"/>
    <w:next w:val="Normal"/>
    <w:link w:val="TitleChar"/>
    <w:uiPriority w:val="10"/>
    <w:qFormat/>
    <w:rsid w:val="004E56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6FC"/>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4E56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6FC"/>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4E56FC"/>
    <w:pPr>
      <w:spacing w:before="160"/>
      <w:jc w:val="center"/>
    </w:pPr>
    <w:rPr>
      <w:i/>
      <w:iCs/>
      <w:color w:val="404040" w:themeColor="text1" w:themeTint="BF"/>
    </w:rPr>
  </w:style>
  <w:style w:type="character" w:customStyle="1" w:styleId="QuoteChar">
    <w:name w:val="Quote Char"/>
    <w:basedOn w:val="DefaultParagraphFont"/>
    <w:link w:val="Quote"/>
    <w:uiPriority w:val="29"/>
    <w:rsid w:val="004E56FC"/>
    <w:rPr>
      <w:i/>
      <w:iCs/>
      <w:noProof/>
      <w:color w:val="404040" w:themeColor="text1" w:themeTint="BF"/>
    </w:rPr>
  </w:style>
  <w:style w:type="paragraph" w:styleId="ListParagraph">
    <w:name w:val="List Paragraph"/>
    <w:basedOn w:val="Normal"/>
    <w:uiPriority w:val="34"/>
    <w:qFormat/>
    <w:rsid w:val="004E56FC"/>
    <w:pPr>
      <w:ind w:left="720"/>
      <w:contextualSpacing/>
    </w:pPr>
  </w:style>
  <w:style w:type="character" w:styleId="IntenseEmphasis">
    <w:name w:val="Intense Emphasis"/>
    <w:basedOn w:val="DefaultParagraphFont"/>
    <w:uiPriority w:val="21"/>
    <w:qFormat/>
    <w:rsid w:val="004E56FC"/>
    <w:rPr>
      <w:i/>
      <w:iCs/>
      <w:color w:val="2F5496" w:themeColor="accent1" w:themeShade="BF"/>
    </w:rPr>
  </w:style>
  <w:style w:type="paragraph" w:styleId="IntenseQuote">
    <w:name w:val="Intense Quote"/>
    <w:basedOn w:val="Normal"/>
    <w:next w:val="Normal"/>
    <w:link w:val="IntenseQuoteChar"/>
    <w:uiPriority w:val="30"/>
    <w:qFormat/>
    <w:rsid w:val="004E56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56FC"/>
    <w:rPr>
      <w:i/>
      <w:iCs/>
      <w:noProof/>
      <w:color w:val="2F5496" w:themeColor="accent1" w:themeShade="BF"/>
    </w:rPr>
  </w:style>
  <w:style w:type="character" w:styleId="IntenseReference">
    <w:name w:val="Intense Reference"/>
    <w:basedOn w:val="DefaultParagraphFont"/>
    <w:uiPriority w:val="32"/>
    <w:qFormat/>
    <w:rsid w:val="004E56FC"/>
    <w:rPr>
      <w:b/>
      <w:bCs/>
      <w:smallCaps/>
      <w:color w:val="2F5496" w:themeColor="accent1" w:themeShade="BF"/>
      <w:spacing w:val="5"/>
    </w:rPr>
  </w:style>
  <w:style w:type="table" w:styleId="TableGrid">
    <w:name w:val="Table Grid"/>
    <w:basedOn w:val="TableNormal"/>
    <w:uiPriority w:val="39"/>
    <w:rsid w:val="004E5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3334</Words>
  <Characters>19005</Characters>
  <Application>Microsoft Office Word</Application>
  <DocSecurity>0</DocSecurity>
  <Lines>158</Lines>
  <Paragraphs>44</Paragraphs>
  <ScaleCrop>false</ScaleCrop>
  <Company/>
  <LinksUpToDate>false</LinksUpToDate>
  <CharactersWithSpaces>22295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Meet vasani</dc:creator>
  <cp:keywords/>
  <dc:description/>
  <cp:lastModifiedBy>Meetkumar Vasani</cp:lastModifiedBy>
  <cp:revision>2</cp:revision>
  <dcterms:created xsi:type="dcterms:W3CDTF">2026-07-21T08:36:00Z</dcterms:created>
  <dcterms:modified xsi:type="dcterms:W3CDTF">2026-07-21T08:36:00Z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8159b9f1-62d7-4d45-9776-909d1751de52</vt:lpwstr>
  </property>
</Properties>
</file>