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E565FF" w14:textId="392D5F91" w:rsidR="0061198D" w:rsidRPr="0061198D" w:rsidRDefault="0061198D" w:rsidP="0061198D">
      <w:pPr>
        <w:jc w:val="center"/>
        <w:rPr>
          <w:rFonts w:ascii="Georgia" w:hAnsi="Georgia"/>
          <w:sz w:val="44"/>
          <w:szCs w:val="44"/>
        </w:rPr>
      </w:pPr>
      <w:r>
        <w:rPr>
          <w:rFonts w:ascii="Georgia" w:hAnsi="Georgia"/>
          <w:sz w:val="44"/>
          <w:szCs w:val="44"/>
        </w:rPr>
        <w:t>Mummifying Alan Review</w:t>
      </w:r>
    </w:p>
    <w:p w14:paraId="5F4435D8" w14:textId="77777777" w:rsidR="0061198D" w:rsidRDefault="0061198D" w:rsidP="00354BA7">
      <w:pPr>
        <w:rPr>
          <w:rFonts w:ascii="Georgia" w:hAnsi="Georgia"/>
        </w:rPr>
      </w:pPr>
    </w:p>
    <w:p w14:paraId="030EA6E4" w14:textId="78869D0F" w:rsidR="00354BA7" w:rsidRPr="00354BA7" w:rsidRDefault="00354BA7" w:rsidP="00354BA7">
      <w:pPr>
        <w:rPr>
          <w:rFonts w:ascii="Georgia" w:hAnsi="Georgia"/>
        </w:rPr>
      </w:pPr>
      <w:r w:rsidRPr="00354BA7">
        <w:rPr>
          <w:rFonts w:ascii="Georgia" w:hAnsi="Georgia"/>
        </w:rPr>
        <w:t>The documentary Mummifying Alan: Egypt’s Last Secret was first aired on Channel 4 on the 24th October 2011 (Queen Mary: University of London, 2012) without an age rating however due to the nature of the film, with depictions of disembowelment and the showing of a modern dead body, it is aimed towards those of a more mature age. The aim of the experiment was to analyse and recreate the techniques ancient Egyptian embalmers used in order to mummify their elite, specifically in the 18th dynasty. Researched and conducted by Dr Stephen Buckley and Professor Joann Fletcher, the documentation was produced by Blink Film for Channel 4 to upwards of 1.8 million people (Queen Mary: University of London, 2012). </w:t>
      </w:r>
    </w:p>
    <w:p w14:paraId="642525C9" w14:textId="797405DE" w:rsidR="00354BA7" w:rsidRPr="00354BA7" w:rsidRDefault="00354BA7" w:rsidP="00354BA7">
      <w:pPr>
        <w:rPr>
          <w:rFonts w:ascii="Georgia" w:hAnsi="Georgia"/>
        </w:rPr>
      </w:pPr>
      <w:r w:rsidRPr="00354BA7">
        <w:rPr>
          <w:rFonts w:ascii="Georgia" w:hAnsi="Georgia"/>
        </w:rPr>
        <w:t xml:space="preserve">The documentary revolves around Alan Billis, a Torquay taxi driver that was diagnosed with terminal lung cancer in 2009 and decided to donate his body to the cause after seeing the advertisement. Interviews with Alan and his family, mainly his wife, are shown throughout the documentary. The recording follows on to showcase the specific steps Dr Stephen Buckley takes in order to recreate the mummification process. Alan’s body is sanitised before the removal of Alan’s organs begins through a 4 inch or 10cm cut on his lower </w:t>
      </w:r>
      <w:r w:rsidR="00EF2824">
        <w:rPr>
          <w:rFonts w:ascii="Georgia" w:hAnsi="Georgia"/>
        </w:rPr>
        <w:t xml:space="preserve">left </w:t>
      </w:r>
      <w:r w:rsidRPr="00354BA7">
        <w:rPr>
          <w:rFonts w:ascii="Georgia" w:hAnsi="Georgia"/>
        </w:rPr>
        <w:t>torso. This is performed by Professor Vanezis and in doing so all organs part the heart is removed from the chest cavity, with the brain also left in situ. The organs are then replaced with small linen bags which fill up the chest cavity; the incision is then sewn up and sealed. His body is then sprayed with a mix of oils and resin in order to protect it from the natron’s bleaching properties which would disintegrate the tissue instead of halting the decomposition. Placed in a bath containing a mix of natron and alkali, Alan’s body soaks for 5 weeks before being removed and then dried for a further 40 days. After checks over his body on the 40 day mark he is again put to dry after being wrapped in linen for a further 6 weeks under the conditions of Egyptian weather. Analysis of his tissue under a CT scan afterwards showcases the crystals formed by the salts which were present in the 18th dynasty mummies and therefore indicated that the process worked and the replication of ancient mummification had been successful. </w:t>
      </w:r>
    </w:p>
    <w:p w14:paraId="00276944" w14:textId="2F796E43" w:rsidR="00354BA7" w:rsidRPr="00354BA7" w:rsidRDefault="00354BA7" w:rsidP="00354BA7">
      <w:pPr>
        <w:rPr>
          <w:rFonts w:ascii="Georgia" w:hAnsi="Georgia"/>
        </w:rPr>
      </w:pPr>
      <w:r w:rsidRPr="00354BA7">
        <w:rPr>
          <w:rFonts w:ascii="Georgia" w:hAnsi="Georgia"/>
        </w:rPr>
        <w:t>Mummification itself is often depicted as the simplified process of removing the brain and organs into jars before the body is packed into salt and then wrapped. The documentary however expands on this process to a wider audience, the first showing of Alan's body is when he is being sanitised by pathologists using palm wine which echoes the use of the purification tent in ancient Egypt. The washing of the body in Nile water and palm wine (a disinfectant) was the act of purification in ancient Egypt as it symbolised Ra’s purification and kept the person free of judgement as they pass on to what they would consider the next life (Hoffmeier, 1981, pp.176). The Nile water itself was also a symbol of rebirth (Gad, 2024, pp.88) which is evident in the process of not only the sanitisation of Alan’s body but the removal of him from the natron bath (More4, 2011, 1:00:10), suggesting that this is his first steps into the afterlife. Furthermore, the ways in which it depicts the different stages of Alan’s mummification allow for the viewer to fully understand the inner scientific workings without having the chemical knowledge. This is shown through its CT scans which present the compression and shrinkage of the brain back into the skull which is familiar to the 18th dynasty x-ray of Queen Tiye (More4, 2011, 1:22:22). </w:t>
      </w:r>
    </w:p>
    <w:p w14:paraId="02FE06A3" w14:textId="77777777" w:rsidR="00354BA7" w:rsidRPr="00354BA7" w:rsidRDefault="00354BA7" w:rsidP="00354BA7">
      <w:pPr>
        <w:rPr>
          <w:rFonts w:ascii="Georgia" w:hAnsi="Georgia"/>
        </w:rPr>
      </w:pPr>
      <w:r w:rsidRPr="00354BA7">
        <w:rPr>
          <w:rFonts w:ascii="Georgia" w:hAnsi="Georgia"/>
        </w:rPr>
        <w:t xml:space="preserve">Additionally, the presentation of Alan’s body throughout the documentary is taken with a respectful eye as it is evident that those who are involved in the process are considerate of the opportunity he has awarded them. The addition of the interviews of Alan before his </w:t>
      </w:r>
      <w:r w:rsidRPr="00354BA7">
        <w:rPr>
          <w:rFonts w:ascii="Georgia" w:hAnsi="Georgia"/>
        </w:rPr>
        <w:lastRenderedPageBreak/>
        <w:t>passing aided in his humanisation throughout the documentary as it does not allow for the view to detach the person from the subject and rather forces them to sit with the fact that he was once a person like the us. This further shows its ethical presentation of his body, however, potential ethical issues are profound in the use of a human body for scientific development. Consent is highly important in the use of a body and must be gathered before the person dies, it cannot be given by the next of kin. Licences for such work are given through the HTA (Human Tissue Authority) which uphold the Human Tissue Act legislation in order to protect the dead (HTA, 2024). It is evident that these strides were taken before the filming and death of Alan through the interview segments of the documentary. Additionally, other ethical issues could revolve around the possible cultural impacts, does the experiment respect the ancient belief or does it overwrite it with the hunger for scientific knowledge? Throughout the 100 minutes there are integrations of ancient Egyptian culture through sections focused on Professor Joann Fletcher who is analysing the cultural significance of certain parts of the process. Furthermore, some may question whether the documentary focuses on the spectacle of mummification rather than analysing the science. To further this, is it ethical to present the body of someone without warning to those who could be scrolling through channels on their TV? </w:t>
      </w:r>
    </w:p>
    <w:p w14:paraId="66513FC8" w14:textId="77777777" w:rsidR="00354BA7" w:rsidRPr="00354BA7" w:rsidRDefault="00354BA7" w:rsidP="00354BA7">
      <w:pPr>
        <w:rPr>
          <w:rFonts w:ascii="Georgia" w:hAnsi="Georgia"/>
        </w:rPr>
      </w:pPr>
      <w:r w:rsidRPr="00354BA7">
        <w:rPr>
          <w:rFonts w:ascii="Georgia" w:hAnsi="Georgia"/>
        </w:rPr>
        <w:t>Overall, I believe that the documentary not only humanised Alan but presented the science of mummification in a succinct manner which can be understood by a myriad of audiences no matter the level of knowledge they may have on ancient Egypt. The narration furthers the documentary in an comprehensible way and also highlights the main points throughout the broken up segments. The addition of the interviews with not only Alan but his family add an emotive essence to the documentary that is unique. Much like the biography on a tomb wall, this film allows for the viewer to take an overview of Alan’s life and what mattered most to him. In conclusion, this documentary is successful in its presentation of the mummification process of the 18th dynasty while keeping an ethically responsible approach to an otherwise taboo topic.   </w:t>
      </w:r>
    </w:p>
    <w:p w14:paraId="0D772101" w14:textId="77777777" w:rsidR="006E52E6" w:rsidRDefault="006E52E6">
      <w:pPr>
        <w:rPr>
          <w:rFonts w:ascii="Georgia" w:hAnsi="Georgia"/>
        </w:rPr>
      </w:pPr>
    </w:p>
    <w:p w14:paraId="542386E7" w14:textId="77777777" w:rsidR="00354BA7" w:rsidRDefault="00354BA7">
      <w:pPr>
        <w:rPr>
          <w:rFonts w:ascii="Georgia" w:hAnsi="Georgia"/>
        </w:rPr>
      </w:pPr>
    </w:p>
    <w:p w14:paraId="4CD87EA5" w14:textId="77777777" w:rsidR="00354BA7" w:rsidRDefault="00354BA7">
      <w:pPr>
        <w:rPr>
          <w:rFonts w:ascii="Georgia" w:hAnsi="Georgia"/>
        </w:rPr>
      </w:pPr>
    </w:p>
    <w:p w14:paraId="3A590BAC" w14:textId="77777777" w:rsidR="00354BA7" w:rsidRDefault="00354BA7">
      <w:pPr>
        <w:rPr>
          <w:rFonts w:ascii="Georgia" w:hAnsi="Georgia"/>
        </w:rPr>
      </w:pPr>
    </w:p>
    <w:p w14:paraId="73F5DB53" w14:textId="77777777" w:rsidR="00354BA7" w:rsidRDefault="00354BA7">
      <w:pPr>
        <w:rPr>
          <w:rFonts w:ascii="Georgia" w:hAnsi="Georgia"/>
        </w:rPr>
      </w:pPr>
    </w:p>
    <w:p w14:paraId="2BD8AD04" w14:textId="77777777" w:rsidR="00354BA7" w:rsidRDefault="00354BA7">
      <w:pPr>
        <w:rPr>
          <w:rFonts w:ascii="Georgia" w:hAnsi="Georgia"/>
        </w:rPr>
      </w:pPr>
    </w:p>
    <w:p w14:paraId="64AC5903" w14:textId="77777777" w:rsidR="00354BA7" w:rsidRDefault="00354BA7">
      <w:pPr>
        <w:rPr>
          <w:rFonts w:ascii="Georgia" w:hAnsi="Georgia"/>
        </w:rPr>
      </w:pPr>
    </w:p>
    <w:p w14:paraId="1C562AF7" w14:textId="77777777" w:rsidR="00354BA7" w:rsidRDefault="00354BA7">
      <w:pPr>
        <w:rPr>
          <w:rFonts w:ascii="Georgia" w:hAnsi="Georgia"/>
        </w:rPr>
      </w:pPr>
    </w:p>
    <w:p w14:paraId="13A32DA4" w14:textId="77777777" w:rsidR="00354BA7" w:rsidRDefault="00354BA7">
      <w:pPr>
        <w:rPr>
          <w:rFonts w:ascii="Georgia" w:hAnsi="Georgia"/>
        </w:rPr>
      </w:pPr>
    </w:p>
    <w:p w14:paraId="75AEF3F0" w14:textId="77777777" w:rsidR="00354BA7" w:rsidRDefault="00354BA7">
      <w:pPr>
        <w:rPr>
          <w:rFonts w:ascii="Georgia" w:hAnsi="Georgia"/>
        </w:rPr>
      </w:pPr>
    </w:p>
    <w:p w14:paraId="1B1FED6D" w14:textId="77777777" w:rsidR="00354BA7" w:rsidRDefault="00354BA7">
      <w:pPr>
        <w:rPr>
          <w:rFonts w:ascii="Georgia" w:hAnsi="Georgia"/>
        </w:rPr>
      </w:pPr>
    </w:p>
    <w:p w14:paraId="764695B3" w14:textId="77777777" w:rsidR="00354BA7" w:rsidRDefault="00354BA7">
      <w:pPr>
        <w:rPr>
          <w:rFonts w:ascii="Georgia" w:hAnsi="Georgia"/>
        </w:rPr>
      </w:pPr>
    </w:p>
    <w:p w14:paraId="0431C54B" w14:textId="77777777" w:rsidR="00354BA7" w:rsidRDefault="00354BA7">
      <w:pPr>
        <w:rPr>
          <w:rFonts w:ascii="Georgia" w:hAnsi="Georgia"/>
        </w:rPr>
      </w:pPr>
    </w:p>
    <w:p w14:paraId="056F82D7" w14:textId="77777777" w:rsidR="00354BA7" w:rsidRDefault="00354BA7">
      <w:pPr>
        <w:rPr>
          <w:rFonts w:ascii="Georgia" w:hAnsi="Georgia"/>
        </w:rPr>
      </w:pPr>
    </w:p>
    <w:p w14:paraId="1854AA8E" w14:textId="77777777" w:rsidR="00354BA7" w:rsidRDefault="00354BA7">
      <w:pPr>
        <w:rPr>
          <w:rFonts w:ascii="Georgia" w:hAnsi="Georgia"/>
        </w:rPr>
      </w:pPr>
    </w:p>
    <w:p w14:paraId="75488F3B" w14:textId="732F2604" w:rsidR="00354BA7" w:rsidRDefault="00354BA7">
      <w:pPr>
        <w:rPr>
          <w:rFonts w:ascii="Georgia" w:hAnsi="Georgia"/>
        </w:rPr>
      </w:pPr>
      <w:r>
        <w:rPr>
          <w:rFonts w:ascii="Georgia" w:hAnsi="Georgia"/>
        </w:rPr>
        <w:lastRenderedPageBreak/>
        <w:t xml:space="preserve">Bibliography: </w:t>
      </w:r>
    </w:p>
    <w:p w14:paraId="195EBD3B" w14:textId="77777777" w:rsidR="00354BA7" w:rsidRPr="00354BA7" w:rsidRDefault="00354BA7" w:rsidP="00354BA7">
      <w:pPr>
        <w:rPr>
          <w:rFonts w:ascii="Georgia" w:hAnsi="Georgia"/>
        </w:rPr>
      </w:pPr>
      <w:r w:rsidRPr="00354BA7">
        <w:rPr>
          <w:rFonts w:ascii="Georgia" w:hAnsi="Georgia"/>
          <w:b/>
          <w:bCs/>
        </w:rPr>
        <w:t>Gad, A. (2024).</w:t>
      </w:r>
      <w:r w:rsidRPr="00354BA7">
        <w:rPr>
          <w:rFonts w:ascii="Georgia" w:hAnsi="Georgia"/>
        </w:rPr>
        <w:t xml:space="preserve"> </w:t>
      </w:r>
      <w:r w:rsidRPr="00354BA7">
        <w:rPr>
          <w:rFonts w:ascii="Georgia" w:hAnsi="Georgia"/>
          <w:i/>
          <w:iCs/>
        </w:rPr>
        <w:t>Water Culture 85-</w:t>
      </w:r>
      <w:r w:rsidRPr="00354BA7">
        <w:rPr>
          <w:rFonts w:ascii="Georgia" w:hAnsi="Georgia"/>
        </w:rPr>
        <w:t>. [online] Academia.edu. Available at: https://www.academia.edu/download/112706815/Water_Culture_85_96.pdf.</w:t>
      </w:r>
    </w:p>
    <w:p w14:paraId="628E3734" w14:textId="77777777" w:rsidR="00354BA7" w:rsidRPr="00354BA7" w:rsidRDefault="00354BA7" w:rsidP="00354BA7">
      <w:pPr>
        <w:rPr>
          <w:rFonts w:ascii="Georgia" w:hAnsi="Georgia"/>
          <w:lang w:val="de-DE"/>
        </w:rPr>
      </w:pPr>
      <w:r w:rsidRPr="00354BA7">
        <w:rPr>
          <w:rFonts w:ascii="Georgia" w:hAnsi="Georgia"/>
          <w:b/>
          <w:bCs/>
        </w:rPr>
        <w:t>Hoffmeier, J.K. (1981).</w:t>
      </w:r>
      <w:r w:rsidRPr="00354BA7">
        <w:rPr>
          <w:rFonts w:ascii="Georgia" w:hAnsi="Georgia"/>
        </w:rPr>
        <w:t xml:space="preserve"> THE POSSIBLE ORIGINS OF THE TENT OF PURIFICATION IN THE EGYPTIAN FUNERARY CULT. </w:t>
      </w:r>
      <w:r w:rsidRPr="00354BA7">
        <w:rPr>
          <w:rFonts w:ascii="Georgia" w:hAnsi="Georgia"/>
          <w:i/>
          <w:iCs/>
          <w:lang w:val="de-DE"/>
        </w:rPr>
        <w:t>Studien zur Altägyptischen Kultur</w:t>
      </w:r>
      <w:r w:rsidRPr="00354BA7">
        <w:rPr>
          <w:rFonts w:ascii="Georgia" w:hAnsi="Georgia"/>
          <w:lang w:val="de-DE"/>
        </w:rPr>
        <w:t xml:space="preserve">, [online] 9, pp.167–177. </w:t>
      </w:r>
      <w:proofErr w:type="spellStart"/>
      <w:r w:rsidRPr="00354BA7">
        <w:rPr>
          <w:rFonts w:ascii="Georgia" w:hAnsi="Georgia"/>
          <w:lang w:val="de-DE"/>
        </w:rPr>
        <w:t>doi:https</w:t>
      </w:r>
      <w:proofErr w:type="spellEnd"/>
      <w:r w:rsidRPr="00354BA7">
        <w:rPr>
          <w:rFonts w:ascii="Georgia" w:hAnsi="Georgia"/>
          <w:lang w:val="de-DE"/>
        </w:rPr>
        <w:t>://doi.org/10.2307/44323240.</w:t>
      </w:r>
    </w:p>
    <w:p w14:paraId="04E8BDA1" w14:textId="77777777" w:rsidR="00354BA7" w:rsidRPr="00354BA7" w:rsidRDefault="00354BA7" w:rsidP="00354BA7">
      <w:pPr>
        <w:rPr>
          <w:rFonts w:ascii="Georgia" w:hAnsi="Georgia"/>
        </w:rPr>
      </w:pPr>
      <w:r w:rsidRPr="00354BA7">
        <w:rPr>
          <w:rFonts w:ascii="Georgia" w:hAnsi="Georgia"/>
          <w:b/>
          <w:bCs/>
        </w:rPr>
        <w:t>HTA (2024).</w:t>
      </w:r>
      <w:r w:rsidRPr="00354BA7">
        <w:rPr>
          <w:rFonts w:ascii="Georgia" w:hAnsi="Georgia"/>
        </w:rPr>
        <w:t xml:space="preserve"> </w:t>
      </w:r>
      <w:r w:rsidRPr="00354BA7">
        <w:rPr>
          <w:rFonts w:ascii="Georgia" w:hAnsi="Georgia"/>
          <w:i/>
          <w:iCs/>
        </w:rPr>
        <w:t>What is a HTA licence</w:t>
      </w:r>
      <w:r w:rsidRPr="00354BA7">
        <w:rPr>
          <w:rFonts w:ascii="Georgia" w:hAnsi="Georgia"/>
        </w:rPr>
        <w:t>. [online] www.hta.gov.uk. Available at: https://www.hta.gov.uk/guidance-professionals/licences-inspections-and-fees/licensing/what-hta-licence.</w:t>
      </w:r>
    </w:p>
    <w:p w14:paraId="6FBF8700" w14:textId="77777777" w:rsidR="00354BA7" w:rsidRPr="00354BA7" w:rsidRDefault="00354BA7" w:rsidP="00354BA7">
      <w:pPr>
        <w:rPr>
          <w:rFonts w:ascii="Georgia" w:hAnsi="Georgia"/>
        </w:rPr>
      </w:pPr>
      <w:r w:rsidRPr="00354BA7">
        <w:rPr>
          <w:rFonts w:ascii="Georgia" w:hAnsi="Georgia"/>
          <w:b/>
          <w:bCs/>
        </w:rPr>
        <w:t>More4 (2011).</w:t>
      </w:r>
      <w:r w:rsidRPr="00354BA7">
        <w:rPr>
          <w:rFonts w:ascii="Georgia" w:hAnsi="Georgia"/>
        </w:rPr>
        <w:t xml:space="preserve"> </w:t>
      </w:r>
      <w:r w:rsidRPr="00354BA7">
        <w:rPr>
          <w:rFonts w:ascii="Georgia" w:hAnsi="Georgia"/>
          <w:i/>
          <w:iCs/>
        </w:rPr>
        <w:t>Mummifying Alan: Egypt’s Last Secret</w:t>
      </w:r>
      <w:r w:rsidRPr="00354BA7">
        <w:rPr>
          <w:rFonts w:ascii="Georgia" w:hAnsi="Georgia"/>
        </w:rPr>
        <w:t>. [online] Learningonscreen.ac.uk. Available at: https://learningonscreen.ac.uk/ondemand/index.php/prog/0211F9B7?bcast=95124075 [Accessed 21 Mar. 2026].</w:t>
      </w:r>
    </w:p>
    <w:p w14:paraId="21AB1013" w14:textId="77777777" w:rsidR="00354BA7" w:rsidRPr="00354BA7" w:rsidRDefault="00354BA7" w:rsidP="00354BA7">
      <w:pPr>
        <w:rPr>
          <w:rFonts w:ascii="Georgia" w:hAnsi="Georgia"/>
        </w:rPr>
      </w:pPr>
      <w:r w:rsidRPr="00354BA7">
        <w:rPr>
          <w:rFonts w:ascii="Georgia" w:hAnsi="Georgia"/>
          <w:b/>
          <w:bCs/>
        </w:rPr>
        <w:t>Queen Mary: University of London (2012).</w:t>
      </w:r>
      <w:r w:rsidRPr="00354BA7">
        <w:rPr>
          <w:rFonts w:ascii="Georgia" w:hAnsi="Georgia"/>
        </w:rPr>
        <w:t xml:space="preserve"> </w:t>
      </w:r>
      <w:r w:rsidRPr="00354BA7">
        <w:rPr>
          <w:rFonts w:ascii="Georgia" w:hAnsi="Georgia"/>
          <w:i/>
          <w:iCs/>
        </w:rPr>
        <w:t>Mummification documentary with Queen Mary forensic pathologist wins award</w:t>
      </w:r>
      <w:r w:rsidRPr="00354BA7">
        <w:rPr>
          <w:rFonts w:ascii="Georgia" w:hAnsi="Georgia"/>
        </w:rPr>
        <w:t>. [online] Queen Mary University of London. Available at: https://www.qmul.ac.uk/media/news/2012/smd/mummification-documentary-with-queen-mary-forensic-pathologist-wins-award.html [Accessed 21 Mar. 2026].</w:t>
      </w:r>
    </w:p>
    <w:p w14:paraId="09F6EB34" w14:textId="77777777" w:rsidR="00354BA7" w:rsidRPr="00354BA7" w:rsidRDefault="00354BA7">
      <w:pPr>
        <w:rPr>
          <w:rFonts w:ascii="Georgia" w:hAnsi="Georgia"/>
        </w:rPr>
      </w:pPr>
    </w:p>
    <w:sectPr w:rsidR="00354BA7" w:rsidRPr="00354B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BA7"/>
    <w:rsid w:val="000A7596"/>
    <w:rsid w:val="001D1819"/>
    <w:rsid w:val="00287147"/>
    <w:rsid w:val="0029176E"/>
    <w:rsid w:val="00354BA7"/>
    <w:rsid w:val="003F33EF"/>
    <w:rsid w:val="003F3FA3"/>
    <w:rsid w:val="0061198D"/>
    <w:rsid w:val="006E52E6"/>
    <w:rsid w:val="00893028"/>
    <w:rsid w:val="00E304E0"/>
    <w:rsid w:val="00EF2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FE5750"/>
  <w15:chartTrackingRefBased/>
  <w15:docId w15:val="{28396BA2-F200-4C91-8065-D81C84C018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4BA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4BA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4B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4B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4B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4B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4B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4B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4B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4BA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4BA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4B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4B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4B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4B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4B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4B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4BA7"/>
    <w:rPr>
      <w:rFonts w:eastAsiaTheme="majorEastAsia" w:cstheme="majorBidi"/>
      <w:color w:val="272727" w:themeColor="text1" w:themeTint="D8"/>
    </w:rPr>
  </w:style>
  <w:style w:type="paragraph" w:styleId="Title">
    <w:name w:val="Title"/>
    <w:basedOn w:val="Normal"/>
    <w:next w:val="Normal"/>
    <w:link w:val="TitleChar"/>
    <w:uiPriority w:val="10"/>
    <w:qFormat/>
    <w:rsid w:val="00354B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4B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4B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4B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4BA7"/>
    <w:pPr>
      <w:spacing w:before="160"/>
      <w:jc w:val="center"/>
    </w:pPr>
    <w:rPr>
      <w:i/>
      <w:iCs/>
      <w:color w:val="404040" w:themeColor="text1" w:themeTint="BF"/>
    </w:rPr>
  </w:style>
  <w:style w:type="character" w:customStyle="1" w:styleId="QuoteChar">
    <w:name w:val="Quote Char"/>
    <w:basedOn w:val="DefaultParagraphFont"/>
    <w:link w:val="Quote"/>
    <w:uiPriority w:val="29"/>
    <w:rsid w:val="00354BA7"/>
    <w:rPr>
      <w:i/>
      <w:iCs/>
      <w:color w:val="404040" w:themeColor="text1" w:themeTint="BF"/>
    </w:rPr>
  </w:style>
  <w:style w:type="paragraph" w:styleId="ListParagraph">
    <w:name w:val="List Paragraph"/>
    <w:basedOn w:val="Normal"/>
    <w:uiPriority w:val="34"/>
    <w:qFormat/>
    <w:rsid w:val="00354BA7"/>
    <w:pPr>
      <w:ind w:left="720"/>
      <w:contextualSpacing/>
    </w:pPr>
  </w:style>
  <w:style w:type="character" w:styleId="IntenseEmphasis">
    <w:name w:val="Intense Emphasis"/>
    <w:basedOn w:val="DefaultParagraphFont"/>
    <w:uiPriority w:val="21"/>
    <w:qFormat/>
    <w:rsid w:val="00354BA7"/>
    <w:rPr>
      <w:i/>
      <w:iCs/>
      <w:color w:val="0F4761" w:themeColor="accent1" w:themeShade="BF"/>
    </w:rPr>
  </w:style>
  <w:style w:type="paragraph" w:styleId="IntenseQuote">
    <w:name w:val="Intense Quote"/>
    <w:basedOn w:val="Normal"/>
    <w:next w:val="Normal"/>
    <w:link w:val="IntenseQuoteChar"/>
    <w:uiPriority w:val="30"/>
    <w:qFormat/>
    <w:rsid w:val="00354B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4BA7"/>
    <w:rPr>
      <w:i/>
      <w:iCs/>
      <w:color w:val="0F4761" w:themeColor="accent1" w:themeShade="BF"/>
    </w:rPr>
  </w:style>
  <w:style w:type="character" w:styleId="IntenseReference">
    <w:name w:val="Intense Reference"/>
    <w:basedOn w:val="DefaultParagraphFont"/>
    <w:uiPriority w:val="32"/>
    <w:qFormat/>
    <w:rsid w:val="00354BA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1087</Words>
  <Characters>6197</Characters>
  <Application>Microsoft Office Word</Application>
  <DocSecurity>0</DocSecurity>
  <Lines>51</Lines>
  <Paragraphs>14</Paragraphs>
  <ScaleCrop>false</ScaleCrop>
  <Company/>
  <LinksUpToDate>false</LinksUpToDate>
  <CharactersWithSpaces>7270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Jasper (2400802)</dc:creator>
  <cp:keywords/>
  <dc:description/>
  <cp:lastModifiedBy>Elizabeth Jasper (2400802)</cp:lastModifiedBy>
  <cp:revision>6</cp:revision>
  <dcterms:created xsi:type="dcterms:W3CDTF">2026-03-22T01:34:00Z</dcterms:created>
  <dcterms:modified xsi:type="dcterms:W3CDTF">2026-03-22T01:45:00Z</dcterms:modified>
</cp:coreProperties>
</file>