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u w:val="double"/>
        </w:rPr>
        <w:id w:val="-809167975"/>
        <w:docPartObj>
          <w:docPartGallery w:val="Cover Pages"/>
          <w:docPartUnique/>
        </w:docPartObj>
      </w:sdtPr>
      <w:sdtEndPr>
        <w:rPr>
          <w:rFonts w:ascii="Times New Roman" w:hAnsi="Times New Roman" w:cs="Times New Roman"/>
          <w:b/>
          <w:bCs/>
          <w:color w:val="4C94D8" w:themeColor="text2" w:themeTint="80"/>
          <w:u w:val="none"/>
        </w:rPr>
      </w:sdtEndPr>
      <w:sdtContent>
        <w:p w14:paraId="097D5969" w14:textId="56D5EC9C" w:rsidR="00E16C85" w:rsidRPr="00E16C85" w:rsidRDefault="00E16C85">
          <w:pPr>
            <w:rPr>
              <w:u w:val="double"/>
            </w:rPr>
          </w:pPr>
        </w:p>
        <w:p w14:paraId="4FE9ADA3" w14:textId="77777777" w:rsidR="00E16C85" w:rsidRDefault="00E16C85" w:rsidP="00E16C85">
          <w:pPr>
            <w:rPr>
              <w:rFonts w:ascii="Times New Roman" w:hAnsi="Times New Roman" w:cs="Times New Roman"/>
              <w:b/>
              <w:bCs/>
              <w:color w:val="4C94D8" w:themeColor="text2" w:themeTint="80"/>
              <w:sz w:val="56"/>
              <w:szCs w:val="56"/>
              <w:u w:val="double"/>
            </w:rPr>
          </w:pPr>
        </w:p>
        <w:p w14:paraId="5943C901" w14:textId="77777777" w:rsidR="00E16C85" w:rsidRDefault="00E16C85" w:rsidP="00E16C85">
          <w:pPr>
            <w:rPr>
              <w:rFonts w:ascii="Times New Roman" w:hAnsi="Times New Roman" w:cs="Times New Roman"/>
              <w:b/>
              <w:bCs/>
              <w:color w:val="4C94D8" w:themeColor="text2" w:themeTint="80"/>
              <w:sz w:val="56"/>
              <w:szCs w:val="56"/>
              <w:u w:val="double"/>
            </w:rPr>
          </w:pPr>
        </w:p>
        <w:p w14:paraId="752390CB" w14:textId="77777777" w:rsidR="00E16C85" w:rsidRDefault="00E16C85" w:rsidP="00E16C85">
          <w:pPr>
            <w:rPr>
              <w:rFonts w:ascii="Times New Roman" w:hAnsi="Times New Roman" w:cs="Times New Roman"/>
              <w:b/>
              <w:bCs/>
              <w:color w:val="4C94D8" w:themeColor="text2" w:themeTint="80"/>
              <w:sz w:val="56"/>
              <w:szCs w:val="56"/>
              <w:u w:val="double"/>
            </w:rPr>
          </w:pPr>
        </w:p>
        <w:p w14:paraId="514279A8" w14:textId="18830355" w:rsidR="00E16C85" w:rsidRPr="00E16C85" w:rsidRDefault="00E16C85" w:rsidP="00E16C85">
          <w:pPr>
            <w:rPr>
              <w:rFonts w:ascii="Times New Roman" w:hAnsi="Times New Roman" w:cs="Times New Roman"/>
              <w:b/>
              <w:bCs/>
              <w:color w:val="4C94D8" w:themeColor="text2" w:themeTint="80"/>
              <w:sz w:val="56"/>
              <w:szCs w:val="56"/>
              <w:u w:val="double"/>
            </w:rPr>
          </w:pPr>
          <w:r w:rsidRPr="00E16C85">
            <w:rPr>
              <w:rFonts w:ascii="Times New Roman" w:hAnsi="Times New Roman" w:cs="Times New Roman"/>
              <w:b/>
              <w:bCs/>
              <w:color w:val="4C94D8" w:themeColor="text2" w:themeTint="80"/>
              <w:sz w:val="56"/>
              <w:szCs w:val="56"/>
              <w:u w:val="double"/>
            </w:rPr>
            <w:t>Student name:</w:t>
          </w:r>
          <w:r w:rsidRPr="00E16C85">
            <w:rPr>
              <w:rFonts w:ascii="Times New Roman" w:hAnsi="Times New Roman" w:cs="Times New Roman"/>
              <w:b/>
              <w:bCs/>
              <w:color w:val="4C94D8" w:themeColor="text2" w:themeTint="80"/>
              <w:sz w:val="56"/>
              <w:szCs w:val="56"/>
              <w:u w:val="double"/>
            </w:rPr>
            <w:tab/>
          </w:r>
          <w:r w:rsidRPr="00E16C85">
            <w:rPr>
              <w:rFonts w:ascii="Times New Roman" w:hAnsi="Times New Roman" w:cs="Times New Roman"/>
              <w:b/>
              <w:bCs/>
              <w:color w:val="4C94D8" w:themeColor="text2" w:themeTint="80"/>
              <w:sz w:val="56"/>
              <w:szCs w:val="56"/>
              <w:u w:val="double"/>
            </w:rPr>
            <w:t xml:space="preserve">Gabriel Petrea </w:t>
          </w:r>
        </w:p>
        <w:p w14:paraId="7E41FF50" w14:textId="090C6DFD" w:rsidR="00E16C85" w:rsidRPr="00E16C85" w:rsidRDefault="00E16C85" w:rsidP="00E16C85">
          <w:pPr>
            <w:rPr>
              <w:rFonts w:ascii="Times New Roman" w:hAnsi="Times New Roman" w:cs="Times New Roman"/>
              <w:b/>
              <w:bCs/>
              <w:color w:val="4C94D8" w:themeColor="text2" w:themeTint="80"/>
              <w:sz w:val="56"/>
              <w:szCs w:val="56"/>
              <w:u w:val="double"/>
            </w:rPr>
          </w:pPr>
          <w:r w:rsidRPr="00E16C85">
            <w:rPr>
              <w:rFonts w:ascii="Times New Roman" w:hAnsi="Times New Roman" w:cs="Times New Roman"/>
              <w:b/>
              <w:bCs/>
              <w:color w:val="4C94D8" w:themeColor="text2" w:themeTint="80"/>
              <w:sz w:val="56"/>
              <w:szCs w:val="56"/>
              <w:u w:val="double"/>
            </w:rPr>
            <w:t>Programme:</w:t>
          </w:r>
          <w:r w:rsidRPr="00E16C85">
            <w:rPr>
              <w:rFonts w:ascii="Times New Roman" w:hAnsi="Times New Roman" w:cs="Times New Roman"/>
              <w:b/>
              <w:bCs/>
              <w:color w:val="4C94D8" w:themeColor="text2" w:themeTint="80"/>
              <w:sz w:val="56"/>
              <w:szCs w:val="56"/>
              <w:u w:val="double"/>
            </w:rPr>
            <w:t xml:space="preserve"> </w:t>
          </w:r>
          <w:r w:rsidRPr="00E16C85">
            <w:rPr>
              <w:rFonts w:ascii="Times New Roman" w:hAnsi="Times New Roman" w:cs="Times New Roman"/>
              <w:b/>
              <w:bCs/>
              <w:color w:val="4C94D8" w:themeColor="text2" w:themeTint="80"/>
              <w:sz w:val="56"/>
              <w:szCs w:val="56"/>
              <w:u w:val="double"/>
            </w:rPr>
            <w:t>Sustainability Enterprise</w:t>
          </w:r>
        </w:p>
        <w:p w14:paraId="44ECA5BC" w14:textId="77777777" w:rsidR="00E16C85" w:rsidRPr="00E16C85" w:rsidRDefault="00E16C85" w:rsidP="00E16C85">
          <w:pPr>
            <w:rPr>
              <w:rFonts w:ascii="Times New Roman" w:hAnsi="Times New Roman" w:cs="Times New Roman"/>
              <w:b/>
              <w:bCs/>
              <w:color w:val="4C94D8" w:themeColor="text2" w:themeTint="80"/>
              <w:sz w:val="56"/>
              <w:szCs w:val="56"/>
              <w:u w:val="double"/>
            </w:rPr>
          </w:pPr>
          <w:r w:rsidRPr="00E16C85">
            <w:rPr>
              <w:rFonts w:ascii="Times New Roman" w:hAnsi="Times New Roman" w:cs="Times New Roman"/>
              <w:b/>
              <w:bCs/>
              <w:color w:val="4C94D8" w:themeColor="text2" w:themeTint="80"/>
              <w:sz w:val="56"/>
              <w:szCs w:val="56"/>
              <w:u w:val="double"/>
            </w:rPr>
            <w:t>Module:</w:t>
          </w:r>
          <w:r w:rsidRPr="00E16C85">
            <w:rPr>
              <w:rFonts w:ascii="Times New Roman" w:hAnsi="Times New Roman" w:cs="Times New Roman"/>
              <w:b/>
              <w:bCs/>
              <w:color w:val="4C94D8" w:themeColor="text2" w:themeTint="80"/>
              <w:sz w:val="56"/>
              <w:szCs w:val="56"/>
              <w:u w:val="double"/>
            </w:rPr>
            <w:tab/>
            <w:t>Community Development</w:t>
          </w:r>
        </w:p>
        <w:p w14:paraId="459EF8EF" w14:textId="6B6D35CB" w:rsidR="00E16C85" w:rsidRPr="00E16C85" w:rsidRDefault="00E16C85" w:rsidP="00E16C85">
          <w:pPr>
            <w:rPr>
              <w:rFonts w:ascii="Times New Roman" w:hAnsi="Times New Roman" w:cs="Times New Roman"/>
              <w:b/>
              <w:bCs/>
              <w:color w:val="4C94D8" w:themeColor="text2" w:themeTint="80"/>
              <w:sz w:val="56"/>
              <w:szCs w:val="56"/>
              <w:u w:val="double"/>
            </w:rPr>
          </w:pPr>
          <w:r w:rsidRPr="00E16C85">
            <w:rPr>
              <w:rFonts w:ascii="Times New Roman" w:hAnsi="Times New Roman" w:cs="Times New Roman"/>
              <w:b/>
              <w:bCs/>
              <w:color w:val="4C94D8" w:themeColor="text2" w:themeTint="80"/>
              <w:sz w:val="56"/>
              <w:szCs w:val="56"/>
              <w:u w:val="double"/>
            </w:rPr>
            <w:t>Module code:</w:t>
          </w:r>
          <w:r w:rsidRPr="00E16C85">
            <w:rPr>
              <w:rFonts w:ascii="Times New Roman" w:hAnsi="Times New Roman" w:cs="Times New Roman"/>
              <w:b/>
              <w:bCs/>
              <w:color w:val="4C94D8" w:themeColor="text2" w:themeTint="80"/>
              <w:sz w:val="56"/>
              <w:szCs w:val="56"/>
              <w:u w:val="double"/>
            </w:rPr>
            <w:t xml:space="preserve"> </w:t>
          </w:r>
          <w:r w:rsidRPr="00E16C85">
            <w:rPr>
              <w:rFonts w:ascii="Times New Roman" w:hAnsi="Times New Roman" w:cs="Times New Roman"/>
              <w:b/>
              <w:bCs/>
              <w:color w:val="4C94D8" w:themeColor="text2" w:themeTint="80"/>
              <w:sz w:val="56"/>
              <w:szCs w:val="56"/>
              <w:u w:val="double"/>
            </w:rPr>
            <w:t>BMSE4004D</w:t>
          </w:r>
        </w:p>
        <w:p w14:paraId="7EC0C848" w14:textId="6AFEA579" w:rsidR="00E16C85" w:rsidRPr="00E16C85" w:rsidRDefault="00E16C85" w:rsidP="00E16C85">
          <w:pPr>
            <w:rPr>
              <w:rFonts w:ascii="Times New Roman" w:hAnsi="Times New Roman" w:cs="Times New Roman"/>
              <w:b/>
              <w:bCs/>
              <w:color w:val="4C94D8" w:themeColor="text2" w:themeTint="80"/>
              <w:sz w:val="56"/>
              <w:szCs w:val="56"/>
              <w:u w:val="double"/>
            </w:rPr>
          </w:pPr>
          <w:r w:rsidRPr="00E16C85">
            <w:rPr>
              <w:rFonts w:ascii="Times New Roman" w:hAnsi="Times New Roman" w:cs="Times New Roman"/>
              <w:b/>
              <w:bCs/>
              <w:color w:val="4C94D8" w:themeColor="text2" w:themeTint="80"/>
              <w:sz w:val="56"/>
              <w:szCs w:val="56"/>
              <w:u w:val="double"/>
            </w:rPr>
            <w:t>Lecturer:</w:t>
          </w:r>
          <w:r w:rsidRPr="00E16C85">
            <w:rPr>
              <w:rFonts w:ascii="Times New Roman" w:hAnsi="Times New Roman" w:cs="Times New Roman"/>
              <w:b/>
              <w:bCs/>
              <w:color w:val="4C94D8" w:themeColor="text2" w:themeTint="80"/>
              <w:sz w:val="56"/>
              <w:szCs w:val="56"/>
              <w:u w:val="double"/>
            </w:rPr>
            <w:t xml:space="preserve"> </w:t>
          </w:r>
          <w:r w:rsidRPr="00E16C85">
            <w:rPr>
              <w:rFonts w:ascii="Times New Roman" w:hAnsi="Times New Roman" w:cs="Times New Roman"/>
              <w:b/>
              <w:bCs/>
              <w:color w:val="4C94D8" w:themeColor="text2" w:themeTint="80"/>
              <w:sz w:val="56"/>
              <w:szCs w:val="56"/>
              <w:u w:val="double"/>
            </w:rPr>
            <w:t>Navdeep Randhawa</w:t>
          </w:r>
        </w:p>
        <w:p w14:paraId="3D62CD00" w14:textId="24E6294A" w:rsidR="00E16C85" w:rsidRDefault="00E16C85" w:rsidP="00E16C85">
          <w:pPr>
            <w:rPr>
              <w:rFonts w:ascii="Times New Roman" w:hAnsi="Times New Roman" w:cs="Times New Roman"/>
              <w:b/>
              <w:bCs/>
              <w:color w:val="4C94D8" w:themeColor="text2" w:themeTint="80"/>
            </w:rPr>
          </w:pPr>
          <w:r w:rsidRPr="00E16C85">
            <w:rPr>
              <w:rFonts w:ascii="Times New Roman" w:hAnsi="Times New Roman" w:cs="Times New Roman"/>
              <w:b/>
              <w:bCs/>
              <w:color w:val="4C94D8" w:themeColor="text2" w:themeTint="80"/>
              <w:sz w:val="56"/>
              <w:szCs w:val="56"/>
              <w:u w:val="double"/>
            </w:rPr>
            <w:t>Assignment Title:</w:t>
          </w:r>
          <w:r w:rsidRPr="00E16C85">
            <w:rPr>
              <w:rFonts w:ascii="Times New Roman" w:hAnsi="Times New Roman" w:cs="Times New Roman"/>
              <w:b/>
              <w:bCs/>
              <w:color w:val="4C94D8" w:themeColor="text2" w:themeTint="80"/>
              <w:sz w:val="56"/>
              <w:szCs w:val="56"/>
              <w:u w:val="double"/>
            </w:rPr>
            <w:tab/>
            <w:t>Assignment 2-</w:t>
          </w:r>
          <w:r w:rsidRPr="00E16C85">
            <w:rPr>
              <w:rFonts w:ascii="Times New Roman" w:hAnsi="Times New Roman" w:cs="Times New Roman"/>
              <w:b/>
              <w:bCs/>
              <w:color w:val="4C94D8" w:themeColor="text2" w:themeTint="80"/>
              <w:sz w:val="56"/>
              <w:szCs w:val="56"/>
              <w:u w:val="double"/>
            </w:rPr>
            <w:t xml:space="preserve"> Resit</w:t>
          </w:r>
          <w:r w:rsidRPr="00E16C85">
            <w:rPr>
              <w:rFonts w:ascii="Times New Roman" w:hAnsi="Times New Roman" w:cs="Times New Roman"/>
              <w:b/>
              <w:bCs/>
              <w:color w:val="4C94D8" w:themeColor="text2" w:themeTint="80"/>
              <w:u w:val="double"/>
            </w:rPr>
            <w:t xml:space="preserve"> </w:t>
          </w:r>
          <w:r w:rsidRPr="00E16C85">
            <w:rPr>
              <w:rFonts w:ascii="Times New Roman" w:hAnsi="Times New Roman" w:cs="Times New Roman"/>
              <w:b/>
              <w:bCs/>
              <w:color w:val="4C94D8" w:themeColor="text2" w:themeTint="80"/>
              <w:u w:val="double"/>
            </w:rPr>
            <w:br w:type="page"/>
          </w:r>
        </w:p>
      </w:sdtContent>
    </w:sdt>
    <w:p w14:paraId="7688E86C" w14:textId="2EC457A3" w:rsidR="003F0521" w:rsidRDefault="003F0521" w:rsidP="00240EEE">
      <w:pPr>
        <w:spacing w:line="480" w:lineRule="auto"/>
        <w:rPr>
          <w:rFonts w:ascii="Times New Roman" w:hAnsi="Times New Roman" w:cs="Times New Roman"/>
          <w:b/>
          <w:bCs/>
          <w:color w:val="4C94D8" w:themeColor="text2" w:themeTint="80"/>
        </w:rPr>
      </w:pPr>
      <w:r>
        <w:rPr>
          <w:rFonts w:ascii="Times New Roman" w:hAnsi="Times New Roman" w:cs="Times New Roman"/>
          <w:b/>
          <w:bCs/>
          <w:color w:val="4C94D8" w:themeColor="text2" w:themeTint="80"/>
        </w:rPr>
        <w:lastRenderedPageBreak/>
        <w:t xml:space="preserve">Table of Contents </w:t>
      </w:r>
    </w:p>
    <w:p w14:paraId="0C8A4BD5" w14:textId="670E7183" w:rsidR="003F0521" w:rsidRDefault="003F0521" w:rsidP="00240EEE">
      <w:pPr>
        <w:spacing w:line="480" w:lineRule="auto"/>
        <w:rPr>
          <w:rFonts w:ascii="Times New Roman" w:hAnsi="Times New Roman" w:cs="Times New Roman"/>
          <w:b/>
          <w:bCs/>
          <w:color w:val="4C94D8" w:themeColor="text2" w:themeTint="80"/>
        </w:rPr>
      </w:pPr>
      <w:r>
        <w:rPr>
          <w:rFonts w:ascii="Times New Roman" w:hAnsi="Times New Roman" w:cs="Times New Roman"/>
          <w:b/>
          <w:bCs/>
          <w:color w:val="4C94D8" w:themeColor="text2" w:themeTint="80"/>
        </w:rPr>
        <w:t>Introduction-----------------------------------------------------------------------------------------------2</w:t>
      </w:r>
    </w:p>
    <w:p w14:paraId="28153283" w14:textId="3CD7099C" w:rsidR="003F0521" w:rsidRDefault="003F0521" w:rsidP="00240EEE">
      <w:pPr>
        <w:spacing w:line="480" w:lineRule="auto"/>
        <w:rPr>
          <w:rFonts w:ascii="Times New Roman" w:hAnsi="Times New Roman" w:cs="Times New Roman"/>
          <w:b/>
          <w:bCs/>
          <w:color w:val="4C94D8" w:themeColor="text2" w:themeTint="80"/>
        </w:rPr>
      </w:pPr>
      <w:r w:rsidRPr="003F0521">
        <w:rPr>
          <w:rFonts w:ascii="Times New Roman" w:hAnsi="Times New Roman" w:cs="Times New Roman"/>
          <w:b/>
          <w:bCs/>
          <w:color w:val="4C94D8" w:themeColor="text2" w:themeTint="80"/>
        </w:rPr>
        <w:t>Community Background and Binding Characteristics</w:t>
      </w:r>
      <w:r>
        <w:rPr>
          <w:rFonts w:ascii="Times New Roman" w:hAnsi="Times New Roman" w:cs="Times New Roman"/>
          <w:b/>
          <w:bCs/>
          <w:color w:val="4C94D8" w:themeColor="text2" w:themeTint="80"/>
        </w:rPr>
        <w:t>------------------------------------------2</w:t>
      </w:r>
    </w:p>
    <w:p w14:paraId="24DF5F01" w14:textId="2439830F" w:rsidR="003F0521" w:rsidRDefault="003F0521" w:rsidP="00240EEE">
      <w:pPr>
        <w:spacing w:line="480" w:lineRule="auto"/>
        <w:rPr>
          <w:rFonts w:ascii="Times New Roman" w:hAnsi="Times New Roman" w:cs="Times New Roman"/>
          <w:b/>
          <w:bCs/>
          <w:color w:val="4C94D8" w:themeColor="text2" w:themeTint="80"/>
        </w:rPr>
      </w:pPr>
      <w:r w:rsidRPr="003F0521">
        <w:rPr>
          <w:rFonts w:ascii="Times New Roman" w:hAnsi="Times New Roman" w:cs="Times New Roman"/>
          <w:b/>
          <w:bCs/>
          <w:color w:val="4C94D8" w:themeColor="text2" w:themeTint="80"/>
        </w:rPr>
        <w:t>Motivators for Community Activity</w:t>
      </w:r>
      <w:r>
        <w:rPr>
          <w:rFonts w:ascii="Times New Roman" w:hAnsi="Times New Roman" w:cs="Times New Roman"/>
          <w:b/>
          <w:bCs/>
          <w:color w:val="4C94D8" w:themeColor="text2" w:themeTint="80"/>
        </w:rPr>
        <w:t>-----------------------------------------------------------------3</w:t>
      </w:r>
    </w:p>
    <w:p w14:paraId="0DC2CBAB" w14:textId="2AD8053C" w:rsidR="003F0521" w:rsidRDefault="003F0521" w:rsidP="00240EEE">
      <w:pPr>
        <w:spacing w:line="480" w:lineRule="auto"/>
        <w:rPr>
          <w:rFonts w:ascii="Times New Roman" w:hAnsi="Times New Roman" w:cs="Times New Roman"/>
          <w:b/>
          <w:bCs/>
          <w:color w:val="4C94D8" w:themeColor="text2" w:themeTint="80"/>
        </w:rPr>
      </w:pPr>
      <w:r w:rsidRPr="003F0521">
        <w:rPr>
          <w:rFonts w:ascii="Times New Roman" w:hAnsi="Times New Roman" w:cs="Times New Roman"/>
          <w:b/>
          <w:bCs/>
          <w:color w:val="4C94D8" w:themeColor="text2" w:themeTint="80"/>
        </w:rPr>
        <w:t>Community Impact</w:t>
      </w:r>
      <w:r>
        <w:rPr>
          <w:rFonts w:ascii="Times New Roman" w:hAnsi="Times New Roman" w:cs="Times New Roman"/>
          <w:b/>
          <w:bCs/>
          <w:color w:val="4C94D8" w:themeColor="text2" w:themeTint="80"/>
        </w:rPr>
        <w:t>-------------------------------------------------------------------------------------6</w:t>
      </w:r>
    </w:p>
    <w:p w14:paraId="20B1FC02" w14:textId="277D5C9D" w:rsidR="003F0521" w:rsidRDefault="003F0521" w:rsidP="00240EEE">
      <w:pPr>
        <w:spacing w:line="480" w:lineRule="auto"/>
        <w:rPr>
          <w:rFonts w:ascii="Times New Roman" w:hAnsi="Times New Roman" w:cs="Times New Roman"/>
          <w:b/>
          <w:bCs/>
          <w:color w:val="4C94D8" w:themeColor="text2" w:themeTint="80"/>
        </w:rPr>
      </w:pPr>
      <w:r w:rsidRPr="003F0521">
        <w:rPr>
          <w:rFonts w:ascii="Times New Roman" w:hAnsi="Times New Roman" w:cs="Times New Roman"/>
          <w:b/>
          <w:bCs/>
          <w:color w:val="4C94D8" w:themeColor="text2" w:themeTint="80"/>
        </w:rPr>
        <w:t>Evaluation of Community Development Processes</w:t>
      </w:r>
      <w:r>
        <w:rPr>
          <w:rFonts w:ascii="Times New Roman" w:hAnsi="Times New Roman" w:cs="Times New Roman"/>
          <w:b/>
          <w:bCs/>
          <w:color w:val="4C94D8" w:themeColor="text2" w:themeTint="80"/>
        </w:rPr>
        <w:t>-----------------------------------------------7</w:t>
      </w:r>
    </w:p>
    <w:p w14:paraId="0CF38219" w14:textId="15B2F2EB" w:rsidR="003F0521" w:rsidRDefault="003F0521" w:rsidP="00240EEE">
      <w:pPr>
        <w:spacing w:line="480" w:lineRule="auto"/>
        <w:rPr>
          <w:rFonts w:ascii="Times New Roman" w:hAnsi="Times New Roman" w:cs="Times New Roman"/>
          <w:b/>
          <w:bCs/>
          <w:color w:val="4C94D8" w:themeColor="text2" w:themeTint="80"/>
        </w:rPr>
      </w:pPr>
      <w:r>
        <w:rPr>
          <w:rFonts w:ascii="Times New Roman" w:hAnsi="Times New Roman" w:cs="Times New Roman"/>
          <w:b/>
          <w:bCs/>
          <w:color w:val="4C94D8" w:themeColor="text2" w:themeTint="80"/>
        </w:rPr>
        <w:t>Conclusion------------------------------------------------------------------------------------------------8</w:t>
      </w:r>
    </w:p>
    <w:p w14:paraId="50C848F9" w14:textId="60CBC18D" w:rsidR="003F0521" w:rsidRDefault="003F0521" w:rsidP="00240EEE">
      <w:pPr>
        <w:spacing w:line="480" w:lineRule="auto"/>
        <w:rPr>
          <w:rFonts w:ascii="Times New Roman" w:hAnsi="Times New Roman" w:cs="Times New Roman"/>
          <w:b/>
          <w:bCs/>
          <w:color w:val="4C94D8" w:themeColor="text2" w:themeTint="80"/>
        </w:rPr>
      </w:pPr>
      <w:r>
        <w:rPr>
          <w:rFonts w:ascii="Times New Roman" w:hAnsi="Times New Roman" w:cs="Times New Roman"/>
          <w:b/>
          <w:bCs/>
          <w:color w:val="4C94D8" w:themeColor="text2" w:themeTint="80"/>
        </w:rPr>
        <w:t>References-------------------------------------------------------------------------------------------------9</w:t>
      </w:r>
    </w:p>
    <w:p w14:paraId="05603F89" w14:textId="77777777" w:rsidR="003F0521" w:rsidRDefault="003F0521" w:rsidP="00240EEE">
      <w:pPr>
        <w:spacing w:line="480" w:lineRule="auto"/>
        <w:rPr>
          <w:rFonts w:ascii="Times New Roman" w:hAnsi="Times New Roman" w:cs="Times New Roman"/>
          <w:b/>
          <w:bCs/>
          <w:color w:val="4C94D8" w:themeColor="text2" w:themeTint="80"/>
        </w:rPr>
      </w:pPr>
    </w:p>
    <w:p w14:paraId="12BA34C9" w14:textId="77777777" w:rsidR="003F0521" w:rsidRDefault="003F0521" w:rsidP="00240EEE">
      <w:pPr>
        <w:spacing w:line="480" w:lineRule="auto"/>
        <w:rPr>
          <w:rFonts w:ascii="Times New Roman" w:hAnsi="Times New Roman" w:cs="Times New Roman"/>
          <w:b/>
          <w:bCs/>
          <w:color w:val="4C94D8" w:themeColor="text2" w:themeTint="80"/>
        </w:rPr>
      </w:pPr>
    </w:p>
    <w:p w14:paraId="2BDE4AE6" w14:textId="77777777" w:rsidR="003F0521" w:rsidRDefault="003F0521" w:rsidP="00240EEE">
      <w:pPr>
        <w:spacing w:line="480" w:lineRule="auto"/>
        <w:rPr>
          <w:rFonts w:ascii="Times New Roman" w:hAnsi="Times New Roman" w:cs="Times New Roman"/>
          <w:b/>
          <w:bCs/>
          <w:color w:val="4C94D8" w:themeColor="text2" w:themeTint="80"/>
        </w:rPr>
      </w:pPr>
    </w:p>
    <w:p w14:paraId="4E8D0471" w14:textId="77777777" w:rsidR="003F0521" w:rsidRDefault="003F0521" w:rsidP="00240EEE">
      <w:pPr>
        <w:spacing w:line="480" w:lineRule="auto"/>
        <w:rPr>
          <w:rFonts w:ascii="Times New Roman" w:hAnsi="Times New Roman" w:cs="Times New Roman"/>
          <w:b/>
          <w:bCs/>
          <w:color w:val="4C94D8" w:themeColor="text2" w:themeTint="80"/>
        </w:rPr>
      </w:pPr>
    </w:p>
    <w:p w14:paraId="07832956" w14:textId="77777777" w:rsidR="003F0521" w:rsidRDefault="003F0521">
      <w:pPr>
        <w:rPr>
          <w:rFonts w:ascii="Times New Roman" w:hAnsi="Times New Roman" w:cs="Times New Roman"/>
          <w:b/>
          <w:bCs/>
          <w:color w:val="4C94D8" w:themeColor="text2" w:themeTint="80"/>
        </w:rPr>
      </w:pPr>
      <w:r>
        <w:rPr>
          <w:rFonts w:ascii="Times New Roman" w:hAnsi="Times New Roman" w:cs="Times New Roman"/>
          <w:b/>
          <w:bCs/>
          <w:color w:val="4C94D8" w:themeColor="text2" w:themeTint="80"/>
        </w:rPr>
        <w:br w:type="page"/>
      </w:r>
    </w:p>
    <w:p w14:paraId="7CCA802C" w14:textId="7D497E67" w:rsidR="00240EEE" w:rsidRPr="00240EEE" w:rsidRDefault="00240EEE" w:rsidP="00240EEE">
      <w:pPr>
        <w:spacing w:line="480" w:lineRule="auto"/>
        <w:rPr>
          <w:rFonts w:ascii="Times New Roman" w:hAnsi="Times New Roman" w:cs="Times New Roman"/>
          <w:b/>
          <w:bCs/>
          <w:color w:val="4C94D8" w:themeColor="text2" w:themeTint="80"/>
        </w:rPr>
      </w:pPr>
      <w:r w:rsidRPr="00240EEE">
        <w:rPr>
          <w:rFonts w:ascii="Times New Roman" w:hAnsi="Times New Roman" w:cs="Times New Roman"/>
          <w:b/>
          <w:bCs/>
          <w:color w:val="4C94D8" w:themeColor="text2" w:themeTint="80"/>
        </w:rPr>
        <w:lastRenderedPageBreak/>
        <w:t xml:space="preserve">Introduction </w:t>
      </w:r>
    </w:p>
    <w:p w14:paraId="7FA410C4" w14:textId="77777777"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Each community is fluid, and community members share multiple overlapping characteristics, such as religion, ethnicity, language, class, age, and migration histories. This means that many individuals can belong to multiple communities, and their participation in those communities is based on practical circumstances as well as identity. An example of this is how the Romanian community in Newham is bound together by nationality, language, class (working-class), migration, family-related issues, and commonalities related to resettlement in East London (Ajzen, 1991; Mia et al., 2022).</w:t>
      </w:r>
    </w:p>
    <w:p w14:paraId="40EA3309" w14:textId="2FACCB42" w:rsid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To illustrate why Newham has significance when discussing the Romanian community, Newham is one of the most diverse boroughs in London. From 2011 to 2021, the overall population of Newham increased from approximately 308,000 to approximately 351,000, an increase of about 14%. At the same time, the percentage of the population of Romanian-born residents has grown from 1.6% to 5.0%, or about 17,500 Romanian-born residents in Newham by 2021. On a national level, Romanian was the second </w:t>
      </w:r>
      <w:r w:rsidRPr="00240EEE">
        <w:rPr>
          <w:rFonts w:ascii="Times New Roman" w:hAnsi="Times New Roman" w:cs="Times New Roman"/>
        </w:rPr>
        <w:t>most reported</w:t>
      </w:r>
      <w:r w:rsidRPr="00240EEE">
        <w:rPr>
          <w:rFonts w:ascii="Times New Roman" w:hAnsi="Times New Roman" w:cs="Times New Roman"/>
        </w:rPr>
        <w:t xml:space="preserve"> non-English language spoken in England and Wales in 2021, with approximately 472,000 speakers, or 0.8% of the total population of England and Wales. These numbers indicate that the Romanian community in Newham is a local representation of a much wider demographic trend (</w:t>
      </w:r>
      <w:r w:rsidR="0049179C">
        <w:rPr>
          <w:rFonts w:ascii="Times New Roman" w:hAnsi="Times New Roman" w:cs="Times New Roman"/>
        </w:rPr>
        <w:t>Cheng, 2024</w:t>
      </w:r>
      <w:r w:rsidRPr="00240EEE">
        <w:rPr>
          <w:rFonts w:ascii="Times New Roman" w:hAnsi="Times New Roman" w:cs="Times New Roman"/>
        </w:rPr>
        <w:t>).</w:t>
      </w:r>
    </w:p>
    <w:p w14:paraId="05DD96A5" w14:textId="672002F0" w:rsidR="00240EEE" w:rsidRPr="00240EEE" w:rsidRDefault="00240EEE" w:rsidP="00240EEE">
      <w:pPr>
        <w:spacing w:line="480" w:lineRule="auto"/>
        <w:rPr>
          <w:rFonts w:ascii="Times New Roman" w:hAnsi="Times New Roman" w:cs="Times New Roman"/>
          <w:b/>
          <w:bCs/>
          <w:color w:val="4C94D8" w:themeColor="text2" w:themeTint="80"/>
        </w:rPr>
      </w:pPr>
      <w:r w:rsidRPr="00240EEE">
        <w:rPr>
          <w:rFonts w:ascii="Times New Roman" w:hAnsi="Times New Roman" w:cs="Times New Roman"/>
          <w:b/>
          <w:bCs/>
          <w:color w:val="4C94D8" w:themeColor="text2" w:themeTint="80"/>
        </w:rPr>
        <w:t>Community Background and Binding Characteristics</w:t>
      </w:r>
    </w:p>
    <w:p w14:paraId="099260D4" w14:textId="77777777" w:rsid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The Romanian community in Newham is bound together by </w:t>
      </w:r>
      <w:r w:rsidRPr="00240EEE">
        <w:rPr>
          <w:rFonts w:ascii="Times New Roman" w:hAnsi="Times New Roman" w:cs="Times New Roman"/>
        </w:rPr>
        <w:t>several</w:t>
      </w:r>
      <w:r w:rsidRPr="00240EEE">
        <w:rPr>
          <w:rFonts w:ascii="Times New Roman" w:hAnsi="Times New Roman" w:cs="Times New Roman"/>
        </w:rPr>
        <w:t xml:space="preserve"> common characteristics. Language plays an important role </w:t>
      </w:r>
      <w:r>
        <w:rPr>
          <w:rFonts w:ascii="Times New Roman" w:hAnsi="Times New Roman" w:cs="Times New Roman"/>
        </w:rPr>
        <w:t>in</w:t>
      </w:r>
      <w:r w:rsidRPr="00240EEE">
        <w:rPr>
          <w:rFonts w:ascii="Times New Roman" w:hAnsi="Times New Roman" w:cs="Times New Roman"/>
        </w:rPr>
        <w:t xml:space="preserve"> what is known as a cohesive community because for many of its residents, Romanian is their primary language. Limited ability to understand and speak English may hinder one's ability to get health care, find housing, obtain education, or find work. Ethnicity also contributes to building community. </w:t>
      </w:r>
      <w:r w:rsidRPr="00240EEE">
        <w:rPr>
          <w:rFonts w:ascii="Times New Roman" w:hAnsi="Times New Roman" w:cs="Times New Roman"/>
        </w:rPr>
        <w:t>Most</w:t>
      </w:r>
      <w:r w:rsidRPr="00240EEE">
        <w:rPr>
          <w:rFonts w:ascii="Times New Roman" w:hAnsi="Times New Roman" w:cs="Times New Roman"/>
        </w:rPr>
        <w:t xml:space="preserve"> people living in this area </w:t>
      </w:r>
      <w:r w:rsidRPr="00240EEE">
        <w:rPr>
          <w:rFonts w:ascii="Times New Roman" w:hAnsi="Times New Roman" w:cs="Times New Roman"/>
        </w:rPr>
        <w:lastRenderedPageBreak/>
        <w:t>identify as ethnic Romanian</w:t>
      </w:r>
      <w:r>
        <w:rPr>
          <w:rFonts w:ascii="Times New Roman" w:hAnsi="Times New Roman" w:cs="Times New Roman"/>
        </w:rPr>
        <w:t>,</w:t>
      </w:r>
      <w:r w:rsidRPr="00240EEE">
        <w:rPr>
          <w:rFonts w:ascii="Times New Roman" w:hAnsi="Times New Roman" w:cs="Times New Roman"/>
        </w:rPr>
        <w:t xml:space="preserve"> although there are </w:t>
      </w:r>
      <w:r>
        <w:rPr>
          <w:rFonts w:ascii="Times New Roman" w:hAnsi="Times New Roman" w:cs="Times New Roman"/>
        </w:rPr>
        <w:t>several</w:t>
      </w:r>
      <w:r w:rsidRPr="00240EEE">
        <w:rPr>
          <w:rFonts w:ascii="Times New Roman" w:hAnsi="Times New Roman" w:cs="Times New Roman"/>
        </w:rPr>
        <w:t xml:space="preserve"> residents of Romanian-Roma descent, who may experience increased </w:t>
      </w:r>
      <w:r>
        <w:rPr>
          <w:rFonts w:ascii="Times New Roman" w:hAnsi="Times New Roman" w:cs="Times New Roman"/>
        </w:rPr>
        <w:t>marginalisation</w:t>
      </w:r>
      <w:r w:rsidRPr="00240EEE">
        <w:rPr>
          <w:rFonts w:ascii="Times New Roman" w:hAnsi="Times New Roman" w:cs="Times New Roman"/>
        </w:rPr>
        <w:t xml:space="preserve"> within the community. Religion also fosters unity and provides some degree of cohesion within the community. One of the most important forms of connectedness is through shared heritage of customs and through informal support systems that exist among the members of the community and in their lives as migrants (</w:t>
      </w:r>
      <w:proofErr w:type="spellStart"/>
      <w:r w:rsidRPr="00240EEE">
        <w:rPr>
          <w:rFonts w:ascii="Times New Roman" w:hAnsi="Times New Roman" w:cs="Times New Roman"/>
        </w:rPr>
        <w:t>Abiddin</w:t>
      </w:r>
      <w:proofErr w:type="spellEnd"/>
      <w:r w:rsidRPr="00240EEE">
        <w:rPr>
          <w:rFonts w:ascii="Times New Roman" w:hAnsi="Times New Roman" w:cs="Times New Roman"/>
        </w:rPr>
        <w:t xml:space="preserve"> et al. 2022; Mia et al 2022).</w:t>
      </w:r>
    </w:p>
    <w:p w14:paraId="350DCCE2" w14:textId="3BB65041"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The history of migration is also fundamental to the identity of this community. </w:t>
      </w:r>
      <w:r w:rsidRPr="00240EEE">
        <w:rPr>
          <w:rFonts w:ascii="Times New Roman" w:hAnsi="Times New Roman" w:cs="Times New Roman"/>
        </w:rPr>
        <w:t>Most</w:t>
      </w:r>
      <w:r w:rsidRPr="00240EEE">
        <w:rPr>
          <w:rFonts w:ascii="Times New Roman" w:hAnsi="Times New Roman" w:cs="Times New Roman"/>
        </w:rPr>
        <w:t xml:space="preserve"> Romanians commenced migrating following Romania's </w:t>
      </w:r>
      <w:r>
        <w:rPr>
          <w:rFonts w:ascii="Times New Roman" w:hAnsi="Times New Roman" w:cs="Times New Roman"/>
        </w:rPr>
        <w:t>accession</w:t>
      </w:r>
      <w:r w:rsidRPr="00240EEE">
        <w:rPr>
          <w:rFonts w:ascii="Times New Roman" w:hAnsi="Times New Roman" w:cs="Times New Roman"/>
        </w:rPr>
        <w:t xml:space="preserve"> into the European Union (EU) in 2007; in particular, many arrived during the 2010s to seek employment and/or stability through the EU. Following the referendum that resulted in Brexit, there was an increase in uncertainty regarding the immigration status and/or the legal rights of Romanian migrants, which resulted in increased visibility of the Romanian community as a cohesive group in terms of accessing resources and providing representation. The class of many of the Romanian residents is also significant; most of these residents work in lower-waged sectors such as hospitality, caring industries, retail, cleaning, and construction, thus linking this community to the larger working-class community as they struggle with the same working conditions including insecure work, low wages, and substandard housing conditions (Hussain et al 2022; Vargas 2000).</w:t>
      </w:r>
    </w:p>
    <w:p w14:paraId="6D79C6C0" w14:textId="1D625613" w:rsidR="00240EEE" w:rsidRPr="00240EEE" w:rsidRDefault="00240EEE" w:rsidP="00240EEE">
      <w:pPr>
        <w:spacing w:line="480" w:lineRule="auto"/>
        <w:rPr>
          <w:rFonts w:ascii="Times New Roman" w:hAnsi="Times New Roman" w:cs="Times New Roman"/>
          <w:b/>
          <w:bCs/>
          <w:color w:val="4C94D8" w:themeColor="text2" w:themeTint="80"/>
        </w:rPr>
      </w:pPr>
      <w:r w:rsidRPr="00240EEE">
        <w:rPr>
          <w:rFonts w:ascii="Times New Roman" w:hAnsi="Times New Roman" w:cs="Times New Roman"/>
          <w:b/>
          <w:bCs/>
          <w:color w:val="4C94D8" w:themeColor="text2" w:themeTint="80"/>
        </w:rPr>
        <w:t>Motivators for Community Activity</w:t>
      </w:r>
    </w:p>
    <w:p w14:paraId="23AAED73" w14:textId="77777777" w:rsid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The primary motivator for activity within the Romanian community is a desire for practical support. Many members require assistance with issues related to immigration advice, registering for health care, housing, employment rights and welfare. Such needs were particularly evident </w:t>
      </w:r>
      <w:proofErr w:type="gramStart"/>
      <w:r w:rsidRPr="00240EEE">
        <w:rPr>
          <w:rFonts w:ascii="Times New Roman" w:hAnsi="Times New Roman" w:cs="Times New Roman"/>
        </w:rPr>
        <w:t>in regard to</w:t>
      </w:r>
      <w:proofErr w:type="gramEnd"/>
      <w:r w:rsidRPr="00240EEE">
        <w:rPr>
          <w:rFonts w:ascii="Times New Roman" w:hAnsi="Times New Roman" w:cs="Times New Roman"/>
        </w:rPr>
        <w:t xml:space="preserve"> the issues surrounding the EU Settlement Scheme</w:t>
      </w:r>
      <w:r>
        <w:rPr>
          <w:rFonts w:ascii="Times New Roman" w:hAnsi="Times New Roman" w:cs="Times New Roman"/>
        </w:rPr>
        <w:t>,</w:t>
      </w:r>
      <w:r w:rsidRPr="00240EEE">
        <w:rPr>
          <w:rFonts w:ascii="Times New Roman" w:hAnsi="Times New Roman" w:cs="Times New Roman"/>
        </w:rPr>
        <w:t xml:space="preserve"> when many of the Romanian residents </w:t>
      </w:r>
      <w:r>
        <w:rPr>
          <w:rFonts w:ascii="Times New Roman" w:hAnsi="Times New Roman" w:cs="Times New Roman"/>
        </w:rPr>
        <w:t>misunderstood</w:t>
      </w:r>
      <w:r w:rsidRPr="00240EEE">
        <w:rPr>
          <w:rFonts w:ascii="Times New Roman" w:hAnsi="Times New Roman" w:cs="Times New Roman"/>
        </w:rPr>
        <w:t xml:space="preserve"> and believed that registration for the EU </w:t>
      </w:r>
      <w:r w:rsidRPr="00240EEE">
        <w:rPr>
          <w:rFonts w:ascii="Times New Roman" w:hAnsi="Times New Roman" w:cs="Times New Roman"/>
        </w:rPr>
        <w:lastRenderedPageBreak/>
        <w:t xml:space="preserve">Settlement Scheme would be </w:t>
      </w:r>
      <w:r w:rsidRPr="00240EEE">
        <w:rPr>
          <w:rFonts w:ascii="Times New Roman" w:hAnsi="Times New Roman" w:cs="Times New Roman"/>
        </w:rPr>
        <w:t>automatic. The</w:t>
      </w:r>
      <w:r w:rsidRPr="00240EEE">
        <w:rPr>
          <w:rFonts w:ascii="Times New Roman" w:hAnsi="Times New Roman" w:cs="Times New Roman"/>
        </w:rPr>
        <w:t xml:space="preserve"> participation of people in the activity was based on immediate needs, rather than simply on who they are, as many people want information that can help them preserve their status in the United Kingdom (Ajzen, 1991; </w:t>
      </w:r>
      <w:proofErr w:type="spellStart"/>
      <w:r w:rsidRPr="00240EEE">
        <w:rPr>
          <w:rFonts w:ascii="Times New Roman" w:hAnsi="Times New Roman" w:cs="Times New Roman"/>
        </w:rPr>
        <w:t>Abiddin</w:t>
      </w:r>
      <w:proofErr w:type="spellEnd"/>
      <w:r w:rsidRPr="00240EEE">
        <w:rPr>
          <w:rFonts w:ascii="Times New Roman" w:hAnsi="Times New Roman" w:cs="Times New Roman"/>
        </w:rPr>
        <w:t xml:space="preserve"> et al. 2022).</w:t>
      </w:r>
    </w:p>
    <w:p w14:paraId="25FAEDB3" w14:textId="5C8CC644" w:rsid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Another key reason people participate is because of their economic security. Since a significant portion of Romanians who work in Newham are employed in low-wage jobs and/or jobs that are not secure, they are often dependent upon family, friends, and community agencies for job information, career advice, and emergency support. When community members have the opportunity (e.g., through community development activities) to participate in an activity that meets a real economic need, they are more likely to engage in that activity. This suggests that the sustainable development of a community is dependent upon job creation and other improvements in socio-economic conditions, rather than just creating symbolic representation (Hussain et al., 2022; </w:t>
      </w:r>
      <w:r w:rsidR="0049179C">
        <w:rPr>
          <w:rFonts w:ascii="Times New Roman" w:hAnsi="Times New Roman" w:cs="Times New Roman"/>
        </w:rPr>
        <w:t>Cheng</w:t>
      </w:r>
      <w:r w:rsidRPr="00240EEE">
        <w:rPr>
          <w:rFonts w:ascii="Times New Roman" w:hAnsi="Times New Roman" w:cs="Times New Roman"/>
        </w:rPr>
        <w:t>, 20</w:t>
      </w:r>
      <w:r w:rsidR="0049179C">
        <w:rPr>
          <w:rFonts w:ascii="Times New Roman" w:hAnsi="Times New Roman" w:cs="Times New Roman"/>
        </w:rPr>
        <w:t>24</w:t>
      </w:r>
      <w:r w:rsidRPr="00240EEE">
        <w:rPr>
          <w:rFonts w:ascii="Times New Roman" w:hAnsi="Times New Roman" w:cs="Times New Roman"/>
        </w:rPr>
        <w:t>).</w:t>
      </w:r>
    </w:p>
    <w:p w14:paraId="7B7C69E3" w14:textId="3FAFC341"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Cultural belonging also promotes community engagement/participation. Community events such as the Romanian National Day, spring festival, food gathering/events, and faith-based activities promote cultural ties and decrease isolation in the Romanian community. These events create a sense of trust and solidarity between older and younger immigrants and strengthen the bond between older Romanian immigrants and younger </w:t>
      </w:r>
      <w:r w:rsidRPr="00240EEE">
        <w:rPr>
          <w:rFonts w:ascii="Times New Roman" w:hAnsi="Times New Roman" w:cs="Times New Roman"/>
        </w:rPr>
        <w:t>Romanian British</w:t>
      </w:r>
      <w:r w:rsidRPr="00240EEE">
        <w:rPr>
          <w:rFonts w:ascii="Times New Roman" w:hAnsi="Times New Roman" w:cs="Times New Roman"/>
        </w:rPr>
        <w:t xml:space="preserve"> residents. There is extensive literature indicating that community-based engagement/participation is critical to the sustainable development of a community as it increases collective ownership and accountability among community members (Mia et al., 2022; Touchton et al., 2023).</w:t>
      </w:r>
    </w:p>
    <w:p w14:paraId="1BA74FA1" w14:textId="29CCC4B5"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Outreach to the Romanian community has been most effective </w:t>
      </w:r>
      <w:r>
        <w:rPr>
          <w:rFonts w:ascii="Times New Roman" w:hAnsi="Times New Roman" w:cs="Times New Roman"/>
        </w:rPr>
        <w:t>when</w:t>
      </w:r>
      <w:r w:rsidRPr="00240EEE">
        <w:rPr>
          <w:rFonts w:ascii="Times New Roman" w:hAnsi="Times New Roman" w:cs="Times New Roman"/>
        </w:rPr>
        <w:t xml:space="preserve"> they receive their messages in a manner that is tailored to their language and culture. Romanian language </w:t>
      </w:r>
      <w:r w:rsidRPr="00240EEE">
        <w:rPr>
          <w:rFonts w:ascii="Times New Roman" w:hAnsi="Times New Roman" w:cs="Times New Roman"/>
        </w:rPr>
        <w:lastRenderedPageBreak/>
        <w:t xml:space="preserve">materials have been particularly effective in conveying legal, health, and civic messages to the Romanian community. An example of this is the Stay Settled in Newham Initiative, which distributed approximately 50,000 multi-lingual leaflets (including Romanian) and 2,000 posters </w:t>
      </w:r>
      <w:r w:rsidRPr="00240EEE">
        <w:rPr>
          <w:rFonts w:ascii="Times New Roman" w:hAnsi="Times New Roman" w:cs="Times New Roman"/>
        </w:rPr>
        <w:t>to</w:t>
      </w:r>
      <w:r w:rsidRPr="00240EEE">
        <w:rPr>
          <w:rFonts w:ascii="Times New Roman" w:hAnsi="Times New Roman" w:cs="Times New Roman"/>
        </w:rPr>
        <w:t xml:space="preserve"> make the Romanian community aware of the EU settlement </w:t>
      </w:r>
      <w:r w:rsidRPr="00240EEE">
        <w:rPr>
          <w:rFonts w:ascii="Times New Roman" w:hAnsi="Times New Roman" w:cs="Times New Roman"/>
        </w:rPr>
        <w:t>scheme. The</w:t>
      </w:r>
      <w:r w:rsidRPr="00240EEE">
        <w:rPr>
          <w:rFonts w:ascii="Times New Roman" w:hAnsi="Times New Roman" w:cs="Times New Roman"/>
        </w:rPr>
        <w:t xml:space="preserve"> videos created by NHS campaigns targeting the Romanian Language were also spread through WhatsApp and community media, leading to greater accessibility for residents who were not plugged into English language channels (Ajzen 1991; Roseland 2000).</w:t>
      </w:r>
    </w:p>
    <w:p w14:paraId="24F10E84" w14:textId="77777777" w:rsid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Imagery has an important role in community engagement as it builds connection and familiarity through graphic representation. Using imagery of the Romanian flag, national colours, traditional clothing and family </w:t>
      </w:r>
      <w:r w:rsidRPr="00240EEE">
        <w:rPr>
          <w:rFonts w:ascii="Times New Roman" w:hAnsi="Times New Roman" w:cs="Times New Roman"/>
        </w:rPr>
        <w:t>can</w:t>
      </w:r>
      <w:r w:rsidRPr="00240EEE">
        <w:rPr>
          <w:rFonts w:ascii="Times New Roman" w:hAnsi="Times New Roman" w:cs="Times New Roman"/>
        </w:rPr>
        <w:t xml:space="preserve"> communicate respect for a person's identity </w:t>
      </w:r>
      <w:proofErr w:type="gramStart"/>
      <w:r w:rsidRPr="00240EEE">
        <w:rPr>
          <w:rFonts w:ascii="Times New Roman" w:hAnsi="Times New Roman" w:cs="Times New Roman"/>
        </w:rPr>
        <w:t>and also</w:t>
      </w:r>
      <w:proofErr w:type="gramEnd"/>
      <w:r w:rsidRPr="00240EEE">
        <w:rPr>
          <w:rFonts w:ascii="Times New Roman" w:hAnsi="Times New Roman" w:cs="Times New Roman"/>
        </w:rPr>
        <w:t xml:space="preserve"> provide relevance to public messaging. For diverse boroughs such as Newham, representation is vital as it provides visibility for minority communities within the public sphere. Representation also helps to build trust; trust is a significant factor in institutions' </w:t>
      </w:r>
      <w:r>
        <w:rPr>
          <w:rFonts w:ascii="Times New Roman" w:hAnsi="Times New Roman" w:cs="Times New Roman"/>
        </w:rPr>
        <w:t>requests</w:t>
      </w:r>
      <w:r w:rsidRPr="00240EEE">
        <w:rPr>
          <w:rFonts w:ascii="Times New Roman" w:hAnsi="Times New Roman" w:cs="Times New Roman"/>
        </w:rPr>
        <w:t xml:space="preserve"> for community members to modify behaviour or engage with services that are unfamiliar to them (Mia et al., 2022; </w:t>
      </w:r>
      <w:proofErr w:type="spellStart"/>
      <w:r w:rsidRPr="00240EEE">
        <w:rPr>
          <w:rFonts w:ascii="Times New Roman" w:hAnsi="Times New Roman" w:cs="Times New Roman"/>
        </w:rPr>
        <w:t>Abiddin</w:t>
      </w:r>
      <w:proofErr w:type="spellEnd"/>
      <w:r w:rsidRPr="00240EEE">
        <w:rPr>
          <w:rFonts w:ascii="Times New Roman" w:hAnsi="Times New Roman" w:cs="Times New Roman"/>
        </w:rPr>
        <w:t xml:space="preserve"> et al., 2022). </w:t>
      </w:r>
    </w:p>
    <w:p w14:paraId="3852A663" w14:textId="2F56F99B"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The style of the </w:t>
      </w:r>
      <w:r>
        <w:rPr>
          <w:rFonts w:ascii="Times New Roman" w:hAnsi="Times New Roman" w:cs="Times New Roman"/>
        </w:rPr>
        <w:t>message</w:t>
      </w:r>
      <w:r w:rsidRPr="00240EEE">
        <w:rPr>
          <w:rFonts w:ascii="Times New Roman" w:hAnsi="Times New Roman" w:cs="Times New Roman"/>
        </w:rPr>
        <w:t xml:space="preserve"> mirrors behaviour </w:t>
      </w:r>
      <w:r>
        <w:rPr>
          <w:rFonts w:ascii="Times New Roman" w:hAnsi="Times New Roman" w:cs="Times New Roman"/>
        </w:rPr>
        <w:t>change</w:t>
      </w:r>
      <w:r w:rsidRPr="00240EEE">
        <w:rPr>
          <w:rFonts w:ascii="Times New Roman" w:hAnsi="Times New Roman" w:cs="Times New Roman"/>
        </w:rPr>
        <w:t xml:space="preserve"> theories. The presence of supportive statements, such as "we are here to help"</w:t>
      </w:r>
      <w:r>
        <w:rPr>
          <w:rFonts w:ascii="Times New Roman" w:hAnsi="Times New Roman" w:cs="Times New Roman"/>
        </w:rPr>
        <w:t>,</w:t>
      </w:r>
      <w:r w:rsidRPr="00240EEE">
        <w:rPr>
          <w:rFonts w:ascii="Times New Roman" w:hAnsi="Times New Roman" w:cs="Times New Roman"/>
        </w:rPr>
        <w:t xml:space="preserve"> is more effective than the presence of technical instructions since supportive statements help to alleviate anxiety and create confidence. According to the Theory of Planned Behaviour, an individual is more likely to act if they perceive value in an action, suspect it is a socially expected thing to do and believe they can do it (Ajzen 1991); messages stating that countless other EU citizens have already applied, also correspond to the social norms theory that states individuals can be influenced by the perceived activity of those in their social group (</w:t>
      </w:r>
      <w:r w:rsidR="0049179C">
        <w:rPr>
          <w:rFonts w:ascii="Times New Roman" w:hAnsi="Times New Roman" w:cs="Times New Roman"/>
        </w:rPr>
        <w:t>Cheng, 2024</w:t>
      </w:r>
      <w:r w:rsidRPr="00240EEE">
        <w:rPr>
          <w:rFonts w:ascii="Times New Roman" w:hAnsi="Times New Roman" w:cs="Times New Roman"/>
        </w:rPr>
        <w:t xml:space="preserve">). </w:t>
      </w:r>
    </w:p>
    <w:p w14:paraId="55C600A6" w14:textId="77777777"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 </w:t>
      </w:r>
    </w:p>
    <w:p w14:paraId="2813D498" w14:textId="77777777" w:rsidR="00240EEE" w:rsidRPr="00240EEE" w:rsidRDefault="00240EEE" w:rsidP="00240EEE">
      <w:pPr>
        <w:spacing w:line="480" w:lineRule="auto"/>
        <w:rPr>
          <w:rFonts w:ascii="Times New Roman" w:hAnsi="Times New Roman" w:cs="Times New Roman"/>
          <w:b/>
          <w:bCs/>
          <w:color w:val="4C94D8" w:themeColor="text2" w:themeTint="80"/>
        </w:rPr>
      </w:pPr>
      <w:r w:rsidRPr="00240EEE">
        <w:rPr>
          <w:rFonts w:ascii="Times New Roman" w:hAnsi="Times New Roman" w:cs="Times New Roman"/>
          <w:b/>
          <w:bCs/>
          <w:color w:val="4C94D8" w:themeColor="text2" w:themeTint="80"/>
        </w:rPr>
        <w:lastRenderedPageBreak/>
        <w:t>Community Impact</w:t>
      </w:r>
    </w:p>
    <w:p w14:paraId="07720855" w14:textId="77B43B35"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The Romanian community has had a very positive cultural impact on Newham, through festivals, food, music, dance, and shared culture and tradition</w:t>
      </w:r>
      <w:r>
        <w:rPr>
          <w:rFonts w:ascii="Times New Roman" w:hAnsi="Times New Roman" w:cs="Times New Roman"/>
        </w:rPr>
        <w:t>.</w:t>
      </w:r>
      <w:r w:rsidRPr="00240EEE">
        <w:rPr>
          <w:rFonts w:ascii="Times New Roman" w:hAnsi="Times New Roman" w:cs="Times New Roman"/>
        </w:rPr>
        <w:t xml:space="preserve"> Romanian residents have contributed to the multicultural landscape of the borough and the local social </w:t>
      </w:r>
      <w:r w:rsidRPr="00240EEE">
        <w:rPr>
          <w:rFonts w:ascii="Times New Roman" w:hAnsi="Times New Roman" w:cs="Times New Roman"/>
        </w:rPr>
        <w:t>life. Public</w:t>
      </w:r>
      <w:r w:rsidRPr="00240EEE">
        <w:rPr>
          <w:rFonts w:ascii="Times New Roman" w:hAnsi="Times New Roman" w:cs="Times New Roman"/>
        </w:rPr>
        <w:t xml:space="preserve"> expressions of identity provide community cohesion and help promote intercultural understanding throughout Newham. Cultural participation is an integral part of how communities develop confidence, belonging, and visibility (Roseland, 2000; Mia et al., 2022).</w:t>
      </w:r>
    </w:p>
    <w:p w14:paraId="3B3D2329" w14:textId="56CD4560"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Romanian families contribute to the local service economy by providing services to schools and neighbourhoods, as well as through Romanian-owned businesses and shops that add to the diversity of local high streets. At the same time, many community members experience overcrowded housing, low-wage jobs, and insecure employment. This creates a complex situation in which the community contributes to the </w:t>
      </w:r>
      <w:r w:rsidR="009222CF" w:rsidRPr="00240EEE">
        <w:rPr>
          <w:rFonts w:ascii="Times New Roman" w:hAnsi="Times New Roman" w:cs="Times New Roman"/>
        </w:rPr>
        <w:t>borough but</w:t>
      </w:r>
      <w:r w:rsidRPr="00240EEE">
        <w:rPr>
          <w:rFonts w:ascii="Times New Roman" w:hAnsi="Times New Roman" w:cs="Times New Roman"/>
        </w:rPr>
        <w:t xml:space="preserve"> also faces significant disadvantages. Support for employment rights, skill development, and small business development will enhance long-term resilience and decrease vulnerability (Hussain et al., 2022; Vargas, 2000).</w:t>
      </w:r>
    </w:p>
    <w:p w14:paraId="05D43C63" w14:textId="5924B387"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Political and environmental issues have become more significant as well. Brexit created more visibility for the Romanian community in local policy decisions because of the need for Romanian residents to obtain legal advice and representation. This illustrates how participatory approaches enable communities to participate in shaping decisions rather than merely being passive recipients of services (Touchton et al., 2023). Many Romanian residents live in overcrowded or densely populated housing, which has placed them at the forefront of the impact of waste management, substandard building quality, and urban </w:t>
      </w:r>
      <w:r w:rsidR="009222CF" w:rsidRPr="00240EEE">
        <w:rPr>
          <w:rFonts w:ascii="Times New Roman" w:hAnsi="Times New Roman" w:cs="Times New Roman"/>
        </w:rPr>
        <w:t>heat. Therefore</w:t>
      </w:r>
      <w:r w:rsidRPr="00240EEE">
        <w:rPr>
          <w:rFonts w:ascii="Times New Roman" w:hAnsi="Times New Roman" w:cs="Times New Roman"/>
        </w:rPr>
        <w:t xml:space="preserve">, for community development to be sustainable, it will significantly rely on the ability of </w:t>
      </w:r>
      <w:r w:rsidRPr="00240EEE">
        <w:rPr>
          <w:rFonts w:ascii="Times New Roman" w:hAnsi="Times New Roman" w:cs="Times New Roman"/>
        </w:rPr>
        <w:lastRenderedPageBreak/>
        <w:t xml:space="preserve">communities to improve their environment while pursuing economic and social goals together, now that climate change is affecting the way cities operate (Roseland, 2000; Cui et al., 2024). </w:t>
      </w:r>
    </w:p>
    <w:p w14:paraId="1177EC55" w14:textId="77777777" w:rsidR="00240EEE" w:rsidRPr="009222CF" w:rsidRDefault="00240EEE" w:rsidP="00240EEE">
      <w:pPr>
        <w:spacing w:line="480" w:lineRule="auto"/>
        <w:rPr>
          <w:rFonts w:ascii="Times New Roman" w:hAnsi="Times New Roman" w:cs="Times New Roman"/>
          <w:b/>
          <w:bCs/>
          <w:color w:val="4C94D8" w:themeColor="text2" w:themeTint="80"/>
        </w:rPr>
      </w:pPr>
      <w:r w:rsidRPr="009222CF">
        <w:rPr>
          <w:rFonts w:ascii="Times New Roman" w:hAnsi="Times New Roman" w:cs="Times New Roman"/>
          <w:b/>
          <w:bCs/>
          <w:color w:val="4C94D8" w:themeColor="text2" w:themeTint="80"/>
        </w:rPr>
        <w:t xml:space="preserve">Evaluation of Community Development Processes </w:t>
      </w:r>
    </w:p>
    <w:p w14:paraId="0D317E2F" w14:textId="4FABA724"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The Newham approaches to community development are better than those of many other areas, because of the use of partnerships among local governments</w:t>
      </w:r>
      <w:r w:rsidR="009222CF">
        <w:rPr>
          <w:rFonts w:ascii="Times New Roman" w:hAnsi="Times New Roman" w:cs="Times New Roman"/>
        </w:rPr>
        <w:t>,</w:t>
      </w:r>
      <w:r w:rsidRPr="00240EEE">
        <w:rPr>
          <w:rFonts w:ascii="Times New Roman" w:hAnsi="Times New Roman" w:cs="Times New Roman"/>
        </w:rPr>
        <w:t xml:space="preserve"> non-profit organisations (NGO)</w:t>
      </w:r>
      <w:r w:rsidR="009222CF">
        <w:rPr>
          <w:rFonts w:ascii="Times New Roman" w:hAnsi="Times New Roman" w:cs="Times New Roman"/>
        </w:rPr>
        <w:t>,</w:t>
      </w:r>
      <w:r w:rsidRPr="00240EEE">
        <w:rPr>
          <w:rFonts w:ascii="Times New Roman" w:hAnsi="Times New Roman" w:cs="Times New Roman"/>
        </w:rPr>
        <w:t xml:space="preserve"> community volunteers</w:t>
      </w:r>
      <w:r w:rsidR="009222CF">
        <w:rPr>
          <w:rFonts w:ascii="Times New Roman" w:hAnsi="Times New Roman" w:cs="Times New Roman"/>
        </w:rPr>
        <w:t>,</w:t>
      </w:r>
      <w:r w:rsidRPr="00240EEE">
        <w:rPr>
          <w:rFonts w:ascii="Times New Roman" w:hAnsi="Times New Roman" w:cs="Times New Roman"/>
        </w:rPr>
        <w:t xml:space="preserve"> and specialised organisations. Newham area approaches have also been successful due to their acknowledgement of the value of trust, local knowledge and understanding </w:t>
      </w:r>
      <w:r w:rsidR="009222CF">
        <w:rPr>
          <w:rFonts w:ascii="Times New Roman" w:hAnsi="Times New Roman" w:cs="Times New Roman"/>
        </w:rPr>
        <w:t xml:space="preserve">of </w:t>
      </w:r>
      <w:r w:rsidRPr="00240EEE">
        <w:rPr>
          <w:rFonts w:ascii="Times New Roman" w:hAnsi="Times New Roman" w:cs="Times New Roman"/>
        </w:rPr>
        <w:t xml:space="preserve">culture. For example, NGO's have played an important role in making it easier for marginalised communities to engage with formal institutions than if these institutions operated without the assistance of </w:t>
      </w:r>
      <w:r w:rsidR="009222CF" w:rsidRPr="00240EEE">
        <w:rPr>
          <w:rFonts w:ascii="Times New Roman" w:hAnsi="Times New Roman" w:cs="Times New Roman"/>
        </w:rPr>
        <w:t>NGOs</w:t>
      </w:r>
      <w:r w:rsidRPr="00240EEE">
        <w:rPr>
          <w:rFonts w:ascii="Times New Roman" w:hAnsi="Times New Roman" w:cs="Times New Roman"/>
        </w:rPr>
        <w:t>. This further supports the assertion that sustainable community development can only be achieved through a collaborative effort between the voluntary sector and local government (</w:t>
      </w:r>
      <w:proofErr w:type="spellStart"/>
      <w:r w:rsidRPr="00240EEE">
        <w:rPr>
          <w:rFonts w:ascii="Times New Roman" w:hAnsi="Times New Roman" w:cs="Times New Roman"/>
        </w:rPr>
        <w:t>Abiddin</w:t>
      </w:r>
      <w:proofErr w:type="spellEnd"/>
      <w:r w:rsidRPr="00240EEE">
        <w:rPr>
          <w:rFonts w:ascii="Times New Roman" w:hAnsi="Times New Roman" w:cs="Times New Roman"/>
        </w:rPr>
        <w:t xml:space="preserve"> et al., 2022; Mia et al., 2022).</w:t>
      </w:r>
    </w:p>
    <w:p w14:paraId="484F9C4A" w14:textId="53E7EC94"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 xml:space="preserve">However, there remain </w:t>
      </w:r>
      <w:r w:rsidR="009222CF">
        <w:rPr>
          <w:rFonts w:ascii="Times New Roman" w:hAnsi="Times New Roman" w:cs="Times New Roman"/>
        </w:rPr>
        <w:t>many</w:t>
      </w:r>
      <w:r w:rsidRPr="00240EEE">
        <w:rPr>
          <w:rFonts w:ascii="Times New Roman" w:hAnsi="Times New Roman" w:cs="Times New Roman"/>
        </w:rPr>
        <w:t xml:space="preserve"> additional challenges to community development in Newham. Continued barriers to participation for many residents include limited language capacity, digital exclusion, insecure housing situations, unstable employment situations</w:t>
      </w:r>
      <w:r w:rsidR="009222CF">
        <w:rPr>
          <w:rFonts w:ascii="Times New Roman" w:hAnsi="Times New Roman" w:cs="Times New Roman"/>
        </w:rPr>
        <w:t>,</w:t>
      </w:r>
      <w:r w:rsidRPr="00240EEE">
        <w:rPr>
          <w:rFonts w:ascii="Times New Roman" w:hAnsi="Times New Roman" w:cs="Times New Roman"/>
        </w:rPr>
        <w:t xml:space="preserve"> inadequate resources</w:t>
      </w:r>
      <w:r w:rsidR="009222CF">
        <w:rPr>
          <w:rFonts w:ascii="Times New Roman" w:hAnsi="Times New Roman" w:cs="Times New Roman"/>
        </w:rPr>
        <w:t>,</w:t>
      </w:r>
      <w:r w:rsidRPr="00240EEE">
        <w:rPr>
          <w:rFonts w:ascii="Times New Roman" w:hAnsi="Times New Roman" w:cs="Times New Roman"/>
        </w:rPr>
        <w:t xml:space="preserve"> and ongoing discrimination. Additionally, many residents continue to be hard to reach because of their geographic location, poverty or a lack of trust in community service delivery institutions. The digital exclusion poses a serious barrier to participation in community development in Newham, as many of the community services used by residents are now delivered through online systems. Consequently, improving the lives of these individuals over the long-term will require not only providing translation and outreach services, but also will require that residents receive education on digital skills, internet access, </w:t>
      </w:r>
      <w:r w:rsidRPr="00240EEE">
        <w:rPr>
          <w:rFonts w:ascii="Times New Roman" w:hAnsi="Times New Roman" w:cs="Times New Roman"/>
        </w:rPr>
        <w:lastRenderedPageBreak/>
        <w:t>and support to participate independently in public life (Paunov and Planes-</w:t>
      </w:r>
      <w:proofErr w:type="spellStart"/>
      <w:r w:rsidRPr="00240EEE">
        <w:rPr>
          <w:rFonts w:ascii="Times New Roman" w:hAnsi="Times New Roman" w:cs="Times New Roman"/>
        </w:rPr>
        <w:t>Satorra</w:t>
      </w:r>
      <w:proofErr w:type="spellEnd"/>
      <w:r w:rsidR="009222CF">
        <w:rPr>
          <w:rFonts w:ascii="Times New Roman" w:hAnsi="Times New Roman" w:cs="Times New Roman"/>
        </w:rPr>
        <w:t>,</w:t>
      </w:r>
      <w:r w:rsidRPr="00240EEE">
        <w:rPr>
          <w:rFonts w:ascii="Times New Roman" w:hAnsi="Times New Roman" w:cs="Times New Roman"/>
        </w:rPr>
        <w:t xml:space="preserve"> 2019; Hussain et al., 2022).</w:t>
      </w:r>
    </w:p>
    <w:p w14:paraId="7230AAFA" w14:textId="77777777" w:rsidR="00240EEE" w:rsidRPr="009222CF" w:rsidRDefault="00240EEE" w:rsidP="00240EEE">
      <w:pPr>
        <w:spacing w:line="480" w:lineRule="auto"/>
        <w:rPr>
          <w:rFonts w:ascii="Times New Roman" w:hAnsi="Times New Roman" w:cs="Times New Roman"/>
          <w:b/>
          <w:bCs/>
          <w:color w:val="4C94D8" w:themeColor="text2" w:themeTint="80"/>
        </w:rPr>
      </w:pPr>
      <w:r w:rsidRPr="009222CF">
        <w:rPr>
          <w:rFonts w:ascii="Times New Roman" w:hAnsi="Times New Roman" w:cs="Times New Roman"/>
          <w:b/>
          <w:bCs/>
          <w:color w:val="4C94D8" w:themeColor="text2" w:themeTint="80"/>
        </w:rPr>
        <w:t>Conclusion</w:t>
      </w:r>
    </w:p>
    <w:p w14:paraId="665FA5F1" w14:textId="529200BC" w:rsidR="00240EEE" w:rsidRPr="00240EEE" w:rsidRDefault="00240EEE" w:rsidP="00240EEE">
      <w:pPr>
        <w:spacing w:line="480" w:lineRule="auto"/>
        <w:rPr>
          <w:rFonts w:ascii="Times New Roman" w:hAnsi="Times New Roman" w:cs="Times New Roman"/>
        </w:rPr>
      </w:pPr>
      <w:r w:rsidRPr="00240EEE">
        <w:rPr>
          <w:rFonts w:ascii="Times New Roman" w:hAnsi="Times New Roman" w:cs="Times New Roman"/>
        </w:rPr>
        <w:t>In conclusion, the Romanian community in Newham is a local community that is distinct yet diverse, due to factors such as language, migration, class, religion and culture. The Newham Romanian community has demonstrated that successful community development is characterised by provider organisations being culturally aware of the community</w:t>
      </w:r>
      <w:r w:rsidR="009222CF">
        <w:rPr>
          <w:rFonts w:ascii="Times New Roman" w:hAnsi="Times New Roman" w:cs="Times New Roman"/>
        </w:rPr>
        <w:t>,</w:t>
      </w:r>
      <w:r w:rsidRPr="00240EEE">
        <w:rPr>
          <w:rFonts w:ascii="Times New Roman" w:hAnsi="Times New Roman" w:cs="Times New Roman"/>
        </w:rPr>
        <w:t xml:space="preserve"> participating along with members of the community in </w:t>
      </w:r>
      <w:r w:rsidR="009222CF">
        <w:rPr>
          <w:rFonts w:ascii="Times New Roman" w:hAnsi="Times New Roman" w:cs="Times New Roman"/>
        </w:rPr>
        <w:t>discussions</w:t>
      </w:r>
      <w:r w:rsidRPr="00240EEE">
        <w:rPr>
          <w:rFonts w:ascii="Times New Roman" w:hAnsi="Times New Roman" w:cs="Times New Roman"/>
        </w:rPr>
        <w:t xml:space="preserve"> about community development</w:t>
      </w:r>
      <w:r w:rsidR="009222CF">
        <w:rPr>
          <w:rFonts w:ascii="Times New Roman" w:hAnsi="Times New Roman" w:cs="Times New Roman"/>
        </w:rPr>
        <w:t>,</w:t>
      </w:r>
      <w:r w:rsidRPr="00240EEE">
        <w:rPr>
          <w:rFonts w:ascii="Times New Roman" w:hAnsi="Times New Roman" w:cs="Times New Roman"/>
        </w:rPr>
        <w:t xml:space="preserve"> and developing community development programmes that are realistic in terms of the capabilities of the population. Using tailored messaging, using familiar images, using an advocate for community members</w:t>
      </w:r>
      <w:r w:rsidR="009222CF">
        <w:rPr>
          <w:rFonts w:ascii="Times New Roman" w:hAnsi="Times New Roman" w:cs="Times New Roman"/>
        </w:rPr>
        <w:t>,</w:t>
      </w:r>
      <w:r w:rsidRPr="00240EEE">
        <w:rPr>
          <w:rFonts w:ascii="Times New Roman" w:hAnsi="Times New Roman" w:cs="Times New Roman"/>
        </w:rPr>
        <w:t xml:space="preserve"> and providing support through partnerships between provider organisations and community members all facilitate community members becoming engaged in the process of community development and changing behaviours in a positive manner (Ajzen, 1991; </w:t>
      </w:r>
      <w:r w:rsidR="0049179C">
        <w:rPr>
          <w:rFonts w:ascii="Times New Roman" w:hAnsi="Times New Roman" w:cs="Times New Roman"/>
        </w:rPr>
        <w:t>Paunov, 2019</w:t>
      </w:r>
      <w:r w:rsidRPr="00240EEE">
        <w:rPr>
          <w:rFonts w:ascii="Times New Roman" w:hAnsi="Times New Roman" w:cs="Times New Roman"/>
        </w:rPr>
        <w:t>).</w:t>
      </w:r>
    </w:p>
    <w:p w14:paraId="77B273DA" w14:textId="5B985D8E" w:rsidR="00240EEE" w:rsidRDefault="00240EEE" w:rsidP="00240EEE">
      <w:pPr>
        <w:spacing w:line="480" w:lineRule="auto"/>
        <w:rPr>
          <w:rFonts w:ascii="Times New Roman" w:hAnsi="Times New Roman" w:cs="Times New Roman"/>
        </w:rPr>
      </w:pPr>
      <w:r w:rsidRPr="00240EEE">
        <w:rPr>
          <w:rFonts w:ascii="Times New Roman" w:hAnsi="Times New Roman" w:cs="Times New Roman"/>
        </w:rPr>
        <w:t>The sustainability of community development improvement will continue to depend upon moving from providing short-term campaigns to the provision of long-term infrastructure for service delivery. Continued collaboration between the local authorities and the NGO's providing services to the community, and the residents of the community, along with continued investment in educations and the provision of employment supports, multi-lingual services, and local forums for participation; will all contribute to the sustainability of community development in the Newham Romanian community (Roseland, 2000; Touchton et al., 2023).</w:t>
      </w:r>
    </w:p>
    <w:p w14:paraId="14A75A36" w14:textId="77777777" w:rsidR="009222CF" w:rsidRDefault="009222CF" w:rsidP="00240EEE">
      <w:pPr>
        <w:spacing w:line="480" w:lineRule="auto"/>
        <w:rPr>
          <w:rFonts w:ascii="Times New Roman" w:hAnsi="Times New Roman" w:cs="Times New Roman"/>
        </w:rPr>
      </w:pPr>
    </w:p>
    <w:p w14:paraId="26E103FC" w14:textId="77777777" w:rsidR="009222CF" w:rsidRDefault="009222CF" w:rsidP="00240EEE">
      <w:pPr>
        <w:spacing w:line="480" w:lineRule="auto"/>
        <w:rPr>
          <w:rFonts w:ascii="Times New Roman" w:hAnsi="Times New Roman" w:cs="Times New Roman"/>
        </w:rPr>
      </w:pPr>
    </w:p>
    <w:p w14:paraId="62057344" w14:textId="3B423DE0" w:rsidR="009222CF" w:rsidRPr="0049179C" w:rsidRDefault="009222CF" w:rsidP="00240EEE">
      <w:pPr>
        <w:spacing w:line="480" w:lineRule="auto"/>
        <w:rPr>
          <w:rFonts w:ascii="Times New Roman" w:hAnsi="Times New Roman" w:cs="Times New Roman"/>
          <w:b/>
          <w:bCs/>
          <w:color w:val="4C94D8" w:themeColor="text2" w:themeTint="80"/>
        </w:rPr>
      </w:pPr>
      <w:r w:rsidRPr="0049179C">
        <w:rPr>
          <w:rFonts w:ascii="Times New Roman" w:hAnsi="Times New Roman" w:cs="Times New Roman"/>
          <w:b/>
          <w:bCs/>
          <w:color w:val="4C94D8" w:themeColor="text2" w:themeTint="80"/>
        </w:rPr>
        <w:lastRenderedPageBreak/>
        <w:t xml:space="preserve">References </w:t>
      </w:r>
    </w:p>
    <w:p w14:paraId="377EA750" w14:textId="061CE51A" w:rsidR="0049179C" w:rsidRPr="0049179C" w:rsidRDefault="0049179C" w:rsidP="0049179C">
      <w:pPr>
        <w:spacing w:line="480" w:lineRule="auto"/>
        <w:rPr>
          <w:rFonts w:ascii="Times New Roman" w:hAnsi="Times New Roman" w:cs="Times New Roman"/>
        </w:rPr>
      </w:pPr>
      <w:r w:rsidRPr="0049179C">
        <w:rPr>
          <w:rFonts w:ascii="Times New Roman" w:hAnsi="Times New Roman" w:cs="Times New Roman"/>
        </w:rPr>
        <w:t xml:space="preserve">Abiddin, N. Z., Ibrahim, I., &amp; Abdul Aziz, S. A. (2022). Non-governmental organisations (NGOs) and their part towards sustainable community development. </w:t>
      </w:r>
      <w:r w:rsidRPr="0049179C">
        <w:rPr>
          <w:rFonts w:ascii="Times New Roman" w:hAnsi="Times New Roman" w:cs="Times New Roman"/>
          <w:i/>
          <w:iCs/>
        </w:rPr>
        <w:t>Sustainability, 14(</w:t>
      </w:r>
      <w:r w:rsidRPr="0049179C">
        <w:rPr>
          <w:rFonts w:ascii="Times New Roman" w:hAnsi="Times New Roman" w:cs="Times New Roman"/>
        </w:rPr>
        <w:t xml:space="preserve">8), </w:t>
      </w:r>
    </w:p>
    <w:p w14:paraId="50FA1DFA" w14:textId="189821DD" w:rsidR="0049179C" w:rsidRPr="0049179C" w:rsidRDefault="0049179C" w:rsidP="0049179C">
      <w:pPr>
        <w:spacing w:line="480" w:lineRule="auto"/>
        <w:rPr>
          <w:rFonts w:ascii="Times New Roman" w:hAnsi="Times New Roman" w:cs="Times New Roman"/>
        </w:rPr>
      </w:pPr>
      <w:r w:rsidRPr="0049179C">
        <w:rPr>
          <w:rFonts w:ascii="Times New Roman" w:hAnsi="Times New Roman" w:cs="Times New Roman"/>
        </w:rPr>
        <w:t xml:space="preserve">Ajzen, I. (1991). The theory of planned </w:t>
      </w:r>
      <w:r>
        <w:rPr>
          <w:rFonts w:ascii="Times New Roman" w:hAnsi="Times New Roman" w:cs="Times New Roman"/>
        </w:rPr>
        <w:t>behaviour</w:t>
      </w:r>
      <w:r w:rsidRPr="0049179C">
        <w:rPr>
          <w:rFonts w:ascii="Times New Roman" w:hAnsi="Times New Roman" w:cs="Times New Roman"/>
        </w:rPr>
        <w:t xml:space="preserve">. </w:t>
      </w:r>
      <w:r w:rsidRPr="0049179C">
        <w:rPr>
          <w:rFonts w:ascii="Times New Roman" w:hAnsi="Times New Roman" w:cs="Times New Roman"/>
          <w:i/>
          <w:iCs/>
        </w:rPr>
        <w:t>Organisational Behaviour</w:t>
      </w:r>
      <w:r w:rsidRPr="0049179C">
        <w:rPr>
          <w:rFonts w:ascii="Times New Roman" w:hAnsi="Times New Roman" w:cs="Times New Roman"/>
          <w:i/>
          <w:iCs/>
        </w:rPr>
        <w:t xml:space="preserve"> and Human Decision Processes, 50(</w:t>
      </w:r>
      <w:r w:rsidRPr="0049179C">
        <w:rPr>
          <w:rFonts w:ascii="Times New Roman" w:hAnsi="Times New Roman" w:cs="Times New Roman"/>
        </w:rPr>
        <w:t xml:space="preserve">2), 179–211. </w:t>
      </w:r>
    </w:p>
    <w:p w14:paraId="74606449" w14:textId="62E7FC50" w:rsidR="0049179C" w:rsidRDefault="0049179C" w:rsidP="0049179C">
      <w:pPr>
        <w:spacing w:line="480" w:lineRule="auto"/>
        <w:rPr>
          <w:rFonts w:ascii="Times New Roman" w:hAnsi="Times New Roman" w:cs="Times New Roman"/>
        </w:rPr>
      </w:pPr>
      <w:r w:rsidRPr="0049179C">
        <w:rPr>
          <w:rFonts w:ascii="Times New Roman" w:hAnsi="Times New Roman" w:cs="Times New Roman"/>
        </w:rPr>
        <w:t xml:space="preserve">Cui, Y., Yin, M., Cheng, X., Tang, J., &amp; He, B. J. (2024). </w:t>
      </w:r>
      <w:r w:rsidRPr="0049179C">
        <w:rPr>
          <w:rFonts w:ascii="Times New Roman" w:hAnsi="Times New Roman" w:cs="Times New Roman"/>
          <w:i/>
          <w:iCs/>
        </w:rPr>
        <w:t xml:space="preserve">Towards cool cities and communities: Preparing for an increasingly hot future by the development of heat-resilient infrastructure and </w:t>
      </w:r>
      <w:r w:rsidRPr="0049179C">
        <w:rPr>
          <w:rFonts w:ascii="Times New Roman" w:hAnsi="Times New Roman" w:cs="Times New Roman"/>
          <w:i/>
          <w:iCs/>
        </w:rPr>
        <w:t xml:space="preserve">an </w:t>
      </w:r>
      <w:r w:rsidRPr="0049179C">
        <w:rPr>
          <w:rFonts w:ascii="Times New Roman" w:hAnsi="Times New Roman" w:cs="Times New Roman"/>
          <w:i/>
          <w:iCs/>
        </w:rPr>
        <w:t>urban heat management plan.</w:t>
      </w:r>
      <w:r w:rsidRPr="0049179C">
        <w:rPr>
          <w:rFonts w:ascii="Times New Roman" w:hAnsi="Times New Roman" w:cs="Times New Roman"/>
        </w:rPr>
        <w:t xml:space="preserve"> Environmental Technology &amp; Innovation, 34, </w:t>
      </w:r>
    </w:p>
    <w:p w14:paraId="2B72527E" w14:textId="46AF0E02" w:rsidR="003F0521" w:rsidRPr="0049179C" w:rsidRDefault="003F0521" w:rsidP="0049179C">
      <w:pPr>
        <w:spacing w:line="480" w:lineRule="auto"/>
        <w:rPr>
          <w:rFonts w:ascii="Times New Roman" w:hAnsi="Times New Roman" w:cs="Times New Roman"/>
        </w:rPr>
      </w:pPr>
      <w:r w:rsidRPr="003F0521">
        <w:rPr>
          <w:rFonts w:ascii="Times New Roman" w:hAnsi="Times New Roman" w:cs="Times New Roman"/>
        </w:rPr>
        <w:t xml:space="preserve">Dulkiah, M., &amp; Majid, A. S. (2025). </w:t>
      </w:r>
      <w:r w:rsidRPr="003F0521">
        <w:rPr>
          <w:rFonts w:ascii="Times New Roman" w:hAnsi="Times New Roman" w:cs="Times New Roman"/>
          <w:i/>
          <w:iCs/>
        </w:rPr>
        <w:t xml:space="preserve">Influence of </w:t>
      </w:r>
      <w:r>
        <w:rPr>
          <w:rFonts w:ascii="Times New Roman" w:hAnsi="Times New Roman" w:cs="Times New Roman"/>
          <w:i/>
          <w:iCs/>
        </w:rPr>
        <w:t>Social Capital</w:t>
      </w:r>
      <w:r w:rsidRPr="003F0521">
        <w:rPr>
          <w:rFonts w:ascii="Times New Roman" w:hAnsi="Times New Roman" w:cs="Times New Roman"/>
          <w:i/>
          <w:iCs/>
        </w:rPr>
        <w:t xml:space="preserve"> on Community Participation with Community Development as an Intervening Variable.</w:t>
      </w:r>
      <w:r w:rsidRPr="003F0521">
        <w:rPr>
          <w:rFonts w:ascii="Times New Roman" w:hAnsi="Times New Roman" w:cs="Times New Roman"/>
        </w:rPr>
        <w:t xml:space="preserve"> Changing Societies &amp; Personalities. 2025. Vol. 9. Iss. 2, 9(2), 501-523.</w:t>
      </w:r>
    </w:p>
    <w:p w14:paraId="244572D1" w14:textId="78C786B7" w:rsidR="0049179C" w:rsidRPr="0049179C" w:rsidRDefault="0049179C" w:rsidP="0049179C">
      <w:pPr>
        <w:spacing w:line="480" w:lineRule="auto"/>
        <w:rPr>
          <w:rFonts w:ascii="Times New Roman" w:hAnsi="Times New Roman" w:cs="Times New Roman"/>
        </w:rPr>
      </w:pPr>
      <w:r w:rsidRPr="0049179C">
        <w:rPr>
          <w:rFonts w:ascii="Times New Roman" w:hAnsi="Times New Roman" w:cs="Times New Roman"/>
        </w:rPr>
        <w:t xml:space="preserve">Hussain, S., Maqbool, R., Hussain, A., &amp; Ashfaq, S. (2022). Assessing the socio-economic impacts of rural infrastructure projects on community development. </w:t>
      </w:r>
      <w:r w:rsidRPr="0049179C">
        <w:rPr>
          <w:rFonts w:ascii="Times New Roman" w:hAnsi="Times New Roman" w:cs="Times New Roman"/>
          <w:i/>
          <w:iCs/>
        </w:rPr>
        <w:t>Buildings, 12(</w:t>
      </w:r>
      <w:r w:rsidRPr="0049179C">
        <w:rPr>
          <w:rFonts w:ascii="Times New Roman" w:hAnsi="Times New Roman" w:cs="Times New Roman"/>
        </w:rPr>
        <w:t>7)</w:t>
      </w:r>
    </w:p>
    <w:p w14:paraId="550EFFF8" w14:textId="77777777" w:rsidR="0049179C" w:rsidRPr="0049179C" w:rsidRDefault="0049179C" w:rsidP="0049179C">
      <w:pPr>
        <w:spacing w:line="480" w:lineRule="auto"/>
        <w:rPr>
          <w:rFonts w:ascii="Times New Roman" w:hAnsi="Times New Roman" w:cs="Times New Roman"/>
        </w:rPr>
      </w:pPr>
      <w:r w:rsidRPr="0049179C">
        <w:rPr>
          <w:rFonts w:ascii="Times New Roman" w:hAnsi="Times New Roman" w:cs="Times New Roman"/>
        </w:rPr>
        <w:t xml:space="preserve">Mia, M. T., Islam, M., Sakin, J., &amp; Al-Hamadi, J. (2022). The role of community participation and community-based planning in sustainable community development. </w:t>
      </w:r>
      <w:r w:rsidRPr="0049179C">
        <w:rPr>
          <w:rFonts w:ascii="Times New Roman" w:hAnsi="Times New Roman" w:cs="Times New Roman"/>
          <w:i/>
          <w:iCs/>
        </w:rPr>
        <w:t>Asian People Journal, 5(</w:t>
      </w:r>
      <w:r w:rsidRPr="0049179C">
        <w:rPr>
          <w:rFonts w:ascii="Times New Roman" w:hAnsi="Times New Roman" w:cs="Times New Roman"/>
        </w:rPr>
        <w:t>1), 31–41.</w:t>
      </w:r>
    </w:p>
    <w:p w14:paraId="08D92255" w14:textId="19880BC6" w:rsidR="0049179C" w:rsidRPr="0049179C" w:rsidRDefault="0049179C" w:rsidP="0049179C">
      <w:pPr>
        <w:spacing w:line="480" w:lineRule="auto"/>
        <w:rPr>
          <w:rFonts w:ascii="Times New Roman" w:hAnsi="Times New Roman" w:cs="Times New Roman"/>
        </w:rPr>
      </w:pPr>
      <w:r w:rsidRPr="0049179C">
        <w:rPr>
          <w:rFonts w:ascii="Times New Roman" w:hAnsi="Times New Roman" w:cs="Times New Roman"/>
        </w:rPr>
        <w:t>Paunov, C., &amp; Planes-</w:t>
      </w:r>
      <w:proofErr w:type="spellStart"/>
      <w:r w:rsidRPr="0049179C">
        <w:rPr>
          <w:rFonts w:ascii="Times New Roman" w:hAnsi="Times New Roman" w:cs="Times New Roman"/>
        </w:rPr>
        <w:t>Satorra</w:t>
      </w:r>
      <w:proofErr w:type="spellEnd"/>
      <w:r w:rsidRPr="0049179C">
        <w:rPr>
          <w:rFonts w:ascii="Times New Roman" w:hAnsi="Times New Roman" w:cs="Times New Roman"/>
        </w:rPr>
        <w:t xml:space="preserve">, S. (2019). </w:t>
      </w:r>
      <w:r w:rsidRPr="0049179C">
        <w:rPr>
          <w:rFonts w:ascii="Times New Roman" w:hAnsi="Times New Roman" w:cs="Times New Roman"/>
          <w:i/>
          <w:iCs/>
        </w:rPr>
        <w:t>How are digital technologies changing innovation?</w:t>
      </w:r>
      <w:r w:rsidRPr="0049179C">
        <w:rPr>
          <w:rFonts w:ascii="Times New Roman" w:hAnsi="Times New Roman" w:cs="Times New Roman"/>
        </w:rPr>
        <w:t xml:space="preserve"> OECD Publishing. </w:t>
      </w:r>
    </w:p>
    <w:p w14:paraId="567A0EA8" w14:textId="133876FC" w:rsidR="0049179C" w:rsidRPr="0049179C" w:rsidRDefault="0049179C" w:rsidP="0049179C">
      <w:pPr>
        <w:spacing w:line="480" w:lineRule="auto"/>
        <w:rPr>
          <w:rFonts w:ascii="Times New Roman" w:hAnsi="Times New Roman" w:cs="Times New Roman"/>
        </w:rPr>
      </w:pPr>
      <w:r w:rsidRPr="0049179C">
        <w:rPr>
          <w:rFonts w:ascii="Times New Roman" w:hAnsi="Times New Roman" w:cs="Times New Roman"/>
        </w:rPr>
        <w:t xml:space="preserve">Roseland, M. (2000). Sustainable community development: Integrating environmental, economic, and social objectives. </w:t>
      </w:r>
      <w:r w:rsidRPr="0049179C">
        <w:rPr>
          <w:rFonts w:ascii="Times New Roman" w:hAnsi="Times New Roman" w:cs="Times New Roman"/>
          <w:i/>
          <w:iCs/>
        </w:rPr>
        <w:t>Progress in Planning, 54(</w:t>
      </w:r>
      <w:r w:rsidRPr="0049179C">
        <w:rPr>
          <w:rFonts w:ascii="Times New Roman" w:hAnsi="Times New Roman" w:cs="Times New Roman"/>
        </w:rPr>
        <w:t xml:space="preserve">2), 73–132. </w:t>
      </w:r>
    </w:p>
    <w:p w14:paraId="104151DE" w14:textId="61686A15" w:rsidR="0049179C" w:rsidRPr="0049179C" w:rsidRDefault="0049179C" w:rsidP="0049179C">
      <w:pPr>
        <w:spacing w:line="480" w:lineRule="auto"/>
        <w:rPr>
          <w:rFonts w:ascii="Times New Roman" w:hAnsi="Times New Roman" w:cs="Times New Roman"/>
        </w:rPr>
      </w:pPr>
      <w:r w:rsidRPr="0049179C">
        <w:rPr>
          <w:rFonts w:ascii="Times New Roman" w:hAnsi="Times New Roman" w:cs="Times New Roman"/>
        </w:rPr>
        <w:t xml:space="preserve">Touchton, M., McNulty, S., &amp; Wampler, B. (2023). Participatory budgeting and community development: A global perspective. </w:t>
      </w:r>
      <w:r w:rsidRPr="0049179C">
        <w:rPr>
          <w:rFonts w:ascii="Times New Roman" w:hAnsi="Times New Roman" w:cs="Times New Roman"/>
          <w:i/>
          <w:iCs/>
        </w:rPr>
        <w:t xml:space="preserve">American </w:t>
      </w:r>
      <w:r w:rsidRPr="0049179C">
        <w:rPr>
          <w:rFonts w:ascii="Times New Roman" w:hAnsi="Times New Roman" w:cs="Times New Roman"/>
          <w:i/>
          <w:iCs/>
        </w:rPr>
        <w:t>Behavioural</w:t>
      </w:r>
      <w:r w:rsidRPr="0049179C">
        <w:rPr>
          <w:rFonts w:ascii="Times New Roman" w:hAnsi="Times New Roman" w:cs="Times New Roman"/>
          <w:i/>
          <w:iCs/>
        </w:rPr>
        <w:t xml:space="preserve"> Scientist, 67(</w:t>
      </w:r>
      <w:r w:rsidRPr="0049179C">
        <w:rPr>
          <w:rFonts w:ascii="Times New Roman" w:hAnsi="Times New Roman" w:cs="Times New Roman"/>
        </w:rPr>
        <w:t xml:space="preserve">4), 520–536. </w:t>
      </w:r>
    </w:p>
    <w:p w14:paraId="3C33C58F" w14:textId="3C976B53" w:rsidR="0049179C" w:rsidRDefault="0049179C" w:rsidP="0049179C">
      <w:pPr>
        <w:spacing w:line="480" w:lineRule="auto"/>
        <w:rPr>
          <w:rFonts w:ascii="Times New Roman" w:hAnsi="Times New Roman" w:cs="Times New Roman"/>
        </w:rPr>
      </w:pPr>
      <w:r w:rsidRPr="0049179C">
        <w:rPr>
          <w:rFonts w:ascii="Times New Roman" w:hAnsi="Times New Roman" w:cs="Times New Roman"/>
        </w:rPr>
        <w:lastRenderedPageBreak/>
        <w:t xml:space="preserve">Vargas, C. M. (2000). Community development and micro-enterprises: Fostering sustainable development. </w:t>
      </w:r>
      <w:r w:rsidRPr="0049179C">
        <w:rPr>
          <w:rFonts w:ascii="Times New Roman" w:hAnsi="Times New Roman" w:cs="Times New Roman"/>
          <w:i/>
          <w:iCs/>
        </w:rPr>
        <w:t>Sustainable Development, 8(</w:t>
      </w:r>
      <w:r w:rsidRPr="0049179C">
        <w:rPr>
          <w:rFonts w:ascii="Times New Roman" w:hAnsi="Times New Roman" w:cs="Times New Roman"/>
        </w:rPr>
        <w:t xml:space="preserve">1), 11–26. </w:t>
      </w:r>
    </w:p>
    <w:p w14:paraId="396380DD" w14:textId="6CB5DEEA" w:rsidR="003F0521" w:rsidRDefault="003F0521" w:rsidP="0049179C">
      <w:pPr>
        <w:spacing w:line="480" w:lineRule="auto"/>
        <w:rPr>
          <w:rFonts w:ascii="Times New Roman" w:hAnsi="Times New Roman" w:cs="Times New Roman"/>
        </w:rPr>
      </w:pPr>
      <w:hyperlink r:id="rId6" w:history="1">
        <w:r w:rsidRPr="00405068">
          <w:rPr>
            <w:rStyle w:val="Hyperlink"/>
            <w:rFonts w:ascii="Times New Roman" w:hAnsi="Times New Roman" w:cs="Times New Roman"/>
          </w:rPr>
          <w:t>https://www.romasupportgroup.org.uk/mishto-campaign.html</w:t>
        </w:r>
      </w:hyperlink>
      <w:r>
        <w:rPr>
          <w:rFonts w:ascii="Times New Roman" w:hAnsi="Times New Roman" w:cs="Times New Roman"/>
        </w:rPr>
        <w:t xml:space="preserve"> </w:t>
      </w:r>
    </w:p>
    <w:p w14:paraId="7C160CF3" w14:textId="4D9C4FE6" w:rsidR="003F0521" w:rsidRDefault="003F0521" w:rsidP="0049179C">
      <w:pPr>
        <w:spacing w:line="480" w:lineRule="auto"/>
        <w:rPr>
          <w:rFonts w:ascii="Times New Roman" w:hAnsi="Times New Roman" w:cs="Times New Roman"/>
        </w:rPr>
      </w:pPr>
      <w:hyperlink r:id="rId7" w:history="1">
        <w:r w:rsidRPr="00405068">
          <w:rPr>
            <w:rStyle w:val="Hyperlink"/>
            <w:rFonts w:ascii="Times New Roman" w:hAnsi="Times New Roman" w:cs="Times New Roman"/>
          </w:rPr>
          <w:t>https://www.romasupportgroup.org.uk/stay-settled-in-newham-project.html</w:t>
        </w:r>
      </w:hyperlink>
      <w:r>
        <w:rPr>
          <w:rFonts w:ascii="Times New Roman" w:hAnsi="Times New Roman" w:cs="Times New Roman"/>
        </w:rPr>
        <w:t xml:space="preserve"> </w:t>
      </w:r>
    </w:p>
    <w:p w14:paraId="671B9EBC" w14:textId="5CFAE951" w:rsidR="003F0521" w:rsidRDefault="003F0521" w:rsidP="0049179C">
      <w:pPr>
        <w:spacing w:line="480" w:lineRule="auto"/>
        <w:rPr>
          <w:rFonts w:ascii="Times New Roman" w:hAnsi="Times New Roman" w:cs="Times New Roman"/>
        </w:rPr>
      </w:pPr>
      <w:hyperlink r:id="rId8" w:history="1">
        <w:r w:rsidRPr="00405068">
          <w:rPr>
            <w:rStyle w:val="Hyperlink"/>
            <w:rFonts w:ascii="Times New Roman" w:hAnsi="Times New Roman" w:cs="Times New Roman"/>
          </w:rPr>
          <w:t>https://www.newham.gov.uk/advice-support-benefits/brexit-means/3</w:t>
        </w:r>
      </w:hyperlink>
      <w:r>
        <w:rPr>
          <w:rFonts w:ascii="Times New Roman" w:hAnsi="Times New Roman" w:cs="Times New Roman"/>
        </w:rPr>
        <w:t xml:space="preserve"> </w:t>
      </w:r>
    </w:p>
    <w:p w14:paraId="5533C1F0" w14:textId="20A9DCA8" w:rsidR="003F0521" w:rsidRPr="00240EEE" w:rsidRDefault="003F0521" w:rsidP="0049179C">
      <w:pPr>
        <w:spacing w:line="480" w:lineRule="auto"/>
        <w:rPr>
          <w:rFonts w:ascii="Times New Roman" w:hAnsi="Times New Roman" w:cs="Times New Roman"/>
        </w:rPr>
      </w:pPr>
      <w:hyperlink r:id="rId9" w:history="1">
        <w:r w:rsidRPr="00405068">
          <w:rPr>
            <w:rStyle w:val="Hyperlink"/>
            <w:rFonts w:ascii="Times New Roman" w:hAnsi="Times New Roman" w:cs="Times New Roman"/>
          </w:rPr>
          <w:t>https://www.healtogether.org.uk/en/eusettlement.html</w:t>
        </w:r>
      </w:hyperlink>
      <w:r>
        <w:rPr>
          <w:rFonts w:ascii="Times New Roman" w:hAnsi="Times New Roman" w:cs="Times New Roman"/>
        </w:rPr>
        <w:t xml:space="preserve"> </w:t>
      </w:r>
    </w:p>
    <w:p w14:paraId="4E40E646" w14:textId="194C0E41" w:rsidR="009222CF" w:rsidRDefault="003F0521" w:rsidP="0049179C">
      <w:pPr>
        <w:spacing w:line="480" w:lineRule="auto"/>
        <w:rPr>
          <w:rFonts w:ascii="Times New Roman" w:hAnsi="Times New Roman" w:cs="Times New Roman"/>
        </w:rPr>
      </w:pPr>
      <w:hyperlink r:id="rId10" w:history="1">
        <w:r w:rsidRPr="00405068">
          <w:rPr>
            <w:rStyle w:val="Hyperlink"/>
            <w:rFonts w:ascii="Times New Roman" w:hAnsi="Times New Roman" w:cs="Times New Roman"/>
          </w:rPr>
          <w:t>https://www.renewalprogramme.org.uk/news/stay-settled-in-newham-continued/</w:t>
        </w:r>
      </w:hyperlink>
      <w:r>
        <w:rPr>
          <w:rFonts w:ascii="Times New Roman" w:hAnsi="Times New Roman" w:cs="Times New Roman"/>
        </w:rPr>
        <w:t xml:space="preserve"> </w:t>
      </w:r>
    </w:p>
    <w:p w14:paraId="3D06C928" w14:textId="7929FEEF" w:rsidR="003F0521" w:rsidRDefault="003F0521" w:rsidP="0049179C">
      <w:pPr>
        <w:spacing w:line="480" w:lineRule="auto"/>
        <w:rPr>
          <w:rFonts w:ascii="Times New Roman" w:hAnsi="Times New Roman" w:cs="Times New Roman"/>
        </w:rPr>
      </w:pPr>
      <w:hyperlink r:id="rId11" w:history="1">
        <w:r w:rsidRPr="00405068">
          <w:rPr>
            <w:rStyle w:val="Hyperlink"/>
            <w:rFonts w:ascii="Times New Roman" w:hAnsi="Times New Roman" w:cs="Times New Roman"/>
          </w:rPr>
          <w:t>https://www.healthwatchwalthamforest.co.uk/report/2024-11-11/romanian-trust-and-vaccine-project</w:t>
        </w:r>
      </w:hyperlink>
      <w:r>
        <w:rPr>
          <w:rFonts w:ascii="Times New Roman" w:hAnsi="Times New Roman" w:cs="Times New Roman"/>
        </w:rPr>
        <w:t xml:space="preserve"> </w:t>
      </w:r>
    </w:p>
    <w:p w14:paraId="3AC38268" w14:textId="0AFC32F8" w:rsidR="003F0521" w:rsidRPr="00240EEE" w:rsidRDefault="003F0521" w:rsidP="0049179C">
      <w:pPr>
        <w:spacing w:line="480" w:lineRule="auto"/>
        <w:rPr>
          <w:rFonts w:ascii="Times New Roman" w:hAnsi="Times New Roman" w:cs="Times New Roman"/>
        </w:rPr>
      </w:pPr>
      <w:hyperlink r:id="rId12" w:history="1">
        <w:r w:rsidRPr="00405068">
          <w:rPr>
            <w:rStyle w:val="Hyperlink"/>
            <w:rFonts w:ascii="Times New Roman" w:hAnsi="Times New Roman" w:cs="Times New Roman"/>
          </w:rPr>
          <w:t>https://www.facebook.com/groups/romaniinnewham/</w:t>
        </w:r>
      </w:hyperlink>
      <w:r>
        <w:rPr>
          <w:rFonts w:ascii="Times New Roman" w:hAnsi="Times New Roman" w:cs="Times New Roman"/>
        </w:rPr>
        <w:t xml:space="preserve"> </w:t>
      </w:r>
    </w:p>
    <w:sectPr w:rsidR="003F0521" w:rsidRPr="00240EEE" w:rsidSect="00E16C85">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639F4" w14:textId="77777777" w:rsidR="00795B9F" w:rsidRDefault="00795B9F" w:rsidP="003F0521">
      <w:pPr>
        <w:spacing w:after="0" w:line="240" w:lineRule="auto"/>
      </w:pPr>
      <w:r>
        <w:separator/>
      </w:r>
    </w:p>
  </w:endnote>
  <w:endnote w:type="continuationSeparator" w:id="0">
    <w:p w14:paraId="07CD0A46" w14:textId="77777777" w:rsidR="00795B9F" w:rsidRDefault="00795B9F" w:rsidP="003F0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E285F" w14:textId="77777777" w:rsidR="00795B9F" w:rsidRDefault="00795B9F" w:rsidP="003F0521">
      <w:pPr>
        <w:spacing w:after="0" w:line="240" w:lineRule="auto"/>
      </w:pPr>
      <w:r>
        <w:separator/>
      </w:r>
    </w:p>
  </w:footnote>
  <w:footnote w:type="continuationSeparator" w:id="0">
    <w:p w14:paraId="4D4A232F" w14:textId="77777777" w:rsidR="00795B9F" w:rsidRDefault="00795B9F" w:rsidP="003F05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5771602"/>
      <w:docPartObj>
        <w:docPartGallery w:val="Page Numbers (Top of Page)"/>
        <w:docPartUnique/>
      </w:docPartObj>
    </w:sdtPr>
    <w:sdtEndPr>
      <w:rPr>
        <w:noProof/>
      </w:rPr>
    </w:sdtEndPr>
    <w:sdtContent>
      <w:p w14:paraId="5962064B" w14:textId="0CE42B90" w:rsidR="003F0521" w:rsidRDefault="003F052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3A181BE" w14:textId="77777777" w:rsidR="003F0521" w:rsidRDefault="003F05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EEE"/>
    <w:rsid w:val="00240EEE"/>
    <w:rsid w:val="003F0521"/>
    <w:rsid w:val="0049179C"/>
    <w:rsid w:val="00795B9F"/>
    <w:rsid w:val="009222CF"/>
    <w:rsid w:val="009353FC"/>
    <w:rsid w:val="00E16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D1172"/>
  <w15:chartTrackingRefBased/>
  <w15:docId w15:val="{068B2D62-810E-4AF6-BB2F-50AE8DC2B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E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0E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0E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0E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0E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0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E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E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E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0E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0E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0E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0E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0E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E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E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EEE"/>
    <w:rPr>
      <w:rFonts w:eastAsiaTheme="majorEastAsia" w:cstheme="majorBidi"/>
      <w:color w:val="272727" w:themeColor="text1" w:themeTint="D8"/>
    </w:rPr>
  </w:style>
  <w:style w:type="paragraph" w:styleId="Title">
    <w:name w:val="Title"/>
    <w:basedOn w:val="Normal"/>
    <w:next w:val="Normal"/>
    <w:link w:val="TitleChar"/>
    <w:uiPriority w:val="10"/>
    <w:qFormat/>
    <w:rsid w:val="00240E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E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E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E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EEE"/>
    <w:pPr>
      <w:spacing w:before="160"/>
      <w:jc w:val="center"/>
    </w:pPr>
    <w:rPr>
      <w:i/>
      <w:iCs/>
      <w:color w:val="404040" w:themeColor="text1" w:themeTint="BF"/>
    </w:rPr>
  </w:style>
  <w:style w:type="character" w:customStyle="1" w:styleId="QuoteChar">
    <w:name w:val="Quote Char"/>
    <w:basedOn w:val="DefaultParagraphFont"/>
    <w:link w:val="Quote"/>
    <w:uiPriority w:val="29"/>
    <w:rsid w:val="00240EEE"/>
    <w:rPr>
      <w:i/>
      <w:iCs/>
      <w:color w:val="404040" w:themeColor="text1" w:themeTint="BF"/>
    </w:rPr>
  </w:style>
  <w:style w:type="paragraph" w:styleId="ListParagraph">
    <w:name w:val="List Paragraph"/>
    <w:basedOn w:val="Normal"/>
    <w:uiPriority w:val="34"/>
    <w:qFormat/>
    <w:rsid w:val="00240EEE"/>
    <w:pPr>
      <w:ind w:left="720"/>
      <w:contextualSpacing/>
    </w:pPr>
  </w:style>
  <w:style w:type="character" w:styleId="IntenseEmphasis">
    <w:name w:val="Intense Emphasis"/>
    <w:basedOn w:val="DefaultParagraphFont"/>
    <w:uiPriority w:val="21"/>
    <w:qFormat/>
    <w:rsid w:val="00240EEE"/>
    <w:rPr>
      <w:i/>
      <w:iCs/>
      <w:color w:val="0F4761" w:themeColor="accent1" w:themeShade="BF"/>
    </w:rPr>
  </w:style>
  <w:style w:type="paragraph" w:styleId="IntenseQuote">
    <w:name w:val="Intense Quote"/>
    <w:basedOn w:val="Normal"/>
    <w:next w:val="Normal"/>
    <w:link w:val="IntenseQuoteChar"/>
    <w:uiPriority w:val="30"/>
    <w:qFormat/>
    <w:rsid w:val="00240E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0EEE"/>
    <w:rPr>
      <w:i/>
      <w:iCs/>
      <w:color w:val="0F4761" w:themeColor="accent1" w:themeShade="BF"/>
    </w:rPr>
  </w:style>
  <w:style w:type="character" w:styleId="IntenseReference">
    <w:name w:val="Intense Reference"/>
    <w:basedOn w:val="DefaultParagraphFont"/>
    <w:uiPriority w:val="32"/>
    <w:qFormat/>
    <w:rsid w:val="00240EEE"/>
    <w:rPr>
      <w:b/>
      <w:bCs/>
      <w:smallCaps/>
      <w:color w:val="0F4761" w:themeColor="accent1" w:themeShade="BF"/>
      <w:spacing w:val="5"/>
    </w:rPr>
  </w:style>
  <w:style w:type="character" w:styleId="Hyperlink">
    <w:name w:val="Hyperlink"/>
    <w:basedOn w:val="DefaultParagraphFont"/>
    <w:uiPriority w:val="99"/>
    <w:unhideWhenUsed/>
    <w:rsid w:val="003F0521"/>
    <w:rPr>
      <w:color w:val="467886" w:themeColor="hyperlink"/>
      <w:u w:val="single"/>
    </w:rPr>
  </w:style>
  <w:style w:type="character" w:styleId="UnresolvedMention">
    <w:name w:val="Unresolved Mention"/>
    <w:basedOn w:val="DefaultParagraphFont"/>
    <w:uiPriority w:val="99"/>
    <w:semiHidden/>
    <w:unhideWhenUsed/>
    <w:rsid w:val="003F0521"/>
    <w:rPr>
      <w:color w:val="605E5C"/>
      <w:shd w:val="clear" w:color="auto" w:fill="E1DFDD"/>
    </w:rPr>
  </w:style>
  <w:style w:type="paragraph" w:styleId="Header">
    <w:name w:val="header"/>
    <w:basedOn w:val="Normal"/>
    <w:link w:val="HeaderChar"/>
    <w:uiPriority w:val="99"/>
    <w:unhideWhenUsed/>
    <w:rsid w:val="003F05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521"/>
  </w:style>
  <w:style w:type="paragraph" w:styleId="Footer">
    <w:name w:val="footer"/>
    <w:basedOn w:val="Normal"/>
    <w:link w:val="FooterChar"/>
    <w:uiPriority w:val="99"/>
    <w:unhideWhenUsed/>
    <w:rsid w:val="003F05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521"/>
  </w:style>
  <w:style w:type="paragraph" w:styleId="NoSpacing">
    <w:name w:val="No Spacing"/>
    <w:link w:val="NoSpacingChar"/>
    <w:uiPriority w:val="1"/>
    <w:qFormat/>
    <w:rsid w:val="00E16C8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16C8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ham.gov.uk/advice-support-benefits/brexit-means/3"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romasupportgroup.org.uk/stay-settled-in-newham-project.html" TargetMode="External"/><Relationship Id="rId12" Type="http://schemas.openxmlformats.org/officeDocument/2006/relationships/hyperlink" Target="https://www.facebook.com/groups/romaniinnewha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omasupportgroup.org.uk/mishto-campaign.html" TargetMode="External"/><Relationship Id="rId11" Type="http://schemas.openxmlformats.org/officeDocument/2006/relationships/hyperlink" Target="https://www.healthwatchwalthamforest.co.uk/report/2024-11-11/romanian-trust-and-vaccine-project"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renewalprogramme.org.uk/news/stay-settled-in-newham-continued/" TargetMode="External"/><Relationship Id="rId4" Type="http://schemas.openxmlformats.org/officeDocument/2006/relationships/footnotes" Target="footnotes.xml"/><Relationship Id="rId9" Type="http://schemas.openxmlformats.org/officeDocument/2006/relationships/hyperlink" Target="https://www.healtogether.org.uk/en/eusettlement.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2531</Words>
  <Characters>14428</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2026-04-01T20:01:00Z</dcterms:created>
  <dcterms:modified xsi:type="dcterms:W3CDTF">2026-04-01T20:01:00Z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3b79020b-1401-4204-8141-f6f5517e475d</vt:lpwstr>
  </property>
</Properties>
</file>