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B8123" w14:textId="77777777" w:rsidR="00226D4A" w:rsidRDefault="00226D4A" w:rsidP="00226D4A">
      <w:pPr>
        <w:jc w:val="center"/>
        <w:rPr>
          <w:b/>
          <w:bCs/>
          <w:sz w:val="44"/>
          <w:szCs w:val="40"/>
        </w:rPr>
      </w:pPr>
    </w:p>
    <w:p w14:paraId="2E7148FC" w14:textId="77777777" w:rsidR="00226D4A" w:rsidRDefault="00226D4A" w:rsidP="00226D4A">
      <w:pPr>
        <w:jc w:val="center"/>
        <w:rPr>
          <w:b/>
          <w:bCs/>
          <w:sz w:val="44"/>
          <w:szCs w:val="40"/>
        </w:rPr>
      </w:pPr>
    </w:p>
    <w:p w14:paraId="513F54A0" w14:textId="77777777" w:rsidR="00226D4A" w:rsidRDefault="00226D4A" w:rsidP="00226D4A">
      <w:pPr>
        <w:jc w:val="center"/>
        <w:rPr>
          <w:b/>
          <w:bCs/>
          <w:sz w:val="44"/>
          <w:szCs w:val="40"/>
        </w:rPr>
      </w:pPr>
    </w:p>
    <w:p w14:paraId="2A6A24D2" w14:textId="77777777" w:rsidR="00226D4A" w:rsidRDefault="00226D4A" w:rsidP="00226D4A">
      <w:pPr>
        <w:jc w:val="center"/>
        <w:rPr>
          <w:b/>
          <w:bCs/>
          <w:sz w:val="44"/>
          <w:szCs w:val="40"/>
        </w:rPr>
      </w:pPr>
    </w:p>
    <w:p w14:paraId="13087FC2" w14:textId="77777777" w:rsidR="00226D4A" w:rsidRDefault="00226D4A" w:rsidP="00226D4A">
      <w:pPr>
        <w:jc w:val="center"/>
        <w:rPr>
          <w:b/>
          <w:bCs/>
          <w:sz w:val="44"/>
          <w:szCs w:val="40"/>
        </w:rPr>
      </w:pPr>
    </w:p>
    <w:p w14:paraId="0B26A14F" w14:textId="639FC747" w:rsidR="00226D4A" w:rsidRPr="00226D4A" w:rsidRDefault="00226D4A" w:rsidP="00226D4A">
      <w:pPr>
        <w:jc w:val="center"/>
        <w:rPr>
          <w:b/>
          <w:bCs/>
          <w:sz w:val="44"/>
          <w:szCs w:val="40"/>
        </w:rPr>
      </w:pPr>
      <w:r w:rsidRPr="00226D4A">
        <w:rPr>
          <w:b/>
          <w:bCs/>
          <w:sz w:val="44"/>
          <w:szCs w:val="40"/>
        </w:rPr>
        <w:t>LCBB5004</w:t>
      </w:r>
      <w:r w:rsidR="002E2AB2">
        <w:rPr>
          <w:b/>
          <w:bCs/>
          <w:sz w:val="44"/>
          <w:szCs w:val="40"/>
        </w:rPr>
        <w:t>_BIRM</w:t>
      </w:r>
    </w:p>
    <w:p w14:paraId="0D2606B1" w14:textId="69D77EC1" w:rsidR="0097238C" w:rsidRPr="00226D4A" w:rsidRDefault="005E4C0F" w:rsidP="00226D4A">
      <w:pPr>
        <w:jc w:val="center"/>
        <w:rPr>
          <w:b/>
          <w:bCs/>
          <w:sz w:val="44"/>
          <w:szCs w:val="40"/>
        </w:rPr>
      </w:pPr>
      <w:r w:rsidRPr="00226D4A">
        <w:rPr>
          <w:b/>
          <w:bCs/>
          <w:sz w:val="44"/>
          <w:szCs w:val="40"/>
        </w:rPr>
        <w:t>Managing People</w:t>
      </w:r>
    </w:p>
    <w:p w14:paraId="63526F2A" w14:textId="77777777" w:rsidR="005E4C0F" w:rsidRPr="00226D4A" w:rsidRDefault="005E4C0F" w:rsidP="00226D4A">
      <w:pPr>
        <w:jc w:val="center"/>
        <w:rPr>
          <w:b/>
          <w:bCs/>
          <w:sz w:val="44"/>
          <w:szCs w:val="40"/>
        </w:rPr>
      </w:pPr>
      <w:r w:rsidRPr="00226D4A">
        <w:rPr>
          <w:b/>
          <w:bCs/>
          <w:sz w:val="44"/>
          <w:szCs w:val="40"/>
        </w:rPr>
        <w:t>Assessment Component 2</w:t>
      </w:r>
    </w:p>
    <w:p w14:paraId="52080B21" w14:textId="76312F12" w:rsidR="005E4C0F" w:rsidRPr="00226D4A" w:rsidRDefault="005E4C0F" w:rsidP="00226D4A">
      <w:pPr>
        <w:ind w:left="0" w:firstLine="0"/>
        <w:jc w:val="center"/>
        <w:rPr>
          <w:b/>
          <w:bCs/>
          <w:sz w:val="44"/>
          <w:szCs w:val="40"/>
        </w:rPr>
      </w:pPr>
      <w:r w:rsidRPr="00226D4A">
        <w:rPr>
          <w:b/>
          <w:bCs/>
          <w:sz w:val="44"/>
          <w:szCs w:val="40"/>
        </w:rPr>
        <w:t>Individual report</w:t>
      </w:r>
    </w:p>
    <w:p w14:paraId="720CD698" w14:textId="63E582A8" w:rsidR="005E4C0F" w:rsidRPr="00226D4A" w:rsidRDefault="005E4C0F" w:rsidP="00226D4A">
      <w:pPr>
        <w:ind w:left="0" w:firstLine="0"/>
        <w:jc w:val="center"/>
        <w:rPr>
          <w:b/>
          <w:bCs/>
          <w:sz w:val="44"/>
          <w:szCs w:val="40"/>
        </w:rPr>
      </w:pPr>
      <w:r w:rsidRPr="00226D4A">
        <w:rPr>
          <w:b/>
          <w:bCs/>
          <w:sz w:val="44"/>
          <w:szCs w:val="40"/>
        </w:rPr>
        <w:t>Student Name:</w:t>
      </w:r>
      <w:r w:rsidR="002E2AB2">
        <w:rPr>
          <w:b/>
          <w:bCs/>
          <w:sz w:val="44"/>
          <w:szCs w:val="40"/>
        </w:rPr>
        <w:t xml:space="preserve"> Silviu-Mircea Moisa</w:t>
      </w:r>
    </w:p>
    <w:p w14:paraId="143E5399" w14:textId="44DB2D32" w:rsidR="005E4C0F" w:rsidRDefault="005E4C0F" w:rsidP="00226D4A">
      <w:pPr>
        <w:ind w:left="0" w:firstLine="0"/>
        <w:jc w:val="center"/>
        <w:rPr>
          <w:b/>
          <w:bCs/>
          <w:sz w:val="44"/>
          <w:szCs w:val="40"/>
        </w:rPr>
      </w:pPr>
      <w:r w:rsidRPr="00226D4A">
        <w:rPr>
          <w:b/>
          <w:bCs/>
          <w:sz w:val="44"/>
          <w:szCs w:val="40"/>
        </w:rPr>
        <w:t>Student ID:</w:t>
      </w:r>
      <w:r w:rsidR="002E2AB2">
        <w:rPr>
          <w:b/>
          <w:bCs/>
          <w:sz w:val="44"/>
          <w:szCs w:val="40"/>
        </w:rPr>
        <w:t xml:space="preserve"> 2014968</w:t>
      </w:r>
    </w:p>
    <w:p w14:paraId="6BECACB8" w14:textId="70602B5B" w:rsidR="002E2AB2" w:rsidRPr="00226D4A" w:rsidRDefault="002E2AB2" w:rsidP="00226D4A">
      <w:pPr>
        <w:ind w:left="0" w:firstLine="0"/>
        <w:jc w:val="center"/>
        <w:rPr>
          <w:b/>
          <w:bCs/>
          <w:sz w:val="44"/>
          <w:szCs w:val="40"/>
        </w:rPr>
      </w:pPr>
      <w:r>
        <w:rPr>
          <w:b/>
          <w:bCs/>
          <w:sz w:val="44"/>
          <w:szCs w:val="40"/>
        </w:rPr>
        <w:t>Lecturer: Samuel Ofori</w:t>
      </w:r>
    </w:p>
    <w:p w14:paraId="5A3EA6F7" w14:textId="64BCB454" w:rsidR="00226D4A" w:rsidRDefault="00226D4A">
      <w:pPr>
        <w:spacing w:after="0"/>
        <w:ind w:left="0" w:firstLine="0"/>
      </w:pPr>
      <w:r>
        <w:br w:type="page"/>
      </w:r>
    </w:p>
    <w:p w14:paraId="22DF72EF" w14:textId="28C089F1" w:rsidR="0069316A" w:rsidRPr="0069316A" w:rsidRDefault="0069316A" w:rsidP="0069316A">
      <w:pPr>
        <w:jc w:val="center"/>
        <w:rPr>
          <w:b/>
          <w:bCs/>
        </w:rPr>
      </w:pPr>
      <w:r w:rsidRPr="0069316A">
        <w:rPr>
          <w:b/>
          <w:bCs/>
        </w:rPr>
        <w:lastRenderedPageBreak/>
        <w:t>Executive summary</w:t>
      </w:r>
    </w:p>
    <w:p w14:paraId="714903BA" w14:textId="38C038A1" w:rsidR="00D14E3A" w:rsidRDefault="0069316A" w:rsidP="0069316A">
      <w:r w:rsidRPr="001C0A49">
        <w:t>This report has discussed the benefits of flexible working strategies and their implementation within an agricultural equipment manufacturing organisation, GreenCo. The aspects the HR department of the organisation needs to consider regarding the implementation of flexible working to the employee workforce have been described here. Along with that, it will discuss the need of reconfiguring the needed pay structure of the organisation. The report will evaluate Gree</w:t>
      </w:r>
      <w:r>
        <w:t>n</w:t>
      </w:r>
      <w:r w:rsidRPr="001C0A49">
        <w:t>Co’s employee engagement strategies through the theory of Maslow, job characteristics, two-factor and job characteristics model. </w:t>
      </w:r>
    </w:p>
    <w:p w14:paraId="41495B3E" w14:textId="77777777" w:rsidR="00D14E3A" w:rsidRDefault="00D14E3A">
      <w:pPr>
        <w:spacing w:after="0"/>
        <w:ind w:left="0" w:firstLine="0"/>
      </w:pPr>
      <w:r>
        <w:br w:type="page"/>
      </w:r>
    </w:p>
    <w:sdt>
      <w:sdtPr>
        <w:rPr>
          <w:rFonts w:ascii="Times New Roman" w:eastAsia="Calibri" w:hAnsi="Times New Roman" w:cs="Calibri"/>
          <w:color w:val="000000"/>
          <w:sz w:val="24"/>
          <w:szCs w:val="22"/>
          <w:lang w:val="en-GB" w:eastAsia="en-GB" w:bidi="en-GB"/>
        </w:rPr>
        <w:id w:val="1345600907"/>
        <w:docPartObj>
          <w:docPartGallery w:val="Table of Contents"/>
          <w:docPartUnique/>
        </w:docPartObj>
      </w:sdtPr>
      <w:sdtEndPr>
        <w:rPr>
          <w:b/>
          <w:bCs/>
          <w:noProof/>
        </w:rPr>
      </w:sdtEndPr>
      <w:sdtContent>
        <w:p w14:paraId="21AE44CF" w14:textId="6A48C2BF" w:rsidR="00D14E3A" w:rsidRDefault="00D14E3A">
          <w:pPr>
            <w:pStyle w:val="TOCHeading"/>
          </w:pPr>
          <w:r>
            <w:t>Table of Contents</w:t>
          </w:r>
        </w:p>
        <w:p w14:paraId="30BD21B6" w14:textId="5A63BEB0" w:rsidR="00D14E3A" w:rsidRDefault="00D14E3A">
          <w:pPr>
            <w:pStyle w:val="TOC1"/>
            <w:tabs>
              <w:tab w:val="right" w:leader="dot" w:pos="9016"/>
            </w:tabs>
            <w:rPr>
              <w:noProof/>
            </w:rPr>
          </w:pPr>
          <w:r>
            <w:fldChar w:fldCharType="begin"/>
          </w:r>
          <w:r>
            <w:instrText xml:space="preserve"> TOC \o "1-3" \h \z \u </w:instrText>
          </w:r>
          <w:r>
            <w:fldChar w:fldCharType="separate"/>
          </w:r>
          <w:hyperlink w:anchor="_Toc140768287" w:history="1">
            <w:r w:rsidRPr="00F81813">
              <w:rPr>
                <w:rStyle w:val="Hyperlink"/>
                <w:noProof/>
              </w:rPr>
              <w:t>Introduction</w:t>
            </w:r>
            <w:r>
              <w:rPr>
                <w:noProof/>
                <w:webHidden/>
              </w:rPr>
              <w:tab/>
            </w:r>
            <w:r>
              <w:rPr>
                <w:noProof/>
                <w:webHidden/>
              </w:rPr>
              <w:fldChar w:fldCharType="begin"/>
            </w:r>
            <w:r>
              <w:rPr>
                <w:noProof/>
                <w:webHidden/>
              </w:rPr>
              <w:instrText xml:space="preserve"> PAGEREF _Toc140768287 \h </w:instrText>
            </w:r>
            <w:r>
              <w:rPr>
                <w:noProof/>
                <w:webHidden/>
              </w:rPr>
            </w:r>
            <w:r>
              <w:rPr>
                <w:noProof/>
                <w:webHidden/>
              </w:rPr>
              <w:fldChar w:fldCharType="separate"/>
            </w:r>
            <w:r>
              <w:rPr>
                <w:noProof/>
                <w:webHidden/>
              </w:rPr>
              <w:t>4</w:t>
            </w:r>
            <w:r>
              <w:rPr>
                <w:noProof/>
                <w:webHidden/>
              </w:rPr>
              <w:fldChar w:fldCharType="end"/>
            </w:r>
          </w:hyperlink>
        </w:p>
        <w:p w14:paraId="62C30D08" w14:textId="38743BF1" w:rsidR="00D14E3A" w:rsidRDefault="00000000">
          <w:pPr>
            <w:pStyle w:val="TOC1"/>
            <w:tabs>
              <w:tab w:val="right" w:leader="dot" w:pos="9016"/>
            </w:tabs>
            <w:rPr>
              <w:noProof/>
            </w:rPr>
          </w:pPr>
          <w:hyperlink w:anchor="_Toc140768288" w:history="1">
            <w:r w:rsidR="00D14E3A" w:rsidRPr="00F81813">
              <w:rPr>
                <w:rStyle w:val="Hyperlink"/>
                <w:noProof/>
              </w:rPr>
              <w:t>Outline the benefits of implementing flexible working strategies in GreenCo.</w:t>
            </w:r>
            <w:r w:rsidR="00D14E3A">
              <w:rPr>
                <w:noProof/>
                <w:webHidden/>
              </w:rPr>
              <w:tab/>
            </w:r>
            <w:r w:rsidR="00D14E3A">
              <w:rPr>
                <w:noProof/>
                <w:webHidden/>
              </w:rPr>
              <w:fldChar w:fldCharType="begin"/>
            </w:r>
            <w:r w:rsidR="00D14E3A">
              <w:rPr>
                <w:noProof/>
                <w:webHidden/>
              </w:rPr>
              <w:instrText xml:space="preserve"> PAGEREF _Toc140768288 \h </w:instrText>
            </w:r>
            <w:r w:rsidR="00D14E3A">
              <w:rPr>
                <w:noProof/>
                <w:webHidden/>
              </w:rPr>
            </w:r>
            <w:r w:rsidR="00D14E3A">
              <w:rPr>
                <w:noProof/>
                <w:webHidden/>
              </w:rPr>
              <w:fldChar w:fldCharType="separate"/>
            </w:r>
            <w:r w:rsidR="00D14E3A">
              <w:rPr>
                <w:noProof/>
                <w:webHidden/>
              </w:rPr>
              <w:t>5</w:t>
            </w:r>
            <w:r w:rsidR="00D14E3A">
              <w:rPr>
                <w:noProof/>
                <w:webHidden/>
              </w:rPr>
              <w:fldChar w:fldCharType="end"/>
            </w:r>
          </w:hyperlink>
        </w:p>
        <w:p w14:paraId="6FD7E028" w14:textId="24298C67" w:rsidR="00D14E3A" w:rsidRDefault="00000000">
          <w:pPr>
            <w:pStyle w:val="TOC1"/>
            <w:tabs>
              <w:tab w:val="right" w:leader="dot" w:pos="9016"/>
            </w:tabs>
            <w:rPr>
              <w:noProof/>
            </w:rPr>
          </w:pPr>
          <w:hyperlink w:anchor="_Toc140768289" w:history="1">
            <w:r w:rsidR="00D14E3A" w:rsidRPr="00F81813">
              <w:rPr>
                <w:rStyle w:val="Hyperlink"/>
                <w:noProof/>
              </w:rPr>
              <w:t>Describe what GreenCo and more specifically the HR department, should consider before implementing flexible working to the employee workforce.</w:t>
            </w:r>
            <w:r w:rsidR="00D14E3A">
              <w:rPr>
                <w:noProof/>
                <w:webHidden/>
              </w:rPr>
              <w:tab/>
            </w:r>
            <w:r w:rsidR="00D14E3A">
              <w:rPr>
                <w:noProof/>
                <w:webHidden/>
              </w:rPr>
              <w:fldChar w:fldCharType="begin"/>
            </w:r>
            <w:r w:rsidR="00D14E3A">
              <w:rPr>
                <w:noProof/>
                <w:webHidden/>
              </w:rPr>
              <w:instrText xml:space="preserve"> PAGEREF _Toc140768289 \h </w:instrText>
            </w:r>
            <w:r w:rsidR="00D14E3A">
              <w:rPr>
                <w:noProof/>
                <w:webHidden/>
              </w:rPr>
            </w:r>
            <w:r w:rsidR="00D14E3A">
              <w:rPr>
                <w:noProof/>
                <w:webHidden/>
              </w:rPr>
              <w:fldChar w:fldCharType="separate"/>
            </w:r>
            <w:r w:rsidR="00D14E3A">
              <w:rPr>
                <w:noProof/>
                <w:webHidden/>
              </w:rPr>
              <w:t>7</w:t>
            </w:r>
            <w:r w:rsidR="00D14E3A">
              <w:rPr>
                <w:noProof/>
                <w:webHidden/>
              </w:rPr>
              <w:fldChar w:fldCharType="end"/>
            </w:r>
          </w:hyperlink>
        </w:p>
        <w:p w14:paraId="47BF446F" w14:textId="7C1715B7" w:rsidR="00D14E3A" w:rsidRDefault="00000000">
          <w:pPr>
            <w:pStyle w:val="TOC1"/>
            <w:tabs>
              <w:tab w:val="right" w:leader="dot" w:pos="9016"/>
            </w:tabs>
            <w:rPr>
              <w:noProof/>
            </w:rPr>
          </w:pPr>
          <w:hyperlink w:anchor="_Toc140768290" w:history="1">
            <w:r w:rsidR="00D14E3A" w:rsidRPr="00F81813">
              <w:rPr>
                <w:rStyle w:val="Hyperlink"/>
                <w:noProof/>
              </w:rPr>
              <w:t>Discussion on the pay structure that GreenCo improve to implement flexible working in the workforce</w:t>
            </w:r>
            <w:r w:rsidR="00D14E3A">
              <w:rPr>
                <w:noProof/>
                <w:webHidden/>
              </w:rPr>
              <w:tab/>
            </w:r>
            <w:r w:rsidR="00D14E3A">
              <w:rPr>
                <w:noProof/>
                <w:webHidden/>
              </w:rPr>
              <w:fldChar w:fldCharType="begin"/>
            </w:r>
            <w:r w:rsidR="00D14E3A">
              <w:rPr>
                <w:noProof/>
                <w:webHidden/>
              </w:rPr>
              <w:instrText xml:space="preserve"> PAGEREF _Toc140768290 \h </w:instrText>
            </w:r>
            <w:r w:rsidR="00D14E3A">
              <w:rPr>
                <w:noProof/>
                <w:webHidden/>
              </w:rPr>
            </w:r>
            <w:r w:rsidR="00D14E3A">
              <w:rPr>
                <w:noProof/>
                <w:webHidden/>
              </w:rPr>
              <w:fldChar w:fldCharType="separate"/>
            </w:r>
            <w:r w:rsidR="00D14E3A">
              <w:rPr>
                <w:noProof/>
                <w:webHidden/>
              </w:rPr>
              <w:t>9</w:t>
            </w:r>
            <w:r w:rsidR="00D14E3A">
              <w:rPr>
                <w:noProof/>
                <w:webHidden/>
              </w:rPr>
              <w:fldChar w:fldCharType="end"/>
            </w:r>
          </w:hyperlink>
        </w:p>
        <w:p w14:paraId="0FB1315E" w14:textId="7FF6771C" w:rsidR="00D14E3A" w:rsidRDefault="00000000">
          <w:pPr>
            <w:pStyle w:val="TOC1"/>
            <w:tabs>
              <w:tab w:val="right" w:leader="dot" w:pos="9016"/>
            </w:tabs>
            <w:rPr>
              <w:noProof/>
            </w:rPr>
          </w:pPr>
          <w:hyperlink w:anchor="_Toc140768291" w:history="1">
            <w:r w:rsidR="00D14E3A" w:rsidRPr="00F81813">
              <w:rPr>
                <w:rStyle w:val="Hyperlink"/>
                <w:noProof/>
              </w:rPr>
              <w:t>Evaluates strategies to promote employee engagement whiles implementing flexible working</w:t>
            </w:r>
            <w:r w:rsidR="00D14E3A">
              <w:rPr>
                <w:noProof/>
                <w:webHidden/>
              </w:rPr>
              <w:tab/>
            </w:r>
            <w:r w:rsidR="00D14E3A">
              <w:rPr>
                <w:noProof/>
                <w:webHidden/>
              </w:rPr>
              <w:fldChar w:fldCharType="begin"/>
            </w:r>
            <w:r w:rsidR="00D14E3A">
              <w:rPr>
                <w:noProof/>
                <w:webHidden/>
              </w:rPr>
              <w:instrText xml:space="preserve"> PAGEREF _Toc140768291 \h </w:instrText>
            </w:r>
            <w:r w:rsidR="00D14E3A">
              <w:rPr>
                <w:noProof/>
                <w:webHidden/>
              </w:rPr>
            </w:r>
            <w:r w:rsidR="00D14E3A">
              <w:rPr>
                <w:noProof/>
                <w:webHidden/>
              </w:rPr>
              <w:fldChar w:fldCharType="separate"/>
            </w:r>
            <w:r w:rsidR="00D14E3A">
              <w:rPr>
                <w:noProof/>
                <w:webHidden/>
              </w:rPr>
              <w:t>11</w:t>
            </w:r>
            <w:r w:rsidR="00D14E3A">
              <w:rPr>
                <w:noProof/>
                <w:webHidden/>
              </w:rPr>
              <w:fldChar w:fldCharType="end"/>
            </w:r>
          </w:hyperlink>
        </w:p>
        <w:p w14:paraId="1BBF8ADD" w14:textId="0CE6CDA9" w:rsidR="00D14E3A" w:rsidRDefault="00000000">
          <w:pPr>
            <w:pStyle w:val="TOC1"/>
            <w:tabs>
              <w:tab w:val="right" w:leader="dot" w:pos="9016"/>
            </w:tabs>
            <w:rPr>
              <w:noProof/>
            </w:rPr>
          </w:pPr>
          <w:hyperlink w:anchor="_Toc140768292" w:history="1">
            <w:r w:rsidR="00D14E3A" w:rsidRPr="00F81813">
              <w:rPr>
                <w:rStyle w:val="Hyperlink"/>
                <w:noProof/>
              </w:rPr>
              <w:t>Conclusion</w:t>
            </w:r>
            <w:r w:rsidR="00D14E3A">
              <w:rPr>
                <w:noProof/>
                <w:webHidden/>
              </w:rPr>
              <w:tab/>
            </w:r>
            <w:r w:rsidR="00D14E3A">
              <w:rPr>
                <w:noProof/>
                <w:webHidden/>
              </w:rPr>
              <w:fldChar w:fldCharType="begin"/>
            </w:r>
            <w:r w:rsidR="00D14E3A">
              <w:rPr>
                <w:noProof/>
                <w:webHidden/>
              </w:rPr>
              <w:instrText xml:space="preserve"> PAGEREF _Toc140768292 \h </w:instrText>
            </w:r>
            <w:r w:rsidR="00D14E3A">
              <w:rPr>
                <w:noProof/>
                <w:webHidden/>
              </w:rPr>
            </w:r>
            <w:r w:rsidR="00D14E3A">
              <w:rPr>
                <w:noProof/>
                <w:webHidden/>
              </w:rPr>
              <w:fldChar w:fldCharType="separate"/>
            </w:r>
            <w:r w:rsidR="00D14E3A">
              <w:rPr>
                <w:noProof/>
                <w:webHidden/>
              </w:rPr>
              <w:t>13</w:t>
            </w:r>
            <w:r w:rsidR="00D14E3A">
              <w:rPr>
                <w:noProof/>
                <w:webHidden/>
              </w:rPr>
              <w:fldChar w:fldCharType="end"/>
            </w:r>
          </w:hyperlink>
        </w:p>
        <w:p w14:paraId="1E3EFE1A" w14:textId="1B031399" w:rsidR="00D14E3A" w:rsidRDefault="00000000">
          <w:pPr>
            <w:pStyle w:val="TOC1"/>
            <w:tabs>
              <w:tab w:val="right" w:leader="dot" w:pos="9016"/>
            </w:tabs>
            <w:rPr>
              <w:noProof/>
            </w:rPr>
          </w:pPr>
          <w:hyperlink w:anchor="_Toc140768293" w:history="1">
            <w:r w:rsidR="00D14E3A" w:rsidRPr="00F81813">
              <w:rPr>
                <w:rStyle w:val="Hyperlink"/>
                <w:noProof/>
              </w:rPr>
              <w:t>References</w:t>
            </w:r>
            <w:r w:rsidR="00D14E3A">
              <w:rPr>
                <w:noProof/>
                <w:webHidden/>
              </w:rPr>
              <w:tab/>
            </w:r>
            <w:r w:rsidR="00D14E3A">
              <w:rPr>
                <w:noProof/>
                <w:webHidden/>
              </w:rPr>
              <w:fldChar w:fldCharType="begin"/>
            </w:r>
            <w:r w:rsidR="00D14E3A">
              <w:rPr>
                <w:noProof/>
                <w:webHidden/>
              </w:rPr>
              <w:instrText xml:space="preserve"> PAGEREF _Toc140768293 \h </w:instrText>
            </w:r>
            <w:r w:rsidR="00D14E3A">
              <w:rPr>
                <w:noProof/>
                <w:webHidden/>
              </w:rPr>
            </w:r>
            <w:r w:rsidR="00D14E3A">
              <w:rPr>
                <w:noProof/>
                <w:webHidden/>
              </w:rPr>
              <w:fldChar w:fldCharType="separate"/>
            </w:r>
            <w:r w:rsidR="00D14E3A">
              <w:rPr>
                <w:noProof/>
                <w:webHidden/>
              </w:rPr>
              <w:t>14</w:t>
            </w:r>
            <w:r w:rsidR="00D14E3A">
              <w:rPr>
                <w:noProof/>
                <w:webHidden/>
              </w:rPr>
              <w:fldChar w:fldCharType="end"/>
            </w:r>
          </w:hyperlink>
        </w:p>
        <w:p w14:paraId="35928E78" w14:textId="60139505" w:rsidR="00D14E3A" w:rsidRDefault="00D14E3A">
          <w:r>
            <w:rPr>
              <w:b/>
              <w:bCs/>
              <w:noProof/>
            </w:rPr>
            <w:fldChar w:fldCharType="end"/>
          </w:r>
        </w:p>
      </w:sdtContent>
    </w:sdt>
    <w:p w14:paraId="6462AE29" w14:textId="77777777" w:rsidR="0069316A" w:rsidRPr="001C0A49" w:rsidRDefault="0069316A" w:rsidP="0069316A"/>
    <w:p w14:paraId="348940A2" w14:textId="47DAE80B" w:rsidR="00743295" w:rsidRDefault="00743295">
      <w:pPr>
        <w:spacing w:after="0"/>
        <w:ind w:left="0" w:firstLine="0"/>
        <w:rPr>
          <w:b/>
          <w:kern w:val="2"/>
          <w:sz w:val="28"/>
          <w:u w:color="000000"/>
          <w:lang w:val="en-IN" w:eastAsia="en-US" w:bidi="ar-SA"/>
          <w14:ligatures w14:val="standardContextual"/>
        </w:rPr>
      </w:pPr>
      <w:r>
        <w:rPr>
          <w:b/>
          <w:kern w:val="2"/>
          <w:sz w:val="28"/>
          <w:u w:color="000000"/>
          <w:lang w:val="en-IN" w:eastAsia="en-US" w:bidi="ar-SA"/>
          <w14:ligatures w14:val="standardContextual"/>
        </w:rPr>
        <w:br w:type="page"/>
      </w:r>
    </w:p>
    <w:p w14:paraId="1D2AA250" w14:textId="27EB4469" w:rsidR="00743295" w:rsidRPr="001C0A49" w:rsidRDefault="00743295" w:rsidP="0080378D">
      <w:pPr>
        <w:pStyle w:val="Heading1"/>
      </w:pPr>
      <w:bookmarkStart w:id="0" w:name="_Toc140768287"/>
      <w:r w:rsidRPr="001C0A49">
        <w:lastRenderedPageBreak/>
        <w:t>Introduction</w:t>
      </w:r>
      <w:bookmarkEnd w:id="0"/>
      <w:r w:rsidRPr="001C0A49">
        <w:t xml:space="preserve"> </w:t>
      </w:r>
    </w:p>
    <w:p w14:paraId="07A19DCC" w14:textId="77777777" w:rsidR="00743295" w:rsidRPr="001C0A49" w:rsidRDefault="00743295" w:rsidP="00743295">
      <w:r w:rsidRPr="001C0A49">
        <w:rPr>
          <w:shd w:val="clear" w:color="auto" w:fill="FFFFFF"/>
        </w:rPr>
        <w:t>This report will define the concept of flexible working strategies within an organisation and its need in the organisation. GreenCo being a business organisation that is a manufacturer and seller of agricultural equipment needs to implement flexible working strategies in the organisation. The benefits that GreenCo will get after the implementation of flexible working strategies will be discussed here. Furthermore, the aspects that the HR department of GreenCo must consider before the implementation will be presented. Additionally, a discussion on the need of reconfiguring the required pay structure after the implementation of flexible working will be presented below. At the end of the report, there will be an evaluation of strategies that GreenCo will promote for employee engagement while implementing flexible working.</w:t>
      </w:r>
    </w:p>
    <w:p w14:paraId="29FF89E4" w14:textId="77777777" w:rsidR="0069316A" w:rsidRDefault="0069316A">
      <w:pPr>
        <w:spacing w:after="0"/>
        <w:ind w:left="0" w:firstLine="0"/>
        <w:rPr>
          <w:b/>
          <w:kern w:val="2"/>
          <w:sz w:val="28"/>
          <w:u w:color="000000"/>
          <w:lang w:val="en-IN" w:eastAsia="en-US" w:bidi="ar-SA"/>
          <w14:ligatures w14:val="standardContextual"/>
        </w:rPr>
      </w:pPr>
    </w:p>
    <w:p w14:paraId="0DADBA1E" w14:textId="77777777" w:rsidR="00743295" w:rsidRDefault="00743295">
      <w:pPr>
        <w:spacing w:after="0"/>
        <w:ind w:left="0" w:firstLine="0"/>
        <w:rPr>
          <w:b/>
          <w:kern w:val="2"/>
          <w:sz w:val="28"/>
          <w:u w:color="000000"/>
          <w:lang w:val="en-IN" w:eastAsia="en-US" w:bidi="ar-SA"/>
          <w14:ligatures w14:val="standardContextual"/>
        </w:rPr>
      </w:pPr>
      <w:r>
        <w:br w:type="page"/>
      </w:r>
    </w:p>
    <w:p w14:paraId="24593FCD" w14:textId="53EBBF1D" w:rsidR="0080378D" w:rsidRPr="001C0A49" w:rsidRDefault="0080378D" w:rsidP="00962D06">
      <w:pPr>
        <w:pStyle w:val="Heading2"/>
      </w:pPr>
      <w:bookmarkStart w:id="1" w:name="_Toc140768288"/>
      <w:r w:rsidRPr="001C0A49">
        <w:lastRenderedPageBreak/>
        <w:t>Outline the benefits of implementing flexible working</w:t>
      </w:r>
      <w:r w:rsidR="00962D06">
        <w:t xml:space="preserve"> </w:t>
      </w:r>
      <w:r w:rsidRPr="001C0A49">
        <w:t>strategies in</w:t>
      </w:r>
      <w:r>
        <w:t xml:space="preserve"> GreenCo.</w:t>
      </w:r>
      <w:bookmarkEnd w:id="1"/>
      <w:r w:rsidRPr="001C0A49">
        <w:t xml:space="preserve"> </w:t>
      </w:r>
    </w:p>
    <w:p w14:paraId="0EF15D7D" w14:textId="77777777" w:rsidR="0080378D" w:rsidRPr="001C0A49" w:rsidRDefault="0080378D" w:rsidP="0080378D">
      <w:r w:rsidRPr="001C0A49">
        <w:rPr>
          <w:shd w:val="clear" w:color="auto" w:fill="FFFFFF"/>
        </w:rPr>
        <w:t>An organisation adopts a flexible working strategy to prioritise the needs of the employees which can be beneficial to both the employees and employers. Instead of forcing the employees to follow the rigid rules of the organisation, the company takes a remote approach regarding the work-compressed hours of employees. Flexible working strategies can help GreenCo in various ways and help the organisation to develop. </w:t>
      </w:r>
    </w:p>
    <w:p w14:paraId="5C9C38DC" w14:textId="77777777" w:rsidR="0080378D" w:rsidRPr="001C0A49" w:rsidRDefault="0080378D" w:rsidP="0080378D">
      <w:pPr>
        <w:spacing w:after="0"/>
        <w:jc w:val="left"/>
        <w:rPr>
          <w:rFonts w:eastAsia="Times New Roman"/>
          <w:i/>
          <w:iCs/>
        </w:rPr>
      </w:pPr>
      <w:r w:rsidRPr="001C0A49">
        <w:rPr>
          <w:rFonts w:eastAsia="Times New Roman"/>
          <w:b/>
          <w:bCs/>
          <w:i/>
          <w:iCs/>
        </w:rPr>
        <w:t>Reduces costs</w:t>
      </w:r>
    </w:p>
    <w:p w14:paraId="703E2F74" w14:textId="77777777" w:rsidR="0080378D" w:rsidRPr="001C0A49" w:rsidRDefault="0080378D" w:rsidP="0080378D">
      <w:r w:rsidRPr="001C0A49">
        <w:rPr>
          <w:shd w:val="clear" w:color="auto" w:fill="FFFFFF"/>
        </w:rPr>
        <w:t>A flexible working strategy can help GreenCo to reduce costs by providing the employees the opportunities to work from home. When employees work at the desk the cost of delivering their equipment is much more than that of employees working from their homes. The organisation can eliminate the costs of estate and general expanses of office and operate their services within the limited working hours. </w:t>
      </w:r>
    </w:p>
    <w:p w14:paraId="1CAF65AF" w14:textId="77777777" w:rsidR="0080378D" w:rsidRPr="001C0A49" w:rsidRDefault="0080378D" w:rsidP="0080378D">
      <w:pPr>
        <w:spacing w:after="0"/>
        <w:jc w:val="left"/>
        <w:rPr>
          <w:rFonts w:eastAsia="Times New Roman"/>
          <w:i/>
          <w:iCs/>
        </w:rPr>
      </w:pPr>
      <w:r w:rsidRPr="001C0A49">
        <w:rPr>
          <w:rFonts w:eastAsia="Times New Roman"/>
          <w:b/>
          <w:bCs/>
          <w:i/>
          <w:iCs/>
        </w:rPr>
        <w:t>Increases productivity</w:t>
      </w:r>
    </w:p>
    <w:p w14:paraId="0FDCBDD3" w14:textId="77777777" w:rsidR="0080378D" w:rsidRPr="001C0A49" w:rsidRDefault="0080378D" w:rsidP="0080378D">
      <w:r w:rsidRPr="001C0A49">
        <w:t>Work from home facility saves the time of commuting of the employees to their workplace. When employees work from their place of comfort and get more time, they tend to be more productive. It helps the workers to stay focused on their work as there are fewer distractions at home compared to the workplace. The shared place of the office sometimes distracts the employees with phones, strict working times, meetings and colleagues causing interruptions. GreenCo can also allow the employees flexible working which will increase their productivity as they will not worry about getting late instead, they engage themselves in work solely utilising their office hours</w:t>
      </w:r>
      <w:r>
        <w:t xml:space="preserve"> (</w:t>
      </w:r>
      <w:r>
        <w:rPr>
          <w:shd w:val="clear" w:color="auto" w:fill="FFFFFF"/>
        </w:rPr>
        <w:t>Hunter, 2019)</w:t>
      </w:r>
      <w:r w:rsidRPr="001C0A49">
        <w:t>. </w:t>
      </w:r>
    </w:p>
    <w:p w14:paraId="226AF390" w14:textId="77777777" w:rsidR="0080378D" w:rsidRPr="001C0A49" w:rsidRDefault="0080378D" w:rsidP="0080378D">
      <w:pPr>
        <w:spacing w:after="0"/>
        <w:jc w:val="left"/>
        <w:rPr>
          <w:rFonts w:eastAsia="Times New Roman"/>
          <w:i/>
          <w:iCs/>
        </w:rPr>
      </w:pPr>
      <w:r w:rsidRPr="001C0A49">
        <w:rPr>
          <w:rFonts w:eastAsia="Times New Roman"/>
          <w:b/>
          <w:bCs/>
          <w:i/>
          <w:iCs/>
        </w:rPr>
        <w:t>Improve</w:t>
      </w:r>
      <w:r w:rsidRPr="0080378D">
        <w:rPr>
          <w:rFonts w:eastAsia="Times New Roman"/>
          <w:b/>
          <w:bCs/>
          <w:i/>
          <w:iCs/>
        </w:rPr>
        <w:t>s</w:t>
      </w:r>
      <w:r w:rsidRPr="001C0A49">
        <w:rPr>
          <w:rFonts w:eastAsia="Times New Roman"/>
          <w:b/>
          <w:bCs/>
          <w:i/>
          <w:iCs/>
        </w:rPr>
        <w:t xml:space="preserve"> the work culture</w:t>
      </w:r>
    </w:p>
    <w:p w14:paraId="7C0E9FB8" w14:textId="77777777" w:rsidR="0080378D" w:rsidRPr="001C0A49" w:rsidRDefault="0080378D" w:rsidP="0080378D">
      <w:r w:rsidRPr="001C0A49">
        <w:t xml:space="preserve">Another benefit of implementing a flexible working strategy in an organisation is that it boosts engagement and overall morale in the workplace. As it allows employees to have a balanced work life that encourages them to give high performance to their organisation as well as make </w:t>
      </w:r>
      <w:r w:rsidRPr="001C0A49">
        <w:lastRenderedPageBreak/>
        <w:t>them lead a happy personal life. This will make the workers of GreenCo more productive as it increases their engagement, happiness and morale. When an employee is happy in their work environment the chance of leaving the job and seeking employment somewhere else decreases</w:t>
      </w:r>
      <w:r>
        <w:t xml:space="preserve"> ((</w:t>
      </w:r>
      <w:r>
        <w:rPr>
          <w:shd w:val="clear" w:color="auto" w:fill="FFFFFF"/>
        </w:rPr>
        <w:t>White, and Maniam., 2020)</w:t>
      </w:r>
      <w:r w:rsidRPr="001C0A49">
        <w:t>.</w:t>
      </w:r>
    </w:p>
    <w:p w14:paraId="58124FD3" w14:textId="77777777" w:rsidR="0080378D" w:rsidRPr="001C0A49" w:rsidRDefault="0080378D" w:rsidP="0080378D">
      <w:pPr>
        <w:spacing w:after="160"/>
        <w:rPr>
          <w:rFonts w:eastAsiaTheme="minorHAnsi"/>
          <w:i/>
          <w:iCs/>
        </w:rPr>
      </w:pPr>
      <w:r w:rsidRPr="001C0A49">
        <w:rPr>
          <w:rFonts w:eastAsia="Times New Roman"/>
          <w:b/>
          <w:bCs/>
          <w:i/>
          <w:iCs/>
        </w:rPr>
        <w:t>Diverse teams</w:t>
      </w:r>
    </w:p>
    <w:p w14:paraId="518D46C4" w14:textId="37F798EF" w:rsidR="0080378D" w:rsidRPr="001C0A49" w:rsidRDefault="0080378D" w:rsidP="0080378D">
      <w:r w:rsidRPr="001C0A49">
        <w:t>Flexible working strategies create a work culture</w:t>
      </w:r>
      <w:r>
        <w:t xml:space="preserve"> with employees</w:t>
      </w:r>
      <w:r w:rsidRPr="001C0A49">
        <w:t xml:space="preserve"> from different backgrounds </w:t>
      </w:r>
      <w:r>
        <w:t>working</w:t>
      </w:r>
      <w:r w:rsidRPr="001C0A49">
        <w:t xml:space="preserve"> in cooperation. An individual with physical disabilities, working parents and individuals who </w:t>
      </w:r>
      <w:r w:rsidR="002E2AB2" w:rsidRPr="001C0A49">
        <w:t>cannot</w:t>
      </w:r>
      <w:r w:rsidRPr="001C0A49">
        <w:t xml:space="preserve"> work within a traditional workplace can work from their space of comfort. They can contribute to the growth of GreenCo by providing the organisation with fresh ideas, talents and outlooks which will create a more productive and creative business</w:t>
      </w:r>
      <w:sdt>
        <w:sdtPr>
          <w:id w:val="-1074352178"/>
          <w:citation/>
        </w:sdtPr>
        <w:sdtContent>
          <w:r>
            <w:fldChar w:fldCharType="begin"/>
          </w:r>
          <w:r>
            <w:instrText xml:space="preserve"> CITATION Mas23 \l 1033 </w:instrText>
          </w:r>
          <w:r>
            <w:fldChar w:fldCharType="separate"/>
          </w:r>
          <w:r>
            <w:rPr>
              <w:noProof/>
            </w:rPr>
            <w:t xml:space="preserve"> </w:t>
          </w:r>
          <w:r w:rsidRPr="00524009">
            <w:rPr>
              <w:rFonts w:eastAsiaTheme="minorHAnsi"/>
              <w:noProof/>
            </w:rPr>
            <w:t>(Kaho, 2023)</w:t>
          </w:r>
          <w:r>
            <w:fldChar w:fldCharType="end"/>
          </w:r>
        </w:sdtContent>
      </w:sdt>
      <w:r>
        <w:t>.</w:t>
      </w:r>
    </w:p>
    <w:p w14:paraId="33E0A35F" w14:textId="77777777" w:rsidR="0080378D" w:rsidRPr="001C0A49" w:rsidRDefault="0080378D" w:rsidP="0080378D">
      <w:pPr>
        <w:spacing w:after="0"/>
        <w:jc w:val="left"/>
        <w:rPr>
          <w:rFonts w:eastAsia="Times New Roman"/>
          <w:i/>
          <w:iCs/>
        </w:rPr>
      </w:pPr>
      <w:r w:rsidRPr="001C0A49">
        <w:rPr>
          <w:rFonts w:eastAsia="Times New Roman"/>
          <w:b/>
          <w:bCs/>
          <w:i/>
          <w:iCs/>
        </w:rPr>
        <w:t>Better recruitment and retention</w:t>
      </w:r>
    </w:p>
    <w:p w14:paraId="4BE84901" w14:textId="5552BFB7" w:rsidR="0080378D" w:rsidRPr="001C0A49" w:rsidRDefault="0080378D" w:rsidP="0080378D">
      <w:r w:rsidRPr="001C0A49">
        <w:t>An organisation like GreenCo when implementing flexible working strategies attract more applicants to work for them including those who are not comfortable in working traditional ways. This provides better recruitment for the organisation along with providing employees with job satisfaction. This will help GreenC</w:t>
      </w:r>
      <w:r>
        <w:t>o</w:t>
      </w:r>
      <w:r w:rsidRPr="001C0A49">
        <w:t xml:space="preserve"> to improve retention as satisfied and committed employees are not tended to search for jobs elsewhere leaving their organisation. By providing a flexible working environment to the employee GreenCo can reduce their employee turnover and save the cost of regular employment</w:t>
      </w:r>
      <w:sdt>
        <w:sdtPr>
          <w:id w:val="827324207"/>
          <w:citation/>
        </w:sdtPr>
        <w:sdtContent>
          <w:r>
            <w:fldChar w:fldCharType="begin"/>
          </w:r>
          <w:r>
            <w:instrText xml:space="preserve"> CITATION Nic18 \l 1033 </w:instrText>
          </w:r>
          <w:r>
            <w:fldChar w:fldCharType="separate"/>
          </w:r>
          <w:r>
            <w:rPr>
              <w:noProof/>
            </w:rPr>
            <w:t xml:space="preserve"> </w:t>
          </w:r>
          <w:r w:rsidRPr="00656965">
            <w:rPr>
              <w:rFonts w:eastAsiaTheme="minorHAnsi"/>
              <w:noProof/>
            </w:rPr>
            <w:t>(LaMarco, 2018)</w:t>
          </w:r>
          <w:r>
            <w:fldChar w:fldCharType="end"/>
          </w:r>
        </w:sdtContent>
      </w:sdt>
      <w:r w:rsidRPr="001C0A49">
        <w:t>. </w:t>
      </w:r>
    </w:p>
    <w:p w14:paraId="29458EDF" w14:textId="77777777" w:rsidR="0080378D" w:rsidRPr="001C0A49" w:rsidRDefault="0080378D" w:rsidP="0080378D">
      <w:pPr>
        <w:spacing w:after="0"/>
        <w:jc w:val="left"/>
        <w:rPr>
          <w:rFonts w:eastAsia="Times New Roman"/>
        </w:rPr>
      </w:pPr>
    </w:p>
    <w:p w14:paraId="1420A941" w14:textId="77777777" w:rsidR="0080378D" w:rsidRDefault="0080378D">
      <w:pPr>
        <w:spacing w:after="0"/>
        <w:ind w:left="0" w:firstLine="0"/>
        <w:rPr>
          <w:rFonts w:eastAsia="Times New Roman"/>
          <w:b/>
          <w:bCs/>
        </w:rPr>
      </w:pPr>
      <w:r>
        <w:rPr>
          <w:rFonts w:eastAsia="Times New Roman"/>
          <w:b/>
          <w:bCs/>
        </w:rPr>
        <w:br w:type="page"/>
      </w:r>
    </w:p>
    <w:p w14:paraId="6C86BCE1" w14:textId="0B041D8E" w:rsidR="0080378D" w:rsidRPr="001C0A49" w:rsidRDefault="0080378D" w:rsidP="00962D06">
      <w:pPr>
        <w:pStyle w:val="Heading2"/>
      </w:pPr>
      <w:bookmarkStart w:id="2" w:name="_Toc140768289"/>
      <w:r w:rsidRPr="001C0A49">
        <w:lastRenderedPageBreak/>
        <w:t xml:space="preserve">Describe what </w:t>
      </w:r>
      <w:r>
        <w:t>GreenCo</w:t>
      </w:r>
      <w:r w:rsidRPr="001C0A49">
        <w:t xml:space="preserve"> and more specifically the HR department, should consider before implementing flexible working to the employee workforce.</w:t>
      </w:r>
      <w:bookmarkEnd w:id="2"/>
      <w:r w:rsidRPr="001C0A49">
        <w:t xml:space="preserve"> </w:t>
      </w:r>
    </w:p>
    <w:p w14:paraId="0808E29A" w14:textId="77777777" w:rsidR="0080378D" w:rsidRPr="001C0A49" w:rsidRDefault="0080378D" w:rsidP="0080378D">
      <w:r w:rsidRPr="001C0A49">
        <w:rPr>
          <w:shd w:val="clear" w:color="auto" w:fill="FFFFFF"/>
        </w:rPr>
        <w:t>A flexible working arrangement is beneficial for the organisation and its employees although it often fails if the strategies are not implemented properly. The HR department of GreenCo must consider the following aspects before the implementation of flexible working strategies within the workplace. </w:t>
      </w:r>
    </w:p>
    <w:p w14:paraId="57E9DFEC" w14:textId="77777777" w:rsidR="0080378D" w:rsidRPr="001C0A49" w:rsidRDefault="0080378D" w:rsidP="0080378D">
      <w:pPr>
        <w:spacing w:after="0"/>
        <w:jc w:val="left"/>
        <w:rPr>
          <w:rFonts w:eastAsia="Times New Roman"/>
          <w:i/>
          <w:iCs/>
        </w:rPr>
      </w:pPr>
      <w:r w:rsidRPr="001C0A49">
        <w:rPr>
          <w:rFonts w:eastAsia="Times New Roman"/>
          <w:b/>
          <w:bCs/>
          <w:i/>
          <w:iCs/>
          <w:color w:val="222222"/>
          <w:shd w:val="clear" w:color="auto" w:fill="FFFFFF"/>
        </w:rPr>
        <w:t>Selecting the appropriate flexible working arrangement</w:t>
      </w:r>
    </w:p>
    <w:p w14:paraId="4240407E" w14:textId="77777777" w:rsidR="0080378D" w:rsidRPr="001C0A49" w:rsidRDefault="0080378D" w:rsidP="0080378D">
      <w:r w:rsidRPr="001C0A49">
        <w:rPr>
          <w:shd w:val="clear" w:color="auto" w:fill="FFFFFF"/>
        </w:rPr>
        <w:t>A flexible working arrangement can be implemented in an organisation in various ways and finding the right way is very important for the implementation. The HR department of GreenCo must survey their employees to identify their desired flexible working arrangements. If the employees are willing to alter their office hours and it benefits the organisation GreenCo will find it out through the survey which will help them to create an appropriate flexible working arrangement.  </w:t>
      </w:r>
    </w:p>
    <w:p w14:paraId="35F700DC" w14:textId="77777777" w:rsidR="0080378D" w:rsidRPr="001C0A49" w:rsidRDefault="0080378D" w:rsidP="0080378D">
      <w:pPr>
        <w:spacing w:after="0"/>
        <w:jc w:val="left"/>
        <w:rPr>
          <w:rFonts w:eastAsia="Times New Roman"/>
          <w:i/>
          <w:iCs/>
        </w:rPr>
      </w:pPr>
      <w:r w:rsidRPr="001C0A49">
        <w:rPr>
          <w:rFonts w:eastAsia="Times New Roman"/>
          <w:b/>
          <w:bCs/>
          <w:i/>
          <w:iCs/>
          <w:color w:val="222222"/>
          <w:shd w:val="clear" w:color="auto" w:fill="FFFFFF"/>
        </w:rPr>
        <w:t>Introducing training</w:t>
      </w:r>
    </w:p>
    <w:p w14:paraId="5FE8BEA7" w14:textId="56FF6456" w:rsidR="0080378D" w:rsidRPr="001C0A49" w:rsidRDefault="0080378D" w:rsidP="0080378D">
      <w:r w:rsidRPr="001C0A49">
        <w:rPr>
          <w:shd w:val="clear" w:color="auto" w:fill="FFFFFF"/>
        </w:rPr>
        <w:t xml:space="preserve">Management plays an important role in implementing flexible strategies and sometimes they failed to adopt the functions of it. Employees in traditional office environments are different from flexible employees so with the traditional approach managers </w:t>
      </w:r>
      <w:r w:rsidR="002E2AB2" w:rsidRPr="001C0A49">
        <w:rPr>
          <w:shd w:val="clear" w:color="auto" w:fill="FFFFFF"/>
        </w:rPr>
        <w:t>cannot</w:t>
      </w:r>
      <w:r w:rsidRPr="001C0A49">
        <w:rPr>
          <w:shd w:val="clear" w:color="auto" w:fill="FFFFFF"/>
        </w:rPr>
        <w:t xml:space="preserve"> understand their work process. The HR department of GreenCo must train its managers so that they can adjust the management style which is suitable for the working condition and boosts their confidence</w:t>
      </w:r>
      <w:sdt>
        <w:sdtPr>
          <w:rPr>
            <w:shd w:val="clear" w:color="auto" w:fill="FFFFFF"/>
          </w:rPr>
          <w:id w:val="1903106220"/>
          <w:citation/>
        </w:sdtPr>
        <w:sdtContent>
          <w:r>
            <w:rPr>
              <w:shd w:val="clear" w:color="auto" w:fill="FFFFFF"/>
            </w:rPr>
            <w:fldChar w:fldCharType="begin"/>
          </w:r>
          <w:r>
            <w:rPr>
              <w:shd w:val="clear" w:color="auto" w:fill="FFFFFF"/>
            </w:rPr>
            <w:instrText xml:space="preserve"> CITATION Bar232 \l 1033 </w:instrText>
          </w:r>
          <w:r>
            <w:rPr>
              <w:shd w:val="clear" w:color="auto" w:fill="FFFFFF"/>
            </w:rPr>
            <w:fldChar w:fldCharType="separate"/>
          </w:r>
          <w:r>
            <w:rPr>
              <w:noProof/>
              <w:shd w:val="clear" w:color="auto" w:fill="FFFFFF"/>
            </w:rPr>
            <w:t xml:space="preserve"> </w:t>
          </w:r>
          <w:r w:rsidRPr="00524009">
            <w:rPr>
              <w:rFonts w:eastAsiaTheme="minorHAnsi"/>
              <w:noProof/>
              <w:shd w:val="clear" w:color="auto" w:fill="FFFFFF"/>
            </w:rPr>
            <w:t>(Hazelden, 2023)</w:t>
          </w:r>
          <w:r>
            <w:rPr>
              <w:shd w:val="clear" w:color="auto" w:fill="FFFFFF"/>
            </w:rPr>
            <w:fldChar w:fldCharType="end"/>
          </w:r>
        </w:sdtContent>
      </w:sdt>
      <w:r w:rsidRPr="001C0A49">
        <w:rPr>
          <w:shd w:val="clear" w:color="auto" w:fill="FFFFFF"/>
        </w:rPr>
        <w:t>.</w:t>
      </w:r>
    </w:p>
    <w:p w14:paraId="7EE6F87C" w14:textId="77777777" w:rsidR="0080378D" w:rsidRPr="001C0A49" w:rsidRDefault="0080378D" w:rsidP="0080378D">
      <w:pPr>
        <w:spacing w:after="0"/>
        <w:jc w:val="left"/>
        <w:rPr>
          <w:rFonts w:eastAsia="Times New Roman"/>
          <w:i/>
          <w:iCs/>
        </w:rPr>
      </w:pPr>
      <w:r w:rsidRPr="001C0A49">
        <w:rPr>
          <w:rFonts w:eastAsia="Times New Roman"/>
          <w:b/>
          <w:bCs/>
          <w:i/>
          <w:iCs/>
          <w:color w:val="222222"/>
          <w:shd w:val="clear" w:color="auto" w:fill="FFFFFF"/>
        </w:rPr>
        <w:t>Establishing appropriate communication</w:t>
      </w:r>
    </w:p>
    <w:p w14:paraId="7DD7BBDB" w14:textId="77777777" w:rsidR="0080378D" w:rsidRPr="001C0A49" w:rsidRDefault="0080378D" w:rsidP="0080378D">
      <w:r w:rsidRPr="001C0A49">
        <w:rPr>
          <w:shd w:val="clear" w:color="auto" w:fill="FFFFFF"/>
        </w:rPr>
        <w:t xml:space="preserve">A flexible working work environment arrangement needs proper and effective communication as it plays important. The HR department of GreenCo must effectively engage and manage the employees by communicating with them in the new workplace situations. As in the flexible working arrangements employees work from their homes the managers shift communication </w:t>
      </w:r>
      <w:r w:rsidRPr="001C0A49">
        <w:rPr>
          <w:shd w:val="clear" w:color="auto" w:fill="FFFFFF"/>
        </w:rPr>
        <w:lastRenderedPageBreak/>
        <w:t>online. As a result of it, employees may feel that the organisation is intruding on their personal space by making them available online all day. GreenCo’s HR department should set an expectation for employees to communicate when they are online. </w:t>
      </w:r>
    </w:p>
    <w:p w14:paraId="584EC8DA" w14:textId="77777777" w:rsidR="0080378D" w:rsidRPr="001C0A49" w:rsidRDefault="0080378D" w:rsidP="0080378D">
      <w:pPr>
        <w:spacing w:after="0"/>
        <w:jc w:val="left"/>
        <w:rPr>
          <w:rFonts w:eastAsia="Times New Roman"/>
          <w:i/>
          <w:iCs/>
        </w:rPr>
      </w:pPr>
      <w:r w:rsidRPr="001C0A49">
        <w:rPr>
          <w:rFonts w:eastAsia="Times New Roman"/>
          <w:b/>
          <w:bCs/>
          <w:i/>
          <w:iCs/>
          <w:color w:val="222222"/>
          <w:shd w:val="clear" w:color="auto" w:fill="FFFFFF"/>
        </w:rPr>
        <w:t>Start small</w:t>
      </w:r>
    </w:p>
    <w:p w14:paraId="617C3C9E" w14:textId="77777777" w:rsidR="0080378D" w:rsidRPr="001C0A49" w:rsidRDefault="0080378D" w:rsidP="0080378D">
      <w:r w:rsidRPr="001C0A49">
        <w:rPr>
          <w:shd w:val="clear" w:color="auto" w:fill="FFFFFF"/>
        </w:rPr>
        <w:t>GreenCo is an organisation that manufactures and sells agricultural products and is a small to medium size company. The HR department of the organisation must consider its size before implementing flexible working strategies. They may start with a small team to try the new working process a</w:t>
      </w:r>
      <w:r w:rsidRPr="001C0A49">
        <w:t>nd arrangement. Employee feedback can be received easily from that small team and the HR de</w:t>
      </w:r>
      <w:r w:rsidRPr="001C0A49">
        <w:rPr>
          <w:shd w:val="clear" w:color="auto" w:fill="FFFFFF"/>
        </w:rPr>
        <w:t xml:space="preserve">partment can make adjustments according to necessities. Once the HR department becomes successful in implementing the strategies, they can implement them </w:t>
      </w:r>
      <w:r>
        <w:rPr>
          <w:shd w:val="clear" w:color="auto" w:fill="FFFFFF"/>
        </w:rPr>
        <w:t>in</w:t>
      </w:r>
      <w:r w:rsidRPr="001C0A49">
        <w:rPr>
          <w:shd w:val="clear" w:color="auto" w:fill="FFFFFF"/>
        </w:rPr>
        <w:t xml:space="preserve"> the entire organisation.</w:t>
      </w:r>
    </w:p>
    <w:p w14:paraId="762E690A" w14:textId="77777777" w:rsidR="0080378D" w:rsidRPr="001C0A49" w:rsidRDefault="0080378D" w:rsidP="0080378D">
      <w:pPr>
        <w:spacing w:after="0"/>
        <w:jc w:val="left"/>
        <w:rPr>
          <w:rFonts w:eastAsia="Times New Roman"/>
          <w:i/>
          <w:iCs/>
        </w:rPr>
      </w:pPr>
      <w:r w:rsidRPr="001C0A49">
        <w:rPr>
          <w:rFonts w:eastAsia="Times New Roman"/>
          <w:b/>
          <w:bCs/>
          <w:i/>
          <w:iCs/>
          <w:color w:val="222222"/>
          <w:shd w:val="clear" w:color="auto" w:fill="FFFFFF"/>
        </w:rPr>
        <w:t>Measuring effectiveness</w:t>
      </w:r>
    </w:p>
    <w:p w14:paraId="6D809732" w14:textId="77777777" w:rsidR="0080378D" w:rsidRPr="001C0A49" w:rsidRDefault="0080378D" w:rsidP="0080378D">
      <w:r w:rsidRPr="001C0A49">
        <w:t>After implementing the flexible working strategies, the HR department of Gree</w:t>
      </w:r>
      <w:r>
        <w:t>n</w:t>
      </w:r>
      <w:r w:rsidRPr="001C0A49">
        <w:t>Co needs to measure the effectiveness of it. There are two ways in which it can be measured individually for each employee and the entire organisation. This will help to understand subjectively the mutual benefits to both employees and the organisation and its effectiveness. The HR department must monitor increasing productivity, less turnover of employees, improvement in managing stress and overall satisfaction through the implementation of flexible working to the workforce</w:t>
      </w:r>
      <w:r>
        <w:t xml:space="preserve"> (</w:t>
      </w:r>
      <w:r>
        <w:rPr>
          <w:shd w:val="clear" w:color="auto" w:fill="FFFFFF"/>
        </w:rPr>
        <w:t>Ewald</w:t>
      </w:r>
      <w:r w:rsidRPr="001C0A49">
        <w:t>.</w:t>
      </w:r>
      <w:r>
        <w:t>, et al., 2020).</w:t>
      </w:r>
    </w:p>
    <w:p w14:paraId="0A52D25E" w14:textId="77777777" w:rsidR="0080378D" w:rsidRDefault="0080378D">
      <w:pPr>
        <w:spacing w:after="0"/>
        <w:ind w:left="0" w:firstLine="0"/>
        <w:rPr>
          <w:b/>
          <w:kern w:val="2"/>
          <w:sz w:val="28"/>
          <w:u w:color="000000"/>
          <w:lang w:val="en-IN" w:eastAsia="en-US" w:bidi="ar-SA"/>
          <w14:ligatures w14:val="standardContextual"/>
        </w:rPr>
      </w:pPr>
      <w:r>
        <w:br w:type="page"/>
      </w:r>
    </w:p>
    <w:p w14:paraId="24467360" w14:textId="6291B17C" w:rsidR="00226D4A" w:rsidRPr="00226D4A" w:rsidRDefault="00226D4A" w:rsidP="00962D06">
      <w:pPr>
        <w:pStyle w:val="Heading2"/>
        <w:rPr>
          <w:color w:val="auto"/>
          <w:szCs w:val="24"/>
        </w:rPr>
      </w:pPr>
      <w:bookmarkStart w:id="3" w:name="_Toc140768290"/>
      <w:r w:rsidRPr="00226D4A">
        <w:lastRenderedPageBreak/>
        <w:t>Discussion on the pay structure that GreenCo improve to implement flexible working in the workforce</w:t>
      </w:r>
      <w:bookmarkEnd w:id="3"/>
      <w:r w:rsidRPr="00226D4A">
        <w:t> </w:t>
      </w:r>
    </w:p>
    <w:p w14:paraId="3DC4F9E6" w14:textId="4E404341"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Successful implementation of flexible and adaptable working culture in an agricultural company like GreenCo depends on many factors. One of those driving forces is the mindful reconfiguration or alteration of the pay structure as per the changing requirements and demands of the workforce</w:t>
      </w:r>
      <w:r w:rsidR="00B07A7A">
        <w:rPr>
          <w:rFonts w:eastAsia="Times New Roman" w:cs="Times New Roman"/>
          <w:szCs w:val="24"/>
          <w:lang w:val="en-IN" w:eastAsia="en-IN" w:bidi="ar-SA"/>
        </w:rPr>
        <w:t xml:space="preserve"> </w:t>
      </w:r>
      <w:sdt>
        <w:sdtPr>
          <w:rPr>
            <w:rFonts w:eastAsia="Times New Roman" w:cs="Times New Roman"/>
            <w:szCs w:val="24"/>
            <w:lang w:val="en-IN" w:eastAsia="en-IN" w:bidi="ar-SA"/>
          </w:rPr>
          <w:id w:val="-1197161283"/>
          <w:citation/>
        </w:sdtPr>
        <w:sdtContent>
          <w:r w:rsidR="00B07A7A">
            <w:rPr>
              <w:rFonts w:eastAsia="Times New Roman" w:cs="Times New Roman"/>
              <w:szCs w:val="24"/>
              <w:lang w:val="en-IN" w:eastAsia="en-IN" w:bidi="ar-SA"/>
            </w:rPr>
            <w:fldChar w:fldCharType="begin"/>
          </w:r>
          <w:r w:rsidR="00B07A7A">
            <w:rPr>
              <w:rFonts w:eastAsia="Times New Roman" w:cs="Times New Roman"/>
              <w:szCs w:val="24"/>
              <w:lang w:val="en-US" w:eastAsia="en-IN" w:bidi="ar-SA"/>
            </w:rPr>
            <w:instrText xml:space="preserve"> CITATION Ann222 \l 1033 </w:instrText>
          </w:r>
          <w:r w:rsidR="00B07A7A">
            <w:rPr>
              <w:rFonts w:eastAsia="Times New Roman" w:cs="Times New Roman"/>
              <w:szCs w:val="24"/>
              <w:lang w:val="en-IN" w:eastAsia="en-IN" w:bidi="ar-SA"/>
            </w:rPr>
            <w:fldChar w:fldCharType="separate"/>
          </w:r>
          <w:r w:rsidR="00B07A7A" w:rsidRPr="00B07A7A">
            <w:rPr>
              <w:rFonts w:eastAsia="Times New Roman" w:cs="Times New Roman"/>
              <w:noProof/>
              <w:szCs w:val="24"/>
              <w:lang w:val="en-US" w:eastAsia="en-IN" w:bidi="ar-SA"/>
            </w:rPr>
            <w:t>(Jones, 2022)</w:t>
          </w:r>
          <w:r w:rsidR="00B07A7A">
            <w:rPr>
              <w:rFonts w:eastAsia="Times New Roman" w:cs="Times New Roman"/>
              <w:szCs w:val="24"/>
              <w:lang w:val="en-IN" w:eastAsia="en-IN" w:bidi="ar-SA"/>
            </w:rPr>
            <w:fldChar w:fldCharType="end"/>
          </w:r>
        </w:sdtContent>
      </w:sdt>
      <w:r w:rsidRPr="00226D4A">
        <w:rPr>
          <w:rFonts w:eastAsia="Times New Roman" w:cs="Times New Roman"/>
          <w:szCs w:val="24"/>
          <w:lang w:val="en-IN" w:eastAsia="en-IN" w:bidi="ar-SA"/>
        </w:rPr>
        <w:t>. </w:t>
      </w:r>
    </w:p>
    <w:p w14:paraId="48B3C618"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Performance-based pay and incentives </w:t>
      </w:r>
    </w:p>
    <w:p w14:paraId="33C362E2" w14:textId="190F4B71"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Salary is the primary driving force that motivates one to work, meet goals and stay productive to sustain a decent lifestyle. However, the Human Resources Department can include exclusive features in the system to drive the staff to attain more goals daily. The inclusion of performance-based pay can help to induce the required working culture within the entity. Employees’ compensation can be beneficial to enhance productivity and they will deliver tasks more enthusiastically with high-quality content</w:t>
      </w:r>
      <w:r w:rsidR="00B07A7A">
        <w:rPr>
          <w:rFonts w:eastAsia="Times New Roman" w:cs="Times New Roman"/>
          <w:szCs w:val="24"/>
          <w:lang w:val="en-IN" w:eastAsia="en-IN" w:bidi="ar-SA"/>
        </w:rPr>
        <w:t xml:space="preserve"> </w:t>
      </w:r>
      <w:sdt>
        <w:sdtPr>
          <w:rPr>
            <w:rFonts w:eastAsia="Times New Roman" w:cs="Times New Roman"/>
            <w:szCs w:val="24"/>
            <w:lang w:val="en-IN" w:eastAsia="en-IN" w:bidi="ar-SA"/>
          </w:rPr>
          <w:id w:val="843894841"/>
          <w:citation/>
        </w:sdtPr>
        <w:sdtContent>
          <w:r w:rsidR="00B07A7A">
            <w:rPr>
              <w:rFonts w:eastAsia="Times New Roman" w:cs="Times New Roman"/>
              <w:szCs w:val="24"/>
              <w:lang w:val="en-IN" w:eastAsia="en-IN" w:bidi="ar-SA"/>
            </w:rPr>
            <w:fldChar w:fldCharType="begin"/>
          </w:r>
          <w:r w:rsidR="00B07A7A">
            <w:rPr>
              <w:rFonts w:eastAsia="Times New Roman" w:cs="Times New Roman"/>
              <w:szCs w:val="24"/>
              <w:lang w:val="en-US" w:eastAsia="en-IN" w:bidi="ar-SA"/>
            </w:rPr>
            <w:instrText xml:space="preserve"> CITATION Lou21 \l 1033 </w:instrText>
          </w:r>
          <w:r w:rsidR="00B07A7A">
            <w:rPr>
              <w:rFonts w:eastAsia="Times New Roman" w:cs="Times New Roman"/>
              <w:szCs w:val="24"/>
              <w:lang w:val="en-IN" w:eastAsia="en-IN" w:bidi="ar-SA"/>
            </w:rPr>
            <w:fldChar w:fldCharType="separate"/>
          </w:r>
          <w:r w:rsidR="00B07A7A" w:rsidRPr="00B07A7A">
            <w:rPr>
              <w:rFonts w:eastAsia="Times New Roman" w:cs="Times New Roman"/>
              <w:noProof/>
              <w:szCs w:val="24"/>
              <w:lang w:val="en-US" w:eastAsia="en-IN" w:bidi="ar-SA"/>
            </w:rPr>
            <w:t>(Mosca, 2021)</w:t>
          </w:r>
          <w:r w:rsidR="00B07A7A">
            <w:rPr>
              <w:rFonts w:eastAsia="Times New Roman" w:cs="Times New Roman"/>
              <w:szCs w:val="24"/>
              <w:lang w:val="en-IN" w:eastAsia="en-IN" w:bidi="ar-SA"/>
            </w:rPr>
            <w:fldChar w:fldCharType="end"/>
          </w:r>
        </w:sdtContent>
      </w:sdt>
      <w:r w:rsidRPr="00226D4A">
        <w:rPr>
          <w:rFonts w:eastAsia="Times New Roman" w:cs="Times New Roman"/>
          <w:szCs w:val="24"/>
          <w:lang w:val="en-IN" w:eastAsia="en-IN" w:bidi="ar-SA"/>
        </w:rPr>
        <w:t>. </w:t>
      </w:r>
    </w:p>
    <w:p w14:paraId="69B53B9C"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Output-based incentives </w:t>
      </w:r>
    </w:p>
    <w:p w14:paraId="68BCC2C2" w14:textId="72F1EE0A"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Apart from the basic salary, leveraging different policies for giving out incentives or bonuses can also be profoundly effective. Therefore, GreenCo should consider introducing bonuses based on the roles that put forward outputs that can be quantified. This approach is an act of appreciation that makes the employees feel their contributions are valued and can boost their confidence. Levering incentives on the basis of production level as it encourages them to become goal-oriented and take upon more high-scale tasks. Moreover, they will be able to take more risks and develop problem-solving skills if their dedication is acknowledged in the form of incentives</w:t>
      </w:r>
      <w:r w:rsidR="00B07A7A">
        <w:rPr>
          <w:rFonts w:eastAsia="Times New Roman" w:cs="Times New Roman"/>
          <w:szCs w:val="24"/>
          <w:lang w:val="en-IN" w:eastAsia="en-IN" w:bidi="ar-SA"/>
        </w:rPr>
        <w:t xml:space="preserve"> </w:t>
      </w:r>
      <w:sdt>
        <w:sdtPr>
          <w:rPr>
            <w:rFonts w:eastAsia="Times New Roman" w:cs="Times New Roman"/>
            <w:szCs w:val="24"/>
            <w:lang w:val="en-IN" w:eastAsia="en-IN" w:bidi="ar-SA"/>
          </w:rPr>
          <w:id w:val="232980681"/>
          <w:citation/>
        </w:sdtPr>
        <w:sdtContent>
          <w:r w:rsidR="00B07A7A">
            <w:rPr>
              <w:rFonts w:eastAsia="Times New Roman" w:cs="Times New Roman"/>
              <w:szCs w:val="24"/>
              <w:lang w:val="en-IN" w:eastAsia="en-IN" w:bidi="ar-SA"/>
            </w:rPr>
            <w:fldChar w:fldCharType="begin"/>
          </w:r>
          <w:r w:rsidR="00B07A7A">
            <w:rPr>
              <w:rFonts w:eastAsia="Times New Roman" w:cs="Times New Roman"/>
              <w:szCs w:val="24"/>
              <w:lang w:val="en-US" w:eastAsia="en-IN" w:bidi="ar-SA"/>
            </w:rPr>
            <w:instrText xml:space="preserve"> CITATION Cus23 \l 1033 </w:instrText>
          </w:r>
          <w:r w:rsidR="00B07A7A">
            <w:rPr>
              <w:rFonts w:eastAsia="Times New Roman" w:cs="Times New Roman"/>
              <w:szCs w:val="24"/>
              <w:lang w:val="en-IN" w:eastAsia="en-IN" w:bidi="ar-SA"/>
            </w:rPr>
            <w:fldChar w:fldCharType="separate"/>
          </w:r>
          <w:r w:rsidR="00B07A7A" w:rsidRPr="00B07A7A">
            <w:rPr>
              <w:rFonts w:eastAsia="Times New Roman" w:cs="Times New Roman"/>
              <w:noProof/>
              <w:szCs w:val="24"/>
              <w:lang w:val="en-US" w:eastAsia="en-IN" w:bidi="ar-SA"/>
            </w:rPr>
            <w:t>(Cusson &amp; Main, 2023)</w:t>
          </w:r>
          <w:r w:rsidR="00B07A7A">
            <w:rPr>
              <w:rFonts w:eastAsia="Times New Roman" w:cs="Times New Roman"/>
              <w:szCs w:val="24"/>
              <w:lang w:val="en-IN" w:eastAsia="en-IN" w:bidi="ar-SA"/>
            </w:rPr>
            <w:fldChar w:fldCharType="end"/>
          </w:r>
        </w:sdtContent>
      </w:sdt>
      <w:r w:rsidRPr="00226D4A">
        <w:rPr>
          <w:rFonts w:eastAsia="Times New Roman" w:cs="Times New Roman"/>
          <w:szCs w:val="24"/>
          <w:lang w:val="en-IN" w:eastAsia="en-IN" w:bidi="ar-SA"/>
        </w:rPr>
        <w:t>. </w:t>
      </w:r>
    </w:p>
    <w:p w14:paraId="2C888CAE"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Skill-based pay </w:t>
      </w:r>
    </w:p>
    <w:p w14:paraId="0D89C0E3" w14:textId="77777777"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 xml:space="preserve">However, in addition to the job titles and designations, the HRM must include a system where the employees will be promoted as per their skills development. Introducing a pay structure </w:t>
      </w:r>
      <w:r w:rsidRPr="00226D4A">
        <w:rPr>
          <w:rFonts w:eastAsia="Times New Roman" w:cs="Times New Roman"/>
          <w:szCs w:val="24"/>
          <w:lang w:val="en-IN" w:eastAsia="en-IN" w:bidi="ar-SA"/>
        </w:rPr>
        <w:lastRenderedPageBreak/>
        <w:t>that includes rewarding staff for their specific area of expertise motivates skill development and enhances career opportunities. This enhances productivity and promotes open learning and sharing of knowledge, benefiting the company by generating profitable revenue. </w:t>
      </w:r>
    </w:p>
    <w:p w14:paraId="78B9777D"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Packages for other compensation </w:t>
      </w:r>
    </w:p>
    <w:p w14:paraId="7E29EAFF" w14:textId="77777777"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Offering employees compensation packages and flexibility to personalise them according to their needs can be an effective strategy that GreenCo can undertake. This could involve choosing between a higher income and other perks like healthcare, retirement plans, childcare assistance or possibilities for professional development.</w:t>
      </w:r>
    </w:p>
    <w:p w14:paraId="29292AC1"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Daily or hourly pay rates</w:t>
      </w:r>
    </w:p>
    <w:p w14:paraId="2B59FA2B" w14:textId="3E0D96C1"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However, if employees are permitted to work part-time, GreenCo should think about converting from a set monthly salary to daily or hourly pay rates. This guarantees a straight relationship between pay and hours worked and also ensures satisfaction from both sides. However, this hour or day-basis payment method is one of the most effective techniques that offers work-life balance and the staff can work as per their content</w:t>
      </w:r>
      <w:r w:rsidR="00B07A7A">
        <w:rPr>
          <w:rFonts w:eastAsia="Times New Roman" w:cs="Times New Roman"/>
          <w:szCs w:val="24"/>
          <w:lang w:val="en-IN" w:eastAsia="en-IN" w:bidi="ar-SA"/>
        </w:rPr>
        <w:t xml:space="preserve"> </w:t>
      </w:r>
      <w:sdt>
        <w:sdtPr>
          <w:rPr>
            <w:rFonts w:eastAsia="Times New Roman" w:cs="Times New Roman"/>
            <w:szCs w:val="24"/>
            <w:lang w:val="en-IN" w:eastAsia="en-IN" w:bidi="ar-SA"/>
          </w:rPr>
          <w:id w:val="-173265399"/>
          <w:citation/>
        </w:sdtPr>
        <w:sdtContent>
          <w:r w:rsidR="00B07A7A">
            <w:rPr>
              <w:rFonts w:eastAsia="Times New Roman" w:cs="Times New Roman"/>
              <w:szCs w:val="24"/>
              <w:lang w:val="en-IN" w:eastAsia="en-IN" w:bidi="ar-SA"/>
            </w:rPr>
            <w:fldChar w:fldCharType="begin"/>
          </w:r>
          <w:r w:rsidR="00B07A7A">
            <w:rPr>
              <w:rFonts w:eastAsia="Times New Roman" w:cs="Times New Roman"/>
              <w:szCs w:val="24"/>
              <w:lang w:val="en-US" w:eastAsia="en-IN" w:bidi="ar-SA"/>
            </w:rPr>
            <w:instrText xml:space="preserve"> CITATION for232 \l 1033 </w:instrText>
          </w:r>
          <w:r w:rsidR="00B07A7A">
            <w:rPr>
              <w:rFonts w:eastAsia="Times New Roman" w:cs="Times New Roman"/>
              <w:szCs w:val="24"/>
              <w:lang w:val="en-IN" w:eastAsia="en-IN" w:bidi="ar-SA"/>
            </w:rPr>
            <w:fldChar w:fldCharType="separate"/>
          </w:r>
          <w:r w:rsidR="00B07A7A" w:rsidRPr="00B07A7A">
            <w:rPr>
              <w:rFonts w:eastAsia="Times New Roman" w:cs="Times New Roman"/>
              <w:noProof/>
              <w:szCs w:val="24"/>
              <w:lang w:val="en-US" w:eastAsia="en-IN" w:bidi="ar-SA"/>
            </w:rPr>
            <w:t>(forbesbusinesscouncil, 2023)</w:t>
          </w:r>
          <w:r w:rsidR="00B07A7A">
            <w:rPr>
              <w:rFonts w:eastAsia="Times New Roman" w:cs="Times New Roman"/>
              <w:szCs w:val="24"/>
              <w:lang w:val="en-IN" w:eastAsia="en-IN" w:bidi="ar-SA"/>
            </w:rPr>
            <w:fldChar w:fldCharType="end"/>
          </w:r>
        </w:sdtContent>
      </w:sdt>
      <w:r w:rsidRPr="00226D4A">
        <w:rPr>
          <w:rFonts w:eastAsia="Times New Roman" w:cs="Times New Roman"/>
          <w:szCs w:val="24"/>
          <w:lang w:val="en-IN" w:eastAsia="en-IN" w:bidi="ar-SA"/>
        </w:rPr>
        <w:t>. </w:t>
      </w:r>
    </w:p>
    <w:p w14:paraId="35DF051C"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Training and assistance</w:t>
      </w:r>
    </w:p>
    <w:p w14:paraId="47D3D392" w14:textId="77777777"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GreenCo must consider providing proper assistance to their staff members and training on how to manage and thrive in a flexible work environment successfully. Setting limits, preserving open communication and utilising technology to enable remote cooperation are all part of this. Additionally, attending the sessions must aim at enhancing skills and must promise promotion or increment that would motivate them to take initiative. </w:t>
      </w:r>
    </w:p>
    <w:p w14:paraId="03E99098" w14:textId="77777777" w:rsidR="00B07A7A" w:rsidRDefault="00B07A7A">
      <w:pPr>
        <w:spacing w:after="0"/>
        <w:ind w:left="0" w:firstLine="0"/>
        <w:rPr>
          <w:rFonts w:eastAsia="Times New Roman" w:cs="Times New Roman"/>
          <w:b/>
          <w:bCs/>
          <w:sz w:val="28"/>
          <w:szCs w:val="28"/>
          <w:lang w:val="en-IN" w:eastAsia="en-IN" w:bidi="ar-SA"/>
        </w:rPr>
      </w:pPr>
      <w:r>
        <w:rPr>
          <w:rFonts w:eastAsia="Times New Roman" w:cs="Times New Roman"/>
          <w:b/>
          <w:bCs/>
          <w:sz w:val="28"/>
          <w:szCs w:val="28"/>
          <w:lang w:val="en-IN" w:eastAsia="en-IN" w:bidi="ar-SA"/>
        </w:rPr>
        <w:br w:type="page"/>
      </w:r>
    </w:p>
    <w:p w14:paraId="24685E0F" w14:textId="4645EEDE" w:rsidR="00226D4A" w:rsidRPr="00226D4A" w:rsidRDefault="00226D4A" w:rsidP="00962D06">
      <w:pPr>
        <w:pStyle w:val="Heading2"/>
        <w:rPr>
          <w:color w:val="auto"/>
          <w:szCs w:val="24"/>
        </w:rPr>
      </w:pPr>
      <w:bookmarkStart w:id="4" w:name="_Toc140768291"/>
      <w:r w:rsidRPr="00226D4A">
        <w:lastRenderedPageBreak/>
        <w:t>Evaluates strategies to promote employee engagement whiles implementing flexible working</w:t>
      </w:r>
      <w:bookmarkEnd w:id="4"/>
    </w:p>
    <w:p w14:paraId="52ED2D01" w14:textId="77777777"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The Human Resource Management of the GreenCo company must come up with impactful strategies to implement a flexible working environment. Many scholars have developed many relevant employee engagement models with lots of research to guide the industry to improve management. Several business ventures have been employing these theories to upgrade their workforce and GreenCo can consider taking references from them. </w:t>
      </w:r>
    </w:p>
    <w:p w14:paraId="6FE46B1C"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 Maslow's Hierarchy of Needs</w:t>
      </w:r>
    </w:p>
    <w:p w14:paraId="28EDF2A8" w14:textId="265D1E57"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Developed by Maslow, Maslow's Hierarchy of Needs Theory is one of the most utilised and effective models that many companies follow. Physiological, safety, love, esteem, and self-actualisation are the five major driving forces that the theorist believes employees work for. Considering the needs, the Human Resource Management of GreenCo can develop new and modify the pre-existing policies for the welfare of the employees. Task satisfaction, personal growth, job security, appreciation, acknowledgement and incentives are the components that can keep an employee motivated. Unilever has successfully implemented these strategies and thus it owns a productive workforce in the UK market</w:t>
      </w:r>
      <w:r w:rsidR="00C609EA">
        <w:rPr>
          <w:rFonts w:eastAsia="Times New Roman" w:cs="Times New Roman"/>
          <w:szCs w:val="24"/>
          <w:lang w:val="en-IN" w:eastAsia="en-IN" w:bidi="ar-SA"/>
        </w:rPr>
        <w:t xml:space="preserve"> (</w:t>
      </w:r>
      <w:r w:rsidR="00C609EA" w:rsidRPr="00C609EA">
        <w:rPr>
          <w:rFonts w:eastAsia="Times New Roman" w:cs="Times New Roman"/>
          <w:color w:val="auto"/>
          <w:szCs w:val="24"/>
          <w:lang w:val="en-IN" w:eastAsia="en-IN" w:bidi="ar-SA"/>
        </w:rPr>
        <w:t>Hopper, 2020</w:t>
      </w:r>
      <w:r w:rsidR="00C609EA">
        <w:rPr>
          <w:rFonts w:eastAsia="Times New Roman" w:cs="Times New Roman"/>
          <w:color w:val="auto"/>
          <w:szCs w:val="24"/>
          <w:lang w:val="en-IN" w:eastAsia="en-IN" w:bidi="ar-SA"/>
        </w:rPr>
        <w:t>)</w:t>
      </w:r>
      <w:r w:rsidRPr="00226D4A">
        <w:rPr>
          <w:rFonts w:eastAsia="Times New Roman" w:cs="Times New Roman"/>
          <w:szCs w:val="24"/>
          <w:lang w:val="en-IN" w:eastAsia="en-IN" w:bidi="ar-SA"/>
        </w:rPr>
        <w:t>. </w:t>
      </w:r>
    </w:p>
    <w:p w14:paraId="4B82D6A5"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The Job Characteristics Model (JCM) </w:t>
      </w:r>
    </w:p>
    <w:p w14:paraId="757159F2" w14:textId="0B9E7B19"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Created by Hackman and Oldham, the Job Characteristics Model outlines the significance of improving job facilities and structures to induce employee contentment and motivation. The framework comprises five components, skill variety, task identity, task significance, autonomy and feedback, which GreenCo must include to upgrade their system. However, the approach does not only enrich the structure but also ensures employee job contentment, provides clear organisational goals and better delegation of operations. Big companies like IKEA and Google follow the model to leverage better employee engagement and suitable workplace culture</w:t>
      </w:r>
      <w:r w:rsidR="00DF3D80">
        <w:rPr>
          <w:rFonts w:eastAsia="Times New Roman" w:cs="Times New Roman"/>
          <w:szCs w:val="24"/>
          <w:lang w:val="en-IN" w:eastAsia="en-IN" w:bidi="ar-SA"/>
        </w:rPr>
        <w:t xml:space="preserve"> (</w:t>
      </w:r>
      <w:r w:rsidR="00DF3D80" w:rsidRPr="00DF3D80">
        <w:rPr>
          <w:rFonts w:eastAsia="Times New Roman" w:cs="Times New Roman"/>
          <w:color w:val="auto"/>
          <w:szCs w:val="24"/>
          <w:lang w:val="en-IN" w:eastAsia="en-IN" w:bidi="ar-SA"/>
        </w:rPr>
        <w:t>Sever</w:t>
      </w:r>
      <w:r w:rsidR="00DF3D80">
        <w:rPr>
          <w:rFonts w:eastAsia="Times New Roman" w:cs="Times New Roman"/>
          <w:color w:val="auto"/>
          <w:szCs w:val="24"/>
          <w:lang w:val="en-IN" w:eastAsia="en-IN" w:bidi="ar-SA"/>
        </w:rPr>
        <w:t xml:space="preserve"> </w:t>
      </w:r>
      <w:r w:rsidR="00DF3D80" w:rsidRPr="00DF3D80">
        <w:rPr>
          <w:rFonts w:eastAsia="Times New Roman" w:cs="Times New Roman"/>
          <w:color w:val="auto"/>
          <w:szCs w:val="24"/>
          <w:lang w:val="en-IN" w:eastAsia="en-IN" w:bidi="ar-SA"/>
        </w:rPr>
        <w:t>and Malba</w:t>
      </w:r>
      <w:r w:rsidR="00DF3D80">
        <w:rPr>
          <w:rFonts w:eastAsia="Times New Roman" w:cs="Times New Roman"/>
          <w:color w:val="auto"/>
          <w:szCs w:val="24"/>
          <w:lang w:val="en-IN" w:eastAsia="en-IN" w:bidi="ar-SA"/>
        </w:rPr>
        <w:t>s</w:t>
      </w:r>
      <w:r w:rsidR="00DF3D80" w:rsidRPr="00DF3D80">
        <w:rPr>
          <w:rFonts w:eastAsia="Times New Roman" w:cs="Times New Roman"/>
          <w:color w:val="auto"/>
          <w:szCs w:val="24"/>
          <w:lang w:val="en-IN" w:eastAsia="en-IN" w:bidi="ar-SA"/>
        </w:rPr>
        <w:t>i</w:t>
      </w:r>
      <w:r w:rsidR="00DF3D80">
        <w:rPr>
          <w:rFonts w:eastAsia="Times New Roman" w:cs="Times New Roman"/>
          <w:color w:val="auto"/>
          <w:szCs w:val="24"/>
          <w:lang w:val="en-IN" w:eastAsia="en-IN" w:bidi="ar-SA"/>
        </w:rPr>
        <w:t>c</w:t>
      </w:r>
      <w:r w:rsidR="00DF3D80" w:rsidRPr="00DF3D80">
        <w:rPr>
          <w:rFonts w:eastAsia="Times New Roman" w:cs="Times New Roman"/>
          <w:color w:val="auto"/>
          <w:szCs w:val="24"/>
          <w:lang w:val="en-IN" w:eastAsia="en-IN" w:bidi="ar-SA"/>
        </w:rPr>
        <w:t>, 2019</w:t>
      </w:r>
      <w:r w:rsidR="00DF3D80">
        <w:rPr>
          <w:rFonts w:eastAsia="Times New Roman" w:cs="Times New Roman"/>
          <w:color w:val="auto"/>
          <w:szCs w:val="24"/>
          <w:lang w:val="en-IN" w:eastAsia="en-IN" w:bidi="ar-SA"/>
        </w:rPr>
        <w:t>)</w:t>
      </w:r>
      <w:r w:rsidRPr="00226D4A">
        <w:rPr>
          <w:rFonts w:eastAsia="Times New Roman" w:cs="Times New Roman"/>
          <w:szCs w:val="24"/>
          <w:lang w:val="en-IN" w:eastAsia="en-IN" w:bidi="ar-SA"/>
        </w:rPr>
        <w:t>. </w:t>
      </w:r>
    </w:p>
    <w:p w14:paraId="1894893C"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lastRenderedPageBreak/>
        <w:t>The Two-Factor Theory</w:t>
      </w:r>
    </w:p>
    <w:p w14:paraId="15618111" w14:textId="1F378AC5"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This is another popular framework, introduced by Herzberg, that points out that two determinant factors, motivators and hygiene factors, play crucial roles in employee engagement. Motivators are the forces that contribute to job contentment whereas, hygiene factors prevent dissatisfaction to occur. Hence, the Human Resources department must address the hygiene factors before taking into account the major motivators</w:t>
      </w:r>
      <w:r w:rsidR="00192676">
        <w:rPr>
          <w:rFonts w:eastAsia="Times New Roman" w:cs="Times New Roman"/>
          <w:szCs w:val="24"/>
          <w:lang w:val="en-IN" w:eastAsia="en-IN" w:bidi="ar-SA"/>
        </w:rPr>
        <w:t xml:space="preserve"> (</w:t>
      </w:r>
      <w:r w:rsidR="00192676" w:rsidRPr="00192676">
        <w:rPr>
          <w:rFonts w:eastAsia="Times New Roman" w:cs="Times New Roman"/>
          <w:color w:val="auto"/>
          <w:szCs w:val="24"/>
          <w:lang w:val="en-IN" w:eastAsia="en-IN" w:bidi="ar-SA"/>
        </w:rPr>
        <w:t>Siruri and Cheche,</w:t>
      </w:r>
      <w:r w:rsidR="00192676">
        <w:rPr>
          <w:rFonts w:eastAsia="Times New Roman" w:cs="Times New Roman"/>
          <w:color w:val="auto"/>
          <w:szCs w:val="24"/>
          <w:lang w:val="en-IN" w:eastAsia="en-IN" w:bidi="ar-SA"/>
        </w:rPr>
        <w:t xml:space="preserve"> </w:t>
      </w:r>
      <w:r w:rsidR="00192676" w:rsidRPr="00192676">
        <w:rPr>
          <w:rFonts w:eastAsia="Times New Roman" w:cs="Times New Roman"/>
          <w:color w:val="auto"/>
          <w:szCs w:val="24"/>
          <w:lang w:val="en-IN" w:eastAsia="en-IN" w:bidi="ar-SA"/>
        </w:rPr>
        <w:t>2021</w:t>
      </w:r>
      <w:r w:rsidR="00192676">
        <w:rPr>
          <w:rFonts w:eastAsia="Times New Roman" w:cs="Times New Roman"/>
          <w:color w:val="auto"/>
          <w:szCs w:val="24"/>
          <w:lang w:val="en-IN" w:eastAsia="en-IN" w:bidi="ar-SA"/>
        </w:rPr>
        <w:t>)</w:t>
      </w:r>
      <w:r w:rsidRPr="00226D4A">
        <w:rPr>
          <w:rFonts w:eastAsia="Times New Roman" w:cs="Times New Roman"/>
          <w:szCs w:val="24"/>
          <w:lang w:val="en-IN" w:eastAsia="en-IN" w:bidi="ar-SA"/>
        </w:rPr>
        <w:t>. </w:t>
      </w:r>
    </w:p>
    <w:p w14:paraId="58A11A7A" w14:textId="77777777" w:rsidR="00226D4A" w:rsidRPr="0080378D" w:rsidRDefault="00226D4A" w:rsidP="00226D4A">
      <w:pPr>
        <w:spacing w:after="0"/>
        <w:ind w:left="0" w:firstLine="0"/>
        <w:rPr>
          <w:rFonts w:eastAsia="Times New Roman" w:cs="Times New Roman"/>
          <w:b/>
          <w:bCs/>
          <w:color w:val="auto"/>
          <w:szCs w:val="24"/>
          <w:lang w:val="en-IN" w:eastAsia="en-IN" w:bidi="ar-SA"/>
        </w:rPr>
      </w:pPr>
      <w:r w:rsidRPr="0080378D">
        <w:rPr>
          <w:rFonts w:eastAsia="Times New Roman" w:cs="Times New Roman"/>
          <w:b/>
          <w:bCs/>
          <w:i/>
          <w:iCs/>
          <w:szCs w:val="24"/>
          <w:lang w:val="en-IN" w:eastAsia="en-IN" w:bidi="ar-SA"/>
        </w:rPr>
        <w:t>The Psychological Contract Theory</w:t>
      </w:r>
    </w:p>
    <w:p w14:paraId="3781A817" w14:textId="4251B45F" w:rsidR="00226D4A" w:rsidRPr="00226D4A" w:rsidRDefault="00226D4A" w:rsidP="00226D4A">
      <w:pPr>
        <w:spacing w:after="0"/>
        <w:ind w:left="0" w:firstLine="0"/>
        <w:rPr>
          <w:rFonts w:eastAsia="Times New Roman" w:cs="Times New Roman"/>
          <w:color w:val="auto"/>
          <w:szCs w:val="24"/>
          <w:lang w:val="en-IN" w:eastAsia="en-IN" w:bidi="ar-SA"/>
        </w:rPr>
      </w:pPr>
      <w:r w:rsidRPr="00226D4A">
        <w:rPr>
          <w:rFonts w:eastAsia="Times New Roman" w:cs="Times New Roman"/>
          <w:szCs w:val="24"/>
          <w:lang w:val="en-IN" w:eastAsia="en-IN" w:bidi="ar-SA"/>
        </w:rPr>
        <w:t>The psychological contract serves as the act of the unspoken promises and commitments made by employers to employees. However, the employees of GreenCo expect certain support, coordination and acknowledgement for their contribution to the organisational operations. Therefore, it is imperative to ensure that both parties are aware of their roles and responsibilities. Leveraging flexible working hours and systems should involve open discussions and agreements about expectations, boundaries and performance metrics</w:t>
      </w:r>
      <w:r w:rsidR="00C609EA">
        <w:rPr>
          <w:rFonts w:eastAsia="Times New Roman" w:cs="Times New Roman"/>
          <w:szCs w:val="24"/>
          <w:lang w:val="en-IN" w:eastAsia="en-IN" w:bidi="ar-SA"/>
        </w:rPr>
        <w:t xml:space="preserve"> (</w:t>
      </w:r>
      <w:r w:rsidR="00C609EA" w:rsidRPr="00C609EA">
        <w:rPr>
          <w:rFonts w:eastAsia="Times New Roman" w:cs="Times New Roman"/>
          <w:color w:val="auto"/>
          <w:szCs w:val="24"/>
          <w:lang w:val="en-IN" w:eastAsia="en-IN" w:bidi="ar-SA"/>
        </w:rPr>
        <w:t>Soares and Mosquera, 2019</w:t>
      </w:r>
      <w:r w:rsidR="00C609EA">
        <w:rPr>
          <w:rFonts w:eastAsia="Times New Roman" w:cs="Times New Roman"/>
          <w:color w:val="auto"/>
          <w:szCs w:val="24"/>
          <w:lang w:val="en-IN" w:eastAsia="en-IN" w:bidi="ar-SA"/>
        </w:rPr>
        <w:t>)</w:t>
      </w:r>
      <w:r w:rsidRPr="00226D4A">
        <w:rPr>
          <w:rFonts w:eastAsia="Times New Roman" w:cs="Times New Roman"/>
          <w:szCs w:val="24"/>
          <w:lang w:val="en-IN" w:eastAsia="en-IN" w:bidi="ar-SA"/>
        </w:rPr>
        <w:t>.</w:t>
      </w:r>
    </w:p>
    <w:p w14:paraId="6D7C069E" w14:textId="77777777" w:rsidR="00ED12FB" w:rsidRDefault="00ED12FB">
      <w:pPr>
        <w:spacing w:after="0"/>
        <w:ind w:left="0" w:firstLine="0"/>
        <w:rPr>
          <w:rFonts w:eastAsia="Times New Roman" w:cs="Times New Roman"/>
          <w:b/>
          <w:bCs/>
          <w:sz w:val="28"/>
          <w:szCs w:val="28"/>
          <w:lang w:val="en-IN" w:eastAsia="en-IN" w:bidi="ar-SA"/>
        </w:rPr>
      </w:pPr>
      <w:r>
        <w:rPr>
          <w:rFonts w:eastAsia="Times New Roman" w:cs="Times New Roman"/>
          <w:b/>
          <w:bCs/>
          <w:sz w:val="28"/>
          <w:szCs w:val="28"/>
          <w:lang w:val="en-IN" w:eastAsia="en-IN" w:bidi="ar-SA"/>
        </w:rPr>
        <w:br w:type="page"/>
      </w:r>
    </w:p>
    <w:p w14:paraId="041A582B" w14:textId="7E67C1A0" w:rsidR="00226D4A" w:rsidRPr="00226D4A" w:rsidRDefault="00226D4A" w:rsidP="0080378D">
      <w:pPr>
        <w:pStyle w:val="Heading1"/>
        <w:rPr>
          <w:color w:val="auto"/>
          <w:szCs w:val="24"/>
        </w:rPr>
      </w:pPr>
      <w:bookmarkStart w:id="5" w:name="_Toc140768292"/>
      <w:r w:rsidRPr="00226D4A">
        <w:lastRenderedPageBreak/>
        <w:t>Conclusion</w:t>
      </w:r>
      <w:bookmarkEnd w:id="5"/>
    </w:p>
    <w:p w14:paraId="01B52CFC" w14:textId="369852E5" w:rsidR="00226D4A" w:rsidRDefault="00226D4A" w:rsidP="00226D4A">
      <w:pPr>
        <w:spacing w:after="0"/>
        <w:ind w:left="0" w:firstLine="0"/>
        <w:rPr>
          <w:rFonts w:eastAsia="Times New Roman" w:cs="Times New Roman"/>
          <w:szCs w:val="24"/>
          <w:lang w:val="en-IN" w:eastAsia="en-IN" w:bidi="ar-SA"/>
        </w:rPr>
      </w:pPr>
      <w:r w:rsidRPr="00226D4A">
        <w:rPr>
          <w:rFonts w:eastAsia="Times New Roman" w:cs="Times New Roman"/>
          <w:szCs w:val="24"/>
          <w:lang w:val="en-IN" w:eastAsia="en-IN" w:bidi="ar-SA"/>
        </w:rPr>
        <w:t>The aforementioned report has covered the significance of Human Resource Management of the GreenCo company. GreenCo is a venture that primarily manufactures and sells agricultural equipment and HRM needs to employ strategies to induce flexibility in the system. First and foremost, the report has outlined the advantages of flexible working strategies within business entities and their relevance as per the organisational goals. Afterwards, the write-up has highlighted the crucial role that the Human Resources unit plays in redesigning the structure to implement flexible work culture. A detailed account has elaborated on the altered pay structure that the company can reconsider to meet the goal. Lastly, relevant strategies like Maslow's Hierarchy of Needs, the Job Characteristics Model, the Two-Factor and the Psychological Contract Theory are explained thoroughly with industrial examples.  </w:t>
      </w:r>
    </w:p>
    <w:p w14:paraId="7BAF45D5" w14:textId="0E170461" w:rsidR="00ED12FB" w:rsidRDefault="00ED12FB">
      <w:pPr>
        <w:spacing w:after="0"/>
        <w:ind w:left="0" w:firstLine="0"/>
        <w:rPr>
          <w:rFonts w:eastAsia="Times New Roman" w:cs="Times New Roman"/>
          <w:szCs w:val="24"/>
          <w:lang w:val="en-IN" w:eastAsia="en-IN" w:bidi="ar-SA"/>
        </w:rPr>
      </w:pPr>
      <w:r>
        <w:rPr>
          <w:rFonts w:eastAsia="Times New Roman" w:cs="Times New Roman"/>
          <w:szCs w:val="24"/>
          <w:lang w:val="en-IN" w:eastAsia="en-IN" w:bidi="ar-SA"/>
        </w:rPr>
        <w:br w:type="page"/>
      </w:r>
    </w:p>
    <w:p w14:paraId="240FA46E" w14:textId="268DAE1F" w:rsidR="00ED12FB" w:rsidRPr="00226D4A" w:rsidRDefault="00ED12FB" w:rsidP="0080378D">
      <w:pPr>
        <w:pStyle w:val="Heading1"/>
      </w:pPr>
      <w:bookmarkStart w:id="6" w:name="_Toc140768293"/>
      <w:r>
        <w:lastRenderedPageBreak/>
        <w:t>References</w:t>
      </w:r>
      <w:bookmarkEnd w:id="6"/>
      <w:r>
        <w:t xml:space="preserve"> </w:t>
      </w:r>
    </w:p>
    <w:p w14:paraId="55459358"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Available at: https://www.forbes.com/advisor/business/monetary-incentives/ [Accessed 16 July 2023].</w:t>
      </w:r>
    </w:p>
    <w:p w14:paraId="69326A83"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 xml:space="preserve">Cusson, N. &amp; Main, K., (2023). Monetary Incentives In The Workplace (2023 Guide). [Online] </w:t>
      </w:r>
    </w:p>
    <w:p w14:paraId="4E2D11BC" w14:textId="77777777" w:rsidR="00962D06" w:rsidRPr="00962D06" w:rsidRDefault="00962D06" w:rsidP="00962D06">
      <w:pPr>
        <w:ind w:left="360" w:firstLine="0"/>
        <w:rPr>
          <w:shd w:val="clear" w:color="auto" w:fill="FFFFFF"/>
        </w:rPr>
      </w:pPr>
      <w:r w:rsidRPr="00962D06">
        <w:rPr>
          <w:shd w:val="clear" w:color="auto" w:fill="FFFFFF"/>
        </w:rPr>
        <w:t>Ewald, A., Gilbert, E. and Huppatz, K., (2020). Fathering and flexible working arrangements: A systematic interdisciplinary review. </w:t>
      </w:r>
      <w:r w:rsidRPr="00962D06">
        <w:rPr>
          <w:i/>
          <w:iCs/>
          <w:shd w:val="clear" w:color="auto" w:fill="FFFFFF"/>
        </w:rPr>
        <w:t>Journal of Family Theory &amp; Review</w:t>
      </w:r>
      <w:r w:rsidRPr="00962D06">
        <w:rPr>
          <w:shd w:val="clear" w:color="auto" w:fill="FFFFFF"/>
        </w:rPr>
        <w:t>.</w:t>
      </w:r>
    </w:p>
    <w:p w14:paraId="320E3396" w14:textId="77777777" w:rsidR="00962D06" w:rsidRPr="00962D06" w:rsidRDefault="00962D06" w:rsidP="00962D06">
      <w:pPr>
        <w:ind w:left="360" w:firstLine="0"/>
        <w:rPr>
          <w:rFonts w:eastAsia="Times New Roman" w:cs="Times New Roman"/>
          <w:color w:val="auto"/>
          <w:szCs w:val="24"/>
          <w:lang w:val="en-IN" w:eastAsia="en-IN" w:bidi="ar-SA"/>
        </w:rPr>
      </w:pPr>
      <w:proofErr w:type="spellStart"/>
      <w:r w:rsidRPr="00962D06">
        <w:rPr>
          <w:rFonts w:eastAsia="Times New Roman" w:cs="Times New Roman"/>
          <w:color w:val="auto"/>
          <w:szCs w:val="24"/>
          <w:lang w:val="en-IN" w:eastAsia="en-IN" w:bidi="ar-SA"/>
        </w:rPr>
        <w:t>forbesbusinesscouncil</w:t>
      </w:r>
      <w:proofErr w:type="spellEnd"/>
      <w:r w:rsidRPr="00962D06">
        <w:rPr>
          <w:rFonts w:eastAsia="Times New Roman" w:cs="Times New Roman"/>
          <w:color w:val="auto"/>
          <w:szCs w:val="24"/>
          <w:lang w:val="en-IN" w:eastAsia="en-IN" w:bidi="ar-SA"/>
        </w:rPr>
        <w:t>, (2023). Employee Satisfaction: 15 Incentives To Motivate Employees. [Online] Available at: https://www.forbes.com/sites/forbesbusinesscouncil/2023/05/08/employee-satisfaction-15-incentives-to-motivate-employees/?sh=6f14d7666e64 [Accessed 16 July 2023].</w:t>
      </w:r>
    </w:p>
    <w:p w14:paraId="65DDD69C" w14:textId="77777777" w:rsidR="00962D06" w:rsidRPr="00962D06" w:rsidRDefault="00962D06" w:rsidP="00962D06">
      <w:pPr>
        <w:ind w:left="360" w:firstLine="0"/>
        <w:rPr>
          <w:shd w:val="clear" w:color="auto" w:fill="FFFFFF"/>
        </w:rPr>
      </w:pPr>
      <w:r w:rsidRPr="00962D06">
        <w:rPr>
          <w:shd w:val="clear" w:color="auto" w:fill="FFFFFF"/>
        </w:rPr>
        <w:t>Hazelden, B., (2023). The Disadvantages of Flexible Workforce. [Online] Available at: https://smallbusiness.chron.com/disadvantages-flexible-workforce-70170.html [Accessed 19 July 2023].</w:t>
      </w:r>
    </w:p>
    <w:p w14:paraId="0A7F05B4"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Hopper, E., (2020). Maslow’s hierarchy of needs explained. ThoughtCo, ThoughtCo, 24, pp.1-3.</w:t>
      </w:r>
    </w:p>
    <w:p w14:paraId="460A7480" w14:textId="77777777" w:rsidR="00962D06" w:rsidRPr="00962D06" w:rsidRDefault="00962D06" w:rsidP="00962D06">
      <w:pPr>
        <w:ind w:left="360" w:firstLine="0"/>
        <w:rPr>
          <w:shd w:val="clear" w:color="auto" w:fill="FFFFFF"/>
        </w:rPr>
      </w:pPr>
      <w:r w:rsidRPr="00962D06">
        <w:rPr>
          <w:shd w:val="clear" w:color="auto" w:fill="FFFFFF"/>
        </w:rPr>
        <w:t>Hunter, P., (2019). Remote working in research: An increasing usage of flexible work arrangements can improve productivity and creativity. </w:t>
      </w:r>
      <w:r w:rsidRPr="00962D06">
        <w:rPr>
          <w:i/>
          <w:iCs/>
          <w:shd w:val="clear" w:color="auto" w:fill="FFFFFF"/>
        </w:rPr>
        <w:t>EMBO reports</w:t>
      </w:r>
      <w:r w:rsidRPr="00962D06">
        <w:rPr>
          <w:shd w:val="clear" w:color="auto" w:fill="FFFFFF"/>
        </w:rPr>
        <w:t>.</w:t>
      </w:r>
    </w:p>
    <w:p w14:paraId="1A242F7D"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Jones, A., (2022). The salary ignorance that keeps many workers underpaid. [Online] Available at: https://www.bbc.com/worklife/article/20220204-the-salary-ignorance-that-keeps-many-workers-underpaid [Accessed 16 July 2023].</w:t>
      </w:r>
    </w:p>
    <w:p w14:paraId="793E91D8" w14:textId="77777777" w:rsidR="00962D06" w:rsidRPr="00962D06" w:rsidRDefault="00962D06" w:rsidP="00962D06">
      <w:pPr>
        <w:ind w:left="360" w:firstLine="0"/>
        <w:rPr>
          <w:shd w:val="clear" w:color="auto" w:fill="FFFFFF"/>
        </w:rPr>
      </w:pPr>
      <w:proofErr w:type="spellStart"/>
      <w:r w:rsidRPr="00962D06">
        <w:rPr>
          <w:shd w:val="clear" w:color="auto" w:fill="FFFFFF"/>
        </w:rPr>
        <w:t>Kaho</w:t>
      </w:r>
      <w:proofErr w:type="spellEnd"/>
      <w:r w:rsidRPr="00962D06">
        <w:rPr>
          <w:shd w:val="clear" w:color="auto" w:fill="FFFFFF"/>
        </w:rPr>
        <w:t>, M., (2023). Reasons for Flexible Work Arrangements. [Online] Available at: https://smallbusiness.chron.com/reasons-flexible-work-arrangements-24803.html [Accessed 18 July 2023].</w:t>
      </w:r>
    </w:p>
    <w:p w14:paraId="706DF796" w14:textId="77777777" w:rsidR="00962D06" w:rsidRPr="00962D06" w:rsidRDefault="00962D06" w:rsidP="00962D06">
      <w:pPr>
        <w:ind w:left="360" w:firstLine="0"/>
        <w:rPr>
          <w:shd w:val="clear" w:color="auto" w:fill="FFFFFF"/>
        </w:rPr>
      </w:pPr>
      <w:proofErr w:type="spellStart"/>
      <w:r w:rsidRPr="00962D06">
        <w:rPr>
          <w:shd w:val="clear" w:color="auto" w:fill="FFFFFF"/>
        </w:rPr>
        <w:lastRenderedPageBreak/>
        <w:t>LaMarco</w:t>
      </w:r>
      <w:proofErr w:type="spellEnd"/>
      <w:r w:rsidRPr="00962D06">
        <w:rPr>
          <w:shd w:val="clear" w:color="auto" w:fill="FFFFFF"/>
        </w:rPr>
        <w:t>, N., (2018). The Advantages of Flexibility in an Organization. [Online] Available at: https://smallbusiness.chron.com/advantages-flexibility-organization-37369.html [Accessed 19 July 2023].</w:t>
      </w:r>
    </w:p>
    <w:p w14:paraId="45C039E4" w14:textId="77777777" w:rsidR="00962D06" w:rsidRPr="00962D06" w:rsidRDefault="00962D06" w:rsidP="00962D06">
      <w:pPr>
        <w:ind w:left="360" w:firstLine="0"/>
        <w:rPr>
          <w:rFonts w:eastAsia="Times New Roman" w:cs="Times New Roman"/>
          <w:color w:val="auto"/>
          <w:szCs w:val="24"/>
          <w:lang w:val="en-IN" w:eastAsia="en-IN" w:bidi="ar-SA"/>
        </w:rPr>
      </w:pPr>
      <w:proofErr w:type="spellStart"/>
      <w:r w:rsidRPr="00962D06">
        <w:rPr>
          <w:rFonts w:eastAsia="Times New Roman" w:cs="Times New Roman"/>
          <w:color w:val="auto"/>
          <w:szCs w:val="24"/>
          <w:lang w:val="en-IN" w:eastAsia="en-IN" w:bidi="ar-SA"/>
        </w:rPr>
        <w:t>Mosca</w:t>
      </w:r>
      <w:proofErr w:type="spellEnd"/>
      <w:r w:rsidRPr="00962D06">
        <w:rPr>
          <w:rFonts w:eastAsia="Times New Roman" w:cs="Times New Roman"/>
          <w:color w:val="auto"/>
          <w:szCs w:val="24"/>
          <w:lang w:val="en-IN" w:eastAsia="en-IN" w:bidi="ar-SA"/>
        </w:rPr>
        <w:t>, L., (2021). 6 Reasons Why Pay-For-Performance Is A Game Changer. [Online] Available at: https://www.forbes.com/sites/louismosca/2021/06/07/6-reasons-why-pay-for-performance-is-a-game-changer/?sh=29e1b3b971b7 [Accessed 16 July 2023].</w:t>
      </w:r>
    </w:p>
    <w:p w14:paraId="7A79B82A"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 xml:space="preserve">Sever, S. and Malbasic, I., (2019), November. Managing employee motivation with the job characteristics model. In DIEM: Dubrovnik International Economic Meeting (Vol. 4, No. 1, pp. 55-63). </w:t>
      </w:r>
      <w:proofErr w:type="spellStart"/>
      <w:r w:rsidRPr="00962D06">
        <w:rPr>
          <w:rFonts w:eastAsia="Times New Roman" w:cs="Times New Roman"/>
          <w:color w:val="auto"/>
          <w:szCs w:val="24"/>
          <w:lang w:val="en-IN" w:eastAsia="en-IN" w:bidi="ar-SA"/>
        </w:rPr>
        <w:t>Sveučilište</w:t>
      </w:r>
      <w:proofErr w:type="spellEnd"/>
      <w:r w:rsidRPr="00962D06">
        <w:rPr>
          <w:rFonts w:eastAsia="Times New Roman" w:cs="Times New Roman"/>
          <w:color w:val="auto"/>
          <w:szCs w:val="24"/>
          <w:lang w:val="en-IN" w:eastAsia="en-IN" w:bidi="ar-SA"/>
        </w:rPr>
        <w:t xml:space="preserve"> u </w:t>
      </w:r>
      <w:proofErr w:type="spellStart"/>
      <w:r w:rsidRPr="00962D06">
        <w:rPr>
          <w:rFonts w:eastAsia="Times New Roman" w:cs="Times New Roman"/>
          <w:color w:val="auto"/>
          <w:szCs w:val="24"/>
          <w:lang w:val="en-IN" w:eastAsia="en-IN" w:bidi="ar-SA"/>
        </w:rPr>
        <w:t>Dubrovniku</w:t>
      </w:r>
      <w:proofErr w:type="spellEnd"/>
      <w:r w:rsidRPr="00962D06">
        <w:rPr>
          <w:rFonts w:eastAsia="Times New Roman" w:cs="Times New Roman"/>
          <w:color w:val="auto"/>
          <w:szCs w:val="24"/>
          <w:lang w:val="en-IN" w:eastAsia="en-IN" w:bidi="ar-SA"/>
        </w:rPr>
        <w:t>.</w:t>
      </w:r>
    </w:p>
    <w:p w14:paraId="2A9B2962"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Siruri, M.M. and Cheche, S., (2021). Revisiting the Hackman and Oldham job characteristics model and Herzberg’s two factor theory: Propositions on how to make job enrichment effective in today’s organizations. European Journal of Business and Management Research, 6(2), pp.162-167.</w:t>
      </w:r>
    </w:p>
    <w:p w14:paraId="1D8F4D79" w14:textId="77777777" w:rsidR="00962D06" w:rsidRPr="00962D06" w:rsidRDefault="00962D06" w:rsidP="00962D06">
      <w:pPr>
        <w:ind w:left="360" w:firstLine="0"/>
        <w:rPr>
          <w:rFonts w:eastAsia="Times New Roman" w:cs="Times New Roman"/>
          <w:color w:val="auto"/>
          <w:szCs w:val="24"/>
          <w:lang w:val="en-IN" w:eastAsia="en-IN" w:bidi="ar-SA"/>
        </w:rPr>
      </w:pPr>
      <w:r w:rsidRPr="00962D06">
        <w:rPr>
          <w:rFonts w:eastAsia="Times New Roman" w:cs="Times New Roman"/>
          <w:color w:val="auto"/>
          <w:szCs w:val="24"/>
          <w:lang w:val="en-IN" w:eastAsia="en-IN" w:bidi="ar-SA"/>
        </w:rPr>
        <w:t>Soares, M.E. and Mosquera, P., (2019). Fostering work engagement: The role of the psychological contract. Journal of Business Research, 101, pp.469-476.</w:t>
      </w:r>
    </w:p>
    <w:p w14:paraId="1D9BEFA1" w14:textId="77777777" w:rsidR="00962D06" w:rsidRPr="00962D06" w:rsidRDefault="00962D06" w:rsidP="00962D06">
      <w:pPr>
        <w:ind w:left="360" w:firstLine="0"/>
        <w:rPr>
          <w:shd w:val="clear" w:color="auto" w:fill="FFFFFF"/>
        </w:rPr>
      </w:pPr>
      <w:r w:rsidRPr="00962D06">
        <w:rPr>
          <w:shd w:val="clear" w:color="auto" w:fill="FFFFFF"/>
        </w:rPr>
        <w:t xml:space="preserve">White, C. and Maniam, B., (2020). Flexible working arrangements, </w:t>
      </w:r>
      <w:proofErr w:type="spellStart"/>
      <w:r w:rsidRPr="00962D06">
        <w:rPr>
          <w:shd w:val="clear" w:color="auto" w:fill="FFFFFF"/>
        </w:rPr>
        <w:t>worklife</w:t>
      </w:r>
      <w:proofErr w:type="spellEnd"/>
      <w:r w:rsidRPr="00962D06">
        <w:rPr>
          <w:shd w:val="clear" w:color="auto" w:fill="FFFFFF"/>
        </w:rPr>
        <w:t xml:space="preserve"> balance, and working women. </w:t>
      </w:r>
      <w:r w:rsidRPr="00962D06">
        <w:rPr>
          <w:i/>
          <w:iCs/>
          <w:shd w:val="clear" w:color="auto" w:fill="FFFFFF"/>
        </w:rPr>
        <w:t>Journal of Business and Accounting</w:t>
      </w:r>
      <w:r w:rsidRPr="00962D06">
        <w:rPr>
          <w:shd w:val="clear" w:color="auto" w:fill="FFFFFF"/>
        </w:rPr>
        <w:t>.</w:t>
      </w:r>
    </w:p>
    <w:p w14:paraId="0A1B3BDE" w14:textId="77777777" w:rsidR="0080378D" w:rsidRPr="003410D0" w:rsidRDefault="0080378D" w:rsidP="003410D0">
      <w:pPr>
        <w:ind w:left="0" w:firstLine="0"/>
        <w:rPr>
          <w:rFonts w:eastAsia="Times New Roman" w:cs="Times New Roman"/>
          <w:color w:val="auto"/>
          <w:szCs w:val="24"/>
          <w:lang w:val="en-IN" w:eastAsia="en-IN" w:bidi="ar-SA"/>
        </w:rPr>
      </w:pPr>
    </w:p>
    <w:p w14:paraId="365EF46D" w14:textId="4DD5A00F" w:rsidR="005E4C0F" w:rsidRPr="005E4C0F" w:rsidRDefault="00226D4A" w:rsidP="00226D4A">
      <w:pPr>
        <w:ind w:left="0" w:firstLine="0"/>
      </w:pP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lastRenderedPageBreak/>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r w:rsidRPr="00226D4A">
        <w:rPr>
          <w:rFonts w:eastAsia="Times New Roman" w:cs="Times New Roman"/>
          <w:color w:val="auto"/>
          <w:szCs w:val="24"/>
          <w:lang w:val="en-IN" w:eastAsia="en-IN" w:bidi="ar-SA"/>
        </w:rPr>
        <w:br/>
      </w:r>
    </w:p>
    <w:sectPr w:rsidR="005E4C0F" w:rsidRPr="005E4C0F" w:rsidSect="00226D4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4E3D3" w14:textId="77777777" w:rsidR="006F62D8" w:rsidRDefault="006F62D8" w:rsidP="00226D4A">
      <w:pPr>
        <w:spacing w:after="0" w:line="240" w:lineRule="auto"/>
      </w:pPr>
      <w:r>
        <w:separator/>
      </w:r>
    </w:p>
  </w:endnote>
  <w:endnote w:type="continuationSeparator" w:id="0">
    <w:p w14:paraId="0826420D" w14:textId="77777777" w:rsidR="006F62D8" w:rsidRDefault="006F62D8" w:rsidP="0022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751643661"/>
      <w:docPartObj>
        <w:docPartGallery w:val="Page Numbers (Bottom of Page)"/>
        <w:docPartUnique/>
      </w:docPartObj>
    </w:sdtPr>
    <w:sdtContent>
      <w:sdt>
        <w:sdtPr>
          <w:rPr>
            <w:b/>
            <w:bCs/>
          </w:rPr>
          <w:id w:val="-1769616900"/>
          <w:docPartObj>
            <w:docPartGallery w:val="Page Numbers (Top of Page)"/>
            <w:docPartUnique/>
          </w:docPartObj>
        </w:sdtPr>
        <w:sdtContent>
          <w:p w14:paraId="2B94D588" w14:textId="63FC48A0" w:rsidR="00226D4A" w:rsidRPr="00226D4A" w:rsidRDefault="00226D4A">
            <w:pPr>
              <w:pStyle w:val="Footer"/>
              <w:jc w:val="right"/>
              <w:rPr>
                <w:b/>
                <w:bCs/>
              </w:rPr>
            </w:pPr>
            <w:r w:rsidRPr="00226D4A">
              <w:rPr>
                <w:b/>
                <w:bCs/>
              </w:rPr>
              <w:t xml:space="preserve">Page </w:t>
            </w:r>
            <w:r w:rsidRPr="00226D4A">
              <w:rPr>
                <w:b/>
                <w:bCs/>
                <w:szCs w:val="24"/>
              </w:rPr>
              <w:fldChar w:fldCharType="begin"/>
            </w:r>
            <w:r w:rsidRPr="00226D4A">
              <w:rPr>
                <w:b/>
                <w:bCs/>
              </w:rPr>
              <w:instrText xml:space="preserve"> PAGE </w:instrText>
            </w:r>
            <w:r w:rsidRPr="00226D4A">
              <w:rPr>
                <w:b/>
                <w:bCs/>
                <w:szCs w:val="24"/>
              </w:rPr>
              <w:fldChar w:fldCharType="separate"/>
            </w:r>
            <w:r w:rsidRPr="00226D4A">
              <w:rPr>
                <w:b/>
                <w:bCs/>
                <w:noProof/>
              </w:rPr>
              <w:t>2</w:t>
            </w:r>
            <w:r w:rsidRPr="00226D4A">
              <w:rPr>
                <w:b/>
                <w:bCs/>
                <w:szCs w:val="24"/>
              </w:rPr>
              <w:fldChar w:fldCharType="end"/>
            </w:r>
            <w:r w:rsidRPr="00226D4A">
              <w:rPr>
                <w:b/>
                <w:bCs/>
              </w:rPr>
              <w:t xml:space="preserve"> of </w:t>
            </w:r>
            <w:r w:rsidRPr="00226D4A">
              <w:rPr>
                <w:b/>
                <w:bCs/>
                <w:szCs w:val="24"/>
              </w:rPr>
              <w:fldChar w:fldCharType="begin"/>
            </w:r>
            <w:r w:rsidRPr="00226D4A">
              <w:rPr>
                <w:b/>
                <w:bCs/>
              </w:rPr>
              <w:instrText xml:space="preserve"> NUMPAGES  </w:instrText>
            </w:r>
            <w:r w:rsidRPr="00226D4A">
              <w:rPr>
                <w:b/>
                <w:bCs/>
                <w:szCs w:val="24"/>
              </w:rPr>
              <w:fldChar w:fldCharType="separate"/>
            </w:r>
            <w:r w:rsidRPr="00226D4A">
              <w:rPr>
                <w:b/>
                <w:bCs/>
                <w:noProof/>
              </w:rPr>
              <w:t>2</w:t>
            </w:r>
            <w:r w:rsidRPr="00226D4A">
              <w:rPr>
                <w:b/>
                <w:bCs/>
                <w:szCs w:val="24"/>
              </w:rPr>
              <w:fldChar w:fldCharType="end"/>
            </w:r>
          </w:p>
        </w:sdtContent>
      </w:sdt>
    </w:sdtContent>
  </w:sdt>
  <w:p w14:paraId="16088CAC" w14:textId="77777777" w:rsidR="00226D4A" w:rsidRPr="00226D4A" w:rsidRDefault="00226D4A">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37B6E" w14:textId="77777777" w:rsidR="006F62D8" w:rsidRDefault="006F62D8" w:rsidP="00226D4A">
      <w:pPr>
        <w:spacing w:after="0" w:line="240" w:lineRule="auto"/>
      </w:pPr>
      <w:r>
        <w:separator/>
      </w:r>
    </w:p>
  </w:footnote>
  <w:footnote w:type="continuationSeparator" w:id="0">
    <w:p w14:paraId="4F6E8D25" w14:textId="77777777" w:rsidR="006F62D8" w:rsidRDefault="006F62D8" w:rsidP="00226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E1A8" w14:textId="7E54278E" w:rsidR="00226D4A" w:rsidRPr="00226D4A" w:rsidRDefault="00226D4A" w:rsidP="00226D4A">
    <w:pPr>
      <w:pStyle w:val="Header"/>
      <w:jc w:val="right"/>
      <w:rPr>
        <w:b/>
        <w:bCs/>
      </w:rPr>
    </w:pPr>
    <w:r w:rsidRPr="00226D4A">
      <w:rPr>
        <w:b/>
        <w:bCs/>
      </w:rPr>
      <w:t>Managing People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0C16C8"/>
    <w:multiLevelType w:val="hybridMultilevel"/>
    <w:tmpl w:val="6720A8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39541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C0F"/>
    <w:rsid w:val="00015CC4"/>
    <w:rsid w:val="000B436D"/>
    <w:rsid w:val="00192676"/>
    <w:rsid w:val="00204F51"/>
    <w:rsid w:val="00226D4A"/>
    <w:rsid w:val="002E2AB2"/>
    <w:rsid w:val="002F3B6F"/>
    <w:rsid w:val="00337A89"/>
    <w:rsid w:val="003410D0"/>
    <w:rsid w:val="003844C3"/>
    <w:rsid w:val="00422731"/>
    <w:rsid w:val="0042596F"/>
    <w:rsid w:val="005470FB"/>
    <w:rsid w:val="005E4C0F"/>
    <w:rsid w:val="0069167F"/>
    <w:rsid w:val="0069316A"/>
    <w:rsid w:val="00693C7B"/>
    <w:rsid w:val="006D0524"/>
    <w:rsid w:val="006D0AC0"/>
    <w:rsid w:val="006F62D8"/>
    <w:rsid w:val="00713917"/>
    <w:rsid w:val="00735218"/>
    <w:rsid w:val="00743295"/>
    <w:rsid w:val="007834C9"/>
    <w:rsid w:val="0080378D"/>
    <w:rsid w:val="00804AC8"/>
    <w:rsid w:val="00852A2E"/>
    <w:rsid w:val="00856196"/>
    <w:rsid w:val="00867763"/>
    <w:rsid w:val="008A33D5"/>
    <w:rsid w:val="008C13EE"/>
    <w:rsid w:val="008C69E7"/>
    <w:rsid w:val="008D67FC"/>
    <w:rsid w:val="00916F0D"/>
    <w:rsid w:val="009342BF"/>
    <w:rsid w:val="00934651"/>
    <w:rsid w:val="00962D06"/>
    <w:rsid w:val="0097238C"/>
    <w:rsid w:val="009766ED"/>
    <w:rsid w:val="0097796F"/>
    <w:rsid w:val="00987174"/>
    <w:rsid w:val="009C0C3F"/>
    <w:rsid w:val="009C2053"/>
    <w:rsid w:val="00AB7039"/>
    <w:rsid w:val="00AC2506"/>
    <w:rsid w:val="00B07A7A"/>
    <w:rsid w:val="00B3769F"/>
    <w:rsid w:val="00B41F0B"/>
    <w:rsid w:val="00B8248F"/>
    <w:rsid w:val="00BA6F54"/>
    <w:rsid w:val="00BC16EB"/>
    <w:rsid w:val="00C609EA"/>
    <w:rsid w:val="00CA1F82"/>
    <w:rsid w:val="00CE2CAE"/>
    <w:rsid w:val="00CF44A4"/>
    <w:rsid w:val="00D06D06"/>
    <w:rsid w:val="00D14E3A"/>
    <w:rsid w:val="00DF3D80"/>
    <w:rsid w:val="00E07BFF"/>
    <w:rsid w:val="00E53687"/>
    <w:rsid w:val="00EC39E0"/>
    <w:rsid w:val="00ED12FB"/>
    <w:rsid w:val="00F359F5"/>
    <w:rsid w:val="00F87550"/>
    <w:rsid w:val="00FD0F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395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87"/>
    <w:pPr>
      <w:spacing w:after="5"/>
      <w:ind w:left="10" w:hanging="10"/>
    </w:pPr>
    <w:rPr>
      <w:rFonts w:cs="Calibri"/>
      <w:color w:val="000000"/>
      <w:kern w:val="0"/>
      <w:lang w:val="en-GB" w:eastAsia="en-GB" w:bidi="en-GB"/>
      <w14:ligatures w14:val="none"/>
    </w:rPr>
  </w:style>
  <w:style w:type="paragraph" w:styleId="Heading1">
    <w:name w:val="heading 1"/>
    <w:next w:val="Normal"/>
    <w:link w:val="Heading1Char"/>
    <w:autoRedefine/>
    <w:uiPriority w:val="9"/>
    <w:qFormat/>
    <w:rsid w:val="0080378D"/>
    <w:pPr>
      <w:keepNext/>
      <w:keepLines/>
      <w:ind w:left="10" w:right="1977" w:hanging="10"/>
      <w:outlineLvl w:val="0"/>
    </w:pPr>
    <w:rPr>
      <w:rFonts w:cs="Calibri"/>
      <w:b/>
      <w:color w:val="000000"/>
      <w:sz w:val="28"/>
      <w:u w:color="000000"/>
    </w:rPr>
  </w:style>
  <w:style w:type="paragraph" w:styleId="Heading2">
    <w:name w:val="heading 2"/>
    <w:basedOn w:val="Normal"/>
    <w:next w:val="Normal"/>
    <w:link w:val="Heading2Char"/>
    <w:uiPriority w:val="9"/>
    <w:unhideWhenUsed/>
    <w:qFormat/>
    <w:rsid w:val="00856196"/>
    <w:pPr>
      <w:keepNext/>
      <w:keepLines/>
      <w:spacing w:before="40" w:after="0"/>
      <w:outlineLvl w:val="1"/>
    </w:pPr>
    <w:rPr>
      <w:rFonts w:eastAsiaTheme="majorEastAsia" w:cstheme="majorBidi"/>
      <w:b/>
      <w:color w:val="000000" w:themeColor="text1"/>
      <w:kern w:val="2"/>
      <w:sz w:val="26"/>
      <w:szCs w:val="26"/>
      <w:lang w:val="en-IN" w:eastAsia="en-US"/>
      <w14:ligatures w14:val="standardContextual"/>
    </w:rPr>
  </w:style>
  <w:style w:type="paragraph" w:styleId="Heading3">
    <w:name w:val="heading 3"/>
    <w:basedOn w:val="Normal"/>
    <w:next w:val="Normal"/>
    <w:link w:val="Heading3Char"/>
    <w:uiPriority w:val="9"/>
    <w:unhideWhenUsed/>
    <w:qFormat/>
    <w:rsid w:val="00804AC8"/>
    <w:pPr>
      <w:keepNext/>
      <w:keepLines/>
      <w:spacing w:before="320" w:after="80"/>
      <w:outlineLvl w:val="2"/>
    </w:pPr>
    <w:rPr>
      <w:i/>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0378D"/>
    <w:rPr>
      <w:rFonts w:cs="Calibri"/>
      <w:b/>
      <w:color w:val="000000"/>
      <w:sz w:val="28"/>
      <w:u w:color="000000"/>
    </w:rPr>
  </w:style>
  <w:style w:type="character" w:customStyle="1" w:styleId="Heading2Char">
    <w:name w:val="Heading 2 Char"/>
    <w:basedOn w:val="DefaultParagraphFont"/>
    <w:link w:val="Heading2"/>
    <w:uiPriority w:val="9"/>
    <w:rsid w:val="00856196"/>
    <w:rPr>
      <w:rFonts w:eastAsiaTheme="majorEastAsia" w:cstheme="majorBidi"/>
      <w:b/>
      <w:sz w:val="26"/>
      <w:szCs w:val="26"/>
      <w:lang w:bidi="en-GB"/>
    </w:rPr>
  </w:style>
  <w:style w:type="character" w:customStyle="1" w:styleId="Heading3Char">
    <w:name w:val="Heading 3 Char"/>
    <w:basedOn w:val="DefaultParagraphFont"/>
    <w:link w:val="Heading3"/>
    <w:uiPriority w:val="9"/>
    <w:rsid w:val="00804AC8"/>
    <w:rPr>
      <w:i/>
      <w:kern w:val="0"/>
      <w:szCs w:val="28"/>
      <w:u w:val="single"/>
      <w:lang w:val="en-GB"/>
      <w14:ligatures w14:val="none"/>
    </w:rPr>
  </w:style>
  <w:style w:type="paragraph" w:styleId="NormalWeb">
    <w:name w:val="Normal (Web)"/>
    <w:basedOn w:val="Normal"/>
    <w:uiPriority w:val="99"/>
    <w:semiHidden/>
    <w:unhideWhenUsed/>
    <w:rsid w:val="00226D4A"/>
    <w:pPr>
      <w:spacing w:before="100" w:beforeAutospacing="1" w:after="100" w:afterAutospacing="1" w:line="240" w:lineRule="auto"/>
      <w:ind w:left="0" w:firstLine="0"/>
      <w:jc w:val="left"/>
    </w:pPr>
    <w:rPr>
      <w:rFonts w:eastAsia="Times New Roman" w:cs="Times New Roman"/>
      <w:color w:val="auto"/>
      <w:szCs w:val="24"/>
      <w:lang w:val="en-IN" w:eastAsia="en-IN" w:bidi="ar-SA"/>
    </w:rPr>
  </w:style>
  <w:style w:type="paragraph" w:styleId="Header">
    <w:name w:val="header"/>
    <w:basedOn w:val="Normal"/>
    <w:link w:val="HeaderChar"/>
    <w:uiPriority w:val="99"/>
    <w:unhideWhenUsed/>
    <w:rsid w:val="00226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D4A"/>
    <w:rPr>
      <w:rFonts w:cs="Calibri"/>
      <w:color w:val="000000"/>
      <w:kern w:val="0"/>
      <w:lang w:val="en-GB" w:eastAsia="en-GB" w:bidi="en-GB"/>
      <w14:ligatures w14:val="none"/>
    </w:rPr>
  </w:style>
  <w:style w:type="paragraph" w:styleId="Footer">
    <w:name w:val="footer"/>
    <w:basedOn w:val="Normal"/>
    <w:link w:val="FooterChar"/>
    <w:uiPriority w:val="99"/>
    <w:unhideWhenUsed/>
    <w:rsid w:val="00226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D4A"/>
    <w:rPr>
      <w:rFonts w:cs="Calibri"/>
      <w:color w:val="000000"/>
      <w:kern w:val="0"/>
      <w:lang w:val="en-GB" w:eastAsia="en-GB" w:bidi="en-GB"/>
      <w14:ligatures w14:val="none"/>
    </w:rPr>
  </w:style>
  <w:style w:type="paragraph" w:styleId="Bibliography">
    <w:name w:val="Bibliography"/>
    <w:basedOn w:val="Normal"/>
    <w:next w:val="Normal"/>
    <w:uiPriority w:val="37"/>
    <w:unhideWhenUsed/>
    <w:rsid w:val="003410D0"/>
  </w:style>
  <w:style w:type="character" w:styleId="Hyperlink">
    <w:name w:val="Hyperlink"/>
    <w:basedOn w:val="DefaultParagraphFont"/>
    <w:uiPriority w:val="99"/>
    <w:unhideWhenUsed/>
    <w:rsid w:val="003410D0"/>
    <w:rPr>
      <w:color w:val="0563C1" w:themeColor="hyperlink"/>
      <w:u w:val="single"/>
    </w:rPr>
  </w:style>
  <w:style w:type="character" w:styleId="UnresolvedMention">
    <w:name w:val="Unresolved Mention"/>
    <w:basedOn w:val="DefaultParagraphFont"/>
    <w:uiPriority w:val="99"/>
    <w:semiHidden/>
    <w:unhideWhenUsed/>
    <w:rsid w:val="003410D0"/>
    <w:rPr>
      <w:color w:val="605E5C"/>
      <w:shd w:val="clear" w:color="auto" w:fill="E1DFDD"/>
    </w:rPr>
  </w:style>
  <w:style w:type="paragraph" w:styleId="TOCHeading">
    <w:name w:val="TOC Heading"/>
    <w:basedOn w:val="Heading1"/>
    <w:next w:val="Normal"/>
    <w:uiPriority w:val="39"/>
    <w:unhideWhenUsed/>
    <w:qFormat/>
    <w:rsid w:val="00D14E3A"/>
    <w:pPr>
      <w:spacing w:before="240" w:line="259" w:lineRule="auto"/>
      <w:ind w:left="0" w:right="0" w:firstLine="0"/>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14E3A"/>
    <w:pPr>
      <w:spacing w:after="100"/>
      <w:ind w:left="0"/>
    </w:pPr>
  </w:style>
  <w:style w:type="paragraph" w:styleId="ListParagraph">
    <w:name w:val="List Paragraph"/>
    <w:basedOn w:val="Normal"/>
    <w:uiPriority w:val="34"/>
    <w:qFormat/>
    <w:rsid w:val="00962D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90560">
      <w:bodyDiv w:val="1"/>
      <w:marLeft w:val="0"/>
      <w:marRight w:val="0"/>
      <w:marTop w:val="0"/>
      <w:marBottom w:val="0"/>
      <w:divBdr>
        <w:top w:val="none" w:sz="0" w:space="0" w:color="auto"/>
        <w:left w:val="none" w:sz="0" w:space="0" w:color="auto"/>
        <w:bottom w:val="none" w:sz="0" w:space="0" w:color="auto"/>
        <w:right w:val="none" w:sz="0" w:space="0" w:color="auto"/>
      </w:divBdr>
    </w:div>
    <w:div w:id="290480989">
      <w:bodyDiv w:val="1"/>
      <w:marLeft w:val="0"/>
      <w:marRight w:val="0"/>
      <w:marTop w:val="0"/>
      <w:marBottom w:val="0"/>
      <w:divBdr>
        <w:top w:val="none" w:sz="0" w:space="0" w:color="auto"/>
        <w:left w:val="none" w:sz="0" w:space="0" w:color="auto"/>
        <w:bottom w:val="none" w:sz="0" w:space="0" w:color="auto"/>
        <w:right w:val="none" w:sz="0" w:space="0" w:color="auto"/>
      </w:divBdr>
    </w:div>
    <w:div w:id="604070653">
      <w:bodyDiv w:val="1"/>
      <w:marLeft w:val="0"/>
      <w:marRight w:val="0"/>
      <w:marTop w:val="0"/>
      <w:marBottom w:val="0"/>
      <w:divBdr>
        <w:top w:val="none" w:sz="0" w:space="0" w:color="auto"/>
        <w:left w:val="none" w:sz="0" w:space="0" w:color="auto"/>
        <w:bottom w:val="none" w:sz="0" w:space="0" w:color="auto"/>
        <w:right w:val="none" w:sz="0" w:space="0" w:color="auto"/>
      </w:divBdr>
    </w:div>
    <w:div w:id="1008555406">
      <w:bodyDiv w:val="1"/>
      <w:marLeft w:val="0"/>
      <w:marRight w:val="0"/>
      <w:marTop w:val="0"/>
      <w:marBottom w:val="0"/>
      <w:divBdr>
        <w:top w:val="none" w:sz="0" w:space="0" w:color="auto"/>
        <w:left w:val="none" w:sz="0" w:space="0" w:color="auto"/>
        <w:bottom w:val="none" w:sz="0" w:space="0" w:color="auto"/>
        <w:right w:val="none" w:sz="0" w:space="0" w:color="auto"/>
      </w:divBdr>
    </w:div>
    <w:div w:id="1250164988">
      <w:bodyDiv w:val="1"/>
      <w:marLeft w:val="0"/>
      <w:marRight w:val="0"/>
      <w:marTop w:val="0"/>
      <w:marBottom w:val="0"/>
      <w:divBdr>
        <w:top w:val="none" w:sz="0" w:space="0" w:color="auto"/>
        <w:left w:val="none" w:sz="0" w:space="0" w:color="auto"/>
        <w:bottom w:val="none" w:sz="0" w:space="0" w:color="auto"/>
        <w:right w:val="none" w:sz="0" w:space="0" w:color="auto"/>
      </w:divBdr>
    </w:div>
    <w:div w:id="141342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Ann222</b:Tag>
    <b:SourceType>InternetSite</b:SourceType>
    <b:Guid>{C340FDAE-8CFD-4CF8-873A-7565EAFE5B68}</b:Guid>
    <b:Author>
      <b:Author>
        <b:NameList>
          <b:Person>
            <b:Last>Jones</b:Last>
            <b:First>Anna</b:First>
          </b:Person>
        </b:NameList>
      </b:Author>
    </b:Author>
    <b:Title>The salary ignorance that keeps many workers underpaid</b:Title>
    <b:Year>2022</b:Year>
    <b:YearAccessed>2023</b:YearAccessed>
    <b:MonthAccessed>July</b:MonthAccessed>
    <b:DayAccessed>16</b:DayAccessed>
    <b:URL>https://www.bbc.com/worklife/article/20220204-the-salary-ignorance-that-keeps-many-workers-underpaid</b:URL>
    <b:RefOrder>1</b:RefOrder>
  </b:Source>
  <b:Source>
    <b:Tag>Lou21</b:Tag>
    <b:SourceType>InternetSite</b:SourceType>
    <b:Guid>{C61210F0-A060-4467-85EF-1B8F417E75B5}</b:Guid>
    <b:Author>
      <b:Author>
        <b:NameList>
          <b:Person>
            <b:Last>Mosca</b:Last>
            <b:First>Louis</b:First>
          </b:Person>
        </b:NameList>
      </b:Author>
    </b:Author>
    <b:Title>6 Reasons Why Pay-For-Performance Is A Game Changer</b:Title>
    <b:Year>2021</b:Year>
    <b:YearAccessed>2023</b:YearAccessed>
    <b:MonthAccessed>July</b:MonthAccessed>
    <b:DayAccessed>16</b:DayAccessed>
    <b:URL>https://www.forbes.com/sites/louismosca/2021/06/07/6-reasons-why-pay-for-performance-is-a-game-changer/?sh=29e1b3b971b7</b:URL>
    <b:RefOrder>2</b:RefOrder>
  </b:Source>
  <b:Source>
    <b:Tag>Cus23</b:Tag>
    <b:SourceType>InternetSite</b:SourceType>
    <b:Guid>{BF256DD1-971D-4363-86DA-B604A82B3B16}</b:Guid>
    <b:Title>Monetary Incentives In The Workplace (2023 Guide)</b:Title>
    <b:Year>2023</b:Year>
    <b:YearAccessed>2023</b:YearAccessed>
    <b:MonthAccessed>July</b:MonthAccessed>
    <b:DayAccessed>16</b:DayAccessed>
    <b:URL>https://www.forbes.com/advisor/business/monetary-incentives/</b:URL>
    <b:Author>
      <b:Author>
        <b:NameList>
          <b:Person>
            <b:Last>Cusson</b:Last>
            <b:Middle>Natalie </b:Middle>
          </b:Person>
          <b:Person>
            <b:Last>Main</b:Last>
            <b:Middle>Kelly </b:Middle>
          </b:Person>
        </b:NameList>
      </b:Author>
    </b:Author>
    <b:RefOrder>3</b:RefOrder>
  </b:Source>
  <b:Source>
    <b:Tag>for232</b:Tag>
    <b:SourceType>InternetSite</b:SourceType>
    <b:Guid>{F6F9E089-23C4-483D-89B9-C70BB9CE9708}</b:Guid>
    <b:Author>
      <b:Author>
        <b:Corporate>forbesbusinesscouncil</b:Corporate>
      </b:Author>
    </b:Author>
    <b:Title>Employee Satisfaction: 15 Incentives To Motivate Employees</b:Title>
    <b:Year>2023</b:Year>
    <b:YearAccessed>2023</b:YearAccessed>
    <b:MonthAccessed>July</b:MonthAccessed>
    <b:DayAccessed>16</b:DayAccessed>
    <b:URL>https://www.forbes.com/sites/forbesbusinesscouncil/2023/05/08/employee-satisfaction-15-incentives-to-motivate-employees/?sh=6f14d7666e64</b:URL>
    <b:RefOrder>4</b:RefOrder>
  </b:Source>
  <b:Source>
    <b:Tag>Mas23</b:Tag>
    <b:SourceType>InternetSite</b:SourceType>
    <b:Guid>{583C2E4B-A67D-4E34-B24E-19DF5943A4A9}</b:Guid>
    <b:Author>
      <b:Author>
        <b:NameList>
          <b:Person>
            <b:Last>Kaho</b:Last>
            <b:First>Mason</b:First>
          </b:Person>
        </b:NameList>
      </b:Author>
    </b:Author>
    <b:Title>Reasons for Flexible Work Arrangements</b:Title>
    <b:Year>2023</b:Year>
    <b:YearAccessed>2023</b:YearAccessed>
    <b:MonthAccessed>July</b:MonthAccessed>
    <b:DayAccessed>18</b:DayAccessed>
    <b:URL>https://smallbusiness.chron.com/reasons-flexible-work-arrangements-24803.html</b:URL>
    <b:RefOrder>1</b:RefOrder>
  </b:Source>
  <b:Source>
    <b:Tag>Nic18</b:Tag>
    <b:SourceType>InternetSite</b:SourceType>
    <b:Guid>{49C0F9D4-6BDD-4CCA-8417-B4FAB9250761}</b:Guid>
    <b:Author>
      <b:Author>
        <b:NameList>
          <b:Person>
            <b:Last>LaMarco</b:Last>
            <b:First>Nicole</b:First>
          </b:Person>
        </b:NameList>
      </b:Author>
    </b:Author>
    <b:Title> The Advantages of Flexibility in an Organization</b:Title>
    <b:Year>2018</b:Year>
    <b:YearAccessed>2023</b:YearAccessed>
    <b:MonthAccessed>July</b:MonthAccessed>
    <b:DayAccessed>19</b:DayAccessed>
    <b:URL>https://smallbusiness.chron.com/advantages-flexibility-organization-37369.html</b:URL>
    <b:RefOrder>2</b:RefOrder>
  </b:Source>
  <b:Source>
    <b:Tag>Bar232</b:Tag>
    <b:SourceType>InternetSite</b:SourceType>
    <b:Guid>{3F78FE4A-BCE0-496D-92A5-7431FA169BE2}</b:Guid>
    <b:Author>
      <b:Author>
        <b:NameList>
          <b:Person>
            <b:Last>Hazelden</b:Last>
            <b:First>Barbara</b:First>
          </b:Person>
        </b:NameList>
      </b:Author>
    </b:Author>
    <b:Title>The Disadvantages of Flexible Workforce</b:Title>
    <b:Year>2023</b:Year>
    <b:YearAccessed>2023</b:YearAccessed>
    <b:MonthAccessed>July</b:MonthAccessed>
    <b:DayAccessed>19</b:DayAccessed>
    <b:URL>https://smallbusiness.chron.com/disadvantages-flexible-workforce-70170.html</b:URL>
    <b:RefOrder>3</b:RefOrder>
  </b:Source>
</b:Sources>
</file>

<file path=customXml/itemProps1.xml><?xml version="1.0" encoding="utf-8"?>
<ds:datastoreItem xmlns:ds="http://schemas.openxmlformats.org/officeDocument/2006/customXml" ds:itemID="{CC4F8A72-F2A6-4576-A06B-A95EAAFD2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2912</Words>
  <Characters>16603</Characters>
  <Application>Microsoft Office Word</Application>
  <DocSecurity>0</DocSecurity>
  <Lines>138</Lines>
  <Paragraphs>38</Paragraphs>
  <ScaleCrop>false</ScaleCrop>
  <Company/>
  <LinksUpToDate>false</LinksUpToDate>
  <CharactersWithSpaces>19477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2023-07-21T21:07:00Z</dcterms:created>
  <dcterms:modified xsi:type="dcterms:W3CDTF">2023-07-21T21:57:00Z</dcterms:modified>
</cp:coreProperties>
</file>