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B86B6F" w14:textId="3DE01733" w:rsidR="00042713" w:rsidRDefault="00042713" w:rsidP="00EF03B2">
      <w:pPr>
        <w:spacing w:before="100" w:beforeAutospacing="1" w:after="100" w:afterAutospacing="1" w:line="240" w:lineRule="auto"/>
        <w:rPr>
          <w:rFonts w:ascii="Arial" w:eastAsia="Times New Roman" w:hAnsi="Arial" w:cs="Arial"/>
          <w:lang w:val="en" w:eastAsia="en-GB"/>
        </w:rPr>
      </w:pPr>
      <w:r w:rsidRPr="005508D1">
        <w:rPr>
          <w:rFonts w:ascii="Arial" w:eastAsia="Times New Roman" w:hAnsi="Arial" w:cs="Arial"/>
          <w:b/>
          <w:bCs/>
          <w:lang w:val="en" w:eastAsia="en-GB"/>
        </w:rPr>
        <w:t xml:space="preserve">Student number </w:t>
      </w:r>
      <w:r w:rsidR="662CD748" w:rsidRPr="662CD748">
        <w:rPr>
          <w:rFonts w:ascii="Arial" w:eastAsia="Times New Roman" w:hAnsi="Arial" w:cs="Arial"/>
          <w:b/>
          <w:bCs/>
          <w:lang w:val="en" w:eastAsia="en-GB"/>
        </w:rPr>
        <w:t>–</w:t>
      </w:r>
      <w:r w:rsidR="005508D1">
        <w:rPr>
          <w:rFonts w:ascii="Arial" w:eastAsia="Times New Roman" w:hAnsi="Arial" w:cs="Arial"/>
          <w:b/>
          <w:bCs/>
          <w:lang w:val="en" w:eastAsia="en-GB"/>
        </w:rPr>
        <w:t xml:space="preserve"> </w:t>
      </w:r>
      <w:r w:rsidRPr="005508D1">
        <w:rPr>
          <w:rFonts w:ascii="Arial" w:eastAsia="Times New Roman" w:hAnsi="Arial" w:cs="Arial"/>
          <w:lang w:val="en" w:eastAsia="en-GB"/>
        </w:rPr>
        <w:t>1801077</w:t>
      </w:r>
    </w:p>
    <w:p w14:paraId="17C36C4D" w14:textId="77777777" w:rsidR="000B0D74" w:rsidRPr="005508D1" w:rsidRDefault="000B0D74" w:rsidP="00EF03B2">
      <w:pPr>
        <w:spacing w:before="100" w:beforeAutospacing="1" w:after="100" w:afterAutospacing="1" w:line="240" w:lineRule="auto"/>
        <w:rPr>
          <w:rFonts w:ascii="Arial" w:eastAsia="Times New Roman" w:hAnsi="Arial" w:cs="Arial"/>
          <w:lang w:val="en" w:eastAsia="en-GB"/>
        </w:rPr>
      </w:pPr>
    </w:p>
    <w:p w14:paraId="7C785EB3" w14:textId="35E2F8A3" w:rsidR="00D90536" w:rsidRDefault="00D90536" w:rsidP="662CD748">
      <w:pPr>
        <w:spacing w:beforeAutospacing="1" w:afterAutospacing="1" w:line="240" w:lineRule="auto"/>
        <w:rPr>
          <w:rFonts w:ascii="Arial" w:eastAsia="Times New Roman" w:hAnsi="Arial" w:cs="Arial"/>
          <w:lang w:val="en" w:eastAsia="en-GB"/>
        </w:rPr>
      </w:pPr>
      <w:r>
        <w:rPr>
          <w:rFonts w:ascii="Arial" w:eastAsia="Times New Roman" w:hAnsi="Arial" w:cs="Arial"/>
          <w:b/>
          <w:bCs/>
          <w:lang w:val="en" w:eastAsia="en-GB"/>
        </w:rPr>
        <w:t xml:space="preserve">Public Health </w:t>
      </w:r>
      <w:r w:rsidR="00075AC6">
        <w:rPr>
          <w:rFonts w:ascii="Arial" w:eastAsia="Times New Roman" w:hAnsi="Arial" w:cs="Arial"/>
          <w:b/>
          <w:bCs/>
          <w:lang w:val="en" w:eastAsia="en-GB"/>
        </w:rPr>
        <w:t xml:space="preserve">Promotion </w:t>
      </w:r>
      <w:r w:rsidR="00075AC6" w:rsidRPr="00075AC6">
        <w:rPr>
          <w:rFonts w:ascii="Arial" w:eastAsia="Times New Roman" w:hAnsi="Arial" w:cs="Arial"/>
          <w:lang w:val="en" w:eastAsia="en-GB"/>
        </w:rPr>
        <w:t>– BMNS5006</w:t>
      </w:r>
    </w:p>
    <w:p w14:paraId="1D25B250" w14:textId="77777777" w:rsidR="00075AC6" w:rsidRDefault="00075AC6" w:rsidP="662CD748">
      <w:pPr>
        <w:spacing w:beforeAutospacing="1" w:afterAutospacing="1" w:line="240" w:lineRule="auto"/>
        <w:rPr>
          <w:rFonts w:ascii="Arial" w:eastAsia="Times New Roman" w:hAnsi="Arial" w:cs="Arial"/>
          <w:b/>
          <w:bCs/>
          <w:lang w:val="en" w:eastAsia="en-GB"/>
        </w:rPr>
      </w:pPr>
    </w:p>
    <w:p w14:paraId="4EE019D6" w14:textId="5F694C3F" w:rsidR="662CD748" w:rsidRDefault="000B0D74" w:rsidP="662CD748">
      <w:pPr>
        <w:spacing w:beforeAutospacing="1" w:afterAutospacing="1" w:line="240" w:lineRule="auto"/>
        <w:rPr>
          <w:rFonts w:ascii="Arial" w:eastAsia="Times New Roman" w:hAnsi="Arial" w:cs="Arial"/>
          <w:lang w:val="en" w:eastAsia="en-GB"/>
        </w:rPr>
      </w:pPr>
      <w:r w:rsidRPr="000B0D74">
        <w:rPr>
          <w:rFonts w:ascii="Arial" w:eastAsia="Times New Roman" w:hAnsi="Arial" w:cs="Arial"/>
          <w:b/>
          <w:bCs/>
          <w:lang w:val="en" w:eastAsia="en-GB"/>
        </w:rPr>
        <w:t>Tutor</w:t>
      </w:r>
      <w:r>
        <w:rPr>
          <w:rFonts w:ascii="Arial" w:eastAsia="Times New Roman" w:hAnsi="Arial" w:cs="Arial"/>
          <w:lang w:val="en" w:eastAsia="en-GB"/>
        </w:rPr>
        <w:t xml:space="preserve"> -</w:t>
      </w:r>
      <w:r w:rsidR="00075AC6">
        <w:rPr>
          <w:rFonts w:ascii="Arial" w:eastAsia="Times New Roman" w:hAnsi="Arial" w:cs="Arial"/>
          <w:lang w:val="en" w:eastAsia="en-GB"/>
        </w:rPr>
        <w:t xml:space="preserve"> </w:t>
      </w:r>
      <w:r>
        <w:rPr>
          <w:rFonts w:ascii="Arial" w:eastAsia="Times New Roman" w:hAnsi="Arial" w:cs="Arial"/>
          <w:lang w:val="en" w:eastAsia="en-GB"/>
        </w:rPr>
        <w:t xml:space="preserve">Corey Edwards </w:t>
      </w:r>
    </w:p>
    <w:p w14:paraId="62CFE684" w14:textId="77777777" w:rsidR="00042713" w:rsidRPr="005508D1" w:rsidRDefault="00042713" w:rsidP="00EF03B2">
      <w:pPr>
        <w:spacing w:before="100" w:beforeAutospacing="1" w:after="100" w:afterAutospacing="1" w:line="240" w:lineRule="auto"/>
        <w:rPr>
          <w:rFonts w:ascii="Arial" w:eastAsia="Times New Roman" w:hAnsi="Arial" w:cs="Arial"/>
          <w:b/>
          <w:bCs/>
          <w:lang w:val="en" w:eastAsia="en-GB"/>
        </w:rPr>
      </w:pPr>
    </w:p>
    <w:p w14:paraId="5EBF4345" w14:textId="26D75B10" w:rsidR="1D2E6795" w:rsidRDefault="00716F1D" w:rsidP="1D2E6795">
      <w:pPr>
        <w:spacing w:beforeAutospacing="1" w:afterAutospacing="1" w:line="240" w:lineRule="auto"/>
        <w:rPr>
          <w:rFonts w:ascii="Arial" w:eastAsia="Times New Roman" w:hAnsi="Arial" w:cs="Arial"/>
          <w:lang w:val="en" w:eastAsia="en-GB"/>
        </w:rPr>
      </w:pPr>
      <w:r>
        <w:rPr>
          <w:rFonts w:ascii="Arial" w:eastAsia="Times New Roman" w:hAnsi="Arial" w:cs="Arial"/>
          <w:b/>
          <w:bCs/>
          <w:lang w:val="en" w:eastAsia="en-GB"/>
        </w:rPr>
        <w:t xml:space="preserve">The impact of Measles: </w:t>
      </w:r>
      <w:r w:rsidRPr="004869A9">
        <w:rPr>
          <w:rFonts w:ascii="Arial" w:eastAsia="Times New Roman" w:hAnsi="Arial" w:cs="Arial"/>
          <w:lang w:val="en" w:eastAsia="en-GB"/>
        </w:rPr>
        <w:t xml:space="preserve">A detailed </w:t>
      </w:r>
      <w:r w:rsidR="004869A9" w:rsidRPr="004869A9">
        <w:rPr>
          <w:rFonts w:ascii="Arial" w:eastAsia="Times New Roman" w:hAnsi="Arial" w:cs="Arial"/>
          <w:lang w:val="en" w:eastAsia="en-GB"/>
        </w:rPr>
        <w:t>A</w:t>
      </w:r>
      <w:r w:rsidRPr="004869A9">
        <w:rPr>
          <w:rFonts w:ascii="Arial" w:eastAsia="Times New Roman" w:hAnsi="Arial" w:cs="Arial"/>
          <w:lang w:val="en" w:eastAsia="en-GB"/>
        </w:rPr>
        <w:t>nalysis of Communicable Disease</w:t>
      </w:r>
    </w:p>
    <w:p w14:paraId="78A5DBB0" w14:textId="77777777" w:rsidR="00042713" w:rsidRPr="005508D1" w:rsidRDefault="00042713" w:rsidP="00EF03B2">
      <w:pPr>
        <w:spacing w:before="100" w:beforeAutospacing="1" w:after="100" w:afterAutospacing="1" w:line="240" w:lineRule="auto"/>
        <w:rPr>
          <w:rFonts w:ascii="Arial" w:eastAsia="Times New Roman" w:hAnsi="Arial" w:cs="Arial"/>
          <w:b/>
          <w:bCs/>
          <w:lang w:val="en" w:eastAsia="en-GB"/>
        </w:rPr>
      </w:pPr>
    </w:p>
    <w:p w14:paraId="4467E80B" w14:textId="7E94ABAB" w:rsidR="00EF03B2" w:rsidRPr="005508D1" w:rsidRDefault="00EF03B2" w:rsidP="00EF03B2">
      <w:pPr>
        <w:spacing w:before="100" w:beforeAutospacing="1" w:after="100" w:afterAutospacing="1" w:line="240" w:lineRule="auto"/>
        <w:rPr>
          <w:rFonts w:ascii="Arial" w:eastAsia="Times New Roman" w:hAnsi="Arial" w:cs="Arial"/>
          <w:lang w:val="en" w:eastAsia="en-GB"/>
        </w:rPr>
      </w:pPr>
    </w:p>
    <w:p w14:paraId="07D063EC" w14:textId="77777777" w:rsidR="00042713" w:rsidRPr="005508D1" w:rsidRDefault="00042713" w:rsidP="00EF03B2">
      <w:pPr>
        <w:spacing w:before="100" w:beforeAutospacing="1" w:after="100" w:afterAutospacing="1" w:line="240" w:lineRule="auto"/>
        <w:rPr>
          <w:rFonts w:ascii="Arial" w:eastAsia="Times New Roman" w:hAnsi="Arial" w:cs="Arial"/>
          <w:lang w:val="en" w:eastAsia="en-GB"/>
        </w:rPr>
      </w:pPr>
    </w:p>
    <w:p w14:paraId="6FA97000" w14:textId="2BFFCA46" w:rsidR="004869A9" w:rsidRDefault="00EF03B2" w:rsidP="00EF03B2">
      <w:pPr>
        <w:spacing w:before="100" w:beforeAutospacing="1" w:after="100" w:afterAutospacing="1" w:line="240" w:lineRule="auto"/>
        <w:rPr>
          <w:rFonts w:ascii="Arial" w:eastAsia="Times New Roman" w:hAnsi="Arial" w:cs="Arial"/>
          <w:lang w:val="en" w:eastAsia="en-GB"/>
        </w:rPr>
      </w:pPr>
      <w:r w:rsidRPr="005508D1">
        <w:rPr>
          <w:rFonts w:ascii="Arial" w:eastAsia="Times New Roman" w:hAnsi="Arial" w:cs="Arial"/>
          <w:b/>
          <w:bCs/>
          <w:lang w:val="en" w:eastAsia="en-GB"/>
        </w:rPr>
        <w:t>Contents page</w:t>
      </w:r>
      <w:r w:rsidR="004869A9">
        <w:rPr>
          <w:rFonts w:ascii="Arial" w:eastAsia="Times New Roman" w:hAnsi="Arial" w:cs="Arial"/>
          <w:lang w:val="en" w:eastAsia="en-GB"/>
        </w:rPr>
        <w:t>:</w:t>
      </w:r>
    </w:p>
    <w:p w14:paraId="0863BF1D" w14:textId="06B08481" w:rsidR="00C307A4" w:rsidRDefault="00C307A4" w:rsidP="00EF03B2">
      <w:pPr>
        <w:spacing w:before="100" w:beforeAutospacing="1" w:after="100" w:afterAutospacing="1" w:line="240" w:lineRule="auto"/>
        <w:rPr>
          <w:rFonts w:ascii="Arial" w:eastAsia="Times New Roman" w:hAnsi="Arial" w:cs="Arial"/>
          <w:lang w:val="en" w:eastAsia="en-GB"/>
        </w:rPr>
      </w:pPr>
      <w:r w:rsidRPr="00B102B5">
        <w:rPr>
          <w:rFonts w:ascii="Arial" w:eastAsia="Times New Roman" w:hAnsi="Arial" w:cs="Arial"/>
          <w:b/>
          <w:bCs/>
          <w:lang w:val="en" w:eastAsia="en-GB"/>
        </w:rPr>
        <w:t>Samantha Brown</w:t>
      </w:r>
      <w:r>
        <w:rPr>
          <w:rFonts w:ascii="Arial" w:eastAsia="Times New Roman" w:hAnsi="Arial" w:cs="Arial"/>
          <w:lang w:val="en" w:eastAsia="en-GB"/>
        </w:rPr>
        <w:t xml:space="preserve"> -1801077    1</w:t>
      </w:r>
    </w:p>
    <w:p w14:paraId="42D0801C" w14:textId="0FD83792" w:rsidR="00C307A4" w:rsidRDefault="00C307A4" w:rsidP="00EF03B2">
      <w:pPr>
        <w:spacing w:before="100" w:beforeAutospacing="1" w:after="100" w:afterAutospacing="1" w:line="240" w:lineRule="auto"/>
        <w:rPr>
          <w:rFonts w:ascii="Arial" w:eastAsia="Times New Roman" w:hAnsi="Arial" w:cs="Arial"/>
          <w:lang w:val="en" w:eastAsia="en-GB"/>
        </w:rPr>
      </w:pPr>
      <w:r w:rsidRPr="00B102B5">
        <w:rPr>
          <w:rFonts w:ascii="Arial" w:eastAsia="Times New Roman" w:hAnsi="Arial" w:cs="Arial"/>
          <w:b/>
          <w:bCs/>
          <w:lang w:val="en" w:eastAsia="en-GB"/>
        </w:rPr>
        <w:t>Public Health Promotion</w:t>
      </w:r>
      <w:r>
        <w:rPr>
          <w:rFonts w:ascii="Arial" w:eastAsia="Times New Roman" w:hAnsi="Arial" w:cs="Arial"/>
          <w:lang w:val="en" w:eastAsia="en-GB"/>
        </w:rPr>
        <w:t xml:space="preserve"> – BMN5S006    1</w:t>
      </w:r>
    </w:p>
    <w:p w14:paraId="32825293" w14:textId="61710CF7" w:rsidR="00C307A4" w:rsidRDefault="00B061B6" w:rsidP="00EF03B2">
      <w:pPr>
        <w:spacing w:before="100" w:beforeAutospacing="1" w:after="100" w:afterAutospacing="1" w:line="240" w:lineRule="auto"/>
        <w:rPr>
          <w:rFonts w:ascii="Arial" w:eastAsia="Times New Roman" w:hAnsi="Arial" w:cs="Arial"/>
          <w:lang w:val="en" w:eastAsia="en-GB"/>
        </w:rPr>
      </w:pPr>
      <w:r w:rsidRPr="00B102B5">
        <w:rPr>
          <w:rFonts w:ascii="Arial" w:eastAsia="Times New Roman" w:hAnsi="Arial" w:cs="Arial"/>
          <w:b/>
          <w:bCs/>
          <w:lang w:val="en" w:eastAsia="en-GB"/>
        </w:rPr>
        <w:t>Cored Edwards</w:t>
      </w:r>
      <w:r>
        <w:rPr>
          <w:rFonts w:ascii="Arial" w:eastAsia="Times New Roman" w:hAnsi="Arial" w:cs="Arial"/>
          <w:lang w:val="en" w:eastAsia="en-GB"/>
        </w:rPr>
        <w:t xml:space="preserve">    1</w:t>
      </w:r>
    </w:p>
    <w:p w14:paraId="532A33FB" w14:textId="04065689" w:rsidR="00B061B6" w:rsidRDefault="00B061B6" w:rsidP="00EF03B2">
      <w:pPr>
        <w:spacing w:before="100" w:beforeAutospacing="1" w:after="100" w:afterAutospacing="1" w:line="240" w:lineRule="auto"/>
        <w:rPr>
          <w:rFonts w:ascii="Arial" w:eastAsia="Times New Roman" w:hAnsi="Arial" w:cs="Arial"/>
          <w:lang w:val="en" w:eastAsia="en-GB"/>
        </w:rPr>
      </w:pPr>
      <w:r w:rsidRPr="00B102B5">
        <w:rPr>
          <w:rFonts w:ascii="Arial" w:eastAsia="Times New Roman" w:hAnsi="Arial" w:cs="Arial"/>
          <w:b/>
          <w:bCs/>
          <w:lang w:val="en" w:eastAsia="en-GB"/>
        </w:rPr>
        <w:t>The Impact of Measles</w:t>
      </w:r>
      <w:r>
        <w:rPr>
          <w:rFonts w:ascii="Arial" w:eastAsia="Times New Roman" w:hAnsi="Arial" w:cs="Arial"/>
          <w:lang w:val="en" w:eastAsia="en-GB"/>
        </w:rPr>
        <w:t>: A detailed Analysis of communicable disea</w:t>
      </w:r>
      <w:r w:rsidR="005348CA">
        <w:rPr>
          <w:rFonts w:ascii="Arial" w:eastAsia="Times New Roman" w:hAnsi="Arial" w:cs="Arial"/>
          <w:lang w:val="en" w:eastAsia="en-GB"/>
        </w:rPr>
        <w:t>se    1</w:t>
      </w:r>
    </w:p>
    <w:p w14:paraId="64DB1DA3" w14:textId="7A5BECE0" w:rsidR="005348CA" w:rsidRDefault="005348CA" w:rsidP="00EF03B2">
      <w:pPr>
        <w:spacing w:before="100" w:beforeAutospacing="1" w:after="100" w:afterAutospacing="1" w:line="240" w:lineRule="auto"/>
        <w:rPr>
          <w:rFonts w:ascii="Arial" w:eastAsia="Times New Roman" w:hAnsi="Arial" w:cs="Arial"/>
          <w:lang w:val="en" w:eastAsia="en-GB"/>
        </w:rPr>
      </w:pPr>
      <w:r w:rsidRPr="00B102B5">
        <w:rPr>
          <w:rFonts w:ascii="Arial" w:eastAsia="Times New Roman" w:hAnsi="Arial" w:cs="Arial"/>
          <w:b/>
          <w:bCs/>
          <w:lang w:val="en" w:eastAsia="en-GB"/>
        </w:rPr>
        <w:t xml:space="preserve">Introduction </w:t>
      </w:r>
      <w:r>
        <w:rPr>
          <w:rFonts w:ascii="Arial" w:eastAsia="Times New Roman" w:hAnsi="Arial" w:cs="Arial"/>
          <w:lang w:val="en" w:eastAsia="en-GB"/>
        </w:rPr>
        <w:t xml:space="preserve">    2</w:t>
      </w:r>
    </w:p>
    <w:p w14:paraId="66554ED5" w14:textId="3EF6881F" w:rsidR="005348CA" w:rsidRDefault="005348CA" w:rsidP="00EF03B2">
      <w:pPr>
        <w:spacing w:before="100" w:beforeAutospacing="1" w:after="100" w:afterAutospacing="1" w:line="240" w:lineRule="auto"/>
        <w:rPr>
          <w:rFonts w:ascii="Arial" w:eastAsia="Times New Roman" w:hAnsi="Arial" w:cs="Arial"/>
          <w:lang w:val="en" w:eastAsia="en-GB"/>
        </w:rPr>
      </w:pPr>
      <w:r w:rsidRPr="406BDD33">
        <w:rPr>
          <w:rFonts w:ascii="Arial" w:eastAsia="Times New Roman" w:hAnsi="Arial" w:cs="Arial"/>
          <w:b/>
          <w:lang w:val="en-US" w:eastAsia="en-GB"/>
        </w:rPr>
        <w:t>Communicable disease</w:t>
      </w:r>
      <w:r w:rsidRPr="406BDD33">
        <w:rPr>
          <w:rFonts w:ascii="Arial" w:eastAsia="Times New Roman" w:hAnsi="Arial" w:cs="Arial"/>
          <w:lang w:val="en-US" w:eastAsia="en-GB"/>
        </w:rPr>
        <w:t xml:space="preserve"> -  </w:t>
      </w:r>
      <w:r w:rsidR="006F1372" w:rsidRPr="406BDD33">
        <w:rPr>
          <w:rFonts w:ascii="Arial" w:eastAsia="Times New Roman" w:hAnsi="Arial" w:cs="Arial"/>
          <w:lang w:val="en-US" w:eastAsia="en-GB"/>
        </w:rPr>
        <w:t xml:space="preserve">  </w:t>
      </w:r>
      <w:r w:rsidR="006F1372">
        <w:rPr>
          <w:rFonts w:ascii="Arial" w:eastAsia="Times New Roman" w:hAnsi="Arial" w:cs="Arial"/>
          <w:lang w:val="en" w:eastAsia="en-GB"/>
        </w:rPr>
        <w:t xml:space="preserve">   </w:t>
      </w:r>
      <w:r w:rsidR="006F1372" w:rsidRPr="406BDD33">
        <w:rPr>
          <w:rFonts w:ascii="Arial" w:eastAsia="Times New Roman" w:hAnsi="Arial" w:cs="Arial"/>
          <w:lang w:val="en-US" w:eastAsia="en-GB"/>
        </w:rPr>
        <w:t>3</w:t>
      </w:r>
    </w:p>
    <w:p w14:paraId="6D1C80EB" w14:textId="6698BF59" w:rsidR="006F1372" w:rsidRDefault="006F1372" w:rsidP="00EF03B2">
      <w:pPr>
        <w:spacing w:before="100" w:beforeAutospacing="1" w:after="100" w:afterAutospacing="1" w:line="240" w:lineRule="auto"/>
        <w:rPr>
          <w:rFonts w:ascii="Arial" w:eastAsia="Times New Roman" w:hAnsi="Arial" w:cs="Arial"/>
          <w:lang w:val="en" w:eastAsia="en-GB"/>
        </w:rPr>
      </w:pPr>
      <w:r w:rsidRPr="003677DC">
        <w:rPr>
          <w:rFonts w:ascii="Arial" w:eastAsia="Times New Roman" w:hAnsi="Arial" w:cs="Arial"/>
          <w:b/>
          <w:bCs/>
          <w:lang w:val="en" w:eastAsia="en-GB"/>
        </w:rPr>
        <w:t>Public Health Response</w:t>
      </w:r>
      <w:r>
        <w:rPr>
          <w:rFonts w:ascii="Arial" w:eastAsia="Times New Roman" w:hAnsi="Arial" w:cs="Arial"/>
          <w:lang w:val="en" w:eastAsia="en-GB"/>
        </w:rPr>
        <w:t>-    3</w:t>
      </w:r>
    </w:p>
    <w:p w14:paraId="2D9EAE84" w14:textId="15265B34" w:rsidR="006F1372" w:rsidRDefault="00B102B5" w:rsidP="00EF03B2">
      <w:pPr>
        <w:spacing w:before="100" w:beforeAutospacing="1" w:after="100" w:afterAutospacing="1" w:line="240" w:lineRule="auto"/>
        <w:rPr>
          <w:rFonts w:ascii="Arial" w:eastAsia="Times New Roman" w:hAnsi="Arial" w:cs="Arial"/>
          <w:lang w:val="en" w:eastAsia="en-GB"/>
        </w:rPr>
      </w:pPr>
      <w:r w:rsidRPr="003677DC">
        <w:rPr>
          <w:rFonts w:ascii="Arial" w:eastAsia="Times New Roman" w:hAnsi="Arial" w:cs="Arial"/>
          <w:b/>
          <w:bCs/>
          <w:lang w:val="en" w:eastAsia="en-GB"/>
        </w:rPr>
        <w:t xml:space="preserve">Recommendations </w:t>
      </w:r>
      <w:r>
        <w:rPr>
          <w:rFonts w:ascii="Arial" w:eastAsia="Times New Roman" w:hAnsi="Arial" w:cs="Arial"/>
          <w:lang w:val="en" w:eastAsia="en-GB"/>
        </w:rPr>
        <w:t xml:space="preserve">    4</w:t>
      </w:r>
    </w:p>
    <w:p w14:paraId="46431631" w14:textId="320AC2B2" w:rsidR="0E1FFB64" w:rsidRPr="003677DC" w:rsidRDefault="00B102B5" w:rsidP="003677DC">
      <w:pPr>
        <w:spacing w:before="100" w:beforeAutospacing="1" w:after="100" w:afterAutospacing="1" w:line="240" w:lineRule="auto"/>
        <w:rPr>
          <w:rFonts w:ascii="Arial" w:eastAsia="Times New Roman" w:hAnsi="Arial" w:cs="Arial"/>
          <w:lang w:val="en" w:eastAsia="en-GB"/>
        </w:rPr>
      </w:pPr>
      <w:r w:rsidRPr="003677DC">
        <w:rPr>
          <w:rFonts w:ascii="Arial" w:eastAsia="Times New Roman" w:hAnsi="Arial" w:cs="Arial"/>
          <w:b/>
          <w:bCs/>
          <w:lang w:val="en" w:eastAsia="en-GB"/>
        </w:rPr>
        <w:t xml:space="preserve">Conclusion    </w:t>
      </w:r>
      <w:r>
        <w:rPr>
          <w:rFonts w:ascii="Arial" w:eastAsia="Times New Roman" w:hAnsi="Arial" w:cs="Arial"/>
          <w:lang w:val="en" w:eastAsia="en-GB"/>
        </w:rPr>
        <w:t xml:space="preserve">    5</w:t>
      </w:r>
    </w:p>
    <w:p w14:paraId="71EDC6CA" w14:textId="1A166A7D" w:rsidR="0E1FFB64" w:rsidRDefault="0E1FFB64" w:rsidP="0E1FFB64">
      <w:pPr>
        <w:spacing w:line="360" w:lineRule="auto"/>
        <w:jc w:val="both"/>
        <w:rPr>
          <w:rFonts w:ascii="Arial" w:eastAsia="Arial" w:hAnsi="Arial" w:cs="Arial"/>
          <w:b/>
          <w:bCs/>
          <w:color w:val="000000" w:themeColor="text1"/>
        </w:rPr>
      </w:pPr>
    </w:p>
    <w:p w14:paraId="0411CDDC" w14:textId="630BB4EC" w:rsidR="0E1FFB64" w:rsidRDefault="0E1FFB64" w:rsidP="0E1FFB64">
      <w:pPr>
        <w:spacing w:line="360" w:lineRule="auto"/>
        <w:jc w:val="both"/>
        <w:rPr>
          <w:rFonts w:ascii="Arial" w:eastAsia="Arial" w:hAnsi="Arial" w:cs="Arial"/>
          <w:b/>
          <w:bCs/>
          <w:color w:val="000000" w:themeColor="text1"/>
        </w:rPr>
      </w:pPr>
    </w:p>
    <w:p w14:paraId="107D1485" w14:textId="0D0FE514" w:rsidR="0E1FFB64" w:rsidRDefault="0E1FFB64" w:rsidP="0E1FFB64">
      <w:pPr>
        <w:spacing w:line="360" w:lineRule="auto"/>
        <w:jc w:val="both"/>
        <w:rPr>
          <w:rFonts w:ascii="Arial" w:eastAsia="Arial" w:hAnsi="Arial" w:cs="Arial"/>
          <w:b/>
          <w:bCs/>
          <w:color w:val="000000" w:themeColor="text1"/>
        </w:rPr>
      </w:pPr>
    </w:p>
    <w:p w14:paraId="65993E53" w14:textId="5DA4679F" w:rsidR="0E1FFB64" w:rsidRDefault="0E1FFB64" w:rsidP="0E1FFB64">
      <w:pPr>
        <w:spacing w:line="360" w:lineRule="auto"/>
        <w:jc w:val="both"/>
        <w:rPr>
          <w:rFonts w:ascii="Arial" w:eastAsia="Arial" w:hAnsi="Arial" w:cs="Arial"/>
          <w:b/>
          <w:bCs/>
          <w:color w:val="000000" w:themeColor="text1"/>
        </w:rPr>
      </w:pPr>
    </w:p>
    <w:p w14:paraId="4DF82746" w14:textId="040244B2" w:rsidR="0E1FFB64" w:rsidRDefault="0E1FFB64" w:rsidP="00C91E74">
      <w:pPr>
        <w:spacing w:line="360" w:lineRule="auto"/>
        <w:jc w:val="both"/>
        <w:rPr>
          <w:rFonts w:ascii="Arial" w:eastAsia="Arial" w:hAnsi="Arial" w:cs="Arial"/>
          <w:b/>
          <w:bCs/>
          <w:color w:val="000000" w:themeColor="text1"/>
        </w:rPr>
      </w:pPr>
    </w:p>
    <w:p w14:paraId="405EFA8C" w14:textId="44265DE1" w:rsidR="0E1FFB64" w:rsidRDefault="0E1FFB64" w:rsidP="00C91E74">
      <w:pPr>
        <w:spacing w:line="360" w:lineRule="auto"/>
        <w:jc w:val="both"/>
        <w:rPr>
          <w:rFonts w:ascii="Arial" w:eastAsia="Arial" w:hAnsi="Arial" w:cs="Arial"/>
          <w:b/>
          <w:bCs/>
          <w:color w:val="000000" w:themeColor="text1"/>
        </w:rPr>
      </w:pPr>
    </w:p>
    <w:p w14:paraId="0CF3D689" w14:textId="1D1BE62E" w:rsidR="007A205D" w:rsidRDefault="0E1FFB64" w:rsidP="00C91E74">
      <w:pPr>
        <w:spacing w:line="360" w:lineRule="auto"/>
        <w:jc w:val="both"/>
        <w:rPr>
          <w:rFonts w:ascii="Arial" w:eastAsia="Arial" w:hAnsi="Arial" w:cs="Arial"/>
          <w:b/>
          <w:bCs/>
          <w:color w:val="000000" w:themeColor="text1"/>
        </w:rPr>
      </w:pPr>
      <w:r w:rsidRPr="0E1FFB64">
        <w:rPr>
          <w:rFonts w:ascii="Arial" w:eastAsia="Arial" w:hAnsi="Arial" w:cs="Arial"/>
          <w:b/>
          <w:bCs/>
          <w:color w:val="000000" w:themeColor="text1"/>
        </w:rPr>
        <w:t>Introduction.</w:t>
      </w:r>
    </w:p>
    <w:p w14:paraId="35B8C2D5" w14:textId="6B221335" w:rsidR="007A205D" w:rsidRDefault="0E1FFB64" w:rsidP="00C91E74">
      <w:pPr>
        <w:spacing w:line="360" w:lineRule="auto"/>
        <w:jc w:val="both"/>
        <w:rPr>
          <w:rFonts w:ascii="Arial" w:eastAsia="Arial" w:hAnsi="Arial" w:cs="Arial"/>
        </w:rPr>
      </w:pPr>
      <w:r w:rsidRPr="0E1FFB64">
        <w:rPr>
          <w:rFonts w:ascii="Arial" w:eastAsia="Arial" w:hAnsi="Arial" w:cs="Arial"/>
          <w:color w:val="000000" w:themeColor="text1"/>
        </w:rPr>
        <w:t>The World Health Organisation (WHO, 2024) states that the transmission of a communicable disease occurs when it is passed from one individual to another, either directly or through contact with contaminated surfaces. According to the definition provided by Public Health Network Cymru (2024) and Public Health Wales (2024), a communicable disease is one that has the potential to be passed on from one person to another or from animals to humans.</w:t>
      </w:r>
    </w:p>
    <w:p w14:paraId="349C1EC6" w14:textId="403F08BC" w:rsidR="007A205D" w:rsidRDefault="0E1FFB64" w:rsidP="00C91E74">
      <w:pPr>
        <w:spacing w:line="360" w:lineRule="auto"/>
        <w:jc w:val="both"/>
        <w:rPr>
          <w:rFonts w:ascii="Arial" w:eastAsia="Arial" w:hAnsi="Arial" w:cs="Arial"/>
        </w:rPr>
      </w:pPr>
      <w:r w:rsidRPr="0E1FFB64">
        <w:rPr>
          <w:rFonts w:ascii="Arial" w:eastAsia="Arial" w:hAnsi="Arial" w:cs="Arial"/>
          <w:color w:val="000000" w:themeColor="text1"/>
        </w:rPr>
        <w:t xml:space="preserve">The virus pathogen that causes measles (MV) is a member of the Morbillivirus genus of the Paramyxoviridae family. Single-stranded, nonsegmental, enclosed, and negative-sense RNA components make up at least six of the structural proteins that are found in the genome of this virus. </w:t>
      </w:r>
      <w:r w:rsidRPr="0E1FFB64">
        <w:rPr>
          <w:rFonts w:ascii="Arial" w:eastAsia="Arial" w:hAnsi="Arial" w:cs="Arial"/>
        </w:rPr>
        <w:t>Measles used to be very common, but nowadays you can avoid getting it by getting vaccinated. (Griffin, Lin and Nelson, 2018).</w:t>
      </w:r>
    </w:p>
    <w:p w14:paraId="332703BF" w14:textId="77777777" w:rsidR="005508D1" w:rsidRDefault="0E1FFB64" w:rsidP="001735E1">
      <w:pPr>
        <w:spacing w:before="200" w:after="0" w:line="360" w:lineRule="auto"/>
        <w:ind w:left="360" w:hanging="360"/>
        <w:jc w:val="both"/>
        <w:rPr>
          <w:rFonts w:ascii="Arial" w:eastAsia="Arial" w:hAnsi="Arial" w:cs="Arial"/>
          <w:color w:val="000000" w:themeColor="text1"/>
        </w:rPr>
      </w:pPr>
      <w:r w:rsidRPr="0E1FFB64">
        <w:rPr>
          <w:rFonts w:ascii="Arial" w:eastAsia="Arial" w:hAnsi="Arial" w:cs="Arial"/>
        </w:rPr>
        <w:t xml:space="preserve">     According to the NHS (2022), measles is very common and can be quite severe for children, even killing them. However, Vain (2023) states measles still kills more than 200,000 people every year, though death rates have reduced globally due to more children getting vaccinated. </w:t>
      </w:r>
      <w:r w:rsidRPr="0E1FFB64">
        <w:rPr>
          <w:rFonts w:ascii="Arial" w:eastAsia="Arial" w:hAnsi="Arial" w:cs="Arial"/>
          <w:color w:val="000000" w:themeColor="text1"/>
        </w:rPr>
        <w:t>2012-2013 largest outbreak of measles in Wales statistics below show the;</w:t>
      </w:r>
    </w:p>
    <w:p w14:paraId="3872D576" w14:textId="6ACF70CB" w:rsidR="007A205D" w:rsidRPr="005508D1" w:rsidRDefault="0E1FFB64" w:rsidP="005508D1">
      <w:pPr>
        <w:pStyle w:val="ListParagraph"/>
        <w:numPr>
          <w:ilvl w:val="0"/>
          <w:numId w:val="7"/>
        </w:numPr>
        <w:spacing w:before="200" w:after="0" w:line="360" w:lineRule="auto"/>
        <w:jc w:val="both"/>
        <w:rPr>
          <w:rFonts w:ascii="Arial" w:eastAsia="Arial" w:hAnsi="Arial" w:cs="Arial"/>
          <w:color w:val="000000" w:themeColor="text1"/>
        </w:rPr>
      </w:pPr>
      <w:r w:rsidRPr="005508D1">
        <w:rPr>
          <w:rFonts w:ascii="Arial" w:eastAsia="Arial" w:hAnsi="Arial" w:cs="Arial"/>
          <w:color w:val="000000" w:themeColor="text1"/>
        </w:rPr>
        <w:t>1,202 notifications from;</w:t>
      </w:r>
      <w:r w:rsidR="001735E1" w:rsidRPr="005508D1">
        <w:rPr>
          <w:rFonts w:ascii="Arial" w:eastAsia="Arial" w:hAnsi="Arial" w:cs="Arial"/>
          <w:color w:val="000000" w:themeColor="text1"/>
        </w:rPr>
        <w:t xml:space="preserve"> </w:t>
      </w:r>
      <w:r w:rsidRPr="005508D1">
        <w:rPr>
          <w:rFonts w:ascii="Arial" w:eastAsia="Arial" w:hAnsi="Arial" w:cs="Arial"/>
          <w:color w:val="000000" w:themeColor="text1"/>
        </w:rPr>
        <w:t>health board areas of Abertawe Bro Morgannwg.</w:t>
      </w:r>
    </w:p>
    <w:p w14:paraId="0E7F0916" w14:textId="1615FF32" w:rsidR="007A205D" w:rsidRPr="001735E1" w:rsidRDefault="0E1FFB64" w:rsidP="001735E1">
      <w:pPr>
        <w:pStyle w:val="ListParagraph"/>
        <w:numPr>
          <w:ilvl w:val="1"/>
          <w:numId w:val="7"/>
        </w:numPr>
        <w:spacing w:before="200" w:after="0" w:line="360" w:lineRule="auto"/>
        <w:jc w:val="both"/>
        <w:rPr>
          <w:rFonts w:ascii="Arial" w:eastAsia="Arial" w:hAnsi="Arial" w:cs="Arial"/>
          <w:color w:val="000000" w:themeColor="text1"/>
        </w:rPr>
      </w:pPr>
      <w:r w:rsidRPr="001735E1">
        <w:rPr>
          <w:rFonts w:ascii="Arial" w:eastAsia="Arial" w:hAnsi="Arial" w:cs="Arial"/>
          <w:color w:val="000000" w:themeColor="text1"/>
        </w:rPr>
        <w:t>Hywel Dda.</w:t>
      </w:r>
    </w:p>
    <w:p w14:paraId="297102B7" w14:textId="217BF354" w:rsidR="007A205D" w:rsidRPr="001735E1" w:rsidRDefault="0E1FFB64" w:rsidP="001735E1">
      <w:pPr>
        <w:pStyle w:val="ListParagraph"/>
        <w:numPr>
          <w:ilvl w:val="1"/>
          <w:numId w:val="7"/>
        </w:numPr>
        <w:spacing w:before="200" w:after="0" w:line="360" w:lineRule="auto"/>
        <w:jc w:val="both"/>
        <w:rPr>
          <w:rFonts w:ascii="Arial" w:eastAsia="Arial" w:hAnsi="Arial" w:cs="Arial"/>
          <w:color w:val="000000" w:themeColor="text1"/>
        </w:rPr>
      </w:pPr>
      <w:r w:rsidRPr="001735E1">
        <w:rPr>
          <w:rFonts w:ascii="Arial" w:eastAsia="Arial" w:hAnsi="Arial" w:cs="Arial"/>
          <w:color w:val="000000" w:themeColor="text1"/>
        </w:rPr>
        <w:t>Powys in southwest and mid Wales.</w:t>
      </w:r>
    </w:p>
    <w:p w14:paraId="1D6EEE24" w14:textId="0E2D924A" w:rsidR="007A205D" w:rsidRPr="001735E1" w:rsidRDefault="0E1FFB64" w:rsidP="001735E1">
      <w:pPr>
        <w:pStyle w:val="ListParagraph"/>
        <w:numPr>
          <w:ilvl w:val="1"/>
          <w:numId w:val="7"/>
        </w:numPr>
        <w:spacing w:before="200" w:after="0" w:line="360" w:lineRule="auto"/>
        <w:jc w:val="both"/>
        <w:rPr>
          <w:rFonts w:ascii="Arial" w:eastAsia="Arial" w:hAnsi="Arial" w:cs="Arial"/>
          <w:color w:val="000000" w:themeColor="text1"/>
        </w:rPr>
      </w:pPr>
      <w:r w:rsidRPr="001735E1">
        <w:rPr>
          <w:rFonts w:ascii="Arial" w:eastAsia="Arial" w:hAnsi="Arial" w:cs="Arial"/>
          <w:color w:val="000000" w:themeColor="text1"/>
        </w:rPr>
        <w:t xml:space="preserve">88 cases admitted to hospital along with one death. </w:t>
      </w:r>
    </w:p>
    <w:p w14:paraId="3057CD09" w14:textId="17D75642" w:rsidR="007A205D" w:rsidRPr="001735E1" w:rsidRDefault="001735E1" w:rsidP="001735E1">
      <w:pPr>
        <w:spacing w:before="200" w:after="0" w:line="360" w:lineRule="auto"/>
        <w:jc w:val="both"/>
        <w:rPr>
          <w:rFonts w:ascii="Arial" w:eastAsia="Arial" w:hAnsi="Arial" w:cs="Arial"/>
          <w:color w:val="000000" w:themeColor="text1"/>
        </w:rPr>
      </w:pPr>
      <w:r>
        <w:rPr>
          <w:rFonts w:ascii="Arial" w:eastAsia="Arial" w:hAnsi="Arial" w:cs="Arial"/>
        </w:rPr>
        <w:t>T</w:t>
      </w:r>
      <w:r w:rsidR="0E1FFB64" w:rsidRPr="001735E1">
        <w:rPr>
          <w:rFonts w:ascii="Arial" w:eastAsia="Arial" w:hAnsi="Arial" w:cs="Arial"/>
        </w:rPr>
        <w:t>his was all d</w:t>
      </w:r>
      <w:r w:rsidR="0E1FFB64" w:rsidRPr="001735E1">
        <w:rPr>
          <w:rFonts w:ascii="Arial" w:eastAsia="Arial" w:hAnsi="Arial" w:cs="Arial"/>
          <w:color w:val="000000" w:themeColor="text1"/>
        </w:rPr>
        <w:t>ue to a decline in the MMR vaccine in Swansea and Neath</w:t>
      </w:r>
    </w:p>
    <w:p w14:paraId="724AD2E6" w14:textId="742A52E9" w:rsidR="007A205D" w:rsidRDefault="0E1FFB64" w:rsidP="00C91E74">
      <w:pPr>
        <w:spacing w:line="360" w:lineRule="auto"/>
        <w:jc w:val="both"/>
        <w:rPr>
          <w:rFonts w:ascii="Arial" w:eastAsia="Arial" w:hAnsi="Arial" w:cs="Arial"/>
        </w:rPr>
      </w:pPr>
      <w:r w:rsidRPr="0E1FFB64">
        <w:rPr>
          <w:rFonts w:ascii="Arial" w:eastAsia="Arial" w:hAnsi="Arial" w:cs="Arial"/>
        </w:rPr>
        <w:t>Evidence suggests it has been seen around the world that more children are immunised, according to research from the Cleveland Clinic in (2021), measles is marked by a red, patchy rash that starts on the face and behind the ears, moves down to the chest and back, and finally reaches the feet. Patients usually start showing signs eight to twelve days after being exposed to a person who has measles. In certain cases, symptoms may appear 21 days after exposure (NHS, 2019).</w:t>
      </w:r>
    </w:p>
    <w:p w14:paraId="2F68E095" w14:textId="5981CDF5" w:rsidR="007A205D" w:rsidRDefault="430649DF" w:rsidP="00C91E74">
      <w:pPr>
        <w:spacing w:line="360" w:lineRule="auto"/>
        <w:jc w:val="both"/>
      </w:pPr>
      <w:r w:rsidRPr="430649DF">
        <w:rPr>
          <w:rFonts w:ascii="Arial" w:eastAsia="Arial" w:hAnsi="Arial" w:cs="Arial"/>
        </w:rPr>
        <w:t>One of the main signs of measles is often feeling tired. Many people who have measles experience fatigue as one of their major symptoms.</w:t>
      </w:r>
    </w:p>
    <w:p w14:paraId="61CBB91A" w14:textId="649C386F" w:rsidR="007A205D" w:rsidRDefault="430649DF" w:rsidP="00C91E74">
      <w:pPr>
        <w:spacing w:line="360" w:lineRule="auto"/>
        <w:jc w:val="both"/>
        <w:rPr>
          <w:rFonts w:ascii="Arial" w:eastAsia="Arial" w:hAnsi="Arial" w:cs="Arial"/>
          <w:b/>
          <w:bCs/>
        </w:rPr>
      </w:pPr>
      <w:r w:rsidRPr="430649DF">
        <w:rPr>
          <w:rFonts w:ascii="Arial" w:eastAsia="Arial" w:hAnsi="Arial" w:cs="Arial"/>
          <w:b/>
          <w:bCs/>
        </w:rPr>
        <w:lastRenderedPageBreak/>
        <w:t xml:space="preserve">The primary symptoms of measles often comprise: </w:t>
      </w:r>
    </w:p>
    <w:p w14:paraId="658A6977" w14:textId="10EEB9E3" w:rsidR="007A205D" w:rsidRDefault="430649DF" w:rsidP="00C91E74">
      <w:pPr>
        <w:spacing w:line="360" w:lineRule="auto"/>
        <w:jc w:val="both"/>
        <w:rPr>
          <w:rFonts w:ascii="Arial" w:eastAsia="Arial" w:hAnsi="Arial" w:cs="Arial"/>
        </w:rPr>
      </w:pPr>
      <w:r w:rsidRPr="430649DF">
        <w:rPr>
          <w:rFonts w:ascii="Arial" w:eastAsia="Arial" w:hAnsi="Arial" w:cs="Arial"/>
        </w:rPr>
        <w:t xml:space="preserve">          Fatigue.</w:t>
      </w:r>
    </w:p>
    <w:p w14:paraId="141C6FC8" w14:textId="699AD9C5"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 xml:space="preserve">A high temperature. </w:t>
      </w:r>
    </w:p>
    <w:p w14:paraId="3F947968" w14:textId="32D8D296"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 xml:space="preserve">A cough </w:t>
      </w:r>
    </w:p>
    <w:p w14:paraId="569A1FB2" w14:textId="431B068D"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 xml:space="preserve">Bloodshot or red eyes. </w:t>
      </w:r>
    </w:p>
    <w:p w14:paraId="7B49A88D" w14:textId="5C019CD2"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Nasal congestion.</w:t>
      </w:r>
    </w:p>
    <w:p w14:paraId="2C90BA7A" w14:textId="4E44C0C5" w:rsidR="007A205D" w:rsidRDefault="430649DF" w:rsidP="00C91E74">
      <w:pPr>
        <w:spacing w:line="360" w:lineRule="auto"/>
        <w:jc w:val="both"/>
        <w:rPr>
          <w:rFonts w:ascii="Arial" w:eastAsia="Arial" w:hAnsi="Arial" w:cs="Arial"/>
        </w:rPr>
      </w:pPr>
      <w:r w:rsidRPr="430649DF">
        <w:rPr>
          <w:rFonts w:ascii="Arial" w:eastAsia="Arial" w:hAnsi="Arial" w:cs="Arial"/>
        </w:rPr>
        <w:t xml:space="preserve"> </w:t>
      </w:r>
    </w:p>
    <w:p w14:paraId="6237BC30" w14:textId="28791E54" w:rsidR="007A205D" w:rsidRDefault="430649DF" w:rsidP="00C91E74">
      <w:pPr>
        <w:spacing w:line="360" w:lineRule="auto"/>
        <w:jc w:val="both"/>
        <w:rPr>
          <w:rFonts w:ascii="Arial" w:eastAsia="Arial" w:hAnsi="Arial" w:cs="Arial"/>
        </w:rPr>
      </w:pPr>
      <w:r w:rsidRPr="430649DF">
        <w:rPr>
          <w:rFonts w:ascii="Arial" w:eastAsia="Arial" w:hAnsi="Arial" w:cs="Arial"/>
        </w:rPr>
        <w:t>A red and blotchy rash will appear on your body a few days after these symptoms first appear, the rash will spread to the rest of the body and typically lasts seven to 10 days.</w:t>
      </w:r>
    </w:p>
    <w:p w14:paraId="496A4933" w14:textId="354298F1" w:rsidR="007A205D" w:rsidRDefault="430649DF" w:rsidP="00C91E74">
      <w:pPr>
        <w:spacing w:line="360" w:lineRule="auto"/>
        <w:jc w:val="both"/>
        <w:rPr>
          <w:rFonts w:ascii="Arial" w:eastAsia="Arial" w:hAnsi="Arial" w:cs="Arial"/>
        </w:rPr>
      </w:pPr>
      <w:r w:rsidRPr="430649DF">
        <w:rPr>
          <w:rFonts w:ascii="Arial" w:eastAsia="Arial" w:hAnsi="Arial" w:cs="Arial"/>
          <w:b/>
          <w:bCs/>
        </w:rPr>
        <w:t>Additional symptoms of measles may include</w:t>
      </w:r>
      <w:r w:rsidRPr="430649DF">
        <w:rPr>
          <w:rFonts w:ascii="Arial" w:eastAsia="Arial" w:hAnsi="Arial" w:cs="Arial"/>
        </w:rPr>
        <w:t xml:space="preserve">: </w:t>
      </w:r>
    </w:p>
    <w:p w14:paraId="49EF01ED" w14:textId="0EDEC5D5"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Aching muscles</w:t>
      </w:r>
    </w:p>
    <w:p w14:paraId="03E0C1CD" w14:textId="18A0B21F"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Light sensitivity.</w:t>
      </w:r>
    </w:p>
    <w:p w14:paraId="642A9D95" w14:textId="0674A9E3"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White spots in the mouth</w:t>
      </w:r>
    </w:p>
    <w:p w14:paraId="487EAB27" w14:textId="43C9010A" w:rsidR="007A205D" w:rsidRDefault="430649DF" w:rsidP="00C91E74">
      <w:pPr>
        <w:pStyle w:val="ListParagraph"/>
        <w:numPr>
          <w:ilvl w:val="0"/>
          <w:numId w:val="1"/>
        </w:numPr>
        <w:spacing w:line="360" w:lineRule="auto"/>
        <w:jc w:val="both"/>
        <w:rPr>
          <w:rFonts w:ascii="Arial" w:eastAsia="Arial" w:hAnsi="Arial" w:cs="Arial"/>
        </w:rPr>
      </w:pPr>
      <w:r w:rsidRPr="430649DF">
        <w:rPr>
          <w:rFonts w:ascii="Arial" w:eastAsia="Arial" w:hAnsi="Arial" w:cs="Arial"/>
        </w:rPr>
        <w:t xml:space="preserve">A sore throat </w:t>
      </w:r>
    </w:p>
    <w:p w14:paraId="4AD096B2" w14:textId="2126698F" w:rsidR="007A205D" w:rsidRDefault="007A205D" w:rsidP="00C91E74">
      <w:pPr>
        <w:spacing w:line="360" w:lineRule="auto"/>
        <w:jc w:val="both"/>
      </w:pPr>
    </w:p>
    <w:p w14:paraId="738BAE5B" w14:textId="3B00A41E" w:rsidR="007A205D" w:rsidRDefault="0E1FFB64" w:rsidP="00C91E74">
      <w:pPr>
        <w:spacing w:line="360" w:lineRule="auto"/>
        <w:jc w:val="both"/>
        <w:rPr>
          <w:rFonts w:ascii="Arial" w:eastAsia="Arial" w:hAnsi="Arial" w:cs="Arial"/>
        </w:rPr>
      </w:pPr>
      <w:r w:rsidRPr="0E1FFB64">
        <w:rPr>
          <w:rFonts w:ascii="Arial" w:eastAsia="Arial" w:hAnsi="Arial" w:cs="Arial"/>
          <w:color w:val="000000" w:themeColor="text1"/>
        </w:rPr>
        <w:t xml:space="preserve">Rubeola virus pathogens can lead to acute measles infection in children; this is also referred to as MV. There is a possibility that serious complications can develop, but in most cases, measles will heal on its own </w:t>
      </w:r>
      <w:r w:rsidRPr="0E1FFB64">
        <w:rPr>
          <w:rFonts w:ascii="Arial" w:eastAsia="Arial" w:hAnsi="Arial" w:cs="Arial"/>
        </w:rPr>
        <w:t>(de Swart, 2008)</w:t>
      </w:r>
    </w:p>
    <w:p w14:paraId="0BBBC176" w14:textId="68DDE9B8" w:rsidR="007A205D" w:rsidRDefault="0E1FFB64" w:rsidP="00C91E74">
      <w:pPr>
        <w:spacing w:line="360" w:lineRule="auto"/>
        <w:jc w:val="both"/>
        <w:rPr>
          <w:rFonts w:ascii="Arial" w:eastAsia="Arial" w:hAnsi="Arial" w:cs="Arial"/>
          <w:color w:val="000000" w:themeColor="text1"/>
        </w:rPr>
      </w:pPr>
      <w:r w:rsidRPr="0E1FFB64">
        <w:rPr>
          <w:rFonts w:ascii="Arial" w:eastAsia="Arial" w:hAnsi="Arial" w:cs="Arial"/>
          <w:color w:val="000000" w:themeColor="text1"/>
        </w:rPr>
        <w:t>The development of severe forms of the disease can be seen in individuals whose cellular immunity is either compromised or weak, some examples of these people, include those who are undergoing treatment for cancer, those who have undergone kidney transplantation, and those who were born without sufficient immune cells (Misin et al, 2020).</w:t>
      </w:r>
    </w:p>
    <w:p w14:paraId="337096E6" w14:textId="6BE39F9A" w:rsidR="007A205D" w:rsidRDefault="0E1FFB64" w:rsidP="00C91E74">
      <w:pPr>
        <w:spacing w:line="360" w:lineRule="auto"/>
        <w:jc w:val="both"/>
        <w:rPr>
          <w:rFonts w:ascii="Arial" w:eastAsia="Arial" w:hAnsi="Arial" w:cs="Arial"/>
        </w:rPr>
      </w:pPr>
      <w:r w:rsidRPr="0E1FFB64">
        <w:rPr>
          <w:rFonts w:ascii="Arial" w:eastAsia="Arial" w:hAnsi="Arial" w:cs="Arial"/>
        </w:rPr>
        <w:t xml:space="preserve">Prior to the development of vaccinations, measles was a particularly pervasive disease in the United Kingdom, and many children were infected with the disease before the age of five. Most older children and adults in the United Kingdom were already resistant to the illness when the vaccine was first delivered in 1968. (Cordery and Brown, 2023) </w:t>
      </w:r>
    </w:p>
    <w:p w14:paraId="26F93A54" w14:textId="62E0A12D" w:rsidR="007A205D" w:rsidRDefault="007A205D" w:rsidP="00C91E74">
      <w:pPr>
        <w:spacing w:line="360" w:lineRule="auto"/>
        <w:jc w:val="both"/>
        <w:rPr>
          <w:rFonts w:ascii="Arial" w:eastAsia="Arial" w:hAnsi="Arial" w:cs="Arial"/>
          <w:color w:val="2C3E50"/>
        </w:rPr>
      </w:pPr>
    </w:p>
    <w:p w14:paraId="4FEDC9B5" w14:textId="3B08CA07" w:rsidR="007A205D" w:rsidRDefault="007A205D" w:rsidP="00C91E74">
      <w:pPr>
        <w:spacing w:line="360" w:lineRule="auto"/>
        <w:jc w:val="both"/>
        <w:rPr>
          <w:rFonts w:ascii="Arial" w:eastAsia="Arial" w:hAnsi="Arial" w:cs="Arial"/>
        </w:rPr>
      </w:pPr>
    </w:p>
    <w:p w14:paraId="07F87015" w14:textId="75428F4C" w:rsidR="007A205D" w:rsidRDefault="0E1FFB64" w:rsidP="00C91E74">
      <w:pPr>
        <w:spacing w:line="360" w:lineRule="auto"/>
        <w:jc w:val="both"/>
        <w:rPr>
          <w:rFonts w:ascii="Arial" w:eastAsia="Arial" w:hAnsi="Arial" w:cs="Arial"/>
          <w:b/>
          <w:bCs/>
        </w:rPr>
      </w:pPr>
      <w:r w:rsidRPr="0E1FFB64">
        <w:rPr>
          <w:rFonts w:ascii="Arial" w:eastAsia="Arial" w:hAnsi="Arial" w:cs="Arial"/>
          <w:b/>
          <w:bCs/>
        </w:rPr>
        <w:t>Trends in communicable disease</w:t>
      </w:r>
    </w:p>
    <w:p w14:paraId="3D23A117" w14:textId="4B680672" w:rsidR="007A205D" w:rsidRDefault="0E1FFB64" w:rsidP="00467933">
      <w:pPr>
        <w:spacing w:before="200" w:after="0" w:line="360" w:lineRule="auto"/>
        <w:ind w:left="360" w:hanging="360"/>
        <w:jc w:val="both"/>
        <w:rPr>
          <w:rFonts w:ascii="Arial" w:eastAsia="Arial" w:hAnsi="Arial" w:cs="Arial"/>
        </w:rPr>
      </w:pPr>
      <w:r w:rsidRPr="0E1FFB64">
        <w:rPr>
          <w:rFonts w:ascii="Arial" w:eastAsia="Arial" w:hAnsi="Arial" w:cs="Arial"/>
        </w:rPr>
        <w:t xml:space="preserve">     According to Hoang and </w:t>
      </w:r>
      <w:proofErr w:type="spellStart"/>
      <w:r w:rsidRPr="0E1FFB64">
        <w:rPr>
          <w:rFonts w:ascii="Arial" w:eastAsia="Arial" w:hAnsi="Arial" w:cs="Arial"/>
        </w:rPr>
        <w:t>Gautret</w:t>
      </w:r>
      <w:proofErr w:type="spellEnd"/>
      <w:r w:rsidRPr="0E1FFB64">
        <w:rPr>
          <w:rFonts w:ascii="Arial" w:eastAsia="Arial" w:hAnsi="Arial" w:cs="Arial"/>
        </w:rPr>
        <w:t xml:space="preserve"> (2020), during 2016 and 2017, measles outbreaks were seen all over Europe. Romania, Italy, and Greece had the highest numbers of cases, mostly among people who had not been vaccinated or had only partly been protected. A national incident was declared at the end of 2017 because of cases seen all over England, including in Leeds, Liverpool, and Manchester. </w:t>
      </w:r>
    </w:p>
    <w:p w14:paraId="12913CFA" w14:textId="77777777" w:rsidR="001735E1" w:rsidRPr="001735E1" w:rsidRDefault="0E1FFB64" w:rsidP="001735E1">
      <w:pPr>
        <w:pStyle w:val="ListParagraph"/>
        <w:numPr>
          <w:ilvl w:val="0"/>
          <w:numId w:val="5"/>
        </w:numPr>
        <w:spacing w:before="200" w:after="0" w:line="360" w:lineRule="auto"/>
        <w:jc w:val="both"/>
        <w:rPr>
          <w:rFonts w:ascii="Arial" w:eastAsia="Arial" w:hAnsi="Arial" w:cs="Arial"/>
          <w:color w:val="000000" w:themeColor="text1"/>
        </w:rPr>
      </w:pPr>
      <w:r w:rsidRPr="001735E1">
        <w:rPr>
          <w:rFonts w:ascii="Arial" w:eastAsia="Arial" w:hAnsi="Arial" w:cs="Arial"/>
          <w:b/>
          <w:bCs/>
        </w:rPr>
        <w:t>In the English West Midlands, one of the outbreaks was one of the biggest</w:t>
      </w:r>
      <w:r w:rsidR="001735E1">
        <w:rPr>
          <w:rFonts w:ascii="Arial" w:eastAsia="Arial" w:hAnsi="Arial" w:cs="Arial"/>
        </w:rPr>
        <w:t>;</w:t>
      </w:r>
    </w:p>
    <w:p w14:paraId="0026902E" w14:textId="77777777" w:rsidR="001735E1" w:rsidRPr="001735E1" w:rsidRDefault="001735E1" w:rsidP="001735E1">
      <w:pPr>
        <w:pStyle w:val="ListParagraph"/>
        <w:spacing w:before="200" w:after="0" w:line="360" w:lineRule="auto"/>
        <w:ind w:left="792"/>
        <w:jc w:val="both"/>
        <w:rPr>
          <w:rFonts w:ascii="Arial" w:eastAsia="Arial" w:hAnsi="Arial" w:cs="Arial"/>
          <w:color w:val="000000" w:themeColor="text1"/>
        </w:rPr>
      </w:pPr>
    </w:p>
    <w:p w14:paraId="433ACC6C" w14:textId="16F365B3" w:rsidR="007A205D" w:rsidRPr="001735E1" w:rsidRDefault="0E1FFB64" w:rsidP="001735E1">
      <w:pPr>
        <w:pStyle w:val="ListParagraph"/>
        <w:numPr>
          <w:ilvl w:val="0"/>
          <w:numId w:val="5"/>
        </w:numPr>
        <w:spacing w:before="200" w:after="0" w:line="360" w:lineRule="auto"/>
        <w:jc w:val="both"/>
        <w:rPr>
          <w:rFonts w:ascii="Arial" w:eastAsia="Arial" w:hAnsi="Arial" w:cs="Arial"/>
          <w:color w:val="000000" w:themeColor="text1"/>
        </w:rPr>
      </w:pPr>
      <w:r w:rsidRPr="001735E1">
        <w:rPr>
          <w:rFonts w:ascii="Arial" w:eastAsia="Arial" w:hAnsi="Arial" w:cs="Arial"/>
          <w:color w:val="000000" w:themeColor="text1"/>
        </w:rPr>
        <w:t>1,603</w:t>
      </w:r>
      <w:r w:rsidR="00AC699C" w:rsidRPr="001735E1">
        <w:rPr>
          <w:rFonts w:ascii="Arial" w:eastAsia="Arial" w:hAnsi="Arial" w:cs="Arial"/>
          <w:color w:val="000000" w:themeColor="text1"/>
        </w:rPr>
        <w:t xml:space="preserve"> </w:t>
      </w:r>
      <w:r w:rsidRPr="001735E1">
        <w:rPr>
          <w:rFonts w:ascii="Arial" w:eastAsia="Arial" w:hAnsi="Arial" w:cs="Arial"/>
          <w:color w:val="000000" w:themeColor="text1"/>
        </w:rPr>
        <w:t>suspected cases of measles in England and Wales 2023.</w:t>
      </w:r>
    </w:p>
    <w:p w14:paraId="7EB5E2C5" w14:textId="783E39AE" w:rsidR="0010157E" w:rsidRPr="00D1575E" w:rsidRDefault="0010157E" w:rsidP="00467933">
      <w:pPr>
        <w:pStyle w:val="ListParagraph"/>
        <w:numPr>
          <w:ilvl w:val="0"/>
          <w:numId w:val="4"/>
        </w:numPr>
        <w:spacing w:before="200" w:after="0" w:line="360" w:lineRule="auto"/>
        <w:jc w:val="both"/>
        <w:rPr>
          <w:rFonts w:ascii="Arial" w:eastAsia="Arial" w:hAnsi="Arial" w:cs="Arial"/>
          <w:color w:val="000000" w:themeColor="text1"/>
        </w:rPr>
      </w:pPr>
      <w:r w:rsidRPr="00D1575E">
        <w:rPr>
          <w:rFonts w:ascii="Arial" w:eastAsia="Arial" w:hAnsi="Arial" w:cs="Arial"/>
          <w:color w:val="000000" w:themeColor="text1"/>
        </w:rPr>
        <w:t>2023 Cases</w:t>
      </w:r>
      <w:r w:rsidR="000808C8" w:rsidRPr="00D1575E">
        <w:rPr>
          <w:rFonts w:ascii="Arial" w:eastAsia="Arial" w:hAnsi="Arial" w:cs="Arial"/>
          <w:color w:val="000000" w:themeColor="text1"/>
        </w:rPr>
        <w:t>; There were 1,60</w:t>
      </w:r>
      <w:r w:rsidR="003061BB" w:rsidRPr="00D1575E">
        <w:rPr>
          <w:rFonts w:ascii="Arial" w:eastAsia="Arial" w:hAnsi="Arial" w:cs="Arial"/>
          <w:color w:val="000000" w:themeColor="text1"/>
        </w:rPr>
        <w:t>3 suspected cases of measles</w:t>
      </w:r>
    </w:p>
    <w:p w14:paraId="16F70F25" w14:textId="0EF17373" w:rsidR="009518EA" w:rsidRPr="00D1575E" w:rsidRDefault="009518EA" w:rsidP="00467933">
      <w:pPr>
        <w:pStyle w:val="ListParagraph"/>
        <w:numPr>
          <w:ilvl w:val="0"/>
          <w:numId w:val="4"/>
        </w:numPr>
        <w:spacing w:before="200" w:after="0" w:line="360" w:lineRule="auto"/>
        <w:jc w:val="both"/>
        <w:rPr>
          <w:rFonts w:ascii="Arial" w:eastAsia="Arial" w:hAnsi="Arial" w:cs="Arial"/>
          <w:color w:val="000000" w:themeColor="text1"/>
        </w:rPr>
      </w:pPr>
      <w:r w:rsidRPr="00D1575E">
        <w:rPr>
          <w:rFonts w:ascii="Arial" w:eastAsia="Arial" w:hAnsi="Arial" w:cs="Arial"/>
          <w:color w:val="000000" w:themeColor="text1"/>
        </w:rPr>
        <w:t>Comparison to 2022: This number had doubled since 2022, which had 735 cases</w:t>
      </w:r>
      <w:r w:rsidR="001744E0" w:rsidRPr="00D1575E">
        <w:rPr>
          <w:rFonts w:ascii="Arial" w:eastAsia="Arial" w:hAnsi="Arial" w:cs="Arial"/>
          <w:color w:val="000000" w:themeColor="text1"/>
        </w:rPr>
        <w:t>.</w:t>
      </w:r>
    </w:p>
    <w:p w14:paraId="3E9A2437" w14:textId="220F7963" w:rsidR="001744E0" w:rsidRDefault="00AC699C" w:rsidP="00467933">
      <w:pPr>
        <w:spacing w:before="200" w:after="0" w:line="360" w:lineRule="auto"/>
        <w:ind w:left="720" w:hanging="360"/>
        <w:jc w:val="both"/>
        <w:rPr>
          <w:rFonts w:ascii="Arial" w:eastAsia="Arial" w:hAnsi="Arial" w:cs="Arial"/>
          <w:color w:val="000000" w:themeColor="text1"/>
        </w:rPr>
      </w:pPr>
      <w:r>
        <w:rPr>
          <w:rFonts w:ascii="Arial" w:eastAsia="Arial" w:hAnsi="Arial" w:cs="Arial"/>
          <w:color w:val="000000" w:themeColor="text1"/>
        </w:rPr>
        <w:t xml:space="preserve">      </w:t>
      </w:r>
      <w:r w:rsidR="001744E0">
        <w:rPr>
          <w:rFonts w:ascii="Arial" w:eastAsia="Arial" w:hAnsi="Arial" w:cs="Arial"/>
          <w:color w:val="000000" w:themeColor="text1"/>
        </w:rPr>
        <w:t>This significant rise underscores the importance of effective vaccination programmes and public health measures to control the spread of measles. It also indicates the need for continued survei</w:t>
      </w:r>
      <w:r w:rsidR="006E4B24">
        <w:rPr>
          <w:rFonts w:ascii="Arial" w:eastAsia="Arial" w:hAnsi="Arial" w:cs="Arial"/>
          <w:color w:val="000000" w:themeColor="text1"/>
        </w:rPr>
        <w:t>llance and reporting to moni</w:t>
      </w:r>
      <w:r w:rsidR="00D1575E">
        <w:rPr>
          <w:rFonts w:ascii="Arial" w:eastAsia="Arial" w:hAnsi="Arial" w:cs="Arial"/>
          <w:color w:val="000000" w:themeColor="text1"/>
        </w:rPr>
        <w:t>tor and respond to such outbreaks promptly (PHW, 2021).</w:t>
      </w:r>
    </w:p>
    <w:p w14:paraId="445CD4B1" w14:textId="77777777" w:rsidR="00D1575E" w:rsidRDefault="00D1575E" w:rsidP="00467933">
      <w:pPr>
        <w:spacing w:before="200" w:after="0" w:line="360" w:lineRule="auto"/>
        <w:ind w:left="720" w:hanging="360"/>
        <w:jc w:val="both"/>
        <w:rPr>
          <w:rFonts w:ascii="Arial" w:eastAsia="Arial" w:hAnsi="Arial" w:cs="Arial"/>
          <w:color w:val="000000" w:themeColor="text1"/>
        </w:rPr>
      </w:pPr>
    </w:p>
    <w:p w14:paraId="500DAF65" w14:textId="5CE8BA9B" w:rsidR="007A205D" w:rsidRDefault="0E1FFB64" w:rsidP="00467933">
      <w:pPr>
        <w:spacing w:line="360" w:lineRule="auto"/>
        <w:jc w:val="both"/>
        <w:rPr>
          <w:rFonts w:ascii="Arial" w:eastAsia="Arial" w:hAnsi="Arial" w:cs="Arial"/>
        </w:rPr>
      </w:pPr>
      <w:r w:rsidRPr="0E1FFB64">
        <w:rPr>
          <w:rFonts w:ascii="Arial" w:eastAsia="Arial" w:hAnsi="Arial" w:cs="Arial"/>
        </w:rPr>
        <w:t>The West Midlands Health Protection Team (WHPT) (2009) was informed on November 24, 2017, by a local National Health Service (NHS) (2017) hospital laboratory of a measles PCR-positive throat swab taken from a child who had been brought to the hospital Since the 11th of November, the child had been experiencing symptoms. With commencement dates ranging from the 16th to the 24th of November, a further seven laboratory-confirmed cases were reported from the same hospital by the 27th of November (NHS, 2017).</w:t>
      </w:r>
    </w:p>
    <w:p w14:paraId="0D320770" w14:textId="1EAE4AF5" w:rsidR="007A205D" w:rsidRDefault="0E1FFB64" w:rsidP="00467933">
      <w:pPr>
        <w:spacing w:line="360" w:lineRule="auto"/>
        <w:jc w:val="both"/>
        <w:rPr>
          <w:rFonts w:ascii="Arial" w:eastAsia="Arial" w:hAnsi="Arial" w:cs="Arial"/>
        </w:rPr>
      </w:pPr>
      <w:r w:rsidRPr="0E1FFB64">
        <w:rPr>
          <w:rFonts w:ascii="Arial" w:eastAsia="Arial" w:hAnsi="Arial" w:cs="Arial"/>
        </w:rPr>
        <w:t xml:space="preserve">According to the Government website (2024) states all the individuals were of Romanian descent, had travelled to Romania three weeks earlier, and lived in the same region of the West Midlands, two of the cases that were investigated were family members of the individual who was the index case.  Most instances that occurred throughout November and December had some kind of interaction with this local </w:t>
      </w:r>
      <w:r w:rsidRPr="0E1FFB64">
        <w:rPr>
          <w:rFonts w:ascii="Arial" w:eastAsia="Arial" w:hAnsi="Arial" w:cs="Arial"/>
        </w:rPr>
        <w:lastRenderedPageBreak/>
        <w:t>hospital, whether it was through varied periods of admission, visits to the emergency room, or visits to inpatients (Gov, 2024).</w:t>
      </w:r>
    </w:p>
    <w:p w14:paraId="62061593" w14:textId="1D2B74AA" w:rsidR="007A205D" w:rsidRDefault="0E1FFB64" w:rsidP="00C91E74">
      <w:pPr>
        <w:spacing w:line="360" w:lineRule="auto"/>
        <w:jc w:val="both"/>
        <w:rPr>
          <w:rFonts w:ascii="Arial" w:eastAsia="Arial" w:hAnsi="Arial" w:cs="Arial"/>
        </w:rPr>
      </w:pPr>
      <w:r w:rsidRPr="0E1FFB64">
        <w:rPr>
          <w:rFonts w:ascii="Arial" w:eastAsia="Arial" w:hAnsi="Arial" w:cs="Arial"/>
        </w:rPr>
        <w:t>Research conducted by Bell et, al (2020) states the number of cases continued to rise beginning in the middle of December, and the epidemic moved to additional clinical and non-clinical settings, ethnic groups, and geographical locations in the West Midlands, the expansion went beyond the initial geographical and family clusters., a total of five additional sessions were held between the date of the first local IMT meeting, which took place on November 24, 2017, and the date on which it was concluded, which was January 31, 2018. The HPT was the one who led the meeting.</w:t>
      </w:r>
    </w:p>
    <w:p w14:paraId="664A1287" w14:textId="4BD7C233" w:rsidR="007A205D" w:rsidRDefault="007A205D" w:rsidP="00C91E74">
      <w:pPr>
        <w:spacing w:line="360" w:lineRule="auto"/>
        <w:jc w:val="both"/>
        <w:rPr>
          <w:rFonts w:ascii="Arial" w:eastAsia="Arial" w:hAnsi="Arial" w:cs="Arial"/>
          <w:b/>
          <w:bCs/>
        </w:rPr>
      </w:pPr>
    </w:p>
    <w:p w14:paraId="64108E1B" w14:textId="45489ED3" w:rsidR="007A205D" w:rsidRDefault="0E1FFB64" w:rsidP="00C91E74">
      <w:pPr>
        <w:spacing w:line="360" w:lineRule="auto"/>
        <w:jc w:val="both"/>
        <w:rPr>
          <w:rFonts w:ascii="Arial" w:eastAsia="Arial" w:hAnsi="Arial" w:cs="Arial"/>
        </w:rPr>
      </w:pPr>
      <w:r w:rsidRPr="0E1FFB64">
        <w:rPr>
          <w:rFonts w:ascii="Arial" w:eastAsia="Arial" w:hAnsi="Arial" w:cs="Arial"/>
          <w:b/>
          <w:bCs/>
        </w:rPr>
        <w:t xml:space="preserve">Public Health response </w:t>
      </w:r>
    </w:p>
    <w:p w14:paraId="174EC59E" w14:textId="2531B6F1" w:rsidR="007A205D" w:rsidRDefault="0E1FFB64" w:rsidP="0010157E">
      <w:pPr>
        <w:spacing w:before="240" w:after="240" w:line="360" w:lineRule="auto"/>
        <w:jc w:val="both"/>
        <w:rPr>
          <w:rFonts w:ascii="Arial" w:eastAsia="Arial" w:hAnsi="Arial" w:cs="Arial"/>
        </w:rPr>
      </w:pPr>
      <w:r w:rsidRPr="0E1FFB64">
        <w:rPr>
          <w:rFonts w:ascii="Arial" w:eastAsia="Arial" w:hAnsi="Arial" w:cs="Arial"/>
        </w:rPr>
        <w:t xml:space="preserve">As stated by </w:t>
      </w:r>
      <w:proofErr w:type="spellStart"/>
      <w:r w:rsidRPr="0E1FFB64">
        <w:rPr>
          <w:rFonts w:ascii="Arial" w:eastAsia="Arial" w:hAnsi="Arial" w:cs="Arial"/>
        </w:rPr>
        <w:t>Gastañaduy</w:t>
      </w:r>
      <w:proofErr w:type="spellEnd"/>
      <w:r w:rsidRPr="0E1FFB64">
        <w:rPr>
          <w:rFonts w:ascii="Arial" w:eastAsia="Arial" w:hAnsi="Arial" w:cs="Arial"/>
        </w:rPr>
        <w:t xml:space="preserve"> et al (2021), the global measles vaccine programme has been successful in reducing the number of deaths and illnesses associated with measles and has also been successful in reducing the number of deaths that have occurred. The most effective measles vaccines available today can allow humans to avoid contracting the disease, which means it can be eradicated (</w:t>
      </w:r>
      <w:proofErr w:type="spellStart"/>
      <w:r w:rsidRPr="0E1FFB64">
        <w:rPr>
          <w:rFonts w:ascii="Arial" w:eastAsia="Arial" w:hAnsi="Arial" w:cs="Arial"/>
        </w:rPr>
        <w:t>Gastañaduy</w:t>
      </w:r>
      <w:proofErr w:type="spellEnd"/>
      <w:r w:rsidRPr="0E1FFB64">
        <w:rPr>
          <w:rFonts w:ascii="Arial" w:eastAsia="Arial" w:hAnsi="Arial" w:cs="Arial"/>
        </w:rPr>
        <w:t xml:space="preserve"> et al., 2018)</w:t>
      </w:r>
    </w:p>
    <w:p w14:paraId="5839DA2D" w14:textId="2EAFECAD" w:rsidR="007A205D" w:rsidRDefault="0E1FFB64" w:rsidP="0010157E">
      <w:pPr>
        <w:spacing w:before="240" w:after="240" w:line="360" w:lineRule="auto"/>
        <w:jc w:val="both"/>
        <w:rPr>
          <w:rFonts w:ascii="Arial" w:eastAsia="Arial" w:hAnsi="Arial" w:cs="Arial"/>
        </w:rPr>
      </w:pPr>
      <w:r w:rsidRPr="0E1FFB64">
        <w:rPr>
          <w:rFonts w:ascii="Arial" w:eastAsia="Arial" w:hAnsi="Arial" w:cs="Arial"/>
        </w:rPr>
        <w:t>As stated by the WHO (2019), several other nations have confirmed the eradication of measles, and every one of the six regions has set an objective to eradicate the disease. Considering this, more nations are beginning to adopt the public health measures employed to combat measles epidemics in situations where eradication is the goal. In contexts where the measles is being eliminated, the following tactics are highlighted in this review:</w:t>
      </w:r>
    </w:p>
    <w:p w14:paraId="1F9C1CDC" w14:textId="429ECC8D" w:rsidR="430649DF" w:rsidRDefault="0E1FFB64" w:rsidP="0010157E">
      <w:pPr>
        <w:spacing w:before="240" w:after="240" w:line="360" w:lineRule="auto"/>
        <w:jc w:val="both"/>
        <w:rPr>
          <w:rFonts w:ascii="Arial" w:eastAsia="Arial" w:hAnsi="Arial" w:cs="Arial"/>
        </w:rPr>
      </w:pPr>
      <w:r w:rsidRPr="0E1FFB64">
        <w:rPr>
          <w:rFonts w:ascii="Arial" w:eastAsia="Arial" w:hAnsi="Arial" w:cs="Arial"/>
        </w:rPr>
        <w:t>The Regional Verification Commission for Measles and Rubella Elimination (RVC) (2019) in the Eastern Mediterranean Region has declared that Bahrain and Oman, their respective countries, are free of measles and rubella. However, the rubella virus has already been eradicated from the Islamic Republic of Iran, and the measles virus will be eradicated from the country sooner rather than later. (Jordan, 2019). Certainly, raising awareness about measles exposure is crucial. Here are the key points regarding public communication in such scenarios:</w:t>
      </w:r>
    </w:p>
    <w:p w14:paraId="0AAE5074" w14:textId="7EA92F63" w:rsidR="430649DF" w:rsidRDefault="0E1FFB64" w:rsidP="0010157E">
      <w:pPr>
        <w:pStyle w:val="ListParagraph"/>
        <w:numPr>
          <w:ilvl w:val="0"/>
          <w:numId w:val="1"/>
        </w:numPr>
        <w:spacing w:after="0" w:line="360" w:lineRule="auto"/>
        <w:jc w:val="both"/>
        <w:rPr>
          <w:rFonts w:ascii="Arial" w:eastAsia="Arial" w:hAnsi="Arial" w:cs="Arial"/>
        </w:rPr>
      </w:pPr>
      <w:r w:rsidRPr="0E1FFB64">
        <w:rPr>
          <w:rFonts w:ascii="Arial" w:eastAsia="Arial" w:hAnsi="Arial" w:cs="Arial"/>
          <w:b/>
          <w:bCs/>
        </w:rPr>
        <w:lastRenderedPageBreak/>
        <w:t>Public Awareness</w:t>
      </w:r>
      <w:r w:rsidRPr="0E1FFB64">
        <w:rPr>
          <w:rFonts w:ascii="Arial" w:eastAsia="Arial" w:hAnsi="Arial" w:cs="Arial"/>
        </w:rPr>
        <w:t>: It’s vital to inform the public and health authorities about measles risks to prevent outbreaks.</w:t>
      </w:r>
    </w:p>
    <w:p w14:paraId="50C2CB6D" w14:textId="7AF26534" w:rsidR="430649DF" w:rsidRDefault="0E1FFB64" w:rsidP="0010157E">
      <w:pPr>
        <w:pStyle w:val="ListParagraph"/>
        <w:numPr>
          <w:ilvl w:val="0"/>
          <w:numId w:val="1"/>
        </w:numPr>
        <w:spacing w:after="0" w:line="360" w:lineRule="auto"/>
        <w:jc w:val="both"/>
        <w:rPr>
          <w:rFonts w:ascii="Arial" w:eastAsia="Arial" w:hAnsi="Arial" w:cs="Arial"/>
        </w:rPr>
      </w:pPr>
      <w:r w:rsidRPr="0E1FFB64">
        <w:rPr>
          <w:rFonts w:ascii="Arial" w:eastAsia="Arial" w:hAnsi="Arial" w:cs="Arial"/>
          <w:b/>
          <w:bCs/>
        </w:rPr>
        <w:t>Uncertain Exposure</w:t>
      </w:r>
      <w:r w:rsidRPr="0E1FFB64">
        <w:rPr>
          <w:rFonts w:ascii="Arial" w:eastAsia="Arial" w:hAnsi="Arial" w:cs="Arial"/>
        </w:rPr>
        <w:t>: Large venues and public transport can lead to uncertain levels of exposure.</w:t>
      </w:r>
    </w:p>
    <w:p w14:paraId="7684C4A0" w14:textId="1931C76F" w:rsidR="430649DF" w:rsidRDefault="0E1FFB64" w:rsidP="0010157E">
      <w:pPr>
        <w:pStyle w:val="ListParagraph"/>
        <w:numPr>
          <w:ilvl w:val="0"/>
          <w:numId w:val="1"/>
        </w:numPr>
        <w:spacing w:after="0" w:line="360" w:lineRule="auto"/>
        <w:jc w:val="both"/>
        <w:rPr>
          <w:rFonts w:ascii="Arial" w:eastAsia="Arial" w:hAnsi="Arial" w:cs="Arial"/>
        </w:rPr>
      </w:pPr>
      <w:r w:rsidRPr="0E1FFB64">
        <w:rPr>
          <w:rFonts w:ascii="Arial" w:eastAsia="Arial" w:hAnsi="Arial" w:cs="Arial"/>
          <w:b/>
          <w:bCs/>
        </w:rPr>
        <w:t>Risk Communication</w:t>
      </w:r>
      <w:r w:rsidRPr="0E1FFB64">
        <w:rPr>
          <w:rFonts w:ascii="Arial" w:eastAsia="Arial" w:hAnsi="Arial" w:cs="Arial"/>
        </w:rPr>
        <w:t>: Notifying the public about potential exposures can aid in identifying additional cases.</w:t>
      </w:r>
    </w:p>
    <w:p w14:paraId="6EBD8705" w14:textId="155CF614" w:rsidR="430649DF" w:rsidRDefault="0E1FFB64" w:rsidP="00C91E74">
      <w:pPr>
        <w:pStyle w:val="ListParagraph"/>
        <w:numPr>
          <w:ilvl w:val="0"/>
          <w:numId w:val="1"/>
        </w:numPr>
        <w:spacing w:after="0" w:line="360" w:lineRule="auto"/>
        <w:jc w:val="both"/>
        <w:rPr>
          <w:rFonts w:ascii="Arial" w:eastAsia="Arial" w:hAnsi="Arial" w:cs="Arial"/>
        </w:rPr>
      </w:pPr>
      <w:r w:rsidRPr="0E1FFB64">
        <w:rPr>
          <w:rFonts w:ascii="Arial" w:eastAsia="Arial" w:hAnsi="Arial" w:cs="Arial"/>
          <w:b/>
          <w:bCs/>
        </w:rPr>
        <w:t>Alternative to Tracing</w:t>
      </w:r>
      <w:r w:rsidRPr="0E1FFB64">
        <w:rPr>
          <w:rFonts w:ascii="Arial" w:eastAsia="Arial" w:hAnsi="Arial" w:cs="Arial"/>
        </w:rPr>
        <w:t>: Public notifications can be an effective alternative when individual contact tracing is not feasible.</w:t>
      </w:r>
    </w:p>
    <w:p w14:paraId="08D6AAAC" w14:textId="20B29828" w:rsidR="430649DF" w:rsidRDefault="0E1FFB64" w:rsidP="00C91E74">
      <w:pPr>
        <w:spacing w:before="240" w:after="240" w:line="360" w:lineRule="auto"/>
        <w:jc w:val="both"/>
        <w:rPr>
          <w:rFonts w:ascii="Arial" w:eastAsia="Arial" w:hAnsi="Arial" w:cs="Arial"/>
        </w:rPr>
      </w:pPr>
      <w:bookmarkStart w:id="0" w:name="_Int_1MB1Kq8w"/>
      <w:r w:rsidRPr="0E1FFB64">
        <w:rPr>
          <w:rFonts w:ascii="Arial" w:eastAsia="Arial" w:hAnsi="Arial" w:cs="Arial"/>
        </w:rPr>
        <w:t>Effective communication strategies can significantly enhance case-finding and containment efforts such as through the World Health Organisation's Global Measles and Rubella Laboratory Network, 193 (99%) of the 194 nations participating in measles surveillance in 2019 could obtain standardised, quality-controlled laboratory testing. The sensitivity indicator goal for rubella and measles per 100,000 people is 2.5%, and 51.8% of the 157 countries that reported rejected cases met this goal (Patel et al., 2020). Despite this, many countries still have surveillance systems that are not adequate and still have inadequate monitoring systems, so out of the 157 countries that reported discarded cases, only 81 (52 percent of the total) did, so current  data reveals that the number of discarded cases of rubella and measles has crossed the sensitivity indicator threshold of two or more cases per 100,000 total population (Roush, 2019).</w:t>
      </w:r>
      <w:bookmarkEnd w:id="0"/>
    </w:p>
    <w:p w14:paraId="1FEA1042" w14:textId="52C77435" w:rsidR="0E1FFB64" w:rsidRDefault="0E1FFB64" w:rsidP="00C91E74">
      <w:pPr>
        <w:spacing w:line="360" w:lineRule="auto"/>
        <w:jc w:val="both"/>
        <w:rPr>
          <w:rFonts w:ascii="Arial" w:eastAsia="Arial" w:hAnsi="Arial" w:cs="Arial"/>
          <w:b/>
          <w:bCs/>
        </w:rPr>
      </w:pPr>
    </w:p>
    <w:p w14:paraId="66BB07B9" w14:textId="593D1922" w:rsidR="0E1FFB64" w:rsidRDefault="0E1FFB64" w:rsidP="00C91E74">
      <w:pPr>
        <w:spacing w:line="360" w:lineRule="auto"/>
        <w:jc w:val="both"/>
        <w:rPr>
          <w:rFonts w:ascii="Arial" w:eastAsia="Arial" w:hAnsi="Arial" w:cs="Arial"/>
          <w:b/>
          <w:bCs/>
        </w:rPr>
      </w:pPr>
    </w:p>
    <w:p w14:paraId="19083949" w14:textId="063B0CFF" w:rsidR="0E1FFB64" w:rsidRDefault="0E1FFB64" w:rsidP="00C91E74">
      <w:pPr>
        <w:spacing w:line="360" w:lineRule="auto"/>
        <w:jc w:val="both"/>
        <w:rPr>
          <w:rFonts w:ascii="Arial" w:eastAsia="Arial" w:hAnsi="Arial" w:cs="Arial"/>
          <w:b/>
          <w:bCs/>
        </w:rPr>
      </w:pPr>
    </w:p>
    <w:p w14:paraId="71F389F0" w14:textId="6BCBFCAA" w:rsidR="0E1FFB64" w:rsidRDefault="0E1FFB64" w:rsidP="00C91E74">
      <w:pPr>
        <w:spacing w:line="360" w:lineRule="auto"/>
        <w:jc w:val="both"/>
        <w:rPr>
          <w:rFonts w:ascii="Arial" w:eastAsia="Arial" w:hAnsi="Arial" w:cs="Arial"/>
        </w:rPr>
      </w:pPr>
      <w:r w:rsidRPr="0E1FFB64">
        <w:rPr>
          <w:rFonts w:ascii="Arial" w:eastAsia="Arial" w:hAnsi="Arial" w:cs="Arial"/>
          <w:b/>
          <w:bCs/>
        </w:rPr>
        <w:t>Impacts on Society</w:t>
      </w:r>
      <w:r w:rsidRPr="0E1FFB64">
        <w:rPr>
          <w:rFonts w:ascii="Arial" w:eastAsia="Arial" w:hAnsi="Arial" w:cs="Arial"/>
        </w:rPr>
        <w:t xml:space="preserve"> </w:t>
      </w:r>
    </w:p>
    <w:p w14:paraId="446442F5" w14:textId="1F2701F3" w:rsidR="0E1FFB64" w:rsidRDefault="0E1FFB64" w:rsidP="00C91E74">
      <w:pPr>
        <w:spacing w:line="360" w:lineRule="auto"/>
        <w:jc w:val="both"/>
        <w:rPr>
          <w:rFonts w:ascii="Arial" w:eastAsia="Arial" w:hAnsi="Arial" w:cs="Arial"/>
          <w:color w:val="000000" w:themeColor="text1"/>
        </w:rPr>
      </w:pPr>
      <w:r w:rsidRPr="0E1FFB64">
        <w:rPr>
          <w:rFonts w:ascii="Arial" w:eastAsia="Arial" w:hAnsi="Arial" w:cs="Arial"/>
        </w:rPr>
        <w:t>According to research Funk and Tyson (2020), state t</w:t>
      </w:r>
      <w:r w:rsidRPr="0E1FFB64">
        <w:rPr>
          <w:rFonts w:ascii="Arial" w:eastAsia="Arial" w:hAnsi="Arial" w:cs="Arial"/>
          <w:color w:val="000000" w:themeColor="text1"/>
        </w:rPr>
        <w:t xml:space="preserve">he ongoing efforts to distribute the COVID-19 vaccine are commendable, but they are not enough to stop the pandemic, the bigger challenge at hand is convincing most of the </w:t>
      </w:r>
      <w:bookmarkStart w:id="1" w:name="_Int_RXi9KqPt"/>
      <w:r w:rsidRPr="0E1FFB64">
        <w:rPr>
          <w:rFonts w:ascii="Arial" w:eastAsia="Arial" w:hAnsi="Arial" w:cs="Arial"/>
          <w:color w:val="000000" w:themeColor="text1"/>
        </w:rPr>
        <w:t>US</w:t>
      </w:r>
      <w:bookmarkEnd w:id="1"/>
      <w:r w:rsidRPr="0E1FFB64">
        <w:rPr>
          <w:rFonts w:ascii="Arial" w:eastAsia="Arial" w:hAnsi="Arial" w:cs="Arial"/>
          <w:color w:val="000000" w:themeColor="text1"/>
        </w:rPr>
        <w:t xml:space="preserve"> population to receive the vaccine, nearly half of the people in the country are either uncertain or unwilling to receive the vaccine which is a concerning situation that requires immediate attention (Pew, 2020).</w:t>
      </w:r>
    </w:p>
    <w:p w14:paraId="00D8754B" w14:textId="11F5B6C1" w:rsidR="0E1FFB64" w:rsidRDefault="0E1FFB64" w:rsidP="00C91E74">
      <w:pPr>
        <w:spacing w:line="360" w:lineRule="auto"/>
        <w:jc w:val="both"/>
        <w:rPr>
          <w:rFonts w:ascii="Arial" w:eastAsia="Arial" w:hAnsi="Arial" w:cs="Arial"/>
          <w:color w:val="000000" w:themeColor="text1"/>
        </w:rPr>
      </w:pPr>
      <w:r w:rsidRPr="0E1FFB64">
        <w:rPr>
          <w:rFonts w:ascii="Arial" w:eastAsia="Arial" w:hAnsi="Arial" w:cs="Arial"/>
          <w:color w:val="000000" w:themeColor="text1"/>
        </w:rPr>
        <w:lastRenderedPageBreak/>
        <w:t xml:space="preserve">To overcome this challenge </w:t>
      </w:r>
      <w:proofErr w:type="spellStart"/>
      <w:r w:rsidRPr="0E1FFB64">
        <w:rPr>
          <w:rFonts w:ascii="Arial" w:eastAsia="Arial" w:hAnsi="Arial" w:cs="Arial"/>
          <w:color w:val="000000" w:themeColor="text1"/>
        </w:rPr>
        <w:t>Centers</w:t>
      </w:r>
      <w:proofErr w:type="spellEnd"/>
      <w:r w:rsidRPr="0E1FFB64">
        <w:rPr>
          <w:rFonts w:ascii="Arial" w:eastAsia="Arial" w:hAnsi="Arial" w:cs="Arial"/>
          <w:color w:val="000000" w:themeColor="text1"/>
        </w:rPr>
        <w:t xml:space="preserve"> for Disease Control and Prevention (CDC),  (2020), have stated the need for a comprehensive nationwide strategy that can promote vaccination on a large scale, it is essential to educate people about the benefits of vaccination and dispel any myths or misconceptions that may cause vaccine hesitancy, and the need to encourage people to trust the science behind the vaccine and show them that it is safe and effective. </w:t>
      </w:r>
    </w:p>
    <w:p w14:paraId="256C2FE0" w14:textId="7F084752" w:rsidR="0E1FFB64" w:rsidRDefault="0E1FFB64" w:rsidP="00C91E74">
      <w:pPr>
        <w:spacing w:line="360" w:lineRule="auto"/>
        <w:jc w:val="both"/>
        <w:rPr>
          <w:rFonts w:ascii="Arial" w:eastAsia="Arial" w:hAnsi="Arial" w:cs="Arial"/>
        </w:rPr>
      </w:pPr>
      <w:r w:rsidRPr="0E1FFB64">
        <w:rPr>
          <w:rFonts w:ascii="Arial" w:eastAsia="Arial" w:hAnsi="Arial" w:cs="Arial"/>
          <w:color w:val="000000" w:themeColor="text1"/>
        </w:rPr>
        <w:t xml:space="preserve">The UK Health Security Agency (2024) </w:t>
      </w:r>
      <w:r w:rsidRPr="0E1FFB64">
        <w:rPr>
          <w:rFonts w:ascii="Arial" w:eastAsia="Arial" w:hAnsi="Arial" w:cs="Arial"/>
        </w:rPr>
        <w:t xml:space="preserve">have shown that the primary reason behind the recent surge in measles cases is the reduction in vaccination rates, while the underdiagnosis and underreporting of cases might also play a role in the trend, the overwhelming evidence suggests that the decline in immunisation is the key factor driving this disturbing trend. </w:t>
      </w:r>
    </w:p>
    <w:p w14:paraId="415C7337" w14:textId="315FD530" w:rsidR="0E1FFB64" w:rsidRDefault="0E1FFB64" w:rsidP="00C91E74">
      <w:pPr>
        <w:spacing w:line="360" w:lineRule="auto"/>
        <w:jc w:val="both"/>
        <w:rPr>
          <w:rFonts w:ascii="Arial" w:eastAsia="Arial" w:hAnsi="Arial" w:cs="Arial"/>
        </w:rPr>
      </w:pPr>
      <w:r w:rsidRPr="0E1FFB64">
        <w:rPr>
          <w:rFonts w:ascii="Arial" w:eastAsia="Arial" w:hAnsi="Arial" w:cs="Arial"/>
        </w:rPr>
        <w:t>This indicates a concerning rise in the incidence of these diseases in the population (Patel et al, 2020) although there was a considerable decrease in global measles cases and deaths from 2000 to 2016, the comeback of measles that started in 2017-2018 continues in 2019. This setback represents a significant regression in the progress towards eliminating measles worldwide (</w:t>
      </w:r>
      <w:proofErr w:type="spellStart"/>
      <w:r w:rsidRPr="0E1FFB64">
        <w:rPr>
          <w:rFonts w:ascii="Arial" w:eastAsia="Arial" w:hAnsi="Arial" w:cs="Arial"/>
        </w:rPr>
        <w:t>Gastañaduy</w:t>
      </w:r>
      <w:proofErr w:type="spellEnd"/>
      <w:r w:rsidRPr="0E1FFB64">
        <w:rPr>
          <w:rFonts w:ascii="Arial" w:eastAsia="Arial" w:hAnsi="Arial" w:cs="Arial"/>
        </w:rPr>
        <w:t xml:space="preserve"> et al., 2018).</w:t>
      </w:r>
    </w:p>
    <w:p w14:paraId="0BE98AE0" w14:textId="5FABB8C4" w:rsidR="0E1FFB64" w:rsidRDefault="0E1FFB64" w:rsidP="00C91E74">
      <w:pPr>
        <w:spacing w:line="360" w:lineRule="auto"/>
        <w:jc w:val="both"/>
        <w:rPr>
          <w:rFonts w:ascii="Arial" w:eastAsia="Arial" w:hAnsi="Arial" w:cs="Arial"/>
        </w:rPr>
      </w:pPr>
    </w:p>
    <w:p w14:paraId="4448EFC8" w14:textId="12F32F52" w:rsidR="0E1FFB64" w:rsidRDefault="0E1FFB64" w:rsidP="00C91E74">
      <w:pPr>
        <w:spacing w:line="360" w:lineRule="auto"/>
        <w:jc w:val="both"/>
        <w:rPr>
          <w:rFonts w:ascii="Arial" w:eastAsia="Arial" w:hAnsi="Arial" w:cs="Arial"/>
          <w:b/>
          <w:bCs/>
        </w:rPr>
      </w:pPr>
      <w:r w:rsidRPr="0E1FFB64">
        <w:rPr>
          <w:rFonts w:ascii="Arial" w:eastAsia="Arial" w:hAnsi="Arial" w:cs="Arial"/>
          <w:b/>
          <w:bCs/>
        </w:rPr>
        <w:t xml:space="preserve">Recommendations </w:t>
      </w:r>
    </w:p>
    <w:p w14:paraId="667F43C3" w14:textId="671A72E1" w:rsidR="0E1FFB64" w:rsidRDefault="0E1FFB64" w:rsidP="00C91E74">
      <w:pPr>
        <w:spacing w:line="360" w:lineRule="auto"/>
        <w:jc w:val="both"/>
        <w:rPr>
          <w:rFonts w:ascii="Arial" w:eastAsia="Arial" w:hAnsi="Arial" w:cs="Arial"/>
        </w:rPr>
      </w:pPr>
      <w:r w:rsidRPr="0E1FFB64">
        <w:rPr>
          <w:rFonts w:ascii="Arial" w:eastAsia="Arial" w:hAnsi="Arial" w:cs="Arial"/>
          <w:color w:val="1C1C1C"/>
        </w:rPr>
        <w:t>Getting vaccinated against measles</w:t>
      </w:r>
      <w:r w:rsidRPr="0E1FFB64">
        <w:rPr>
          <w:rFonts w:ascii="Arial" w:eastAsia="Arial" w:hAnsi="Arial" w:cs="Arial"/>
        </w:rPr>
        <w:t xml:space="preserve"> is a </w:t>
      </w:r>
      <w:r w:rsidRPr="0E1FFB64">
        <w:rPr>
          <w:rFonts w:ascii="Arial" w:eastAsia="Arial" w:hAnsi="Arial" w:cs="Arial"/>
          <w:color w:val="1C1C1C"/>
        </w:rPr>
        <w:t xml:space="preserve">crucial step for both children and adults who are susceptible to the disease. The live attenuated measles vaccines available today are not only effective and safe, but also provide long-lasting protection </w:t>
      </w:r>
      <w:r w:rsidRPr="0E1FFB64">
        <w:rPr>
          <w:rFonts w:ascii="Times New Roman" w:eastAsia="Times New Roman" w:hAnsi="Times New Roman" w:cs="Times New Roman"/>
        </w:rPr>
        <w:t>(</w:t>
      </w:r>
      <w:r w:rsidRPr="0E1FFB64">
        <w:rPr>
          <w:rFonts w:ascii="Arial" w:eastAsia="Arial" w:hAnsi="Arial" w:cs="Arial"/>
        </w:rPr>
        <w:t xml:space="preserve">The Royal Society, 2020). </w:t>
      </w:r>
      <w:r w:rsidRPr="0E1FFB64">
        <w:rPr>
          <w:rFonts w:ascii="Arial" w:eastAsia="Arial" w:hAnsi="Arial" w:cs="Arial"/>
          <w:color w:val="1C1C1C"/>
        </w:rPr>
        <w:t xml:space="preserve">Additionally, they are affordable and can be used interchangeably within immunisation programmes, making them an ideal choice for anyone looking to safeguard themselves against measles </w:t>
      </w:r>
      <w:r w:rsidRPr="0E1FFB64">
        <w:rPr>
          <w:rFonts w:ascii="Arial" w:eastAsia="Arial" w:hAnsi="Arial" w:cs="Arial"/>
        </w:rPr>
        <w:t>(</w:t>
      </w:r>
      <w:proofErr w:type="spellStart"/>
      <w:r w:rsidRPr="0E1FFB64">
        <w:rPr>
          <w:rFonts w:ascii="Arial" w:eastAsia="Arial" w:hAnsi="Arial" w:cs="Arial"/>
        </w:rPr>
        <w:t>Haeryfar</w:t>
      </w:r>
      <w:proofErr w:type="spellEnd"/>
      <w:r w:rsidRPr="0E1FFB64">
        <w:rPr>
          <w:rFonts w:ascii="Arial" w:eastAsia="Arial" w:hAnsi="Arial" w:cs="Arial"/>
        </w:rPr>
        <w:t>, 2024).</w:t>
      </w:r>
    </w:p>
    <w:p w14:paraId="754E1B65" w14:textId="40116D7D" w:rsidR="0E1FFB64" w:rsidRDefault="0E1FFB64" w:rsidP="00C91E74">
      <w:pPr>
        <w:spacing w:after="0" w:line="360" w:lineRule="auto"/>
        <w:jc w:val="both"/>
        <w:rPr>
          <w:rFonts w:ascii="Arial" w:eastAsia="Arial" w:hAnsi="Arial" w:cs="Arial"/>
        </w:rPr>
      </w:pPr>
      <w:r w:rsidRPr="0E1FFB64">
        <w:rPr>
          <w:rFonts w:ascii="Arial" w:eastAsia="Arial" w:hAnsi="Arial" w:cs="Arial"/>
        </w:rPr>
        <w:t>Herd immunity refers to the condition in which a significant proportion of a population develops immunity to a particular disease because of either vaccination or previous infection. consequently, the likelihood of the disease spreading to others is greatly diminished (Columbia University, 2021).</w:t>
      </w:r>
      <w:r w:rsidRPr="0E1FFB64">
        <w:rPr>
          <w:rFonts w:ascii="Arial" w:eastAsia="Arial" w:hAnsi="Arial" w:cs="Arial"/>
          <w:color w:val="0E101A"/>
        </w:rPr>
        <w:t xml:space="preserve"> Herd immunity is attained when a significant proportion of individuals within a community acquire immunity to a contagious disease, thereby safeguarding the entire population. Nevertheless, depending on natural </w:t>
      </w:r>
      <w:r w:rsidRPr="0E1FFB64">
        <w:rPr>
          <w:rFonts w:ascii="Arial" w:eastAsia="Arial" w:hAnsi="Arial" w:cs="Arial"/>
          <w:color w:val="0E101A"/>
        </w:rPr>
        <w:lastRenderedPageBreak/>
        <w:t>infection to attain herd immunity presents various drawbacks in terms of managing the transmission of Covid-19</w:t>
      </w:r>
      <w:r w:rsidRPr="0E1FFB64">
        <w:rPr>
          <w:rFonts w:ascii="Arial" w:eastAsia="Arial" w:hAnsi="Arial" w:cs="Arial"/>
        </w:rPr>
        <w:t xml:space="preserve"> (Cutts et al., 2021).</w:t>
      </w:r>
    </w:p>
    <w:p w14:paraId="4FA309E8" w14:textId="0A94A3E1" w:rsidR="0E1FFB64" w:rsidRDefault="0E1FFB64" w:rsidP="00C91E74">
      <w:pPr>
        <w:spacing w:line="360" w:lineRule="auto"/>
        <w:rPr>
          <w:rFonts w:ascii="Arial" w:eastAsia="Arial" w:hAnsi="Arial" w:cs="Arial"/>
        </w:rPr>
      </w:pPr>
    </w:p>
    <w:p w14:paraId="45BB1BD4" w14:textId="2BDC94DB" w:rsidR="00BD114C" w:rsidRPr="00BD114C" w:rsidRDefault="00BD114C" w:rsidP="00BD114C">
      <w:pPr>
        <w:pStyle w:val="NormalWeb"/>
        <w:jc w:val="both"/>
        <w:rPr>
          <w:b/>
          <w:bCs/>
        </w:rPr>
      </w:pPr>
      <w:r w:rsidRPr="00BD114C">
        <w:rPr>
          <w:rFonts w:ascii="Arial" w:eastAsia="Arial" w:hAnsi="Arial" w:cs="Arial"/>
          <w:b/>
          <w:bCs/>
        </w:rPr>
        <w:t>Conclusion</w:t>
      </w:r>
    </w:p>
    <w:p w14:paraId="36276191" w14:textId="232B93D4" w:rsidR="00BD114C" w:rsidRPr="00BD114C" w:rsidRDefault="00BD114C" w:rsidP="00BD114C">
      <w:pPr>
        <w:pStyle w:val="NormalWeb"/>
        <w:spacing w:line="360" w:lineRule="auto"/>
        <w:jc w:val="both"/>
        <w:rPr>
          <w:rFonts w:ascii="Arial" w:hAnsi="Arial" w:cs="Arial"/>
        </w:rPr>
      </w:pPr>
      <w:r w:rsidRPr="00BD114C">
        <w:rPr>
          <w:rFonts w:ascii="Arial" w:hAnsi="Arial" w:cs="Arial"/>
        </w:rPr>
        <w:t xml:space="preserve">Measles </w:t>
      </w:r>
      <w:r w:rsidRPr="00BD114C">
        <w:rPr>
          <w:rFonts w:ascii="Arial" w:hAnsi="Arial" w:cs="Arial"/>
        </w:rPr>
        <w:t>is a communicable disease that poses a significant threat to public health. As defined by the World Health Organisation (WHO) and Public Health Network Cymru, communicable diseases can be transmitted from one individual to another, either directly or indirectly through contact with contaminated surfaces. Measles, being highly contagious, fits this definition. The potential for transmission and the associated health risks underline the importance of vaccination. Vaccination not only protects individuals but also reduces the overall prevalence of the disease in the community, thereby limiting its spread. Therefore, increasing the rate of measles vaccination among children is a critical step towards mitigating the public health risks posed by this disease. It is a collective responsibility that requires the concerted efforts of healthcare providers, parents, and policymakers. By working together, we can significantly reduce the incidence of measles and safeguard public health.</w:t>
      </w:r>
    </w:p>
    <w:p w14:paraId="243A43AF" w14:textId="1FD6D171" w:rsidR="008B4F93" w:rsidRDefault="008B4F93" w:rsidP="00BD114C">
      <w:pPr>
        <w:spacing w:before="200" w:after="0" w:line="360" w:lineRule="auto"/>
        <w:ind w:left="360" w:hanging="360"/>
        <w:jc w:val="both"/>
        <w:rPr>
          <w:rFonts w:ascii="Arial" w:eastAsia="Arial" w:hAnsi="Arial" w:cs="Arial"/>
        </w:rPr>
      </w:pPr>
      <w:r w:rsidRPr="0E1FFB64">
        <w:rPr>
          <w:rFonts w:ascii="Arial" w:eastAsia="Arial" w:hAnsi="Arial" w:cs="Arial"/>
        </w:rPr>
        <w:t xml:space="preserve">    </w:t>
      </w:r>
    </w:p>
    <w:p w14:paraId="36F19AB5" w14:textId="77777777" w:rsidR="008B4F93" w:rsidRDefault="008B4F93" w:rsidP="00C91E74">
      <w:pPr>
        <w:spacing w:line="360" w:lineRule="auto"/>
        <w:rPr>
          <w:rFonts w:ascii="Arial" w:eastAsia="Arial" w:hAnsi="Arial" w:cs="Arial"/>
        </w:rPr>
      </w:pPr>
    </w:p>
    <w:p w14:paraId="4DD2FE32" w14:textId="05B7E858" w:rsidR="0E1FFB64" w:rsidRDefault="0E1FFB64" w:rsidP="00C91E74">
      <w:pPr>
        <w:spacing w:before="240" w:after="240" w:line="360" w:lineRule="auto"/>
        <w:rPr>
          <w:rFonts w:ascii="Arial" w:eastAsia="Arial" w:hAnsi="Arial" w:cs="Arial"/>
        </w:rPr>
      </w:pPr>
    </w:p>
    <w:p w14:paraId="02D9E48C" w14:textId="77777777" w:rsidR="00BD114C" w:rsidRDefault="00BD114C" w:rsidP="0058309B">
      <w:pPr>
        <w:spacing w:after="240" w:line="360" w:lineRule="auto"/>
        <w:outlineLvl w:val="0"/>
        <w:rPr>
          <w:rFonts w:ascii="Arial" w:eastAsia="Times New Roman" w:hAnsi="Arial" w:cs="Arial"/>
          <w:b/>
          <w:bCs/>
          <w:kern w:val="36"/>
          <w:lang w:eastAsia="en-GB"/>
        </w:rPr>
      </w:pPr>
    </w:p>
    <w:p w14:paraId="2F12F214" w14:textId="77777777" w:rsidR="00BD114C" w:rsidRDefault="00BD114C" w:rsidP="0058309B">
      <w:pPr>
        <w:spacing w:after="240" w:line="360" w:lineRule="auto"/>
        <w:outlineLvl w:val="0"/>
        <w:rPr>
          <w:rFonts w:ascii="Arial" w:eastAsia="Times New Roman" w:hAnsi="Arial" w:cs="Arial"/>
          <w:b/>
          <w:bCs/>
          <w:kern w:val="36"/>
          <w:lang w:eastAsia="en-GB"/>
        </w:rPr>
      </w:pPr>
    </w:p>
    <w:p w14:paraId="48764CCB" w14:textId="77777777" w:rsidR="00BD114C" w:rsidRDefault="00BD114C" w:rsidP="0058309B">
      <w:pPr>
        <w:spacing w:after="240" w:line="360" w:lineRule="auto"/>
        <w:outlineLvl w:val="0"/>
        <w:rPr>
          <w:rFonts w:ascii="Arial" w:eastAsia="Times New Roman" w:hAnsi="Arial" w:cs="Arial"/>
          <w:b/>
          <w:bCs/>
          <w:kern w:val="36"/>
          <w:lang w:eastAsia="en-GB"/>
        </w:rPr>
      </w:pPr>
    </w:p>
    <w:p w14:paraId="56253D02" w14:textId="77777777" w:rsidR="00BD114C" w:rsidRDefault="00BD114C" w:rsidP="0058309B">
      <w:pPr>
        <w:spacing w:after="240" w:line="360" w:lineRule="auto"/>
        <w:outlineLvl w:val="0"/>
        <w:rPr>
          <w:rFonts w:ascii="Arial" w:eastAsia="Times New Roman" w:hAnsi="Arial" w:cs="Arial"/>
          <w:b/>
          <w:bCs/>
          <w:kern w:val="36"/>
          <w:lang w:eastAsia="en-GB"/>
        </w:rPr>
      </w:pPr>
    </w:p>
    <w:p w14:paraId="06324698" w14:textId="77777777" w:rsidR="00BD114C" w:rsidRDefault="00BD114C" w:rsidP="0058309B">
      <w:pPr>
        <w:spacing w:after="240" w:line="360" w:lineRule="auto"/>
        <w:outlineLvl w:val="0"/>
        <w:rPr>
          <w:rFonts w:ascii="Arial" w:eastAsia="Times New Roman" w:hAnsi="Arial" w:cs="Arial"/>
          <w:b/>
          <w:bCs/>
          <w:kern w:val="36"/>
          <w:lang w:eastAsia="en-GB"/>
        </w:rPr>
      </w:pPr>
    </w:p>
    <w:p w14:paraId="705945D1" w14:textId="77777777" w:rsidR="00BD114C" w:rsidRDefault="00BD114C" w:rsidP="0058309B">
      <w:pPr>
        <w:spacing w:after="240" w:line="360" w:lineRule="auto"/>
        <w:outlineLvl w:val="0"/>
        <w:rPr>
          <w:rFonts w:ascii="Arial" w:eastAsia="Times New Roman" w:hAnsi="Arial" w:cs="Arial"/>
          <w:b/>
          <w:bCs/>
          <w:kern w:val="36"/>
          <w:lang w:eastAsia="en-GB"/>
        </w:rPr>
      </w:pPr>
    </w:p>
    <w:p w14:paraId="24D617F7" w14:textId="77777777" w:rsidR="00BD114C" w:rsidRDefault="00BD114C" w:rsidP="0058309B">
      <w:pPr>
        <w:spacing w:after="240" w:line="360" w:lineRule="auto"/>
        <w:outlineLvl w:val="0"/>
        <w:rPr>
          <w:rFonts w:ascii="Arial" w:eastAsia="Times New Roman" w:hAnsi="Arial" w:cs="Arial"/>
          <w:b/>
          <w:bCs/>
          <w:kern w:val="36"/>
          <w:lang w:eastAsia="en-GB"/>
        </w:rPr>
      </w:pPr>
    </w:p>
    <w:p w14:paraId="03F38F50" w14:textId="77777777" w:rsidR="00BD114C" w:rsidRDefault="00BD114C" w:rsidP="0058309B">
      <w:pPr>
        <w:spacing w:after="240" w:line="360" w:lineRule="auto"/>
        <w:outlineLvl w:val="0"/>
        <w:rPr>
          <w:rFonts w:ascii="Arial" w:eastAsia="Times New Roman" w:hAnsi="Arial" w:cs="Arial"/>
          <w:b/>
          <w:bCs/>
          <w:kern w:val="36"/>
          <w:lang w:eastAsia="en-GB"/>
        </w:rPr>
      </w:pPr>
    </w:p>
    <w:p w14:paraId="50A079ED" w14:textId="4462235D" w:rsidR="0058309B" w:rsidRDefault="0058309B" w:rsidP="0058309B">
      <w:pPr>
        <w:spacing w:after="240" w:line="360" w:lineRule="auto"/>
        <w:outlineLvl w:val="0"/>
        <w:rPr>
          <w:rFonts w:ascii="Arial" w:eastAsia="Times New Roman" w:hAnsi="Arial" w:cs="Arial"/>
          <w:b/>
          <w:bCs/>
          <w:kern w:val="36"/>
          <w:lang w:eastAsia="en-GB"/>
        </w:rPr>
      </w:pPr>
      <w:r w:rsidRPr="0058309B">
        <w:rPr>
          <w:rFonts w:ascii="Arial" w:eastAsia="Times New Roman" w:hAnsi="Arial" w:cs="Arial"/>
          <w:b/>
          <w:bCs/>
          <w:kern w:val="36"/>
          <w:lang w:eastAsia="en-GB"/>
        </w:rPr>
        <w:lastRenderedPageBreak/>
        <w:t>Reference list</w:t>
      </w:r>
    </w:p>
    <w:p w14:paraId="47408ABD" w14:textId="77777777" w:rsidR="000B0D74" w:rsidRPr="0058309B" w:rsidRDefault="000B0D74" w:rsidP="0058309B">
      <w:pPr>
        <w:spacing w:after="240" w:line="360" w:lineRule="auto"/>
        <w:outlineLvl w:val="0"/>
        <w:rPr>
          <w:rFonts w:ascii="Arial" w:eastAsia="Times New Roman" w:hAnsi="Arial" w:cs="Arial"/>
          <w:b/>
          <w:bCs/>
          <w:kern w:val="36"/>
          <w:lang w:eastAsia="en-GB"/>
        </w:rPr>
      </w:pPr>
    </w:p>
    <w:p w14:paraId="2651AB0B" w14:textId="534AC2CB" w:rsidR="00BD114C"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A, K., Ravin, M. and </w:t>
      </w:r>
      <w:proofErr w:type="spellStart"/>
      <w:r w:rsidRPr="0058309B">
        <w:rPr>
          <w:rFonts w:ascii="Arial" w:eastAsia="Times New Roman" w:hAnsi="Arial" w:cs="Arial"/>
          <w:lang w:eastAsia="en-GB"/>
        </w:rPr>
        <w:t>Vozdak</w:t>
      </w:r>
      <w:proofErr w:type="spellEnd"/>
      <w:r w:rsidRPr="0058309B">
        <w:rPr>
          <w:rFonts w:ascii="Arial" w:eastAsia="Times New Roman" w:hAnsi="Arial" w:cs="Arial"/>
          <w:lang w:eastAsia="en-GB"/>
        </w:rPr>
        <w:t xml:space="preserve">, M.J. (2024). </w:t>
      </w:r>
      <w:r w:rsidRPr="0058309B">
        <w:rPr>
          <w:rFonts w:ascii="Arial" w:eastAsia="Times New Roman" w:hAnsi="Arial" w:cs="Arial"/>
          <w:i/>
          <w:iCs/>
          <w:lang w:eastAsia="en-GB"/>
        </w:rPr>
        <w:t>Measles (for Parents)</w:t>
      </w:r>
      <w:r w:rsidRPr="0058309B">
        <w:rPr>
          <w:rFonts w:ascii="Arial" w:eastAsia="Times New Roman" w:hAnsi="Arial" w:cs="Arial"/>
          <w:lang w:eastAsia="en-GB"/>
        </w:rPr>
        <w:t xml:space="preserve">. [online] kidshealth.org. Available at: </w:t>
      </w:r>
      <w:r w:rsidR="00A80BF4" w:rsidRPr="0058309B">
        <w:rPr>
          <w:rFonts w:ascii="Arial" w:eastAsia="Times New Roman" w:hAnsi="Arial" w:cs="Arial"/>
          <w:lang w:eastAsia="en-GB"/>
        </w:rPr>
        <w:t>https://kidshealth.org/en/parents/measles.html</w:t>
      </w:r>
      <w:r w:rsidR="00A80BF4">
        <w:rPr>
          <w:rFonts w:ascii="Arial" w:eastAsia="Times New Roman" w:hAnsi="Arial" w:cs="Arial"/>
          <w:lang w:eastAsia="en-GB"/>
        </w:rPr>
        <w:t xml:space="preserve"> </w:t>
      </w:r>
      <w:r w:rsidRPr="0058309B">
        <w:rPr>
          <w:rFonts w:ascii="Arial" w:eastAsia="Times New Roman" w:hAnsi="Arial" w:cs="Arial"/>
          <w:lang w:eastAsia="en-GB"/>
        </w:rPr>
        <w:t>Medically [Accessed 14 Apr. 2024].</w:t>
      </w:r>
    </w:p>
    <w:p w14:paraId="0BB4F469" w14:textId="77777777" w:rsidR="00BD114C" w:rsidRPr="0058309B" w:rsidRDefault="00BD114C" w:rsidP="0058309B">
      <w:pPr>
        <w:spacing w:after="240" w:line="360" w:lineRule="auto"/>
        <w:rPr>
          <w:rFonts w:ascii="Arial" w:eastAsia="Times New Roman" w:hAnsi="Arial" w:cs="Arial"/>
          <w:lang w:eastAsia="en-GB"/>
        </w:rPr>
      </w:pPr>
    </w:p>
    <w:p w14:paraId="3369F4DA" w14:textId="5200BEFA" w:rsidR="00A80BF4"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Bell, S., Saliba, V., Ramsay, M. and Mounier-Jack, S. (2020). What have we learnt from measles outbreaks in 3 English cities? A qualitative exploration of factors influencing vaccination uptake in Romanian and Roma Romanian communities. </w:t>
      </w:r>
      <w:r w:rsidRPr="0058309B">
        <w:rPr>
          <w:rFonts w:ascii="Arial" w:eastAsia="Times New Roman" w:hAnsi="Arial" w:cs="Arial"/>
          <w:i/>
          <w:iCs/>
          <w:lang w:eastAsia="en-GB"/>
        </w:rPr>
        <w:t>BMC Public Health</w:t>
      </w:r>
      <w:r w:rsidRPr="0058309B">
        <w:rPr>
          <w:rFonts w:ascii="Arial" w:eastAsia="Times New Roman" w:hAnsi="Arial" w:cs="Arial"/>
          <w:lang w:eastAsia="en-GB"/>
        </w:rPr>
        <w:t xml:space="preserve">, 20(1). </w:t>
      </w:r>
      <w:proofErr w:type="spellStart"/>
      <w:r w:rsidRPr="0058309B">
        <w:rPr>
          <w:rFonts w:ascii="Arial" w:eastAsia="Times New Roman" w:hAnsi="Arial" w:cs="Arial"/>
          <w:lang w:eastAsia="en-GB"/>
        </w:rPr>
        <w:t>doi:https</w:t>
      </w:r>
      <w:proofErr w:type="spellEnd"/>
      <w:r w:rsidR="00A80BF4">
        <w:rPr>
          <w:rFonts w:ascii="Arial" w:eastAsia="Times New Roman" w:hAnsi="Arial" w:cs="Arial"/>
          <w:lang w:eastAsia="en-GB"/>
        </w:rPr>
        <w:t xml:space="preserve"> </w:t>
      </w:r>
      <w:r w:rsidRPr="0058309B">
        <w:rPr>
          <w:rFonts w:ascii="Arial" w:eastAsia="Times New Roman" w:hAnsi="Arial" w:cs="Arial"/>
          <w:lang w:eastAsia="en-GB"/>
        </w:rPr>
        <w:t>://doi.org/10.1186/s12889-020-8454-x.</w:t>
      </w:r>
    </w:p>
    <w:p w14:paraId="761E1553" w14:textId="77777777" w:rsidR="00A80BF4" w:rsidRPr="0058309B" w:rsidRDefault="00A80BF4" w:rsidP="0058309B">
      <w:pPr>
        <w:spacing w:after="240" w:line="360" w:lineRule="auto"/>
        <w:rPr>
          <w:rFonts w:ascii="Arial" w:eastAsia="Times New Roman" w:hAnsi="Arial" w:cs="Arial"/>
          <w:lang w:eastAsia="en-GB"/>
        </w:rPr>
      </w:pPr>
    </w:p>
    <w:p w14:paraId="6A4722C2"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CDC (2020). </w:t>
      </w:r>
      <w:r w:rsidRPr="0058309B">
        <w:rPr>
          <w:rFonts w:ascii="Arial" w:eastAsia="Times New Roman" w:hAnsi="Arial" w:cs="Arial"/>
          <w:i/>
          <w:iCs/>
          <w:lang w:eastAsia="en-GB"/>
        </w:rPr>
        <w:t>Coronavirus Disease 2019 (COVID-19)</w:t>
      </w:r>
      <w:r w:rsidRPr="0058309B">
        <w:rPr>
          <w:rFonts w:ascii="Arial" w:eastAsia="Times New Roman" w:hAnsi="Arial" w:cs="Arial"/>
          <w:lang w:eastAsia="en-GB"/>
        </w:rPr>
        <w:t xml:space="preserve">. [online] </w:t>
      </w:r>
      <w:proofErr w:type="spellStart"/>
      <w:r w:rsidRPr="0058309B">
        <w:rPr>
          <w:rFonts w:ascii="Arial" w:eastAsia="Times New Roman" w:hAnsi="Arial" w:cs="Arial"/>
          <w:lang w:eastAsia="en-GB"/>
        </w:rPr>
        <w:t>Centers</w:t>
      </w:r>
      <w:proofErr w:type="spellEnd"/>
      <w:r w:rsidRPr="0058309B">
        <w:rPr>
          <w:rFonts w:ascii="Arial" w:eastAsia="Times New Roman" w:hAnsi="Arial" w:cs="Arial"/>
          <w:lang w:eastAsia="en-GB"/>
        </w:rPr>
        <w:t xml:space="preserve"> for Disease Control and Prevention. Available at: https://www.cdc.gov/coronavirus/2019-ncov/vaccines/index.html [Accessed 24 Apr. 2024].</w:t>
      </w:r>
    </w:p>
    <w:p w14:paraId="24118F9D" w14:textId="77777777" w:rsidR="00A80BF4" w:rsidRPr="0058309B" w:rsidRDefault="00A80BF4" w:rsidP="0058309B">
      <w:pPr>
        <w:spacing w:after="240" w:line="360" w:lineRule="auto"/>
        <w:rPr>
          <w:rFonts w:ascii="Arial" w:eastAsia="Times New Roman" w:hAnsi="Arial" w:cs="Arial"/>
          <w:lang w:eastAsia="en-GB"/>
        </w:rPr>
      </w:pPr>
    </w:p>
    <w:p w14:paraId="0843F2BE" w14:textId="3B844E85" w:rsidR="00A60479" w:rsidRPr="00A60479" w:rsidRDefault="0058309B" w:rsidP="00A60479">
      <w:pPr>
        <w:spacing w:after="240" w:line="360" w:lineRule="auto"/>
        <w:rPr>
          <w:rFonts w:ascii="Arial" w:eastAsia="Times New Roman" w:hAnsi="Arial" w:cs="Arial"/>
          <w:lang w:eastAsia="en-GB"/>
        </w:rPr>
      </w:pPr>
      <w:proofErr w:type="spellStart"/>
      <w:r w:rsidRPr="0058309B">
        <w:rPr>
          <w:rFonts w:ascii="Arial" w:eastAsia="Times New Roman" w:hAnsi="Arial" w:cs="Arial"/>
          <w:lang w:eastAsia="en-GB"/>
        </w:rPr>
        <w:t>Centers</w:t>
      </w:r>
      <w:proofErr w:type="spellEnd"/>
      <w:r w:rsidRPr="0058309B">
        <w:rPr>
          <w:rFonts w:ascii="Arial" w:eastAsia="Times New Roman" w:hAnsi="Arial" w:cs="Arial"/>
          <w:lang w:eastAsia="en-GB"/>
        </w:rPr>
        <w:t xml:space="preserve"> for Disease Control and Prevention (2019). </w:t>
      </w:r>
      <w:r w:rsidRPr="0058309B">
        <w:rPr>
          <w:rFonts w:ascii="Arial" w:eastAsia="Times New Roman" w:hAnsi="Arial" w:cs="Arial"/>
          <w:i/>
          <w:iCs/>
          <w:lang w:eastAsia="en-GB"/>
        </w:rPr>
        <w:t>Measles Cases and Outbreaks</w:t>
      </w:r>
      <w:r w:rsidRPr="0058309B">
        <w:rPr>
          <w:rFonts w:ascii="Arial" w:eastAsia="Times New Roman" w:hAnsi="Arial" w:cs="Arial"/>
          <w:lang w:eastAsia="en-GB"/>
        </w:rPr>
        <w:t xml:space="preserve">. [online] Available at: </w:t>
      </w:r>
      <w:r w:rsidR="00A80BF4" w:rsidRPr="00A80BF4">
        <w:rPr>
          <w:rFonts w:ascii="Arial" w:eastAsia="Times New Roman" w:hAnsi="Arial" w:cs="Arial"/>
          <w:lang w:eastAsia="en-GB"/>
        </w:rPr>
        <w:t>https://www.cdc.gov/measles/cases-outbreaks.html</w:t>
      </w:r>
      <w:r w:rsidR="00A80BF4" w:rsidRPr="0058309B">
        <w:rPr>
          <w:rFonts w:ascii="Arial" w:eastAsia="Times New Roman" w:hAnsi="Arial" w:cs="Arial"/>
          <w:lang w:eastAsia="en-GB"/>
        </w:rPr>
        <w:t>.</w:t>
      </w:r>
    </w:p>
    <w:p w14:paraId="5C2EEDF8" w14:textId="77777777" w:rsidR="00A80BF4" w:rsidRPr="0058309B" w:rsidRDefault="00A80BF4" w:rsidP="0058309B">
      <w:pPr>
        <w:spacing w:after="240" w:line="360" w:lineRule="auto"/>
        <w:rPr>
          <w:rFonts w:ascii="Arial" w:eastAsia="Times New Roman" w:hAnsi="Arial" w:cs="Arial"/>
          <w:lang w:eastAsia="en-GB"/>
        </w:rPr>
      </w:pPr>
    </w:p>
    <w:p w14:paraId="0A76F340"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Cleveland Clinic (2021). </w:t>
      </w:r>
      <w:r w:rsidRPr="0058309B">
        <w:rPr>
          <w:rFonts w:ascii="Arial" w:eastAsia="Times New Roman" w:hAnsi="Arial" w:cs="Arial"/>
          <w:i/>
          <w:iCs/>
          <w:lang w:eastAsia="en-GB"/>
        </w:rPr>
        <w:t>Measles: What Is It, Symptoms, Treatment &amp; Prevention</w:t>
      </w:r>
      <w:r w:rsidRPr="0058309B">
        <w:rPr>
          <w:rFonts w:ascii="Arial" w:eastAsia="Times New Roman" w:hAnsi="Arial" w:cs="Arial"/>
          <w:lang w:eastAsia="en-GB"/>
        </w:rPr>
        <w:t>. [online] Cleveland Clinic. Available at: https://my.clevelandclinic.org/health/diseases/8584-measles [Accessed 24 Apr. 14AD].</w:t>
      </w:r>
    </w:p>
    <w:p w14:paraId="07940F26" w14:textId="77777777" w:rsidR="00A80BF4" w:rsidRPr="0058309B" w:rsidRDefault="00A80BF4" w:rsidP="0058309B">
      <w:pPr>
        <w:spacing w:after="240" w:line="360" w:lineRule="auto"/>
        <w:rPr>
          <w:rFonts w:ascii="Arial" w:eastAsia="Times New Roman" w:hAnsi="Arial" w:cs="Arial"/>
          <w:lang w:eastAsia="en-GB"/>
        </w:rPr>
      </w:pPr>
    </w:p>
    <w:p w14:paraId="2E885808" w14:textId="0E9F170C" w:rsidR="00A60479" w:rsidRPr="00A60479" w:rsidRDefault="0058309B" w:rsidP="00A60479">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Columbia University (2021). </w:t>
      </w:r>
      <w:r w:rsidRPr="0058309B">
        <w:rPr>
          <w:rFonts w:ascii="Arial" w:eastAsia="Times New Roman" w:hAnsi="Arial" w:cs="Arial"/>
          <w:i/>
          <w:iCs/>
          <w:lang w:eastAsia="en-GB"/>
        </w:rPr>
        <w:t>The Relationship Between Vaccines and Herd Immunity</w:t>
      </w:r>
      <w:r w:rsidRPr="0058309B">
        <w:rPr>
          <w:rFonts w:ascii="Arial" w:eastAsia="Times New Roman" w:hAnsi="Arial" w:cs="Arial"/>
          <w:lang w:eastAsia="en-GB"/>
        </w:rPr>
        <w:t>. [online] Columbia University’s Mailman School of Public Health. Available at: https://www.publichealth.columbia.edu/news/relationship-between-vaccines-herd-immunity [Accessed 1 May 2024]</w:t>
      </w:r>
    </w:p>
    <w:p w14:paraId="66A31ACF" w14:textId="77777777" w:rsidR="00A60479" w:rsidRDefault="00A60479" w:rsidP="0058309B">
      <w:pPr>
        <w:spacing w:after="240" w:line="360" w:lineRule="auto"/>
        <w:rPr>
          <w:rFonts w:ascii="Arial" w:eastAsia="Times New Roman" w:hAnsi="Arial" w:cs="Arial"/>
          <w:lang w:eastAsia="en-GB"/>
        </w:rPr>
      </w:pPr>
    </w:p>
    <w:p w14:paraId="66B537A2" w14:textId="77777777" w:rsidR="00A60479" w:rsidRDefault="00A60479" w:rsidP="0058309B">
      <w:pPr>
        <w:spacing w:after="240" w:line="360" w:lineRule="auto"/>
        <w:rPr>
          <w:rFonts w:ascii="Arial" w:eastAsia="Times New Roman" w:hAnsi="Arial" w:cs="Arial"/>
          <w:lang w:eastAsia="en-GB"/>
        </w:rPr>
      </w:pPr>
    </w:p>
    <w:p w14:paraId="186DCE35" w14:textId="1A486772"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Cordery, R. and Brown, K. (2023). </w:t>
      </w:r>
      <w:r w:rsidRPr="0058309B">
        <w:rPr>
          <w:rFonts w:ascii="Arial" w:eastAsia="Times New Roman" w:hAnsi="Arial" w:cs="Arial"/>
          <w:i/>
          <w:iCs/>
          <w:lang w:eastAsia="en-GB"/>
        </w:rPr>
        <w:t>Risk assessment for measles resurgence in the UK</w:t>
      </w:r>
      <w:r w:rsidRPr="0058309B">
        <w:rPr>
          <w:rFonts w:ascii="Arial" w:eastAsia="Times New Roman" w:hAnsi="Arial" w:cs="Arial"/>
          <w:lang w:eastAsia="en-GB"/>
        </w:rPr>
        <w:t xml:space="preserve">. [online] Available at: </w:t>
      </w:r>
      <w:r w:rsidR="00A80BF4" w:rsidRPr="0058309B">
        <w:rPr>
          <w:rFonts w:ascii="Arial" w:eastAsia="Times New Roman" w:hAnsi="Arial" w:cs="Arial"/>
          <w:lang w:eastAsia="en-GB"/>
        </w:rPr>
        <w:t>https://assets.publishing.service.gov.uk/government/uploads/system/uploads/attachment_data/file/1170146/risk-assessment-for-measles-resurgence-in-the-UK-2023.pdf</w:t>
      </w:r>
      <w:r w:rsidRPr="0058309B">
        <w:rPr>
          <w:rFonts w:ascii="Arial" w:eastAsia="Times New Roman" w:hAnsi="Arial" w:cs="Arial"/>
          <w:lang w:eastAsia="en-GB"/>
        </w:rPr>
        <w:t>.</w:t>
      </w:r>
    </w:p>
    <w:p w14:paraId="1D0BEB5E" w14:textId="77777777" w:rsidR="00A80BF4" w:rsidRPr="0058309B" w:rsidRDefault="00A80BF4" w:rsidP="0058309B">
      <w:pPr>
        <w:spacing w:after="240" w:line="360" w:lineRule="auto"/>
        <w:rPr>
          <w:rFonts w:ascii="Arial" w:eastAsia="Times New Roman" w:hAnsi="Arial" w:cs="Arial"/>
          <w:lang w:eastAsia="en-GB"/>
        </w:rPr>
      </w:pPr>
    </w:p>
    <w:p w14:paraId="478C945B" w14:textId="3805913C"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Cutts, F.T., Ferrari, M.J., Krause, L.K., Tatem, A.J. and Mosser, J.F. (2021). Vaccination strategies for measles control and elimination: time to strengthen local initiatives. </w:t>
      </w:r>
      <w:r w:rsidRPr="0058309B">
        <w:rPr>
          <w:rFonts w:ascii="Arial" w:eastAsia="Times New Roman" w:hAnsi="Arial" w:cs="Arial"/>
          <w:i/>
          <w:iCs/>
          <w:lang w:eastAsia="en-GB"/>
        </w:rPr>
        <w:t>BMC Medicine</w:t>
      </w:r>
      <w:r w:rsidRPr="0058309B">
        <w:rPr>
          <w:rFonts w:ascii="Arial" w:eastAsia="Times New Roman" w:hAnsi="Arial" w:cs="Arial"/>
          <w:lang w:eastAsia="en-GB"/>
        </w:rPr>
        <w:t xml:space="preserve">, [online] 19(2). </w:t>
      </w:r>
      <w:proofErr w:type="spellStart"/>
      <w:r w:rsidR="00A80BF4" w:rsidRPr="0058309B">
        <w:rPr>
          <w:rFonts w:ascii="Arial" w:eastAsia="Times New Roman" w:hAnsi="Arial" w:cs="Arial"/>
          <w:lang w:eastAsia="en-GB"/>
        </w:rPr>
        <w:t>doi</w:t>
      </w:r>
      <w:proofErr w:type="spellEnd"/>
      <w:r w:rsidR="00A80BF4" w:rsidRPr="0058309B">
        <w:rPr>
          <w:rFonts w:ascii="Arial" w:eastAsia="Times New Roman" w:hAnsi="Arial" w:cs="Arial"/>
          <w:lang w:eastAsia="en-GB"/>
        </w:rPr>
        <w:t>: https://doi.org/10.1186/s12916-020-01843-z</w:t>
      </w:r>
      <w:r w:rsidRPr="0058309B">
        <w:rPr>
          <w:rFonts w:ascii="Arial" w:eastAsia="Times New Roman" w:hAnsi="Arial" w:cs="Arial"/>
          <w:lang w:eastAsia="en-GB"/>
        </w:rPr>
        <w:t>.</w:t>
      </w:r>
    </w:p>
    <w:p w14:paraId="2F0AA4B1" w14:textId="77777777" w:rsidR="00A80BF4" w:rsidRPr="0058309B" w:rsidRDefault="00A80BF4" w:rsidP="0058309B">
      <w:pPr>
        <w:spacing w:after="240" w:line="360" w:lineRule="auto"/>
        <w:rPr>
          <w:rFonts w:ascii="Arial" w:eastAsia="Times New Roman" w:hAnsi="Arial" w:cs="Arial"/>
          <w:lang w:eastAsia="en-GB"/>
        </w:rPr>
      </w:pPr>
    </w:p>
    <w:p w14:paraId="77243D5F" w14:textId="19E7E992"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de Swart, R.L. (2008). The Pathogenesis of Measles Revisited. </w:t>
      </w:r>
      <w:r w:rsidRPr="0058309B">
        <w:rPr>
          <w:rFonts w:ascii="Arial" w:eastAsia="Times New Roman" w:hAnsi="Arial" w:cs="Arial"/>
          <w:i/>
          <w:iCs/>
          <w:lang w:eastAsia="en-GB"/>
        </w:rPr>
        <w:t xml:space="preserve">The </w:t>
      </w:r>
      <w:proofErr w:type="spellStart"/>
      <w:r w:rsidRPr="0058309B">
        <w:rPr>
          <w:rFonts w:ascii="Arial" w:eastAsia="Times New Roman" w:hAnsi="Arial" w:cs="Arial"/>
          <w:i/>
          <w:iCs/>
          <w:lang w:eastAsia="en-GB"/>
        </w:rPr>
        <w:t>Pediatric</w:t>
      </w:r>
      <w:proofErr w:type="spellEnd"/>
      <w:r w:rsidRPr="0058309B">
        <w:rPr>
          <w:rFonts w:ascii="Arial" w:eastAsia="Times New Roman" w:hAnsi="Arial" w:cs="Arial"/>
          <w:i/>
          <w:iCs/>
          <w:lang w:eastAsia="en-GB"/>
        </w:rPr>
        <w:t xml:space="preserve"> Infectious Disease Journal</w:t>
      </w:r>
      <w:r w:rsidRPr="0058309B">
        <w:rPr>
          <w:rFonts w:ascii="Arial" w:eastAsia="Times New Roman" w:hAnsi="Arial" w:cs="Arial"/>
          <w:lang w:eastAsia="en-GB"/>
        </w:rPr>
        <w:t xml:space="preserve">, 27(Supplement), pp.S84–S88. </w:t>
      </w:r>
      <w:proofErr w:type="spellStart"/>
      <w:r w:rsidR="00A80BF4" w:rsidRPr="0058309B">
        <w:rPr>
          <w:rFonts w:ascii="Arial" w:eastAsia="Times New Roman" w:hAnsi="Arial" w:cs="Arial"/>
          <w:lang w:eastAsia="en-GB"/>
        </w:rPr>
        <w:t>doi</w:t>
      </w:r>
      <w:proofErr w:type="spellEnd"/>
      <w:r w:rsidR="00A80BF4" w:rsidRPr="0058309B">
        <w:rPr>
          <w:rFonts w:ascii="Arial" w:eastAsia="Times New Roman" w:hAnsi="Arial" w:cs="Arial"/>
          <w:lang w:eastAsia="en-GB"/>
        </w:rPr>
        <w:t xml:space="preserve">: </w:t>
      </w:r>
      <w:r w:rsidR="00A80BF4" w:rsidRPr="00A80BF4">
        <w:rPr>
          <w:rFonts w:ascii="Arial" w:eastAsia="Times New Roman" w:hAnsi="Arial" w:cs="Arial"/>
          <w:lang w:eastAsia="en-GB"/>
        </w:rPr>
        <w:t>https://doi.org/10.1097/inf.0b013e31816857fe</w:t>
      </w:r>
      <w:r w:rsidRPr="0058309B">
        <w:rPr>
          <w:rFonts w:ascii="Arial" w:eastAsia="Times New Roman" w:hAnsi="Arial" w:cs="Arial"/>
          <w:lang w:eastAsia="en-GB"/>
        </w:rPr>
        <w:t>.</w:t>
      </w:r>
    </w:p>
    <w:p w14:paraId="68026F9C" w14:textId="77777777" w:rsidR="00A80BF4" w:rsidRPr="0058309B" w:rsidRDefault="00A80BF4" w:rsidP="0058309B">
      <w:pPr>
        <w:spacing w:after="240" w:line="360" w:lineRule="auto"/>
        <w:rPr>
          <w:rFonts w:ascii="Arial" w:eastAsia="Times New Roman" w:hAnsi="Arial" w:cs="Arial"/>
          <w:lang w:eastAsia="en-GB"/>
        </w:rPr>
      </w:pPr>
    </w:p>
    <w:p w14:paraId="44536F4E" w14:textId="3C85997B"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Funk, C. and Tyson, A. (2020). Intent to Get a COVID-19 Vaccine Rises to 60% as Confidence in Research and Development Process Increases. </w:t>
      </w:r>
      <w:r w:rsidRPr="0058309B">
        <w:rPr>
          <w:rFonts w:ascii="Arial" w:eastAsia="Times New Roman" w:hAnsi="Arial" w:cs="Arial"/>
          <w:i/>
          <w:iCs/>
          <w:lang w:eastAsia="en-GB"/>
        </w:rPr>
        <w:t xml:space="preserve">Pew Research </w:t>
      </w:r>
      <w:proofErr w:type="spellStart"/>
      <w:r w:rsidRPr="0058309B">
        <w:rPr>
          <w:rFonts w:ascii="Arial" w:eastAsia="Times New Roman" w:hAnsi="Arial" w:cs="Arial"/>
          <w:i/>
          <w:iCs/>
          <w:lang w:eastAsia="en-GB"/>
        </w:rPr>
        <w:t>Center</w:t>
      </w:r>
      <w:proofErr w:type="spellEnd"/>
      <w:r w:rsidRPr="0058309B">
        <w:rPr>
          <w:rFonts w:ascii="Arial" w:eastAsia="Times New Roman" w:hAnsi="Arial" w:cs="Arial"/>
          <w:lang w:eastAsia="en-GB"/>
        </w:rPr>
        <w:t xml:space="preserve">. [online] 3 Dec. Available at: </w:t>
      </w:r>
      <w:r w:rsidR="00A80BF4" w:rsidRPr="0058309B">
        <w:rPr>
          <w:rFonts w:ascii="Arial" w:eastAsia="Times New Roman" w:hAnsi="Arial" w:cs="Arial"/>
          <w:lang w:eastAsia="en-GB"/>
        </w:rPr>
        <w:t>https://www.pewresearch.org/science/2020/12/03/intent-to-get-a-covid-19-vaccine-rises-to-60-as-confidence-in-research-and-development-process-increases/</w:t>
      </w:r>
      <w:r w:rsidRPr="0058309B">
        <w:rPr>
          <w:rFonts w:ascii="Arial" w:eastAsia="Times New Roman" w:hAnsi="Arial" w:cs="Arial"/>
          <w:lang w:eastAsia="en-GB"/>
        </w:rPr>
        <w:t>.</w:t>
      </w:r>
    </w:p>
    <w:p w14:paraId="4FE1DEAC" w14:textId="77777777" w:rsidR="0058309B" w:rsidRDefault="0058309B" w:rsidP="0058309B">
      <w:pPr>
        <w:spacing w:after="240" w:line="360" w:lineRule="auto"/>
        <w:rPr>
          <w:rFonts w:ascii="Arial" w:eastAsia="Times New Roman" w:hAnsi="Arial" w:cs="Arial"/>
          <w:lang w:eastAsia="en-GB"/>
        </w:rPr>
      </w:pPr>
      <w:proofErr w:type="spellStart"/>
      <w:r w:rsidRPr="0058309B">
        <w:rPr>
          <w:rFonts w:ascii="Arial" w:eastAsia="Times New Roman" w:hAnsi="Arial" w:cs="Arial"/>
          <w:lang w:eastAsia="en-GB"/>
        </w:rPr>
        <w:t>Gastañaduy</w:t>
      </w:r>
      <w:proofErr w:type="spellEnd"/>
      <w:r w:rsidRPr="0058309B">
        <w:rPr>
          <w:rFonts w:ascii="Arial" w:eastAsia="Times New Roman" w:hAnsi="Arial" w:cs="Arial"/>
          <w:lang w:eastAsia="en-GB"/>
        </w:rPr>
        <w:t xml:space="preserve">, P.A., Banerjee, E., DeBolt, C., Bravo-Alcántara, P., Samad, S.A., Pastor, D., Rota, P.A., Patel, M., Crowcroft, N.S. and </w:t>
      </w:r>
      <w:proofErr w:type="spellStart"/>
      <w:r w:rsidRPr="0058309B">
        <w:rPr>
          <w:rFonts w:ascii="Arial" w:eastAsia="Times New Roman" w:hAnsi="Arial" w:cs="Arial"/>
          <w:lang w:eastAsia="en-GB"/>
        </w:rPr>
        <w:t>Durrheim</w:t>
      </w:r>
      <w:proofErr w:type="spellEnd"/>
      <w:r w:rsidRPr="0058309B">
        <w:rPr>
          <w:rFonts w:ascii="Arial" w:eastAsia="Times New Roman" w:hAnsi="Arial" w:cs="Arial"/>
          <w:lang w:eastAsia="en-GB"/>
        </w:rPr>
        <w:t xml:space="preserve">, D.N. (2018a). Public Health Responses during Measles Outbreaks in Elimination settings: Strategies and Challenges. </w:t>
      </w:r>
      <w:r w:rsidRPr="0058309B">
        <w:rPr>
          <w:rFonts w:ascii="Arial" w:eastAsia="Times New Roman" w:hAnsi="Arial" w:cs="Arial"/>
          <w:i/>
          <w:iCs/>
          <w:lang w:eastAsia="en-GB"/>
        </w:rPr>
        <w:t xml:space="preserve">Human Vaccines &amp; </w:t>
      </w:r>
      <w:proofErr w:type="spellStart"/>
      <w:r w:rsidRPr="0058309B">
        <w:rPr>
          <w:rFonts w:ascii="Arial" w:eastAsia="Times New Roman" w:hAnsi="Arial" w:cs="Arial"/>
          <w:i/>
          <w:iCs/>
          <w:lang w:eastAsia="en-GB"/>
        </w:rPr>
        <w:t>Immunotherapeutics</w:t>
      </w:r>
      <w:proofErr w:type="spellEnd"/>
      <w:r w:rsidRPr="0058309B">
        <w:rPr>
          <w:rFonts w:ascii="Arial" w:eastAsia="Times New Roman" w:hAnsi="Arial" w:cs="Arial"/>
          <w:lang w:eastAsia="en-GB"/>
        </w:rPr>
        <w:t xml:space="preserve">, 14(9), pp.2222–2238.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://doi.org/10.1080/21645515.2018.1474310.</w:t>
      </w:r>
    </w:p>
    <w:p w14:paraId="0097AE0A" w14:textId="77777777" w:rsidR="00A80BF4" w:rsidRPr="0058309B" w:rsidRDefault="00A80BF4" w:rsidP="0058309B">
      <w:pPr>
        <w:spacing w:after="240" w:line="360" w:lineRule="auto"/>
        <w:rPr>
          <w:rFonts w:ascii="Arial" w:eastAsia="Times New Roman" w:hAnsi="Arial" w:cs="Arial"/>
          <w:lang w:eastAsia="en-GB"/>
        </w:rPr>
      </w:pPr>
    </w:p>
    <w:p w14:paraId="5188B405" w14:textId="271CC13E" w:rsidR="0058309B" w:rsidRDefault="0058309B" w:rsidP="0058309B">
      <w:pPr>
        <w:spacing w:after="240" w:line="360" w:lineRule="auto"/>
        <w:rPr>
          <w:rFonts w:ascii="Arial" w:eastAsia="Times New Roman" w:hAnsi="Arial" w:cs="Arial"/>
          <w:lang w:eastAsia="en-GB"/>
        </w:rPr>
      </w:pPr>
      <w:proofErr w:type="spellStart"/>
      <w:r w:rsidRPr="0058309B">
        <w:rPr>
          <w:rFonts w:ascii="Arial" w:eastAsia="Times New Roman" w:hAnsi="Arial" w:cs="Arial"/>
          <w:lang w:eastAsia="en-GB"/>
        </w:rPr>
        <w:t>Gastañaduy</w:t>
      </w:r>
      <w:proofErr w:type="spellEnd"/>
      <w:r w:rsidRPr="0058309B">
        <w:rPr>
          <w:rFonts w:ascii="Arial" w:eastAsia="Times New Roman" w:hAnsi="Arial" w:cs="Arial"/>
          <w:lang w:eastAsia="en-GB"/>
        </w:rPr>
        <w:t xml:space="preserve">, P.A., Goodson, J.L., </w:t>
      </w:r>
      <w:proofErr w:type="spellStart"/>
      <w:r w:rsidRPr="0058309B">
        <w:rPr>
          <w:rFonts w:ascii="Arial" w:eastAsia="Times New Roman" w:hAnsi="Arial" w:cs="Arial"/>
          <w:lang w:eastAsia="en-GB"/>
        </w:rPr>
        <w:t>Panagiotakopoulos</w:t>
      </w:r>
      <w:proofErr w:type="spellEnd"/>
      <w:r w:rsidRPr="0058309B">
        <w:rPr>
          <w:rFonts w:ascii="Arial" w:eastAsia="Times New Roman" w:hAnsi="Arial" w:cs="Arial"/>
          <w:lang w:eastAsia="en-GB"/>
        </w:rPr>
        <w:t xml:space="preserve">, L., Rota, P.A., Orenstein, W.A. and Patel, M. (2021). Measles in the 21st Century: Progress Toward Achieving and Sustaining Elimination. </w:t>
      </w:r>
      <w:r w:rsidRPr="0058309B">
        <w:rPr>
          <w:rFonts w:ascii="Arial" w:eastAsia="Times New Roman" w:hAnsi="Arial" w:cs="Arial"/>
          <w:i/>
          <w:iCs/>
          <w:lang w:eastAsia="en-GB"/>
        </w:rPr>
        <w:t>The Journal of Infectious Diseases</w:t>
      </w:r>
      <w:r w:rsidRPr="0058309B">
        <w:rPr>
          <w:rFonts w:ascii="Arial" w:eastAsia="Times New Roman" w:hAnsi="Arial" w:cs="Arial"/>
          <w:lang w:eastAsia="en-GB"/>
        </w:rPr>
        <w:t xml:space="preserve">, [online] 224(Supplement_4), </w:t>
      </w:r>
      <w:r w:rsidR="00086421" w:rsidRPr="0058309B">
        <w:rPr>
          <w:rFonts w:ascii="Arial" w:eastAsia="Times New Roman" w:hAnsi="Arial" w:cs="Arial"/>
          <w:lang w:eastAsia="en-GB"/>
        </w:rPr>
        <w:t>pp.S</w:t>
      </w:r>
      <w:r w:rsidRPr="0058309B">
        <w:rPr>
          <w:rFonts w:ascii="Arial" w:eastAsia="Times New Roman" w:hAnsi="Arial" w:cs="Arial"/>
          <w:lang w:eastAsia="en-GB"/>
        </w:rPr>
        <w:t xml:space="preserve">420–S428. </w:t>
      </w:r>
      <w:proofErr w:type="spellStart"/>
      <w:r w:rsidR="00086421" w:rsidRPr="0058309B">
        <w:rPr>
          <w:rFonts w:ascii="Arial" w:eastAsia="Times New Roman" w:hAnsi="Arial" w:cs="Arial"/>
          <w:lang w:eastAsia="en-GB"/>
        </w:rPr>
        <w:t>doi</w:t>
      </w:r>
      <w:proofErr w:type="spellEnd"/>
      <w:r w:rsidR="00086421" w:rsidRPr="0058309B">
        <w:rPr>
          <w:rFonts w:ascii="Arial" w:eastAsia="Times New Roman" w:hAnsi="Arial" w:cs="Arial"/>
          <w:lang w:eastAsia="en-GB"/>
        </w:rPr>
        <w:t xml:space="preserve">: </w:t>
      </w:r>
      <w:r w:rsidR="00086421" w:rsidRPr="00086421">
        <w:rPr>
          <w:rFonts w:ascii="Arial" w:eastAsia="Times New Roman" w:hAnsi="Arial" w:cs="Arial"/>
          <w:lang w:eastAsia="en-GB"/>
        </w:rPr>
        <w:t>https://doi.org/10.1093/infdis/jiaa793</w:t>
      </w:r>
      <w:r w:rsidRPr="0058309B">
        <w:rPr>
          <w:rFonts w:ascii="Arial" w:eastAsia="Times New Roman" w:hAnsi="Arial" w:cs="Arial"/>
          <w:lang w:eastAsia="en-GB"/>
        </w:rPr>
        <w:t>.</w:t>
      </w:r>
    </w:p>
    <w:p w14:paraId="6782658B" w14:textId="77777777" w:rsidR="00086421" w:rsidRDefault="00086421" w:rsidP="0058309B">
      <w:pPr>
        <w:spacing w:after="240" w:line="360" w:lineRule="auto"/>
        <w:rPr>
          <w:rFonts w:ascii="Arial" w:eastAsia="Times New Roman" w:hAnsi="Arial" w:cs="Arial"/>
          <w:lang w:eastAsia="en-GB"/>
        </w:rPr>
      </w:pPr>
    </w:p>
    <w:p w14:paraId="1455BE9A" w14:textId="77777777" w:rsidR="00086421" w:rsidRPr="0058309B" w:rsidRDefault="00086421" w:rsidP="0058309B">
      <w:pPr>
        <w:spacing w:after="240" w:line="360" w:lineRule="auto"/>
        <w:rPr>
          <w:rFonts w:ascii="Arial" w:eastAsia="Times New Roman" w:hAnsi="Arial" w:cs="Arial"/>
          <w:lang w:eastAsia="en-GB"/>
        </w:rPr>
      </w:pPr>
    </w:p>
    <w:p w14:paraId="046EF98A" w14:textId="2A82475A"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Gloucestershire Hospitals (2024). </w:t>
      </w:r>
      <w:r w:rsidRPr="0058309B">
        <w:rPr>
          <w:rFonts w:ascii="Arial" w:eastAsia="Times New Roman" w:hAnsi="Arial" w:cs="Arial"/>
          <w:i/>
          <w:iCs/>
          <w:lang w:eastAsia="en-GB"/>
        </w:rPr>
        <w:t>Measles PCR</w:t>
      </w:r>
      <w:r w:rsidRPr="0058309B">
        <w:rPr>
          <w:rFonts w:ascii="Arial" w:eastAsia="Times New Roman" w:hAnsi="Arial" w:cs="Arial"/>
          <w:lang w:eastAsia="en-GB"/>
        </w:rPr>
        <w:t xml:space="preserve">. [online] Gloucestershire Hospitals NHS Foundation Trust. Available at: </w:t>
      </w:r>
      <w:r w:rsidR="00086421" w:rsidRPr="0058309B">
        <w:rPr>
          <w:rFonts w:ascii="Arial" w:eastAsia="Times New Roman" w:hAnsi="Arial" w:cs="Arial"/>
          <w:lang w:eastAsia="en-GB"/>
        </w:rPr>
        <w:t>https://www.gloshospitals.nhs.uk/our-services/services-we-offer/pathology/tests-and-investigations/measles-pcr/</w:t>
      </w:r>
      <w:r w:rsidRPr="0058309B">
        <w:rPr>
          <w:rFonts w:ascii="Arial" w:eastAsia="Times New Roman" w:hAnsi="Arial" w:cs="Arial"/>
          <w:lang w:eastAsia="en-GB"/>
        </w:rPr>
        <w:t>.</w:t>
      </w:r>
    </w:p>
    <w:p w14:paraId="29B3E84A" w14:textId="77777777" w:rsidR="00086421" w:rsidRPr="0058309B" w:rsidRDefault="00086421" w:rsidP="0058309B">
      <w:pPr>
        <w:spacing w:after="240" w:line="360" w:lineRule="auto"/>
        <w:rPr>
          <w:rFonts w:ascii="Arial" w:eastAsia="Times New Roman" w:hAnsi="Arial" w:cs="Arial"/>
          <w:lang w:eastAsia="en-GB"/>
        </w:rPr>
      </w:pPr>
    </w:p>
    <w:p w14:paraId="3067CED1"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Government website (2024). </w:t>
      </w:r>
      <w:r w:rsidRPr="0058309B">
        <w:rPr>
          <w:rFonts w:ascii="Arial" w:eastAsia="Times New Roman" w:hAnsi="Arial" w:cs="Arial"/>
          <w:i/>
          <w:iCs/>
          <w:lang w:eastAsia="en-GB"/>
        </w:rPr>
        <w:t>Latest measles statistics published</w:t>
      </w:r>
      <w:r w:rsidRPr="0058309B">
        <w:rPr>
          <w:rFonts w:ascii="Arial" w:eastAsia="Times New Roman" w:hAnsi="Arial" w:cs="Arial"/>
          <w:lang w:eastAsia="en-GB"/>
        </w:rPr>
        <w:t>. [online] GOV.UK. Available at: https://www.gov.uk/government/news/latest-measles-statistics-published#:~:text=In%20the%204%20weeks%20since%205%20February%202024%2C%20there%20have [Accessed 3 May 2024].</w:t>
      </w:r>
    </w:p>
    <w:p w14:paraId="5F574E0D" w14:textId="77777777" w:rsidR="00086421" w:rsidRPr="0058309B" w:rsidRDefault="00086421" w:rsidP="0058309B">
      <w:pPr>
        <w:spacing w:after="240" w:line="360" w:lineRule="auto"/>
        <w:rPr>
          <w:rFonts w:ascii="Arial" w:eastAsia="Times New Roman" w:hAnsi="Arial" w:cs="Arial"/>
          <w:lang w:eastAsia="en-GB"/>
        </w:rPr>
      </w:pPr>
    </w:p>
    <w:p w14:paraId="1975FDCC" w14:textId="4C9FDC35"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Griffin, D.E., Lin, W.-H.W. and Nelson, A.N. (2018). Understanding the causes and consequences of measles virus persistence. </w:t>
      </w:r>
      <w:r w:rsidRPr="0058309B">
        <w:rPr>
          <w:rFonts w:ascii="Arial" w:eastAsia="Times New Roman" w:hAnsi="Arial" w:cs="Arial"/>
          <w:i/>
          <w:iCs/>
          <w:lang w:eastAsia="en-GB"/>
        </w:rPr>
        <w:t>F1000Research</w:t>
      </w:r>
      <w:r w:rsidRPr="0058309B">
        <w:rPr>
          <w:rFonts w:ascii="Arial" w:eastAsia="Times New Roman" w:hAnsi="Arial" w:cs="Arial"/>
          <w:lang w:eastAsia="en-GB"/>
        </w:rPr>
        <w:t xml:space="preserve">, [online] 7(7), p.237. </w:t>
      </w:r>
      <w:proofErr w:type="spellStart"/>
      <w:r w:rsidR="00086421" w:rsidRPr="0058309B">
        <w:rPr>
          <w:rFonts w:ascii="Arial" w:eastAsia="Times New Roman" w:hAnsi="Arial" w:cs="Arial"/>
          <w:lang w:eastAsia="en-GB"/>
        </w:rPr>
        <w:t>doi</w:t>
      </w:r>
      <w:proofErr w:type="spellEnd"/>
      <w:r w:rsidR="00086421" w:rsidRPr="0058309B">
        <w:rPr>
          <w:rFonts w:ascii="Arial" w:eastAsia="Times New Roman" w:hAnsi="Arial" w:cs="Arial"/>
          <w:lang w:eastAsia="en-GB"/>
        </w:rPr>
        <w:t>: https://doi.org/10.12688/f1000research.12094.1</w:t>
      </w:r>
      <w:r w:rsidRPr="0058309B">
        <w:rPr>
          <w:rFonts w:ascii="Arial" w:eastAsia="Times New Roman" w:hAnsi="Arial" w:cs="Arial"/>
          <w:lang w:eastAsia="en-GB"/>
        </w:rPr>
        <w:t>.</w:t>
      </w:r>
    </w:p>
    <w:p w14:paraId="24F53417" w14:textId="77777777" w:rsidR="00086421" w:rsidRPr="0058309B" w:rsidRDefault="00086421" w:rsidP="0058309B">
      <w:pPr>
        <w:spacing w:after="240" w:line="360" w:lineRule="auto"/>
        <w:rPr>
          <w:rFonts w:ascii="Arial" w:eastAsia="Times New Roman" w:hAnsi="Arial" w:cs="Arial"/>
          <w:lang w:eastAsia="en-GB"/>
        </w:rPr>
      </w:pPr>
    </w:p>
    <w:p w14:paraId="5E9634BA" w14:textId="77777777" w:rsidR="0058309B" w:rsidRDefault="0058309B" w:rsidP="0058309B">
      <w:pPr>
        <w:spacing w:after="240" w:line="360" w:lineRule="auto"/>
        <w:rPr>
          <w:rFonts w:ascii="Arial" w:eastAsia="Times New Roman" w:hAnsi="Arial" w:cs="Arial"/>
          <w:lang w:eastAsia="en-GB"/>
        </w:rPr>
      </w:pPr>
      <w:proofErr w:type="spellStart"/>
      <w:r w:rsidRPr="0058309B">
        <w:rPr>
          <w:rFonts w:ascii="Arial" w:eastAsia="Times New Roman" w:hAnsi="Arial" w:cs="Arial"/>
          <w:lang w:eastAsia="en-GB"/>
        </w:rPr>
        <w:t>Haeryfar</w:t>
      </w:r>
      <w:proofErr w:type="spellEnd"/>
      <w:r w:rsidRPr="0058309B">
        <w:rPr>
          <w:rFonts w:ascii="Arial" w:eastAsia="Times New Roman" w:hAnsi="Arial" w:cs="Arial"/>
          <w:lang w:eastAsia="en-GB"/>
        </w:rPr>
        <w:t xml:space="preserve">, M. (2024). </w:t>
      </w:r>
      <w:r w:rsidRPr="0058309B">
        <w:rPr>
          <w:rFonts w:ascii="Arial" w:eastAsia="Times New Roman" w:hAnsi="Arial" w:cs="Arial"/>
          <w:i/>
          <w:iCs/>
          <w:lang w:eastAsia="en-GB"/>
        </w:rPr>
        <w:t>Measles is highly contagious, but vaccine-preventable: A primer on recent outbreaks, transmission, symptoms and complications, including ‘immune amnesia’</w:t>
      </w:r>
      <w:r w:rsidRPr="0058309B">
        <w:rPr>
          <w:rFonts w:ascii="Arial" w:eastAsia="Times New Roman" w:hAnsi="Arial" w:cs="Arial"/>
          <w:lang w:eastAsia="en-GB"/>
        </w:rPr>
        <w:t>. [online] The Conversation. Available at: https://theconversation.com/measles-is-highly-contagious-but-vaccine-preventable-a-primer-on-recent-outbreaks-transmission-symptoms-and-complications-including-immune-amnesia-226205 [Accessed 3 May 2024].</w:t>
      </w:r>
    </w:p>
    <w:p w14:paraId="5BFA7684" w14:textId="77777777" w:rsidR="00086421" w:rsidRPr="0058309B" w:rsidRDefault="00086421" w:rsidP="0058309B">
      <w:pPr>
        <w:spacing w:after="240" w:line="360" w:lineRule="auto"/>
        <w:rPr>
          <w:rFonts w:ascii="Arial" w:eastAsia="Times New Roman" w:hAnsi="Arial" w:cs="Arial"/>
          <w:lang w:eastAsia="en-GB"/>
        </w:rPr>
      </w:pPr>
    </w:p>
    <w:p w14:paraId="4371B78F"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Hoang, V.T. and </w:t>
      </w:r>
      <w:proofErr w:type="spellStart"/>
      <w:r w:rsidRPr="0058309B">
        <w:rPr>
          <w:rFonts w:ascii="Arial" w:eastAsia="Times New Roman" w:hAnsi="Arial" w:cs="Arial"/>
          <w:lang w:eastAsia="en-GB"/>
        </w:rPr>
        <w:t>Gautret</w:t>
      </w:r>
      <w:proofErr w:type="spellEnd"/>
      <w:r w:rsidRPr="0058309B">
        <w:rPr>
          <w:rFonts w:ascii="Arial" w:eastAsia="Times New Roman" w:hAnsi="Arial" w:cs="Arial"/>
          <w:lang w:eastAsia="en-GB"/>
        </w:rPr>
        <w:t xml:space="preserve">, P. (2020). Measles outbreaks at mass gathering mostly occur at youth events. </w:t>
      </w:r>
      <w:r w:rsidRPr="0058309B">
        <w:rPr>
          <w:rFonts w:ascii="Arial" w:eastAsia="Times New Roman" w:hAnsi="Arial" w:cs="Arial"/>
          <w:i/>
          <w:iCs/>
          <w:lang w:eastAsia="en-GB"/>
        </w:rPr>
        <w:t>The Lancet Infectious Diseases</w:t>
      </w:r>
      <w:r w:rsidRPr="0058309B">
        <w:rPr>
          <w:rFonts w:ascii="Arial" w:eastAsia="Times New Roman" w:hAnsi="Arial" w:cs="Arial"/>
          <w:lang w:eastAsia="en-GB"/>
        </w:rPr>
        <w:t xml:space="preserve">, 20(1), p.23.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://doi.org/10.1016/s1473-3099(19)30685-1.</w:t>
      </w:r>
    </w:p>
    <w:p w14:paraId="7C569662" w14:textId="77777777" w:rsidR="00086421" w:rsidRPr="0058309B" w:rsidRDefault="00086421" w:rsidP="0058309B">
      <w:pPr>
        <w:spacing w:after="240" w:line="360" w:lineRule="auto"/>
        <w:rPr>
          <w:rFonts w:ascii="Arial" w:eastAsia="Times New Roman" w:hAnsi="Arial" w:cs="Arial"/>
          <w:lang w:eastAsia="en-GB"/>
        </w:rPr>
      </w:pPr>
    </w:p>
    <w:p w14:paraId="7C9BC9AE"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Jordan, A. (2019). </w:t>
      </w:r>
      <w:r w:rsidRPr="0058309B">
        <w:rPr>
          <w:rFonts w:ascii="Arial" w:eastAsia="Times New Roman" w:hAnsi="Arial" w:cs="Arial"/>
          <w:i/>
          <w:iCs/>
          <w:lang w:eastAsia="en-GB"/>
        </w:rPr>
        <w:t>WHO declares countries measles and rubella free</w:t>
      </w:r>
      <w:r w:rsidRPr="0058309B">
        <w:rPr>
          <w:rFonts w:ascii="Arial" w:eastAsia="Times New Roman" w:hAnsi="Arial" w:cs="Arial"/>
          <w:lang w:eastAsia="en-GB"/>
        </w:rPr>
        <w:t>. [online] www.who.int. Available at: https://www.who.int/news/item/28-05-2019-who-declares-countries-measles-and-rubella-free [Accessed 25 Apr. 2024].</w:t>
      </w:r>
    </w:p>
    <w:p w14:paraId="075E249E" w14:textId="77777777" w:rsidR="00086421" w:rsidRPr="0058309B" w:rsidRDefault="00086421" w:rsidP="0058309B">
      <w:pPr>
        <w:spacing w:after="240" w:line="360" w:lineRule="auto"/>
        <w:rPr>
          <w:rFonts w:ascii="Arial" w:eastAsia="Times New Roman" w:hAnsi="Arial" w:cs="Arial"/>
          <w:lang w:eastAsia="en-GB"/>
        </w:rPr>
      </w:pPr>
    </w:p>
    <w:p w14:paraId="7F950527" w14:textId="6FFEC684"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Kluwer, W. (2015). Measles. </w:t>
      </w:r>
      <w:r w:rsidRPr="0058309B">
        <w:rPr>
          <w:rFonts w:ascii="Arial" w:eastAsia="Times New Roman" w:hAnsi="Arial" w:cs="Arial"/>
          <w:i/>
          <w:iCs/>
          <w:lang w:eastAsia="en-GB"/>
        </w:rPr>
        <w:t>Nursing</w:t>
      </w:r>
      <w:r w:rsidRPr="0058309B">
        <w:rPr>
          <w:rFonts w:ascii="Arial" w:eastAsia="Times New Roman" w:hAnsi="Arial" w:cs="Arial"/>
          <w:lang w:eastAsia="en-GB"/>
        </w:rPr>
        <w:t xml:space="preserve">, 45(4), pp.62–63. </w:t>
      </w:r>
      <w:proofErr w:type="spellStart"/>
      <w:r w:rsidR="00086421" w:rsidRPr="0058309B">
        <w:rPr>
          <w:rFonts w:ascii="Arial" w:eastAsia="Times New Roman" w:hAnsi="Arial" w:cs="Arial"/>
          <w:lang w:eastAsia="en-GB"/>
        </w:rPr>
        <w:t>doi</w:t>
      </w:r>
      <w:proofErr w:type="spellEnd"/>
      <w:r w:rsidR="00086421" w:rsidRPr="0058309B">
        <w:rPr>
          <w:rFonts w:ascii="Arial" w:eastAsia="Times New Roman" w:hAnsi="Arial" w:cs="Arial"/>
          <w:lang w:eastAsia="en-GB"/>
        </w:rPr>
        <w:t>: https://doi.org/10.1097/01.nurse.0000462549.44443.37</w:t>
      </w:r>
      <w:r w:rsidRPr="0058309B">
        <w:rPr>
          <w:rFonts w:ascii="Arial" w:eastAsia="Times New Roman" w:hAnsi="Arial" w:cs="Arial"/>
          <w:lang w:eastAsia="en-GB"/>
        </w:rPr>
        <w:t>.</w:t>
      </w:r>
    </w:p>
    <w:p w14:paraId="04121C51" w14:textId="77777777" w:rsidR="00086421" w:rsidRPr="0058309B" w:rsidRDefault="00086421" w:rsidP="0058309B">
      <w:pPr>
        <w:spacing w:after="240" w:line="360" w:lineRule="auto"/>
        <w:rPr>
          <w:rFonts w:ascii="Arial" w:eastAsia="Times New Roman" w:hAnsi="Arial" w:cs="Arial"/>
          <w:lang w:eastAsia="en-GB"/>
        </w:rPr>
      </w:pPr>
    </w:p>
    <w:p w14:paraId="12F3AD92" w14:textId="2BCE54EE"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Michaud, C.M. (2009). Global Burden of Infectious Diseases. </w:t>
      </w:r>
      <w:proofErr w:type="spellStart"/>
      <w:r w:rsidRPr="0058309B">
        <w:rPr>
          <w:rFonts w:ascii="Arial" w:eastAsia="Times New Roman" w:hAnsi="Arial" w:cs="Arial"/>
          <w:i/>
          <w:iCs/>
          <w:lang w:eastAsia="en-GB"/>
        </w:rPr>
        <w:t>Encyclopedia</w:t>
      </w:r>
      <w:proofErr w:type="spellEnd"/>
      <w:r w:rsidRPr="0058309B">
        <w:rPr>
          <w:rFonts w:ascii="Arial" w:eastAsia="Times New Roman" w:hAnsi="Arial" w:cs="Arial"/>
          <w:i/>
          <w:iCs/>
          <w:lang w:eastAsia="en-GB"/>
        </w:rPr>
        <w:t xml:space="preserve"> of Microbiology</w:t>
      </w:r>
      <w:r w:rsidRPr="0058309B">
        <w:rPr>
          <w:rFonts w:ascii="Arial" w:eastAsia="Times New Roman" w:hAnsi="Arial" w:cs="Arial"/>
          <w:lang w:eastAsia="en-GB"/>
        </w:rPr>
        <w:t xml:space="preserve">, [online] pp.444–454. </w:t>
      </w:r>
      <w:proofErr w:type="spellStart"/>
      <w:r w:rsidR="00086421" w:rsidRPr="0058309B">
        <w:rPr>
          <w:rFonts w:ascii="Arial" w:eastAsia="Times New Roman" w:hAnsi="Arial" w:cs="Arial"/>
          <w:lang w:eastAsia="en-GB"/>
        </w:rPr>
        <w:t>doi</w:t>
      </w:r>
      <w:proofErr w:type="spellEnd"/>
      <w:r w:rsidR="00086421" w:rsidRPr="0058309B">
        <w:rPr>
          <w:rFonts w:ascii="Arial" w:eastAsia="Times New Roman" w:hAnsi="Arial" w:cs="Arial"/>
          <w:lang w:eastAsia="en-GB"/>
        </w:rPr>
        <w:t>: https://doi.org/10.1016/B978-012373944-5.00185-1</w:t>
      </w:r>
      <w:r w:rsidRPr="0058309B">
        <w:rPr>
          <w:rFonts w:ascii="Arial" w:eastAsia="Times New Roman" w:hAnsi="Arial" w:cs="Arial"/>
          <w:lang w:eastAsia="en-GB"/>
        </w:rPr>
        <w:t>.</w:t>
      </w:r>
    </w:p>
    <w:p w14:paraId="184784CF" w14:textId="77777777" w:rsidR="00086421" w:rsidRPr="0058309B" w:rsidRDefault="00086421" w:rsidP="0058309B">
      <w:pPr>
        <w:spacing w:after="240" w:line="360" w:lineRule="auto"/>
        <w:rPr>
          <w:rFonts w:ascii="Arial" w:eastAsia="Times New Roman" w:hAnsi="Arial" w:cs="Arial"/>
          <w:lang w:eastAsia="en-GB"/>
        </w:rPr>
      </w:pPr>
    </w:p>
    <w:p w14:paraId="29566C05"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Mulchandani, R., Sibal, B., Phillips, A., Suleman, S., Banerjee, A., Teagle, R., Foulkes, S., Spence, K. and </w:t>
      </w:r>
      <w:proofErr w:type="spellStart"/>
      <w:r w:rsidRPr="0058309B">
        <w:rPr>
          <w:rFonts w:ascii="Arial" w:eastAsia="Times New Roman" w:hAnsi="Arial" w:cs="Arial"/>
          <w:lang w:eastAsia="en-GB"/>
        </w:rPr>
        <w:t>Edeghere</w:t>
      </w:r>
      <w:proofErr w:type="spellEnd"/>
      <w:r w:rsidRPr="0058309B">
        <w:rPr>
          <w:rFonts w:ascii="Arial" w:eastAsia="Times New Roman" w:hAnsi="Arial" w:cs="Arial"/>
          <w:lang w:eastAsia="en-GB"/>
        </w:rPr>
        <w:t xml:space="preserve">, O. (2021). A large outbreak of measles in the West Midlands, England, 2017–2018: descriptive epidemiology, control measures and lessons learnt. </w:t>
      </w:r>
      <w:r w:rsidRPr="0058309B">
        <w:rPr>
          <w:rFonts w:ascii="Arial" w:eastAsia="Times New Roman" w:hAnsi="Arial" w:cs="Arial"/>
          <w:i/>
          <w:iCs/>
          <w:lang w:eastAsia="en-GB"/>
        </w:rPr>
        <w:t>Epidemiology and Infection</w:t>
      </w:r>
      <w:r w:rsidRPr="0058309B">
        <w:rPr>
          <w:rFonts w:ascii="Arial" w:eastAsia="Times New Roman" w:hAnsi="Arial" w:cs="Arial"/>
          <w:lang w:eastAsia="en-GB"/>
        </w:rPr>
        <w:t xml:space="preserve">, 149(v.149; 2021).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://doi.org/10.1017/s0950268821000868.</w:t>
      </w:r>
    </w:p>
    <w:p w14:paraId="5007599D" w14:textId="77777777" w:rsidR="00086421" w:rsidRPr="0058309B" w:rsidRDefault="00086421" w:rsidP="0058309B">
      <w:pPr>
        <w:spacing w:after="240" w:line="360" w:lineRule="auto"/>
        <w:rPr>
          <w:rFonts w:ascii="Arial" w:eastAsia="Times New Roman" w:hAnsi="Arial" w:cs="Arial"/>
          <w:lang w:eastAsia="en-GB"/>
        </w:rPr>
      </w:pPr>
    </w:p>
    <w:p w14:paraId="737AB535" w14:textId="77777777" w:rsidR="0058309B" w:rsidRP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Orenstein, W.A., Cairns, L., Hinman, A., </w:t>
      </w:r>
      <w:proofErr w:type="spellStart"/>
      <w:r w:rsidRPr="0058309B">
        <w:rPr>
          <w:rFonts w:ascii="Arial" w:eastAsia="Times New Roman" w:hAnsi="Arial" w:cs="Arial"/>
          <w:lang w:eastAsia="en-GB"/>
        </w:rPr>
        <w:t>Nkowane</w:t>
      </w:r>
      <w:proofErr w:type="spellEnd"/>
      <w:r w:rsidRPr="0058309B">
        <w:rPr>
          <w:rFonts w:ascii="Arial" w:eastAsia="Times New Roman" w:hAnsi="Arial" w:cs="Arial"/>
          <w:lang w:eastAsia="en-GB"/>
        </w:rPr>
        <w:t xml:space="preserve">, B., </w:t>
      </w:r>
      <w:proofErr w:type="spellStart"/>
      <w:r w:rsidRPr="0058309B">
        <w:rPr>
          <w:rFonts w:ascii="Arial" w:eastAsia="Times New Roman" w:hAnsi="Arial" w:cs="Arial"/>
          <w:lang w:eastAsia="en-GB"/>
        </w:rPr>
        <w:t>Olivé</w:t>
      </w:r>
      <w:proofErr w:type="spellEnd"/>
      <w:r w:rsidRPr="0058309B">
        <w:rPr>
          <w:rFonts w:ascii="Arial" w:eastAsia="Times New Roman" w:hAnsi="Arial" w:cs="Arial"/>
          <w:lang w:eastAsia="en-GB"/>
        </w:rPr>
        <w:t xml:space="preserve">, J.-M. and Reingold, A.L. (2018a). Measles and Rubella Global Strategic Plan 2012–2020 midterm review </w:t>
      </w:r>
      <w:r w:rsidRPr="0058309B">
        <w:rPr>
          <w:rFonts w:ascii="Arial" w:eastAsia="Times New Roman" w:hAnsi="Arial" w:cs="Arial"/>
          <w:lang w:eastAsia="en-GB"/>
        </w:rPr>
        <w:lastRenderedPageBreak/>
        <w:t xml:space="preserve">report: Background and summary. </w:t>
      </w:r>
      <w:r w:rsidRPr="0058309B">
        <w:rPr>
          <w:rFonts w:ascii="Arial" w:eastAsia="Times New Roman" w:hAnsi="Arial" w:cs="Arial"/>
          <w:i/>
          <w:iCs/>
          <w:lang w:eastAsia="en-GB"/>
        </w:rPr>
        <w:t>Vaccine</w:t>
      </w:r>
      <w:r w:rsidRPr="0058309B">
        <w:rPr>
          <w:rFonts w:ascii="Arial" w:eastAsia="Times New Roman" w:hAnsi="Arial" w:cs="Arial"/>
          <w:lang w:eastAsia="en-GB"/>
        </w:rPr>
        <w:t xml:space="preserve">, 36, pp.A35–A42.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://doi.org/10.1016/j.vaccine.2017.10.065.</w:t>
      </w:r>
    </w:p>
    <w:p w14:paraId="4586B7B4"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Orenstein, W.A., Hinman, A., </w:t>
      </w:r>
      <w:proofErr w:type="spellStart"/>
      <w:r w:rsidRPr="0058309B">
        <w:rPr>
          <w:rFonts w:ascii="Arial" w:eastAsia="Times New Roman" w:hAnsi="Arial" w:cs="Arial"/>
          <w:lang w:eastAsia="en-GB"/>
        </w:rPr>
        <w:t>Nkowane</w:t>
      </w:r>
      <w:proofErr w:type="spellEnd"/>
      <w:r w:rsidRPr="0058309B">
        <w:rPr>
          <w:rFonts w:ascii="Arial" w:eastAsia="Times New Roman" w:hAnsi="Arial" w:cs="Arial"/>
          <w:lang w:eastAsia="en-GB"/>
        </w:rPr>
        <w:t xml:space="preserve">, B., Olive, J.M. and Reingold, A. (2018b). Measles and Rubella Global Strategic Plan 2012–2020 midterm review. </w:t>
      </w:r>
      <w:r w:rsidRPr="0058309B">
        <w:rPr>
          <w:rFonts w:ascii="Arial" w:eastAsia="Times New Roman" w:hAnsi="Arial" w:cs="Arial"/>
          <w:i/>
          <w:iCs/>
          <w:lang w:eastAsia="en-GB"/>
        </w:rPr>
        <w:t>Vaccine</w:t>
      </w:r>
      <w:r w:rsidRPr="0058309B">
        <w:rPr>
          <w:rFonts w:ascii="Arial" w:eastAsia="Times New Roman" w:hAnsi="Arial" w:cs="Arial"/>
          <w:lang w:eastAsia="en-GB"/>
        </w:rPr>
        <w:t xml:space="preserve">, 36, pp.A1–A34.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://doi.org/10.1016/j.vaccine.2017.09.026.</w:t>
      </w:r>
    </w:p>
    <w:p w14:paraId="143D44AF" w14:textId="77777777" w:rsidR="00086421" w:rsidRPr="0058309B" w:rsidRDefault="00086421" w:rsidP="0058309B">
      <w:pPr>
        <w:spacing w:after="240" w:line="360" w:lineRule="auto"/>
        <w:rPr>
          <w:rFonts w:ascii="Arial" w:eastAsia="Times New Roman" w:hAnsi="Arial" w:cs="Arial"/>
          <w:lang w:eastAsia="en-GB"/>
        </w:rPr>
      </w:pPr>
    </w:p>
    <w:p w14:paraId="5C423B32"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Orenstein, WW.A.M.S. and Geneva, S. (2016). </w:t>
      </w:r>
      <w:r w:rsidRPr="0058309B">
        <w:rPr>
          <w:rFonts w:ascii="Arial" w:eastAsia="Times New Roman" w:hAnsi="Arial" w:cs="Arial"/>
          <w:i/>
          <w:iCs/>
          <w:lang w:eastAsia="en-GB"/>
        </w:rPr>
        <w:t>Midterm Review of the Global Measles and Rubella Strategic Plan 2012 -2020</w:t>
      </w:r>
      <w:r w:rsidRPr="0058309B">
        <w:rPr>
          <w:rFonts w:ascii="Arial" w:eastAsia="Times New Roman" w:hAnsi="Arial" w:cs="Arial"/>
          <w:lang w:eastAsia="en-GB"/>
        </w:rPr>
        <w:t>. [online] Available at: https://terrance.who.int/mediacentre/data/sage/SAGE_Docs_Ppt_Oct2016/6_session_measles_rubella/Oct2016_session6_Presentation2_midTerm_review_measles-rubella.pdf [Accessed 2 May 2024].</w:t>
      </w:r>
    </w:p>
    <w:p w14:paraId="6FF91909" w14:textId="77777777" w:rsidR="00086421" w:rsidRPr="0058309B" w:rsidRDefault="00086421" w:rsidP="0058309B">
      <w:pPr>
        <w:spacing w:after="240" w:line="360" w:lineRule="auto"/>
        <w:rPr>
          <w:rFonts w:ascii="Arial" w:eastAsia="Times New Roman" w:hAnsi="Arial" w:cs="Arial"/>
          <w:lang w:eastAsia="en-GB"/>
        </w:rPr>
      </w:pPr>
    </w:p>
    <w:p w14:paraId="73E5DFF4"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Patel, M.K., Goodson, J.L., Alexander, J.P., Kretsinger, K., Sodha, S.V., </w:t>
      </w:r>
      <w:proofErr w:type="spellStart"/>
      <w:r w:rsidRPr="0058309B">
        <w:rPr>
          <w:rFonts w:ascii="Arial" w:eastAsia="Times New Roman" w:hAnsi="Arial" w:cs="Arial"/>
          <w:lang w:eastAsia="en-GB"/>
        </w:rPr>
        <w:t>Steulet</w:t>
      </w:r>
      <w:proofErr w:type="spellEnd"/>
      <w:r w:rsidRPr="0058309B">
        <w:rPr>
          <w:rFonts w:ascii="Arial" w:eastAsia="Times New Roman" w:hAnsi="Arial" w:cs="Arial"/>
          <w:lang w:eastAsia="en-GB"/>
        </w:rPr>
        <w:t xml:space="preserve">, C., </w:t>
      </w:r>
      <w:proofErr w:type="spellStart"/>
      <w:r w:rsidRPr="0058309B">
        <w:rPr>
          <w:rFonts w:ascii="Arial" w:eastAsia="Times New Roman" w:hAnsi="Arial" w:cs="Arial"/>
          <w:lang w:eastAsia="en-GB"/>
        </w:rPr>
        <w:t>Gacic</w:t>
      </w:r>
      <w:proofErr w:type="spellEnd"/>
      <w:r w:rsidRPr="0058309B">
        <w:rPr>
          <w:rFonts w:ascii="Arial" w:eastAsia="Times New Roman" w:hAnsi="Arial" w:cs="Arial"/>
          <w:lang w:eastAsia="en-GB"/>
        </w:rPr>
        <w:t xml:space="preserve">-Dobo, M., Rota, P.A., McFarland, J., Menning, L., Mulders, M.N. and Crowcroft, N.S. (2020). Progress Toward Regional Measles Elimination — Worldwide, 2000–2019. </w:t>
      </w:r>
      <w:r w:rsidRPr="0058309B">
        <w:rPr>
          <w:rFonts w:ascii="Arial" w:eastAsia="Times New Roman" w:hAnsi="Arial" w:cs="Arial"/>
          <w:i/>
          <w:iCs/>
          <w:lang w:eastAsia="en-GB"/>
        </w:rPr>
        <w:t>MMWR. Morbidity and Mortality Weekly Report</w:t>
      </w:r>
      <w:r w:rsidRPr="0058309B">
        <w:rPr>
          <w:rFonts w:ascii="Arial" w:eastAsia="Times New Roman" w:hAnsi="Arial" w:cs="Arial"/>
          <w:lang w:eastAsia="en-GB"/>
        </w:rPr>
        <w:t xml:space="preserve">, 69(45), pp.1700–1705. </w:t>
      </w:r>
      <w:proofErr w:type="spellStart"/>
      <w:r w:rsidRPr="0058309B">
        <w:rPr>
          <w:rFonts w:ascii="Arial" w:eastAsia="Times New Roman" w:hAnsi="Arial" w:cs="Arial"/>
          <w:lang w:eastAsia="en-GB"/>
        </w:rPr>
        <w:t>doi:https</w:t>
      </w:r>
      <w:proofErr w:type="spellEnd"/>
      <w:r w:rsidRPr="0058309B">
        <w:rPr>
          <w:rFonts w:ascii="Arial" w:eastAsia="Times New Roman" w:hAnsi="Arial" w:cs="Arial"/>
          <w:lang w:eastAsia="en-GB"/>
        </w:rPr>
        <w:t>://doi.org/10.15585/mmwr.mm6945a6.</w:t>
      </w:r>
    </w:p>
    <w:p w14:paraId="6486C684" w14:textId="77777777" w:rsidR="00557BA9" w:rsidRDefault="00557BA9" w:rsidP="0058309B">
      <w:pPr>
        <w:spacing w:after="240" w:line="360" w:lineRule="auto"/>
        <w:rPr>
          <w:rFonts w:ascii="Arial" w:eastAsia="Times New Roman" w:hAnsi="Arial" w:cs="Arial"/>
          <w:lang w:eastAsia="en-GB"/>
        </w:rPr>
      </w:pPr>
    </w:p>
    <w:p w14:paraId="19CF0B7C" w14:textId="77777777" w:rsidR="00086421" w:rsidRPr="0058309B" w:rsidRDefault="00086421" w:rsidP="0058309B">
      <w:pPr>
        <w:spacing w:after="240" w:line="360" w:lineRule="auto"/>
        <w:rPr>
          <w:rFonts w:ascii="Arial" w:eastAsia="Times New Roman" w:hAnsi="Arial" w:cs="Arial"/>
          <w:lang w:eastAsia="en-GB"/>
        </w:rPr>
      </w:pPr>
    </w:p>
    <w:p w14:paraId="54CD77F8"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Public Health Network Cymru (2024). </w:t>
      </w:r>
      <w:r w:rsidRPr="0058309B">
        <w:rPr>
          <w:rFonts w:ascii="Arial" w:eastAsia="Times New Roman" w:hAnsi="Arial" w:cs="Arial"/>
          <w:i/>
          <w:iCs/>
          <w:lang w:eastAsia="en-GB"/>
        </w:rPr>
        <w:t>Measles, Mumps and Rubella (MMR) - Information for health professionals</w:t>
      </w:r>
      <w:r w:rsidRPr="0058309B">
        <w:rPr>
          <w:rFonts w:ascii="Arial" w:eastAsia="Times New Roman" w:hAnsi="Arial" w:cs="Arial"/>
          <w:lang w:eastAsia="en-GB"/>
        </w:rPr>
        <w:t>. [online] Public Health Network Cymru. Available at: https://publichealthnetwork.cymru/mmr-measles-resources/ [Accessed 3 May 2024].</w:t>
      </w:r>
    </w:p>
    <w:p w14:paraId="0864376B" w14:textId="77777777" w:rsidR="00086421" w:rsidRPr="0058309B" w:rsidRDefault="00086421" w:rsidP="0058309B">
      <w:pPr>
        <w:spacing w:after="240" w:line="360" w:lineRule="auto"/>
        <w:rPr>
          <w:rFonts w:ascii="Arial" w:eastAsia="Times New Roman" w:hAnsi="Arial" w:cs="Arial"/>
          <w:lang w:eastAsia="en-GB"/>
        </w:rPr>
      </w:pPr>
    </w:p>
    <w:p w14:paraId="69804753"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Public Health Wales (2017). </w:t>
      </w:r>
      <w:r w:rsidRPr="0058309B">
        <w:rPr>
          <w:rFonts w:ascii="Arial" w:eastAsia="Times New Roman" w:hAnsi="Arial" w:cs="Arial"/>
          <w:i/>
          <w:iCs/>
          <w:lang w:eastAsia="en-GB"/>
        </w:rPr>
        <w:t>. (1996-2018) Epidemiology Measles in Wales: Source of surveillance data for Wales GP surveillance of measles in Wales immunisation against measles</w:t>
      </w:r>
      <w:r w:rsidRPr="0058309B">
        <w:rPr>
          <w:rFonts w:ascii="Arial" w:eastAsia="Times New Roman" w:hAnsi="Arial" w:cs="Arial"/>
          <w:lang w:eastAsia="en-GB"/>
        </w:rPr>
        <w:t xml:space="preserve">. [online] NHS Wales. Available at: </w:t>
      </w:r>
      <w:r w:rsidRPr="0058309B">
        <w:rPr>
          <w:rFonts w:ascii="Arial" w:eastAsia="Times New Roman" w:hAnsi="Arial" w:cs="Arial"/>
          <w:lang w:eastAsia="en-GB"/>
        </w:rPr>
        <w:lastRenderedPageBreak/>
        <w:t>http://www.wales.nhs.uk/sites3/page.cfm?orgId=457&amp;pid=25444. [Accessed 3 May 2024].</w:t>
      </w:r>
    </w:p>
    <w:p w14:paraId="5230205C" w14:textId="77777777" w:rsidR="00086421" w:rsidRPr="0058309B" w:rsidRDefault="00086421" w:rsidP="0058309B">
      <w:pPr>
        <w:spacing w:after="240" w:line="360" w:lineRule="auto"/>
        <w:rPr>
          <w:rFonts w:ascii="Arial" w:eastAsia="Times New Roman" w:hAnsi="Arial" w:cs="Arial"/>
          <w:lang w:eastAsia="en-GB"/>
        </w:rPr>
      </w:pPr>
    </w:p>
    <w:p w14:paraId="58B4F3CB" w14:textId="77777777" w:rsidR="001D5F26" w:rsidRDefault="001D5F26" w:rsidP="0058309B">
      <w:pPr>
        <w:spacing w:after="240" w:line="360" w:lineRule="auto"/>
        <w:rPr>
          <w:rFonts w:ascii="Arial" w:eastAsia="Times New Roman" w:hAnsi="Arial" w:cs="Arial"/>
          <w:lang w:eastAsia="en-GB"/>
        </w:rPr>
      </w:pPr>
    </w:p>
    <w:p w14:paraId="58FC64CD" w14:textId="09B3F52C" w:rsidR="001D5F26" w:rsidRDefault="001D5F26" w:rsidP="001D5F26">
      <w:pPr>
        <w:spacing w:line="360" w:lineRule="auto"/>
        <w:jc w:val="both"/>
      </w:pPr>
      <w:r w:rsidRPr="0E1FFB64">
        <w:rPr>
          <w:rFonts w:ascii="Arial" w:eastAsia="Arial" w:hAnsi="Arial" w:cs="Arial"/>
        </w:rPr>
        <w:t xml:space="preserve">RCN (2024) Public Health, Available at: https://www.rcn.org.uk/clinical-topics/Public-health Faculty of Public Health (2024) Welcome Page, Available at: https://www.fph.org.uk/ Royal society for Public Health (2023) “top 20 public health achievements of the 21st century” Available at: </w:t>
      </w:r>
      <w:r w:rsidRPr="001D5F26">
        <w:rPr>
          <w:rFonts w:ascii="Arial" w:eastAsia="Arial" w:hAnsi="Arial" w:cs="Arial"/>
        </w:rPr>
        <w:t>https://www.rsph.org.uk/our-work/policy/top-20-public-health-achievements-of-the-21st-century.html</w:t>
      </w:r>
    </w:p>
    <w:p w14:paraId="74561CD6" w14:textId="77777777" w:rsidR="001D5F26" w:rsidRDefault="001D5F26" w:rsidP="0058309B">
      <w:pPr>
        <w:spacing w:after="240" w:line="360" w:lineRule="auto"/>
        <w:rPr>
          <w:rFonts w:ascii="Arial" w:eastAsia="Times New Roman" w:hAnsi="Arial" w:cs="Arial"/>
          <w:lang w:eastAsia="en-GB"/>
        </w:rPr>
      </w:pPr>
    </w:p>
    <w:p w14:paraId="793D1A02" w14:textId="30F9A5B0"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Roush, S. (2019). </w:t>
      </w:r>
      <w:r w:rsidRPr="0058309B">
        <w:rPr>
          <w:rFonts w:ascii="Arial" w:eastAsia="Times New Roman" w:hAnsi="Arial" w:cs="Arial"/>
          <w:i/>
          <w:iCs/>
          <w:lang w:eastAsia="en-GB"/>
        </w:rPr>
        <w:t xml:space="preserve">Surveillance Manual | Enhancing </w:t>
      </w:r>
      <w:proofErr w:type="spellStart"/>
      <w:r w:rsidRPr="0058309B">
        <w:rPr>
          <w:rFonts w:ascii="Arial" w:eastAsia="Times New Roman" w:hAnsi="Arial" w:cs="Arial"/>
          <w:i/>
          <w:iCs/>
          <w:lang w:eastAsia="en-GB"/>
        </w:rPr>
        <w:t>Surv</w:t>
      </w:r>
      <w:proofErr w:type="spellEnd"/>
      <w:r w:rsidRPr="0058309B">
        <w:rPr>
          <w:rFonts w:ascii="Arial" w:eastAsia="Times New Roman" w:hAnsi="Arial" w:cs="Arial"/>
          <w:i/>
          <w:iCs/>
          <w:lang w:eastAsia="en-GB"/>
        </w:rPr>
        <w:t xml:space="preserve"> | Vaccine Preventable Diseases | CDC</w:t>
      </w:r>
      <w:r w:rsidRPr="0058309B">
        <w:rPr>
          <w:rFonts w:ascii="Arial" w:eastAsia="Times New Roman" w:hAnsi="Arial" w:cs="Arial"/>
          <w:lang w:eastAsia="en-GB"/>
        </w:rPr>
        <w:t>. [online] www.cdc.gov. Available at: https://www.cdc.gov/vaccines/pubs/surv-manual/chpt19-enhancing-surv.html [Accessed 30 May 2024].</w:t>
      </w:r>
    </w:p>
    <w:p w14:paraId="59843A4F" w14:textId="77777777" w:rsidR="00086421" w:rsidRPr="0058309B" w:rsidRDefault="00086421" w:rsidP="0058309B">
      <w:pPr>
        <w:spacing w:after="240" w:line="360" w:lineRule="auto"/>
        <w:rPr>
          <w:rFonts w:ascii="Arial" w:eastAsia="Times New Roman" w:hAnsi="Arial" w:cs="Arial"/>
          <w:lang w:eastAsia="en-GB"/>
        </w:rPr>
      </w:pPr>
    </w:p>
    <w:p w14:paraId="381BBD48"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The Royal Society (2020). </w:t>
      </w:r>
      <w:r w:rsidRPr="0058309B">
        <w:rPr>
          <w:rFonts w:ascii="Arial" w:eastAsia="Times New Roman" w:hAnsi="Arial" w:cs="Arial"/>
          <w:i/>
          <w:iCs/>
          <w:lang w:eastAsia="en-GB"/>
        </w:rPr>
        <w:t>Herd immunity in the epidemiology and control of COVID-19</w:t>
      </w:r>
      <w:r w:rsidRPr="0058309B">
        <w:rPr>
          <w:rFonts w:ascii="Arial" w:eastAsia="Times New Roman" w:hAnsi="Arial" w:cs="Arial"/>
          <w:lang w:eastAsia="en-GB"/>
        </w:rPr>
        <w:t xml:space="preserve">. [online] </w:t>
      </w:r>
      <w:r w:rsidRPr="0058309B">
        <w:rPr>
          <w:rFonts w:ascii="Arial" w:eastAsia="Times New Roman" w:hAnsi="Arial" w:cs="Arial"/>
          <w:i/>
          <w:iCs/>
          <w:lang w:eastAsia="en-GB"/>
        </w:rPr>
        <w:t>Herd immunity in the epidemiology and control of COVID-19</w:t>
      </w:r>
      <w:r w:rsidRPr="0058309B">
        <w:rPr>
          <w:rFonts w:ascii="Arial" w:eastAsia="Times New Roman" w:hAnsi="Arial" w:cs="Arial"/>
          <w:lang w:eastAsia="en-GB"/>
        </w:rPr>
        <w:t>. Available at: https://royalsociety.org/-/media/policy/projects/set-c/set-c-herd-immunity.pdf [Accessed 28 Apr. 2024].</w:t>
      </w:r>
    </w:p>
    <w:p w14:paraId="4D91BAA3" w14:textId="77777777" w:rsidR="00086421" w:rsidRPr="0058309B" w:rsidRDefault="00086421" w:rsidP="0058309B">
      <w:pPr>
        <w:spacing w:after="240" w:line="360" w:lineRule="auto"/>
        <w:rPr>
          <w:rFonts w:ascii="Arial" w:eastAsia="Times New Roman" w:hAnsi="Arial" w:cs="Arial"/>
          <w:lang w:eastAsia="en-GB"/>
        </w:rPr>
      </w:pPr>
    </w:p>
    <w:p w14:paraId="1B39450E" w14:textId="40BC4C85"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UK Health Security Agency (2024). </w:t>
      </w:r>
      <w:r w:rsidRPr="0058309B">
        <w:rPr>
          <w:rFonts w:ascii="Arial" w:eastAsia="Times New Roman" w:hAnsi="Arial" w:cs="Arial"/>
          <w:i/>
          <w:iCs/>
          <w:lang w:eastAsia="en-GB"/>
        </w:rPr>
        <w:t>National measles guidelines</w:t>
      </w:r>
      <w:r w:rsidRPr="0058309B">
        <w:rPr>
          <w:rFonts w:ascii="Arial" w:eastAsia="Times New Roman" w:hAnsi="Arial" w:cs="Arial"/>
          <w:lang w:eastAsia="en-GB"/>
        </w:rPr>
        <w:t>. [online] Available at:</w:t>
      </w:r>
      <w:r w:rsidR="00086421" w:rsidRPr="0058309B">
        <w:rPr>
          <w:rFonts w:ascii="Arial" w:eastAsia="Times New Roman" w:hAnsi="Arial" w:cs="Arial"/>
          <w:lang w:eastAsia="en-GB"/>
        </w:rPr>
        <w:t>https://assets.publishing.service.gov.uk/media/65ddd0e9f1cab3001afc4774/national-measles-guidelines-Feb-2024.pdf</w:t>
      </w:r>
      <w:r w:rsidRPr="0058309B">
        <w:rPr>
          <w:rFonts w:ascii="Arial" w:eastAsia="Times New Roman" w:hAnsi="Arial" w:cs="Arial"/>
          <w:lang w:eastAsia="en-GB"/>
        </w:rPr>
        <w:t>.</w:t>
      </w:r>
    </w:p>
    <w:p w14:paraId="4473592A" w14:textId="77777777" w:rsidR="00086421" w:rsidRPr="0058309B" w:rsidRDefault="00086421" w:rsidP="0058309B">
      <w:pPr>
        <w:spacing w:after="240" w:line="360" w:lineRule="auto"/>
        <w:rPr>
          <w:rFonts w:ascii="Arial" w:eastAsia="Times New Roman" w:hAnsi="Arial" w:cs="Arial"/>
          <w:lang w:eastAsia="en-GB"/>
        </w:rPr>
      </w:pPr>
    </w:p>
    <w:p w14:paraId="7F1AF203"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Vain, C. (2023). </w:t>
      </w:r>
      <w:r w:rsidRPr="0058309B">
        <w:rPr>
          <w:rFonts w:ascii="Arial" w:eastAsia="Times New Roman" w:hAnsi="Arial" w:cs="Arial"/>
          <w:i/>
          <w:iCs/>
          <w:lang w:eastAsia="en-GB"/>
        </w:rPr>
        <w:t>All about Measles</w:t>
      </w:r>
      <w:r w:rsidRPr="0058309B">
        <w:rPr>
          <w:rFonts w:ascii="Arial" w:eastAsia="Times New Roman" w:hAnsi="Arial" w:cs="Arial"/>
          <w:lang w:eastAsia="en-GB"/>
        </w:rPr>
        <w:t>. [online] CPD Online College. Available at: https://cpdonline.co.uk/knowledge-</w:t>
      </w:r>
      <w:r w:rsidRPr="0058309B">
        <w:rPr>
          <w:rFonts w:ascii="Arial" w:eastAsia="Times New Roman" w:hAnsi="Arial" w:cs="Arial"/>
          <w:lang w:eastAsia="en-GB"/>
        </w:rPr>
        <w:lastRenderedPageBreak/>
        <w:t>base/care/measles/#:~:text=Measles%20spreads%20easily%20and%20can [Accessed 3 May 2024].</w:t>
      </w:r>
    </w:p>
    <w:p w14:paraId="6B5846F5" w14:textId="77777777" w:rsidR="00086421" w:rsidRPr="0058309B" w:rsidRDefault="00086421" w:rsidP="0058309B">
      <w:pPr>
        <w:spacing w:after="240" w:line="360" w:lineRule="auto"/>
        <w:rPr>
          <w:rFonts w:ascii="Arial" w:eastAsia="Times New Roman" w:hAnsi="Arial" w:cs="Arial"/>
          <w:lang w:eastAsia="en-GB"/>
        </w:rPr>
      </w:pPr>
    </w:p>
    <w:p w14:paraId="47C36BAE"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WHO (2019). </w:t>
      </w:r>
      <w:r w:rsidRPr="0058309B">
        <w:rPr>
          <w:rFonts w:ascii="Arial" w:eastAsia="Times New Roman" w:hAnsi="Arial" w:cs="Arial"/>
          <w:i/>
          <w:iCs/>
          <w:lang w:eastAsia="en-GB"/>
        </w:rPr>
        <w:t>Measles and rubella elimination by 2023</w:t>
      </w:r>
      <w:r w:rsidRPr="0058309B">
        <w:rPr>
          <w:rFonts w:ascii="Arial" w:eastAsia="Times New Roman" w:hAnsi="Arial" w:cs="Arial"/>
          <w:lang w:eastAsia="en-GB"/>
        </w:rPr>
        <w:t>. [online] www.who.int. Available at: https://www.who.int/publications/i/item/measles-and-rubella-elimination-by-2023 [Accessed 2 May 2024].</w:t>
      </w:r>
    </w:p>
    <w:p w14:paraId="6360DF49" w14:textId="77777777" w:rsidR="00086421" w:rsidRPr="0058309B" w:rsidRDefault="00086421" w:rsidP="0058309B">
      <w:pPr>
        <w:spacing w:after="240" w:line="360" w:lineRule="auto"/>
        <w:rPr>
          <w:rFonts w:ascii="Arial" w:eastAsia="Times New Roman" w:hAnsi="Arial" w:cs="Arial"/>
          <w:lang w:eastAsia="en-GB"/>
        </w:rPr>
      </w:pPr>
    </w:p>
    <w:p w14:paraId="4ACF34DE" w14:textId="77777777" w:rsidR="00D960CC" w:rsidRDefault="00D960CC" w:rsidP="0058309B">
      <w:pPr>
        <w:spacing w:after="240" w:line="360" w:lineRule="auto"/>
        <w:rPr>
          <w:rFonts w:ascii="Arial" w:eastAsia="Times New Roman" w:hAnsi="Arial" w:cs="Arial"/>
          <w:lang w:eastAsia="en-GB"/>
        </w:rPr>
      </w:pPr>
    </w:p>
    <w:p w14:paraId="56065FF8" w14:textId="77777777" w:rsidR="00D960CC" w:rsidRDefault="00D960CC" w:rsidP="0058309B">
      <w:pPr>
        <w:spacing w:after="240" w:line="360" w:lineRule="auto"/>
        <w:rPr>
          <w:rFonts w:ascii="Arial" w:eastAsia="Times New Roman" w:hAnsi="Arial" w:cs="Arial"/>
          <w:lang w:eastAsia="en-GB"/>
        </w:rPr>
      </w:pPr>
    </w:p>
    <w:p w14:paraId="2F06BF2A" w14:textId="0A2C069D"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Who Health Organisation (2019). </w:t>
      </w:r>
      <w:r w:rsidRPr="0058309B">
        <w:rPr>
          <w:rFonts w:ascii="Arial" w:eastAsia="Times New Roman" w:hAnsi="Arial" w:cs="Arial"/>
          <w:i/>
          <w:iCs/>
          <w:lang w:eastAsia="en-GB"/>
        </w:rPr>
        <w:t>information on COVID-19 vaccines:</w:t>
      </w:r>
      <w:r w:rsidRPr="0058309B">
        <w:rPr>
          <w:rFonts w:ascii="Arial" w:eastAsia="Times New Roman" w:hAnsi="Arial" w:cs="Arial"/>
          <w:lang w:eastAsia="en-GB"/>
        </w:rPr>
        <w:t xml:space="preserve"> [online] Available at: https://www.who.int/emergencies/disease-outbreak-news/item/2020-DON-12Dec2020- [Accessed 23 Apr. 2024].https://www.who.int/emergencies/disease-outbreak-news/item/2020-DON-12Dec2020-covid-19-vaccine-efficacy-results-from-phase-3-trials.</w:t>
      </w:r>
    </w:p>
    <w:p w14:paraId="09672B33" w14:textId="77777777" w:rsidR="00D960CC" w:rsidRPr="0058309B" w:rsidRDefault="00D960CC" w:rsidP="0058309B">
      <w:pPr>
        <w:spacing w:after="240" w:line="360" w:lineRule="auto"/>
        <w:rPr>
          <w:rFonts w:ascii="Arial" w:eastAsia="Times New Roman" w:hAnsi="Arial" w:cs="Arial"/>
          <w:lang w:eastAsia="en-GB"/>
        </w:rPr>
      </w:pPr>
    </w:p>
    <w:p w14:paraId="30E076A4"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World Health Organisation (2019a). </w:t>
      </w:r>
      <w:r w:rsidRPr="0058309B">
        <w:rPr>
          <w:rFonts w:ascii="Arial" w:eastAsia="Times New Roman" w:hAnsi="Arial" w:cs="Arial"/>
          <w:i/>
          <w:iCs/>
          <w:lang w:eastAsia="en-GB"/>
        </w:rPr>
        <w:t>Measles outbreaks in the Pacific</w:t>
      </w:r>
      <w:r w:rsidRPr="0058309B">
        <w:rPr>
          <w:rFonts w:ascii="Arial" w:eastAsia="Times New Roman" w:hAnsi="Arial" w:cs="Arial"/>
          <w:lang w:eastAsia="en-GB"/>
        </w:rPr>
        <w:t>. [online] World health organisation. Available at: https://www.who.int/news-room/q-a-detail/measles [Accessed 1 May 2024]. World Health Organisation . (2019). Measles. Retrieved from .</w:t>
      </w:r>
    </w:p>
    <w:p w14:paraId="18AE7414" w14:textId="77777777" w:rsidR="00862282" w:rsidRPr="0058309B" w:rsidRDefault="00862282" w:rsidP="0058309B">
      <w:pPr>
        <w:spacing w:after="240" w:line="360" w:lineRule="auto"/>
        <w:rPr>
          <w:rFonts w:ascii="Arial" w:eastAsia="Times New Roman" w:hAnsi="Arial" w:cs="Arial"/>
          <w:lang w:eastAsia="en-GB"/>
        </w:rPr>
      </w:pPr>
    </w:p>
    <w:p w14:paraId="2E3436E3" w14:textId="44A9529E"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World Health Organisation (2019b). [online] Measles and Rubella Strategic Plan. Available at: https://www.who.int/immunization/diseases/measles/SRMC_MidTermReview_2019.pdf?ua=1.%20%E2%80%A2 .2012-2020 Midterm Review. Retrieved from </w:t>
      </w:r>
    </w:p>
    <w:p w14:paraId="448B1EF3" w14:textId="77777777" w:rsidR="00D960CC" w:rsidRPr="0058309B" w:rsidRDefault="00D960CC" w:rsidP="0058309B">
      <w:pPr>
        <w:spacing w:after="240" w:line="360" w:lineRule="auto"/>
        <w:rPr>
          <w:rFonts w:ascii="Arial" w:eastAsia="Times New Roman" w:hAnsi="Arial" w:cs="Arial"/>
          <w:lang w:eastAsia="en-GB"/>
        </w:rPr>
      </w:pPr>
    </w:p>
    <w:p w14:paraId="242A7CFB" w14:textId="77777777" w:rsid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World Health Organisation (2023). </w:t>
      </w:r>
      <w:r w:rsidRPr="0058309B">
        <w:rPr>
          <w:rFonts w:ascii="Arial" w:eastAsia="Times New Roman" w:hAnsi="Arial" w:cs="Arial"/>
          <w:i/>
          <w:iCs/>
          <w:lang w:eastAsia="en-GB"/>
        </w:rPr>
        <w:t>12th meeting of the European Regional Verification Commission (RVC) for Measles and Rubella Elimination</w:t>
      </w:r>
      <w:r w:rsidRPr="0058309B">
        <w:rPr>
          <w:rFonts w:ascii="Arial" w:eastAsia="Times New Roman" w:hAnsi="Arial" w:cs="Arial"/>
          <w:lang w:eastAsia="en-GB"/>
        </w:rPr>
        <w:t xml:space="preserve">. [online] </w:t>
      </w:r>
      <w:r w:rsidRPr="0058309B">
        <w:rPr>
          <w:rFonts w:ascii="Arial" w:eastAsia="Times New Roman" w:hAnsi="Arial" w:cs="Arial"/>
          <w:lang w:eastAsia="en-GB"/>
        </w:rPr>
        <w:lastRenderedPageBreak/>
        <w:t>Who.int. Available at: https://www.who.int/europe/news-room/events/item/2023/09/13/default-calendar/12th-meeting-of-the-european-regional-verification-commission-%28rvc%29-for-measles-and-rubella-elimination [Accessed 3 May 2024].</w:t>
      </w:r>
    </w:p>
    <w:p w14:paraId="362D7E89" w14:textId="77777777" w:rsidR="001D5F26" w:rsidRPr="0058309B" w:rsidRDefault="001D5F26" w:rsidP="0058309B">
      <w:pPr>
        <w:spacing w:after="240" w:line="360" w:lineRule="auto"/>
        <w:rPr>
          <w:rFonts w:ascii="Arial" w:eastAsia="Times New Roman" w:hAnsi="Arial" w:cs="Arial"/>
          <w:lang w:eastAsia="en-GB"/>
        </w:rPr>
      </w:pPr>
    </w:p>
    <w:p w14:paraId="0D096CD9" w14:textId="77777777" w:rsidR="0058309B" w:rsidRPr="0058309B" w:rsidRDefault="0058309B" w:rsidP="0058309B">
      <w:pPr>
        <w:spacing w:after="240" w:line="360" w:lineRule="auto"/>
        <w:rPr>
          <w:rFonts w:ascii="Arial" w:eastAsia="Times New Roman" w:hAnsi="Arial" w:cs="Arial"/>
          <w:lang w:eastAsia="en-GB"/>
        </w:rPr>
      </w:pPr>
      <w:r w:rsidRPr="0058309B">
        <w:rPr>
          <w:rFonts w:ascii="Arial" w:eastAsia="Times New Roman" w:hAnsi="Arial" w:cs="Arial"/>
          <w:lang w:eastAsia="en-GB"/>
        </w:rPr>
        <w:t xml:space="preserve">World Health Organisation (2024). </w:t>
      </w:r>
      <w:r w:rsidRPr="0058309B">
        <w:rPr>
          <w:rFonts w:ascii="Arial" w:eastAsia="Times New Roman" w:hAnsi="Arial" w:cs="Arial"/>
          <w:i/>
          <w:iCs/>
          <w:lang w:eastAsia="en-GB"/>
        </w:rPr>
        <w:t>European Regional Verification Commission for Measles and Rubella Elimination (RVC)</w:t>
      </w:r>
      <w:r w:rsidRPr="0058309B">
        <w:rPr>
          <w:rFonts w:ascii="Arial" w:eastAsia="Times New Roman" w:hAnsi="Arial" w:cs="Arial"/>
          <w:lang w:eastAsia="en-GB"/>
        </w:rPr>
        <w:t>. [online] www.who.int. Available at: https://www.who.int/europe/groups/european-regional-verification-commission-for-measles-and-rubella-elimination-rvc.</w:t>
      </w:r>
    </w:p>
    <w:p w14:paraId="00547656" w14:textId="0F6E2342" w:rsidR="0E1FFB64" w:rsidRPr="0074353E" w:rsidRDefault="0E1FFB64" w:rsidP="00C91E74">
      <w:pPr>
        <w:spacing w:after="0" w:line="360" w:lineRule="auto"/>
        <w:rPr>
          <w:rFonts w:ascii="Arial" w:hAnsi="Arial" w:cs="Arial"/>
        </w:rPr>
      </w:pPr>
    </w:p>
    <w:p w14:paraId="60F61C01" w14:textId="6AD68653" w:rsidR="0E1FFB64" w:rsidRPr="0074353E" w:rsidRDefault="0E1FFB64" w:rsidP="00C91E74">
      <w:pPr>
        <w:spacing w:line="360" w:lineRule="auto"/>
        <w:rPr>
          <w:rFonts w:ascii="Arial" w:eastAsia="Arial" w:hAnsi="Arial" w:cs="Arial"/>
          <w:color w:val="000000" w:themeColor="text1"/>
        </w:rPr>
      </w:pPr>
    </w:p>
    <w:p w14:paraId="115D8F1F" w14:textId="4BFEDE7A" w:rsidR="430649DF" w:rsidRPr="0074353E" w:rsidRDefault="430649DF" w:rsidP="00C91E74">
      <w:pPr>
        <w:spacing w:line="360" w:lineRule="auto"/>
        <w:rPr>
          <w:rFonts w:ascii="Arial" w:eastAsia="Arial" w:hAnsi="Arial" w:cs="Arial"/>
        </w:rPr>
      </w:pPr>
    </w:p>
    <w:p w14:paraId="79A85E78" w14:textId="540F77AD" w:rsidR="430649DF" w:rsidRPr="0074353E" w:rsidRDefault="430649DF" w:rsidP="00C91E74">
      <w:pPr>
        <w:spacing w:line="360" w:lineRule="auto"/>
        <w:rPr>
          <w:rFonts w:ascii="Arial" w:eastAsia="Arial" w:hAnsi="Arial" w:cs="Arial"/>
        </w:rPr>
      </w:pPr>
    </w:p>
    <w:p w14:paraId="626148E3" w14:textId="21ADECA4" w:rsidR="430649DF" w:rsidRPr="0074353E" w:rsidRDefault="430649DF" w:rsidP="00C91E74">
      <w:pPr>
        <w:spacing w:line="360" w:lineRule="auto"/>
        <w:rPr>
          <w:rFonts w:ascii="Arial" w:eastAsia="Arial" w:hAnsi="Arial" w:cs="Arial"/>
        </w:rPr>
      </w:pPr>
    </w:p>
    <w:p w14:paraId="7058C22B" w14:textId="40D3BC84" w:rsidR="430649DF" w:rsidRPr="0074353E" w:rsidRDefault="430649DF" w:rsidP="00C91E74">
      <w:pPr>
        <w:spacing w:line="360" w:lineRule="auto"/>
        <w:rPr>
          <w:rFonts w:ascii="Arial" w:eastAsia="Arial" w:hAnsi="Arial" w:cs="Arial"/>
        </w:rPr>
      </w:pPr>
    </w:p>
    <w:p w14:paraId="3EAE69E2" w14:textId="59C577DF" w:rsidR="50006EF1" w:rsidRDefault="50006EF1" w:rsidP="00C91E74">
      <w:pPr>
        <w:spacing w:after="240" w:line="360" w:lineRule="auto"/>
        <w:jc w:val="both"/>
        <w:rPr>
          <w:rFonts w:ascii="Arial" w:eastAsia="Arial" w:hAnsi="Arial" w:cs="Arial"/>
        </w:rPr>
      </w:pPr>
    </w:p>
    <w:p w14:paraId="25DB1FED" w14:textId="507E9737" w:rsidR="50006EF1" w:rsidRDefault="50006EF1" w:rsidP="00C91E74">
      <w:pPr>
        <w:spacing w:after="240" w:line="360" w:lineRule="auto"/>
        <w:jc w:val="both"/>
        <w:rPr>
          <w:rFonts w:ascii="Arial" w:eastAsia="Arial" w:hAnsi="Arial" w:cs="Arial"/>
        </w:rPr>
      </w:pPr>
    </w:p>
    <w:p w14:paraId="552D495B" w14:textId="47820560" w:rsidR="0E1FFB64" w:rsidRDefault="0E1FFB64" w:rsidP="00C91E74">
      <w:pPr>
        <w:spacing w:line="360" w:lineRule="auto"/>
        <w:jc w:val="both"/>
        <w:rPr>
          <w:rFonts w:ascii="Arial" w:eastAsia="Arial" w:hAnsi="Arial" w:cs="Arial"/>
        </w:rPr>
      </w:pPr>
    </w:p>
    <w:sectPr w:rsidR="0E1FFB6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FE617C" w14:textId="77777777" w:rsidR="00447B0A" w:rsidRDefault="00447B0A">
      <w:pPr>
        <w:spacing w:after="0" w:line="240" w:lineRule="auto"/>
      </w:pPr>
      <w:r>
        <w:separator/>
      </w:r>
    </w:p>
  </w:endnote>
  <w:endnote w:type="continuationSeparator" w:id="0">
    <w:p w14:paraId="50D81112" w14:textId="77777777" w:rsidR="00447B0A" w:rsidRDefault="00447B0A">
      <w:pPr>
        <w:spacing w:after="0" w:line="240" w:lineRule="auto"/>
      </w:pPr>
      <w:r>
        <w:continuationSeparator/>
      </w:r>
    </w:p>
  </w:endnote>
  <w:endnote w:type="continuationNotice" w:id="1">
    <w:p w14:paraId="6CD5433C" w14:textId="77777777" w:rsidR="001F7628" w:rsidRDefault="001F76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C2BEF3" w14:textId="09C2D76E" w:rsidR="0E1FFB64" w:rsidRDefault="0E1FFB64" w:rsidP="0E1FFB64">
    <w:pPr>
      <w:pStyle w:val="Footer"/>
    </w:pPr>
    <w:r>
      <w:fldChar w:fldCharType="begin"/>
    </w:r>
    <w:r>
      <w:instrText>PAGE</w:instrText>
    </w:r>
    <w:r w:rsidR="00447B0A">
      <w:fldChar w:fldCharType="separate"/>
    </w:r>
    <w:r w:rsidR="00A83C0E">
      <w:rPr>
        <w:noProof/>
      </w:rPr>
      <w:t>1</w:t>
    </w:r>
    <w:r>
      <w:fldChar w:fldCharType="end"/>
    </w:r>
    <w:r>
      <w:t xml:space="preserve"> of </w:t>
    </w:r>
    <w:r>
      <w:fldChar w:fldCharType="begin"/>
    </w:r>
    <w:r>
      <w:instrText>NUMPAGES</w:instrText>
    </w:r>
    <w:r w:rsidR="00447B0A">
      <w:fldChar w:fldCharType="separate"/>
    </w:r>
    <w:r w:rsidR="00A83C0E">
      <w:rPr>
        <w:noProof/>
      </w:rPr>
      <w:t>2</w:t>
    </w:r>
    <w:r>
      <w:fldChar w:fldCharType="end"/>
    </w:r>
  </w:p>
  <w:p w14:paraId="587BF44D" w14:textId="1E7B8CE6" w:rsidR="0E1FFB64" w:rsidRDefault="0E1FFB64" w:rsidP="0E1FF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CEAD14" w14:textId="77777777" w:rsidR="00447B0A" w:rsidRDefault="00447B0A">
      <w:pPr>
        <w:spacing w:after="0" w:line="240" w:lineRule="auto"/>
      </w:pPr>
      <w:r>
        <w:separator/>
      </w:r>
    </w:p>
  </w:footnote>
  <w:footnote w:type="continuationSeparator" w:id="0">
    <w:p w14:paraId="454A7E0E" w14:textId="77777777" w:rsidR="00447B0A" w:rsidRDefault="00447B0A">
      <w:pPr>
        <w:spacing w:after="0" w:line="240" w:lineRule="auto"/>
      </w:pPr>
      <w:r>
        <w:continuationSeparator/>
      </w:r>
    </w:p>
  </w:footnote>
  <w:footnote w:type="continuationNotice" w:id="1">
    <w:p w14:paraId="11E49890" w14:textId="77777777" w:rsidR="001F7628" w:rsidRDefault="001F76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E1FFB64" w14:paraId="03A19255" w14:textId="77777777" w:rsidTr="0E1FFB64">
      <w:trPr>
        <w:trHeight w:val="300"/>
      </w:trPr>
      <w:tc>
        <w:tcPr>
          <w:tcW w:w="3005" w:type="dxa"/>
        </w:tcPr>
        <w:p w14:paraId="588965D9" w14:textId="2F4029AE" w:rsidR="0E1FFB64" w:rsidRDefault="0E1FFB64" w:rsidP="0E1FFB64">
          <w:pPr>
            <w:pStyle w:val="Header"/>
            <w:ind w:left="-115"/>
          </w:pPr>
        </w:p>
      </w:tc>
      <w:tc>
        <w:tcPr>
          <w:tcW w:w="3005" w:type="dxa"/>
        </w:tcPr>
        <w:p w14:paraId="421B2B67" w14:textId="6C8097A7" w:rsidR="0E1FFB64" w:rsidRDefault="0E1FFB64" w:rsidP="0E1FFB64">
          <w:pPr>
            <w:pStyle w:val="Header"/>
            <w:jc w:val="center"/>
          </w:pPr>
        </w:p>
      </w:tc>
      <w:tc>
        <w:tcPr>
          <w:tcW w:w="3005" w:type="dxa"/>
        </w:tcPr>
        <w:p w14:paraId="695BF5C4" w14:textId="52548DBE" w:rsidR="0E1FFB64" w:rsidRDefault="0E1FFB64" w:rsidP="0E1FFB64">
          <w:pPr>
            <w:pStyle w:val="Header"/>
            <w:ind w:right="-115"/>
            <w:jc w:val="right"/>
          </w:pPr>
        </w:p>
      </w:tc>
    </w:tr>
  </w:tbl>
  <w:p w14:paraId="0FAA65C1" w14:textId="7CA78F9D" w:rsidR="0E1FFB64" w:rsidRDefault="0E1FFB64" w:rsidP="0E1FFB64">
    <w:pPr>
      <w:pStyle w:val="Header"/>
    </w:pPr>
  </w:p>
</w:hdr>
</file>

<file path=word/intelligence2.xml><?xml version="1.0" encoding="utf-8"?>
<int2:intelligence xmlns:int2="http://schemas.microsoft.com/office/intelligence/2020/intelligence" xmlns:oel="http://schemas.microsoft.com/office/2019/extlst">
  <int2:observations>
    <int2:textHash int2:hashCode="0GQNqoCzPA7PDF" int2:id="YSwAKs3I">
      <int2:state int2:value="Rejected" int2:type="AugLoop_Text_Critique"/>
    </int2:textHash>
    <int2:textHash int2:hashCode="3JRD0kYrzYU8/r" int2:id="mPMw9SHc">
      <int2:state int2:value="Rejected" int2:type="AugLoop_Text_Critique"/>
    </int2:textHash>
    <int2:textHash int2:hashCode="/j/l8k0lVktCus" int2:id="u81oB9yp">
      <int2:state int2:value="Rejected" int2:type="AugLoop_Text_Critique"/>
    </int2:textHash>
    <int2:bookmark int2:bookmarkName="_Int_RXi9KqPt" int2:invalidationBookmarkName="" int2:hashCode="qjCTVURy/RExNb" int2:id="ozCGKfzp">
      <int2:state int2:value="Rejected" int2:type="AugLoop_Text_Critique"/>
    </int2:bookmark>
    <int2:bookmark int2:bookmarkName="_Int_1MB1Kq8w" int2:invalidationBookmarkName="" int2:hashCode="2IfnMCeddkImHR" int2:id="vfHXzv1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E61E49"/>
    <w:multiLevelType w:val="hybridMultilevel"/>
    <w:tmpl w:val="880A7FFA"/>
    <w:lvl w:ilvl="0" w:tplc="BE6CCA34">
      <w:start w:val="1"/>
      <w:numFmt w:val="bullet"/>
      <w:lvlText w:val="♦"/>
      <w:lvlJc w:val="left"/>
      <w:pPr>
        <w:ind w:left="720" w:hanging="360"/>
      </w:pPr>
      <w:rPr>
        <w:rFonts w:ascii="Courier New" w:hAnsi="Courier New" w:hint="default"/>
      </w:rPr>
    </w:lvl>
    <w:lvl w:ilvl="1" w:tplc="358A6D06">
      <w:start w:val="2023"/>
      <w:numFmt w:val="bullet"/>
      <w:lvlText w:val="•"/>
      <w:lvlJc w:val="left"/>
      <w:pPr>
        <w:ind w:left="1440" w:hanging="360"/>
      </w:pPr>
      <w:rPr>
        <w:rFonts w:ascii="Arial" w:eastAsia="Arial" w:hAnsi="Arial" w:cs="Aria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9BDE4F"/>
    <w:multiLevelType w:val="hybridMultilevel"/>
    <w:tmpl w:val="FFFFFFFF"/>
    <w:lvl w:ilvl="0" w:tplc="BE6CCA34">
      <w:start w:val="1"/>
      <w:numFmt w:val="bullet"/>
      <w:lvlText w:val="♦"/>
      <w:lvlJc w:val="left"/>
      <w:pPr>
        <w:ind w:left="720" w:hanging="360"/>
      </w:pPr>
      <w:rPr>
        <w:rFonts w:ascii="Courier New" w:hAnsi="Courier New" w:hint="default"/>
      </w:rPr>
    </w:lvl>
    <w:lvl w:ilvl="1" w:tplc="BDF02C18">
      <w:start w:val="1"/>
      <w:numFmt w:val="bullet"/>
      <w:lvlText w:val="o"/>
      <w:lvlJc w:val="left"/>
      <w:pPr>
        <w:ind w:left="1440" w:hanging="360"/>
      </w:pPr>
      <w:rPr>
        <w:rFonts w:ascii="Courier New" w:hAnsi="Courier New" w:hint="default"/>
      </w:rPr>
    </w:lvl>
    <w:lvl w:ilvl="2" w:tplc="F0E062E4">
      <w:start w:val="1"/>
      <w:numFmt w:val="bullet"/>
      <w:lvlText w:val=""/>
      <w:lvlJc w:val="left"/>
      <w:pPr>
        <w:ind w:left="2160" w:hanging="360"/>
      </w:pPr>
      <w:rPr>
        <w:rFonts w:ascii="Wingdings" w:hAnsi="Wingdings" w:hint="default"/>
      </w:rPr>
    </w:lvl>
    <w:lvl w:ilvl="3" w:tplc="34562C4E">
      <w:start w:val="1"/>
      <w:numFmt w:val="bullet"/>
      <w:lvlText w:val=""/>
      <w:lvlJc w:val="left"/>
      <w:pPr>
        <w:ind w:left="2880" w:hanging="360"/>
      </w:pPr>
      <w:rPr>
        <w:rFonts w:ascii="Symbol" w:hAnsi="Symbol" w:hint="default"/>
      </w:rPr>
    </w:lvl>
    <w:lvl w:ilvl="4" w:tplc="04688DCE">
      <w:start w:val="1"/>
      <w:numFmt w:val="bullet"/>
      <w:lvlText w:val="o"/>
      <w:lvlJc w:val="left"/>
      <w:pPr>
        <w:ind w:left="3600" w:hanging="360"/>
      </w:pPr>
      <w:rPr>
        <w:rFonts w:ascii="Courier New" w:hAnsi="Courier New" w:hint="default"/>
      </w:rPr>
    </w:lvl>
    <w:lvl w:ilvl="5" w:tplc="BFA6BACE">
      <w:start w:val="1"/>
      <w:numFmt w:val="bullet"/>
      <w:lvlText w:val=""/>
      <w:lvlJc w:val="left"/>
      <w:pPr>
        <w:ind w:left="4320" w:hanging="360"/>
      </w:pPr>
      <w:rPr>
        <w:rFonts w:ascii="Wingdings" w:hAnsi="Wingdings" w:hint="default"/>
      </w:rPr>
    </w:lvl>
    <w:lvl w:ilvl="6" w:tplc="1004AE4C">
      <w:start w:val="1"/>
      <w:numFmt w:val="bullet"/>
      <w:lvlText w:val=""/>
      <w:lvlJc w:val="left"/>
      <w:pPr>
        <w:ind w:left="5040" w:hanging="360"/>
      </w:pPr>
      <w:rPr>
        <w:rFonts w:ascii="Symbol" w:hAnsi="Symbol" w:hint="default"/>
      </w:rPr>
    </w:lvl>
    <w:lvl w:ilvl="7" w:tplc="4440D0FA">
      <w:start w:val="1"/>
      <w:numFmt w:val="bullet"/>
      <w:lvlText w:val="o"/>
      <w:lvlJc w:val="left"/>
      <w:pPr>
        <w:ind w:left="5760" w:hanging="360"/>
      </w:pPr>
      <w:rPr>
        <w:rFonts w:ascii="Courier New" w:hAnsi="Courier New" w:hint="default"/>
      </w:rPr>
    </w:lvl>
    <w:lvl w:ilvl="8" w:tplc="C50CDCD2">
      <w:start w:val="1"/>
      <w:numFmt w:val="bullet"/>
      <w:lvlText w:val=""/>
      <w:lvlJc w:val="left"/>
      <w:pPr>
        <w:ind w:left="6480" w:hanging="360"/>
      </w:pPr>
      <w:rPr>
        <w:rFonts w:ascii="Wingdings" w:hAnsi="Wingdings" w:hint="default"/>
      </w:rPr>
    </w:lvl>
  </w:abstractNum>
  <w:abstractNum w:abstractNumId="2" w15:restartNumberingAfterBreak="0">
    <w:nsid w:val="3DD26201"/>
    <w:multiLevelType w:val="hybridMultilevel"/>
    <w:tmpl w:val="1D7A3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96316B"/>
    <w:multiLevelType w:val="hybridMultilevel"/>
    <w:tmpl w:val="2AE29AF0"/>
    <w:lvl w:ilvl="0" w:tplc="BE6CCA3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04B31"/>
    <w:multiLevelType w:val="hybridMultilevel"/>
    <w:tmpl w:val="4BEAE6CC"/>
    <w:lvl w:ilvl="0" w:tplc="BE6CCA34">
      <w:start w:val="1"/>
      <w:numFmt w:val="bullet"/>
      <w:lvlText w:val="♦"/>
      <w:lvlJc w:val="left"/>
      <w:pPr>
        <w:ind w:left="720" w:hanging="360"/>
      </w:pPr>
      <w:rPr>
        <w:rFonts w:ascii="Courier New" w:hAnsi="Courier New" w:hint="default"/>
      </w:rPr>
    </w:lvl>
    <w:lvl w:ilvl="1" w:tplc="BE6CCA34">
      <w:start w:val="1"/>
      <w:numFmt w:val="bullet"/>
      <w:lvlText w:val="♦"/>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E338525"/>
    <w:multiLevelType w:val="hybridMultilevel"/>
    <w:tmpl w:val="FFFFFFFF"/>
    <w:lvl w:ilvl="0" w:tplc="AD0EA160">
      <w:start w:val="1"/>
      <w:numFmt w:val="bullet"/>
      <w:lvlText w:val=""/>
      <w:lvlJc w:val="left"/>
      <w:pPr>
        <w:ind w:left="720" w:hanging="360"/>
      </w:pPr>
      <w:rPr>
        <w:rFonts w:ascii="Symbol" w:hAnsi="Symbol" w:hint="default"/>
      </w:rPr>
    </w:lvl>
    <w:lvl w:ilvl="1" w:tplc="74E02BD0">
      <w:start w:val="1"/>
      <w:numFmt w:val="bullet"/>
      <w:lvlText w:val="o"/>
      <w:lvlJc w:val="left"/>
      <w:pPr>
        <w:ind w:left="1440" w:hanging="360"/>
      </w:pPr>
      <w:rPr>
        <w:rFonts w:ascii="Courier New" w:hAnsi="Courier New" w:hint="default"/>
      </w:rPr>
    </w:lvl>
    <w:lvl w:ilvl="2" w:tplc="57001240">
      <w:start w:val="1"/>
      <w:numFmt w:val="bullet"/>
      <w:lvlText w:val=""/>
      <w:lvlJc w:val="left"/>
      <w:pPr>
        <w:ind w:left="2160" w:hanging="360"/>
      </w:pPr>
      <w:rPr>
        <w:rFonts w:ascii="Wingdings" w:hAnsi="Wingdings" w:hint="default"/>
      </w:rPr>
    </w:lvl>
    <w:lvl w:ilvl="3" w:tplc="81646336">
      <w:start w:val="1"/>
      <w:numFmt w:val="bullet"/>
      <w:lvlText w:val=""/>
      <w:lvlJc w:val="left"/>
      <w:pPr>
        <w:ind w:left="2880" w:hanging="360"/>
      </w:pPr>
      <w:rPr>
        <w:rFonts w:ascii="Symbol" w:hAnsi="Symbol" w:hint="default"/>
      </w:rPr>
    </w:lvl>
    <w:lvl w:ilvl="4" w:tplc="A65221C6">
      <w:start w:val="1"/>
      <w:numFmt w:val="bullet"/>
      <w:lvlText w:val="o"/>
      <w:lvlJc w:val="left"/>
      <w:pPr>
        <w:ind w:left="3600" w:hanging="360"/>
      </w:pPr>
      <w:rPr>
        <w:rFonts w:ascii="Courier New" w:hAnsi="Courier New" w:hint="default"/>
      </w:rPr>
    </w:lvl>
    <w:lvl w:ilvl="5" w:tplc="17E86E10">
      <w:start w:val="1"/>
      <w:numFmt w:val="bullet"/>
      <w:lvlText w:val=""/>
      <w:lvlJc w:val="left"/>
      <w:pPr>
        <w:ind w:left="4320" w:hanging="360"/>
      </w:pPr>
      <w:rPr>
        <w:rFonts w:ascii="Wingdings" w:hAnsi="Wingdings" w:hint="default"/>
      </w:rPr>
    </w:lvl>
    <w:lvl w:ilvl="6" w:tplc="B36A7AE6">
      <w:start w:val="1"/>
      <w:numFmt w:val="bullet"/>
      <w:lvlText w:val=""/>
      <w:lvlJc w:val="left"/>
      <w:pPr>
        <w:ind w:left="5040" w:hanging="360"/>
      </w:pPr>
      <w:rPr>
        <w:rFonts w:ascii="Symbol" w:hAnsi="Symbol" w:hint="default"/>
      </w:rPr>
    </w:lvl>
    <w:lvl w:ilvl="7" w:tplc="421ECACE">
      <w:start w:val="1"/>
      <w:numFmt w:val="bullet"/>
      <w:lvlText w:val="o"/>
      <w:lvlJc w:val="left"/>
      <w:pPr>
        <w:ind w:left="5760" w:hanging="360"/>
      </w:pPr>
      <w:rPr>
        <w:rFonts w:ascii="Courier New" w:hAnsi="Courier New" w:hint="default"/>
      </w:rPr>
    </w:lvl>
    <w:lvl w:ilvl="8" w:tplc="C908C9F6">
      <w:start w:val="1"/>
      <w:numFmt w:val="bullet"/>
      <w:lvlText w:val=""/>
      <w:lvlJc w:val="left"/>
      <w:pPr>
        <w:ind w:left="6480" w:hanging="360"/>
      </w:pPr>
      <w:rPr>
        <w:rFonts w:ascii="Wingdings" w:hAnsi="Wingdings" w:hint="default"/>
      </w:rPr>
    </w:lvl>
  </w:abstractNum>
  <w:abstractNum w:abstractNumId="6" w15:restartNumberingAfterBreak="0">
    <w:nsid w:val="705B106D"/>
    <w:multiLevelType w:val="hybridMultilevel"/>
    <w:tmpl w:val="BF76AF36"/>
    <w:lvl w:ilvl="0" w:tplc="BE6CCA34">
      <w:start w:val="1"/>
      <w:numFmt w:val="bullet"/>
      <w:lvlText w:val="♦"/>
      <w:lvlJc w:val="left"/>
      <w:pPr>
        <w:ind w:left="792" w:hanging="360"/>
      </w:pPr>
      <w:rPr>
        <w:rFonts w:ascii="Courier New" w:hAnsi="Courier New"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617717351">
    <w:abstractNumId w:val="1"/>
  </w:num>
  <w:num w:numId="2" w16cid:durableId="491288764">
    <w:abstractNumId w:val="5"/>
  </w:num>
  <w:num w:numId="3" w16cid:durableId="1012486263">
    <w:abstractNumId w:val="2"/>
  </w:num>
  <w:num w:numId="4" w16cid:durableId="1013261672">
    <w:abstractNumId w:val="3"/>
  </w:num>
  <w:num w:numId="5" w16cid:durableId="1663459857">
    <w:abstractNumId w:val="6"/>
  </w:num>
  <w:num w:numId="6" w16cid:durableId="1208034149">
    <w:abstractNumId w:val="0"/>
  </w:num>
  <w:num w:numId="7" w16cid:durableId="14424507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5E49C3"/>
    <w:rsid w:val="00017385"/>
    <w:rsid w:val="0003373F"/>
    <w:rsid w:val="00036F07"/>
    <w:rsid w:val="00042713"/>
    <w:rsid w:val="00075AC6"/>
    <w:rsid w:val="000762EA"/>
    <w:rsid w:val="000808C8"/>
    <w:rsid w:val="00086421"/>
    <w:rsid w:val="000B0D74"/>
    <w:rsid w:val="000C67AC"/>
    <w:rsid w:val="0010157E"/>
    <w:rsid w:val="00105C78"/>
    <w:rsid w:val="001735E1"/>
    <w:rsid w:val="001744E0"/>
    <w:rsid w:val="001930E5"/>
    <w:rsid w:val="001B4522"/>
    <w:rsid w:val="001D5F26"/>
    <w:rsid w:val="001F7628"/>
    <w:rsid w:val="00224D84"/>
    <w:rsid w:val="002868C1"/>
    <w:rsid w:val="002B1871"/>
    <w:rsid w:val="002C1422"/>
    <w:rsid w:val="002C4863"/>
    <w:rsid w:val="002D1091"/>
    <w:rsid w:val="003061BB"/>
    <w:rsid w:val="003677DC"/>
    <w:rsid w:val="00392A19"/>
    <w:rsid w:val="003E0466"/>
    <w:rsid w:val="003E0FDA"/>
    <w:rsid w:val="00426359"/>
    <w:rsid w:val="00431880"/>
    <w:rsid w:val="00447B0A"/>
    <w:rsid w:val="00467933"/>
    <w:rsid w:val="00481AA9"/>
    <w:rsid w:val="00486691"/>
    <w:rsid w:val="004869A9"/>
    <w:rsid w:val="00495DD8"/>
    <w:rsid w:val="004D0455"/>
    <w:rsid w:val="0052129C"/>
    <w:rsid w:val="005348CA"/>
    <w:rsid w:val="00544484"/>
    <w:rsid w:val="005508D1"/>
    <w:rsid w:val="0055322C"/>
    <w:rsid w:val="00555ACE"/>
    <w:rsid w:val="00557BA9"/>
    <w:rsid w:val="0058309B"/>
    <w:rsid w:val="005931DF"/>
    <w:rsid w:val="005C1830"/>
    <w:rsid w:val="005C252D"/>
    <w:rsid w:val="005D48DB"/>
    <w:rsid w:val="00604840"/>
    <w:rsid w:val="006060AE"/>
    <w:rsid w:val="00621DCE"/>
    <w:rsid w:val="00637031"/>
    <w:rsid w:val="00687FB6"/>
    <w:rsid w:val="00693404"/>
    <w:rsid w:val="00697F66"/>
    <w:rsid w:val="006B2690"/>
    <w:rsid w:val="006E2154"/>
    <w:rsid w:val="006E4B24"/>
    <w:rsid w:val="006F1372"/>
    <w:rsid w:val="006F5556"/>
    <w:rsid w:val="007152B7"/>
    <w:rsid w:val="00716F1D"/>
    <w:rsid w:val="00720A2D"/>
    <w:rsid w:val="00740E5A"/>
    <w:rsid w:val="0074353E"/>
    <w:rsid w:val="007A205D"/>
    <w:rsid w:val="007B311D"/>
    <w:rsid w:val="007E453F"/>
    <w:rsid w:val="0081506C"/>
    <w:rsid w:val="00821F5D"/>
    <w:rsid w:val="00862282"/>
    <w:rsid w:val="00891BC8"/>
    <w:rsid w:val="008B4F93"/>
    <w:rsid w:val="008B6C4D"/>
    <w:rsid w:val="008E4B89"/>
    <w:rsid w:val="00900876"/>
    <w:rsid w:val="00942E35"/>
    <w:rsid w:val="009518EA"/>
    <w:rsid w:val="00A60479"/>
    <w:rsid w:val="00A80BF4"/>
    <w:rsid w:val="00A83C0E"/>
    <w:rsid w:val="00A87FAF"/>
    <w:rsid w:val="00AC699C"/>
    <w:rsid w:val="00AD39DA"/>
    <w:rsid w:val="00AE24E4"/>
    <w:rsid w:val="00AF2C1B"/>
    <w:rsid w:val="00AF2E6D"/>
    <w:rsid w:val="00B061B6"/>
    <w:rsid w:val="00B102B5"/>
    <w:rsid w:val="00B42B4D"/>
    <w:rsid w:val="00BB69B7"/>
    <w:rsid w:val="00BC2619"/>
    <w:rsid w:val="00BD114C"/>
    <w:rsid w:val="00BD717B"/>
    <w:rsid w:val="00C307A4"/>
    <w:rsid w:val="00C50AF7"/>
    <w:rsid w:val="00C64622"/>
    <w:rsid w:val="00C777AE"/>
    <w:rsid w:val="00C91E74"/>
    <w:rsid w:val="00C96C24"/>
    <w:rsid w:val="00D1575E"/>
    <w:rsid w:val="00D26F01"/>
    <w:rsid w:val="00D66772"/>
    <w:rsid w:val="00D90536"/>
    <w:rsid w:val="00D960CC"/>
    <w:rsid w:val="00DC5765"/>
    <w:rsid w:val="00E12A3E"/>
    <w:rsid w:val="00E1599C"/>
    <w:rsid w:val="00E27D0F"/>
    <w:rsid w:val="00E546A2"/>
    <w:rsid w:val="00E71E45"/>
    <w:rsid w:val="00E76B4A"/>
    <w:rsid w:val="00E7750A"/>
    <w:rsid w:val="00EA211A"/>
    <w:rsid w:val="00EF03B2"/>
    <w:rsid w:val="00F04F18"/>
    <w:rsid w:val="00F37B76"/>
    <w:rsid w:val="00F53731"/>
    <w:rsid w:val="00FB5BDD"/>
    <w:rsid w:val="0A1AC6E3"/>
    <w:rsid w:val="0E1FFB64"/>
    <w:rsid w:val="1D2E6795"/>
    <w:rsid w:val="215E49C3"/>
    <w:rsid w:val="406BDD33"/>
    <w:rsid w:val="412B1AC0"/>
    <w:rsid w:val="430649DF"/>
    <w:rsid w:val="50006EF1"/>
    <w:rsid w:val="662CD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E49C3"/>
  <w15:chartTrackingRefBased/>
  <w15:docId w15:val="{0D8FC34B-5053-44EB-A5DB-EB393F1C6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74353E"/>
    <w:rPr>
      <w:color w:val="605E5C"/>
      <w:shd w:val="clear" w:color="auto" w:fill="E1DFDD"/>
    </w:rPr>
  </w:style>
  <w:style w:type="paragraph" w:styleId="NormalWeb">
    <w:name w:val="Normal (Web)"/>
    <w:basedOn w:val="Normal"/>
    <w:uiPriority w:val="99"/>
    <w:semiHidden/>
    <w:unhideWhenUsed/>
    <w:rsid w:val="00BD114C"/>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326311">
      <w:bodyDiv w:val="1"/>
      <w:marLeft w:val="0"/>
      <w:marRight w:val="0"/>
      <w:marTop w:val="0"/>
      <w:marBottom w:val="0"/>
      <w:divBdr>
        <w:top w:val="none" w:sz="0" w:space="0" w:color="auto"/>
        <w:left w:val="none" w:sz="0" w:space="0" w:color="auto"/>
        <w:bottom w:val="none" w:sz="0" w:space="0" w:color="auto"/>
        <w:right w:val="none" w:sz="0" w:space="0" w:color="auto"/>
      </w:divBdr>
    </w:div>
    <w:div w:id="1166019962">
      <w:bodyDiv w:val="1"/>
      <w:marLeft w:val="0"/>
      <w:marRight w:val="0"/>
      <w:marTop w:val="0"/>
      <w:marBottom w:val="0"/>
      <w:divBdr>
        <w:top w:val="none" w:sz="0" w:space="0" w:color="auto"/>
        <w:left w:val="none" w:sz="0" w:space="0" w:color="auto"/>
        <w:bottom w:val="none" w:sz="0" w:space="0" w:color="auto"/>
        <w:right w:val="none" w:sz="0" w:space="0" w:color="auto"/>
      </w:divBdr>
      <w:divsChild>
        <w:div w:id="1512067289">
          <w:marLeft w:val="0"/>
          <w:marRight w:val="0"/>
          <w:marTop w:val="0"/>
          <w:marBottom w:val="0"/>
          <w:divBdr>
            <w:top w:val="none" w:sz="0" w:space="0" w:color="auto"/>
            <w:left w:val="none" w:sz="0" w:space="0" w:color="auto"/>
            <w:bottom w:val="none" w:sz="0" w:space="0" w:color="auto"/>
            <w:right w:val="none" w:sz="0" w:space="0" w:color="auto"/>
          </w:divBdr>
          <w:divsChild>
            <w:div w:id="1077243791">
              <w:marLeft w:val="0"/>
              <w:marRight w:val="0"/>
              <w:marTop w:val="0"/>
              <w:marBottom w:val="0"/>
              <w:divBdr>
                <w:top w:val="none" w:sz="0" w:space="0" w:color="auto"/>
                <w:left w:val="none" w:sz="0" w:space="0" w:color="auto"/>
                <w:bottom w:val="none" w:sz="0" w:space="0" w:color="auto"/>
                <w:right w:val="none" w:sz="0" w:space="0" w:color="auto"/>
              </w:divBdr>
              <w:divsChild>
                <w:div w:id="2498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422420">
      <w:bodyDiv w:val="1"/>
      <w:marLeft w:val="0"/>
      <w:marRight w:val="0"/>
      <w:marTop w:val="0"/>
      <w:marBottom w:val="0"/>
      <w:divBdr>
        <w:top w:val="none" w:sz="0" w:space="0" w:color="auto"/>
        <w:left w:val="none" w:sz="0" w:space="0" w:color="auto"/>
        <w:bottom w:val="none" w:sz="0" w:space="0" w:color="auto"/>
        <w:right w:val="none" w:sz="0" w:space="0" w:color="auto"/>
      </w:divBdr>
      <w:divsChild>
        <w:div w:id="760298646">
          <w:marLeft w:val="0"/>
          <w:marRight w:val="0"/>
          <w:marTop w:val="0"/>
          <w:marBottom w:val="0"/>
          <w:divBdr>
            <w:top w:val="none" w:sz="0" w:space="0" w:color="auto"/>
            <w:left w:val="none" w:sz="0" w:space="0" w:color="auto"/>
            <w:bottom w:val="none" w:sz="0" w:space="0" w:color="auto"/>
            <w:right w:val="none" w:sz="0" w:space="0" w:color="auto"/>
          </w:divBdr>
        </w:div>
      </w:divsChild>
    </w:div>
    <w:div w:id="189084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3447</Words>
  <Characters>19654</Characters>
  <Application>Microsoft Office Word</Application>
  <DocSecurity>0</DocSecurity>
  <Lines>163</Lines>
  <Paragraphs>46</Paragraphs>
  <ScaleCrop>false</ScaleCrop>
  <Company/>
  <LinksUpToDate>false</LinksUpToDate>
  <CharactersWithSpaces>23055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Brown</dc:creator>
  <cp:keywords/>
  <dc:description/>
  <cp:lastModifiedBy>Samantha Brown</cp:lastModifiedBy>
  <cp:revision>2</cp:revision>
  <dcterms:created xsi:type="dcterms:W3CDTF">2024-05-03T18:43:00Z</dcterms:created>
  <dcterms:modified xsi:type="dcterms:W3CDTF">2024-05-03T18:43:00Z</dcterms:modified>
</cp:coreProperties>
</file>