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B2416A" w14:textId="3CF91FDC" w:rsidR="00D16857" w:rsidRPr="00F773AF" w:rsidRDefault="00D16857" w:rsidP="00D16857">
      <w:pPr>
        <w:rPr>
          <w:rFonts w:ascii="Times New Roman" w:hAnsi="Times New Roman" w:cs="Times New Roman"/>
          <w:b/>
          <w:bCs/>
          <w:sz w:val="28"/>
          <w:szCs w:val="28"/>
        </w:rPr>
      </w:pPr>
      <w:r w:rsidRPr="00F773AF">
        <w:rPr>
          <w:rFonts w:ascii="Times New Roman" w:hAnsi="Times New Roman" w:cs="Times New Roman"/>
          <w:b/>
          <w:bCs/>
          <w:sz w:val="28"/>
          <w:szCs w:val="28"/>
        </w:rPr>
        <w:t>Camille Checkley 2008047</w:t>
      </w:r>
    </w:p>
    <w:p w14:paraId="5861F2C0" w14:textId="77777777" w:rsidR="001836C1" w:rsidRDefault="001836C1" w:rsidP="00D16857">
      <w:pPr>
        <w:jc w:val="center"/>
        <w:rPr>
          <w:rFonts w:ascii="Times New Roman" w:hAnsi="Times New Roman" w:cs="Times New Roman"/>
          <w:b/>
          <w:bCs/>
          <w:sz w:val="40"/>
          <w:szCs w:val="40"/>
          <w:u w:val="single"/>
        </w:rPr>
      </w:pPr>
    </w:p>
    <w:p w14:paraId="065DA28E" w14:textId="77777777" w:rsidR="00DC35B7" w:rsidRDefault="001836C1" w:rsidP="00DC35B7">
      <w:pPr>
        <w:jc w:val="center"/>
        <w:rPr>
          <w:rFonts w:ascii="Times New Roman" w:hAnsi="Times New Roman" w:cs="Times New Roman"/>
          <w:b/>
          <w:bCs/>
          <w:sz w:val="40"/>
          <w:szCs w:val="40"/>
          <w:u w:val="single"/>
        </w:rPr>
      </w:pPr>
      <w:r>
        <w:rPr>
          <w:noProof/>
        </w:rPr>
        <w:drawing>
          <wp:anchor distT="0" distB="0" distL="114300" distR="114300" simplePos="0" relativeHeight="251658240" behindDoc="0" locked="0" layoutInCell="1" allowOverlap="1" wp14:anchorId="2A105EB4" wp14:editId="1D9386DC">
            <wp:simplePos x="0" y="0"/>
            <wp:positionH relativeFrom="margin">
              <wp:posOffset>990600</wp:posOffset>
            </wp:positionH>
            <wp:positionV relativeFrom="paragraph">
              <wp:posOffset>708660</wp:posOffset>
            </wp:positionV>
            <wp:extent cx="3745865" cy="1859280"/>
            <wp:effectExtent l="0" t="0" r="6985" b="7620"/>
            <wp:wrapTopAndBottom/>
            <wp:docPr id="3" name="Picture 3" descr="Areadne | Towards the inclusive classroom: best prac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readne | Towards the inclusive classroom: best practi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45865" cy="18592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16857" w:rsidRPr="00F773AF">
        <w:rPr>
          <w:rFonts w:ascii="Times New Roman" w:hAnsi="Times New Roman" w:cs="Times New Roman"/>
          <w:b/>
          <w:bCs/>
          <w:sz w:val="40"/>
          <w:szCs w:val="40"/>
          <w:u w:val="single"/>
        </w:rPr>
        <w:t>What are the key social elements that affect a pupil’s ability to access education?</w:t>
      </w:r>
    </w:p>
    <w:p w14:paraId="1FADCCD1" w14:textId="6947E65E" w:rsidR="00DC35B7" w:rsidRPr="00DC35B7" w:rsidRDefault="00DC35B7" w:rsidP="00DC35B7">
      <w:pPr>
        <w:jc w:val="right"/>
        <w:rPr>
          <w:rFonts w:ascii="Times New Roman" w:hAnsi="Times New Roman" w:cs="Times New Roman"/>
          <w:b/>
          <w:bCs/>
          <w:sz w:val="40"/>
          <w:szCs w:val="40"/>
          <w:u w:val="single"/>
        </w:rPr>
      </w:pPr>
      <w:r w:rsidRPr="00DC35B7">
        <w:rPr>
          <w:rFonts w:ascii="Times New Roman" w:hAnsi="Times New Roman" w:cs="Times New Roman"/>
        </w:rPr>
        <w:t>(Aplin, 2013)</w:t>
      </w:r>
    </w:p>
    <w:p w14:paraId="023D1C2B" w14:textId="77777777" w:rsidR="00DC35B7" w:rsidRDefault="00DC35B7" w:rsidP="001836C1">
      <w:pPr>
        <w:rPr>
          <w:rFonts w:ascii="Times New Roman" w:hAnsi="Times New Roman" w:cs="Times New Roman"/>
          <w:b/>
          <w:bCs/>
          <w:i/>
          <w:iCs/>
          <w:color w:val="000000" w:themeColor="text1"/>
          <w:sz w:val="24"/>
          <w:szCs w:val="24"/>
        </w:rPr>
      </w:pPr>
    </w:p>
    <w:p w14:paraId="3FDFEFE3" w14:textId="5131E578" w:rsidR="001836C1" w:rsidRPr="001836C1" w:rsidRDefault="001836C1" w:rsidP="001836C1">
      <w:pPr>
        <w:rPr>
          <w:rFonts w:ascii="Times New Roman" w:hAnsi="Times New Roman" w:cs="Times New Roman"/>
          <w:sz w:val="24"/>
          <w:szCs w:val="24"/>
          <w:u w:val="single"/>
        </w:rPr>
      </w:pPr>
      <w:r w:rsidRPr="001836C1">
        <w:rPr>
          <w:rFonts w:ascii="Times New Roman" w:hAnsi="Times New Roman" w:cs="Times New Roman"/>
          <w:b/>
          <w:bCs/>
          <w:i/>
          <w:iCs/>
          <w:color w:val="000000" w:themeColor="text1"/>
          <w:sz w:val="24"/>
          <w:szCs w:val="24"/>
        </w:rPr>
        <w:t>“Education is for improving the lives of others and for leaving your community and world better than you found it.”</w:t>
      </w:r>
      <w:r w:rsidRPr="001836C1">
        <w:rPr>
          <w:rFonts w:ascii="Times New Roman" w:hAnsi="Times New Roman" w:cs="Times New Roman"/>
          <w:color w:val="000000" w:themeColor="text1"/>
          <w:sz w:val="24"/>
          <w:szCs w:val="24"/>
        </w:rPr>
        <w:t xml:space="preserve"> </w:t>
      </w:r>
      <w:r w:rsidRPr="00F773AF">
        <w:rPr>
          <w:rFonts w:ascii="Times New Roman" w:hAnsi="Times New Roman" w:cs="Times New Roman"/>
          <w:sz w:val="24"/>
          <w:szCs w:val="24"/>
        </w:rPr>
        <w:t>(Landorf. H and Nevin. A, 2007, pp.711-723).</w:t>
      </w:r>
    </w:p>
    <w:p w14:paraId="33CC5FB2" w14:textId="77777777" w:rsidR="00C71E2D" w:rsidRDefault="00C71E2D" w:rsidP="00BF31B7">
      <w:pPr>
        <w:spacing w:after="0" w:line="240" w:lineRule="auto"/>
        <w:rPr>
          <w:rFonts w:ascii="Times New Roman" w:eastAsia="Times New Roman" w:hAnsi="Times New Roman" w:cs="Times New Roman"/>
          <w:sz w:val="24"/>
          <w:szCs w:val="24"/>
          <w:lang w:eastAsia="en-GB"/>
        </w:rPr>
      </w:pPr>
    </w:p>
    <w:p w14:paraId="038D8604" w14:textId="071EE3B9" w:rsidR="00BF31B7" w:rsidRPr="00C71E2D"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In today’s competitive technology-driven world, the significance of education has never been more important. Without access to education a pupil’s ability to succeed in life wi</w:t>
      </w:r>
      <w:r w:rsidR="00E423DD">
        <w:rPr>
          <w:rFonts w:ascii="Times New Roman" w:eastAsia="Times New Roman" w:hAnsi="Times New Roman" w:cs="Times New Roman"/>
          <w:color w:val="0E101A"/>
          <w:sz w:val="24"/>
          <w:szCs w:val="24"/>
          <w:lang w:eastAsia="en-GB"/>
        </w:rPr>
        <w:t>ll</w:t>
      </w:r>
      <w:r w:rsidRPr="00BF31B7">
        <w:rPr>
          <w:rFonts w:ascii="Times New Roman" w:eastAsia="Times New Roman" w:hAnsi="Times New Roman" w:cs="Times New Roman"/>
          <w:color w:val="0E101A"/>
          <w:sz w:val="24"/>
          <w:szCs w:val="24"/>
          <w:lang w:eastAsia="en-GB"/>
        </w:rPr>
        <w:t xml:space="preserve"> be severely hampered, not only does education, bring knowledge, but understanding of equality, social status, diversity, and disability. An educated inclusive society is a healthy one, with purpose and strive for personal development and advances. </w:t>
      </w:r>
    </w:p>
    <w:p w14:paraId="30C67553" w14:textId="77777777" w:rsidR="00C71E2D" w:rsidRPr="00BF31B7" w:rsidRDefault="00C71E2D" w:rsidP="00BF31B7">
      <w:pPr>
        <w:spacing w:after="0" w:line="240" w:lineRule="auto"/>
        <w:rPr>
          <w:rFonts w:ascii="Times New Roman" w:eastAsia="Times New Roman" w:hAnsi="Times New Roman" w:cs="Times New Roman"/>
          <w:color w:val="0E101A"/>
          <w:sz w:val="24"/>
          <w:szCs w:val="24"/>
          <w:lang w:eastAsia="en-GB"/>
        </w:rPr>
      </w:pPr>
    </w:p>
    <w:p w14:paraId="675B099D" w14:textId="7C129681" w:rsidR="00BF31B7" w:rsidRPr="00C71E2D"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 xml:space="preserve">While education is provided to all children from every background, no matter their status, in the United Kingdom, it is not the same elsewhere in the world, many countries suffer war, inequality, and financial crisis, and are unable to give children an adequate education if any at all, In 2014, </w:t>
      </w:r>
      <w:r w:rsidR="00E423DD">
        <w:rPr>
          <w:rFonts w:ascii="Times New Roman" w:eastAsia="Times New Roman" w:hAnsi="Times New Roman" w:cs="Times New Roman"/>
          <w:color w:val="0E101A"/>
          <w:sz w:val="24"/>
          <w:szCs w:val="24"/>
          <w:lang w:eastAsia="en-GB"/>
        </w:rPr>
        <w:t>sixty</w:t>
      </w:r>
      <w:r w:rsidRPr="00BF31B7">
        <w:rPr>
          <w:rFonts w:ascii="Times New Roman" w:eastAsia="Times New Roman" w:hAnsi="Times New Roman" w:cs="Times New Roman"/>
          <w:color w:val="0E101A"/>
          <w:sz w:val="24"/>
          <w:szCs w:val="24"/>
          <w:lang w:eastAsia="en-GB"/>
        </w:rPr>
        <w:t xml:space="preserve"> million primary school-aged children remained out of school, and </w:t>
      </w:r>
      <w:r w:rsidR="00E423DD">
        <w:rPr>
          <w:rFonts w:ascii="Times New Roman" w:eastAsia="Times New Roman" w:hAnsi="Times New Roman" w:cs="Times New Roman"/>
          <w:color w:val="0E101A"/>
          <w:sz w:val="24"/>
          <w:szCs w:val="24"/>
          <w:lang w:eastAsia="en-GB"/>
        </w:rPr>
        <w:t>fifty-seven percent</w:t>
      </w:r>
      <w:r w:rsidRPr="00BF31B7">
        <w:rPr>
          <w:rFonts w:ascii="Times New Roman" w:eastAsia="Times New Roman" w:hAnsi="Times New Roman" w:cs="Times New Roman"/>
          <w:color w:val="0E101A"/>
          <w:sz w:val="24"/>
          <w:szCs w:val="24"/>
          <w:lang w:eastAsia="en-GB"/>
        </w:rPr>
        <w:t xml:space="preserve"> of those were in Sub-Saharan Africa, meaning that 1 in 5 children of primary age was not receiving an education.( Roser and Ortiz-Ospina, 2013). Having said that, children living in minority countries with robust education systems, are not always able to access the education they need, those who emanate from a lower income or unstable environments may have to assist, or are expected to, support their families, thus leaving less time for education, opposed to an affluent family, whose child can focus entirely on their studies, (Writer, 2020), furthermore, gifted and talented children, may miss out on the support and education they need, due to lack of recognition, </w:t>
      </w:r>
      <w:r w:rsidR="00E423DD" w:rsidRPr="00BF31B7">
        <w:rPr>
          <w:rFonts w:ascii="Times New Roman" w:eastAsia="Times New Roman" w:hAnsi="Times New Roman" w:cs="Times New Roman"/>
          <w:color w:val="0E101A"/>
          <w:sz w:val="24"/>
          <w:szCs w:val="24"/>
          <w:lang w:eastAsia="en-GB"/>
        </w:rPr>
        <w:t>soc</w:t>
      </w:r>
      <w:r w:rsidR="00E423DD">
        <w:rPr>
          <w:rFonts w:ascii="Times New Roman" w:eastAsia="Times New Roman" w:hAnsi="Times New Roman" w:cs="Times New Roman"/>
          <w:color w:val="0E101A"/>
          <w:sz w:val="24"/>
          <w:szCs w:val="24"/>
          <w:lang w:eastAsia="en-GB"/>
        </w:rPr>
        <w:t>ial</w:t>
      </w:r>
      <w:r w:rsidRPr="00BF31B7">
        <w:rPr>
          <w:rFonts w:ascii="Times New Roman" w:eastAsia="Times New Roman" w:hAnsi="Times New Roman" w:cs="Times New Roman"/>
          <w:color w:val="0E101A"/>
          <w:sz w:val="24"/>
          <w:szCs w:val="24"/>
          <w:lang w:eastAsia="en-GB"/>
        </w:rPr>
        <w:t xml:space="preserve"> status or the curriculum does not support or enhance their abilities. Although many educational establishments offer the opportunity for grants or scholarships, the uptake from lower socioeconomic pupils is low, whether it be due to awareness, stigma, or inability to take on extra opportunities due to family commitments. Only around one percent of students attending private schools receive full scholarships and just two percent received remissions of </w:t>
      </w:r>
      <w:r w:rsidR="00E423DD">
        <w:rPr>
          <w:rFonts w:ascii="Times New Roman" w:eastAsia="Times New Roman" w:hAnsi="Times New Roman" w:cs="Times New Roman"/>
          <w:color w:val="0E101A"/>
          <w:sz w:val="24"/>
          <w:szCs w:val="24"/>
          <w:lang w:eastAsia="en-GB"/>
        </w:rPr>
        <w:t>seventy-five</w:t>
      </w:r>
      <w:r w:rsidRPr="00BF31B7">
        <w:rPr>
          <w:rFonts w:ascii="Times New Roman" w:eastAsia="Times New Roman" w:hAnsi="Times New Roman" w:cs="Times New Roman"/>
          <w:color w:val="0E101A"/>
          <w:sz w:val="24"/>
          <w:szCs w:val="24"/>
          <w:lang w:eastAsia="en-GB"/>
        </w:rPr>
        <w:t xml:space="preserve"> to </w:t>
      </w:r>
      <w:r w:rsidR="00E423DD">
        <w:rPr>
          <w:rFonts w:ascii="Times New Roman" w:eastAsia="Times New Roman" w:hAnsi="Times New Roman" w:cs="Times New Roman"/>
          <w:color w:val="0E101A"/>
          <w:sz w:val="24"/>
          <w:szCs w:val="24"/>
          <w:lang w:eastAsia="en-GB"/>
        </w:rPr>
        <w:t>ninety-nine percent</w:t>
      </w:r>
      <w:r w:rsidRPr="00BF31B7">
        <w:rPr>
          <w:rFonts w:ascii="Times New Roman" w:eastAsia="Times New Roman" w:hAnsi="Times New Roman" w:cs="Times New Roman"/>
          <w:color w:val="0E101A"/>
          <w:sz w:val="24"/>
          <w:szCs w:val="24"/>
          <w:lang w:eastAsia="en-GB"/>
        </w:rPr>
        <w:t xml:space="preserve"> of fees. (Andersson, 2021).</w:t>
      </w:r>
    </w:p>
    <w:p w14:paraId="4D127EF9" w14:textId="77777777" w:rsidR="00C71E2D" w:rsidRPr="00BF31B7" w:rsidRDefault="00C71E2D" w:rsidP="00BF31B7">
      <w:pPr>
        <w:spacing w:after="0" w:line="240" w:lineRule="auto"/>
        <w:rPr>
          <w:rFonts w:ascii="Times New Roman" w:eastAsia="Times New Roman" w:hAnsi="Times New Roman" w:cs="Times New Roman"/>
          <w:color w:val="0E101A"/>
          <w:sz w:val="24"/>
          <w:szCs w:val="24"/>
          <w:lang w:eastAsia="en-GB"/>
        </w:rPr>
      </w:pPr>
    </w:p>
    <w:p w14:paraId="2A8CB4C9" w14:textId="599E0127" w:rsidR="00BF31B7" w:rsidRPr="00C71E2D"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Income and a family’s financial status can greatly influence the outcome of a child’s education, their ability to advance themselves and positively contribute to society later in life. The House of Lords Social Mobility Committee, Educational opportunities for Children and Young people from Working -class background debate held in 2020, observed that poor educational attainment, low income, and background were linked to social mobility. Noting that background was instrumental to achievement in adulthood. The committee also recognised those individuals with lower socioeconomic status achieve significantly lower levels of education in comparison to individuals from affluent backgrounds. (House of Lords Mobility Committee, 2016). </w:t>
      </w:r>
      <w:r w:rsidRPr="00BF31B7">
        <w:rPr>
          <w:rFonts w:ascii="Times New Roman" w:eastAsia="Times New Roman" w:hAnsi="Times New Roman" w:cs="Times New Roman"/>
          <w:i/>
          <w:iCs/>
          <w:color w:val="0E101A"/>
          <w:sz w:val="24"/>
          <w:szCs w:val="24"/>
          <w:lang w:eastAsia="en-GB"/>
        </w:rPr>
        <w:t>“Two in five (43%) of all poor children are struggling with basic skills at age five, compared to just over a quarter (26%) of their better-off classmates – a national early learning gap of 17 percentage points”.</w:t>
      </w:r>
      <w:r w:rsidRPr="00BF31B7">
        <w:rPr>
          <w:rFonts w:ascii="Times New Roman" w:eastAsia="Times New Roman" w:hAnsi="Times New Roman" w:cs="Times New Roman"/>
          <w:color w:val="0E101A"/>
          <w:sz w:val="24"/>
          <w:szCs w:val="24"/>
          <w:lang w:eastAsia="en-GB"/>
        </w:rPr>
        <w:t> (Save the Children, 2018). </w:t>
      </w:r>
    </w:p>
    <w:p w14:paraId="1D9F282F" w14:textId="77777777" w:rsidR="00C71E2D" w:rsidRPr="00BF31B7" w:rsidRDefault="00C71E2D" w:rsidP="00BF31B7">
      <w:pPr>
        <w:spacing w:after="0" w:line="240" w:lineRule="auto"/>
        <w:rPr>
          <w:rFonts w:ascii="Times New Roman" w:eastAsia="Times New Roman" w:hAnsi="Times New Roman" w:cs="Times New Roman"/>
          <w:color w:val="0E101A"/>
          <w:sz w:val="24"/>
          <w:szCs w:val="24"/>
          <w:lang w:eastAsia="en-GB"/>
        </w:rPr>
      </w:pPr>
    </w:p>
    <w:p w14:paraId="73005A4F" w14:textId="1296E943" w:rsidR="00BF31B7" w:rsidRPr="00C71E2D"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Prosperous families have the resources to provide a high-quality education for their child and the opportunities for achievement and success, whereas children from families experiencing financial hardship, may have to leave education early to source work, thus affecting the level of education they can attain and therefore the type of job they ultimately achieve. Research published by the Children’s Commissioner for England, Anne Longfield in 2018 divulged, that eighteen percent of school leavers in England, had left school without achieving a level 2 qualification, and of that, thirty-seven percent were children who received free school meals and forty-five percent were children with additional learning needs (ALN</w:t>
      </w:r>
      <w:r w:rsidR="00C71E2D" w:rsidRPr="00C71E2D">
        <w:rPr>
          <w:rFonts w:ascii="Times New Roman" w:eastAsia="Times New Roman" w:hAnsi="Times New Roman" w:cs="Times New Roman"/>
          <w:color w:val="0E101A"/>
          <w:sz w:val="24"/>
          <w:szCs w:val="24"/>
          <w:lang w:eastAsia="en-GB"/>
        </w:rPr>
        <w:t>). (</w:t>
      </w:r>
      <w:r w:rsidRPr="00BF31B7">
        <w:rPr>
          <w:rFonts w:ascii="Times New Roman" w:eastAsia="Times New Roman" w:hAnsi="Times New Roman" w:cs="Times New Roman"/>
          <w:color w:val="0E101A"/>
          <w:sz w:val="24"/>
          <w:szCs w:val="24"/>
          <w:lang w:eastAsia="en-GB"/>
        </w:rPr>
        <w:t>Children’s Commissioner, 2019). Low income or financial difficulties can cause stress, worry, unwanted stereotyping, and social exclusion, all of which can affect a child’s ability to learn, as well as the type of education they receive. Social exclusion leads to the deprivation of necessary resources essential for participation in society, of which the fundamental causes being poverty, education, neighbourhood, environment, income, and discrimination.</w:t>
      </w:r>
    </w:p>
    <w:p w14:paraId="427F6C42" w14:textId="77777777" w:rsidR="00C71E2D" w:rsidRPr="00BF31B7" w:rsidRDefault="00C71E2D" w:rsidP="00BF31B7">
      <w:pPr>
        <w:spacing w:after="0" w:line="240" w:lineRule="auto"/>
        <w:rPr>
          <w:rFonts w:ascii="Times New Roman" w:eastAsia="Times New Roman" w:hAnsi="Times New Roman" w:cs="Times New Roman"/>
          <w:color w:val="0E101A"/>
          <w:sz w:val="24"/>
          <w:szCs w:val="24"/>
          <w:lang w:eastAsia="en-GB"/>
        </w:rPr>
      </w:pPr>
    </w:p>
    <w:p w14:paraId="6F9579FD" w14:textId="70DD8443" w:rsidR="00BF31B7"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Social exclusion necessitates an individual’s deficiency of resources, rights, and services, economically, socially, culturally, or politically. </w:t>
      </w:r>
      <w:r w:rsidRPr="00BF31B7">
        <w:rPr>
          <w:rFonts w:ascii="Times New Roman" w:eastAsia="Times New Roman" w:hAnsi="Times New Roman" w:cs="Times New Roman"/>
          <w:i/>
          <w:iCs/>
          <w:color w:val="0E101A"/>
          <w:sz w:val="24"/>
          <w:szCs w:val="24"/>
          <w:lang w:eastAsia="en-GB"/>
        </w:rPr>
        <w:t>“Social exclusion is a complex and multi-dimensional process…. It affects both the quality of life of individuals and the equity and cohesion of society as a whole”</w:t>
      </w:r>
      <w:r w:rsidRPr="00BF31B7">
        <w:rPr>
          <w:rFonts w:ascii="Times New Roman" w:eastAsia="Times New Roman" w:hAnsi="Times New Roman" w:cs="Times New Roman"/>
          <w:color w:val="0E101A"/>
          <w:sz w:val="24"/>
          <w:szCs w:val="24"/>
          <w:lang w:eastAsia="en-GB"/>
        </w:rPr>
        <w:t xml:space="preserve">. (Levitas, 2006). The Centre for the Analysis of Social Exclusion interprets socially excluded individuals as those who live in a community but are unable to access by force of circumstance, everyday activities, that they would like to participate </w:t>
      </w:r>
      <w:r w:rsidR="00BD143F" w:rsidRPr="00BF31B7">
        <w:rPr>
          <w:rFonts w:ascii="Times New Roman" w:eastAsia="Times New Roman" w:hAnsi="Times New Roman" w:cs="Times New Roman"/>
          <w:color w:val="0E101A"/>
          <w:sz w:val="24"/>
          <w:szCs w:val="24"/>
          <w:lang w:eastAsia="en-GB"/>
        </w:rPr>
        <w:t>in</w:t>
      </w:r>
      <w:r w:rsidR="00BD143F">
        <w:rPr>
          <w:rFonts w:ascii="Times New Roman" w:eastAsia="Times New Roman" w:hAnsi="Times New Roman" w:cs="Times New Roman"/>
          <w:color w:val="0E101A"/>
          <w:sz w:val="24"/>
          <w:szCs w:val="24"/>
          <w:lang w:eastAsia="en-GB"/>
        </w:rPr>
        <w:t xml:space="preserve">, </w:t>
      </w:r>
      <w:r w:rsidR="00BD143F" w:rsidRPr="00BF31B7">
        <w:rPr>
          <w:rFonts w:ascii="Times New Roman" w:eastAsia="Times New Roman" w:hAnsi="Times New Roman" w:cs="Times New Roman"/>
          <w:color w:val="0E101A"/>
          <w:sz w:val="24"/>
          <w:szCs w:val="24"/>
          <w:lang w:eastAsia="en-GB"/>
        </w:rPr>
        <w:t>emphasizing</w:t>
      </w:r>
      <w:r w:rsidRPr="00BF31B7">
        <w:rPr>
          <w:rFonts w:ascii="Times New Roman" w:eastAsia="Times New Roman" w:hAnsi="Times New Roman" w:cs="Times New Roman"/>
          <w:color w:val="0E101A"/>
          <w:sz w:val="24"/>
          <w:szCs w:val="24"/>
          <w:lang w:eastAsia="en-GB"/>
        </w:rPr>
        <w:t>, that an individual cannot exclude themselves, moreover, it is a culmination of circumstances that is the contributing factor. (Pierson, 2010). </w:t>
      </w:r>
    </w:p>
    <w:p w14:paraId="0494A8C2" w14:textId="77777777" w:rsidR="005732E6" w:rsidRPr="00BF31B7" w:rsidRDefault="005732E6" w:rsidP="00BF31B7">
      <w:pPr>
        <w:spacing w:after="0" w:line="240" w:lineRule="auto"/>
        <w:rPr>
          <w:rFonts w:ascii="Times New Roman" w:eastAsia="Times New Roman" w:hAnsi="Times New Roman" w:cs="Times New Roman"/>
          <w:color w:val="0E101A"/>
          <w:sz w:val="24"/>
          <w:szCs w:val="24"/>
          <w:lang w:eastAsia="en-GB"/>
        </w:rPr>
      </w:pPr>
    </w:p>
    <w:p w14:paraId="46EC4514" w14:textId="5486D77A" w:rsidR="00BF31B7" w:rsidRPr="00C71E2D"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 xml:space="preserve">An inclusive society endeavours to provide equal opportunities for everyone, without consideration of background, promotes equality and participation for all, enabling every one of their residents to have the opportunity to realize their potential in life. </w:t>
      </w:r>
      <w:r w:rsidR="00C71E2D" w:rsidRPr="00C71E2D">
        <w:rPr>
          <w:rFonts w:ascii="Times New Roman" w:eastAsia="Times New Roman" w:hAnsi="Times New Roman" w:cs="Times New Roman"/>
          <w:color w:val="0E101A"/>
          <w:sz w:val="24"/>
          <w:szCs w:val="24"/>
          <w:lang w:eastAsia="en-GB"/>
        </w:rPr>
        <w:t>The World Summit for Social Development in Copenhagen (1995)</w:t>
      </w:r>
      <w:r w:rsidRPr="00BF31B7">
        <w:rPr>
          <w:rFonts w:ascii="Times New Roman" w:eastAsia="Times New Roman" w:hAnsi="Times New Roman" w:cs="Times New Roman"/>
          <w:color w:val="0E101A"/>
          <w:sz w:val="24"/>
          <w:szCs w:val="24"/>
          <w:lang w:eastAsia="en-GB"/>
        </w:rPr>
        <w:t xml:space="preserve"> described social inclusion, as </w:t>
      </w:r>
      <w:r w:rsidRPr="00BF31B7">
        <w:rPr>
          <w:rFonts w:ascii="Times New Roman" w:eastAsia="Times New Roman" w:hAnsi="Times New Roman" w:cs="Times New Roman"/>
          <w:i/>
          <w:iCs/>
          <w:color w:val="0E101A"/>
          <w:sz w:val="24"/>
          <w:szCs w:val="24"/>
          <w:lang w:eastAsia="en-GB"/>
        </w:rPr>
        <w:t>“a society for all, where every individual has rights and responsibilities, with an active role to play”</w:t>
      </w:r>
      <w:r w:rsidRPr="00BF31B7">
        <w:rPr>
          <w:rFonts w:ascii="Times New Roman" w:eastAsia="Times New Roman" w:hAnsi="Times New Roman" w:cs="Times New Roman"/>
          <w:color w:val="0E101A"/>
          <w:sz w:val="24"/>
          <w:szCs w:val="24"/>
          <w:lang w:eastAsia="en-GB"/>
        </w:rPr>
        <w:t>. (Pierson, 2010, pp 4-24). To be inclusive, a society would demonstrate diversity and actively engage residents in political, economic, and social affairs, with well-being, integration, and community at its core. Inclusion within the educational sector allows children from all backgrounds and abilities to learn alongside each other, without the labelling, stigma, and developmental difference that special schools bring. The Ofsted report, ‘Does it Matter Where children are Taught’, (2006), ascertained, that children with an additional learning need (ALN) or a disability, (LDD</w:t>
      </w:r>
      <w:r w:rsidR="00E423DD" w:rsidRPr="00BF31B7">
        <w:rPr>
          <w:rFonts w:ascii="Times New Roman" w:eastAsia="Times New Roman" w:hAnsi="Times New Roman" w:cs="Times New Roman"/>
          <w:color w:val="0E101A"/>
          <w:sz w:val="24"/>
          <w:szCs w:val="24"/>
          <w:lang w:eastAsia="en-GB"/>
        </w:rPr>
        <w:t>),</w:t>
      </w:r>
      <w:r w:rsidR="00E423DD">
        <w:rPr>
          <w:rFonts w:ascii="Times New Roman" w:eastAsia="Times New Roman" w:hAnsi="Times New Roman" w:cs="Times New Roman"/>
          <w:color w:val="0E101A"/>
          <w:sz w:val="24"/>
          <w:szCs w:val="24"/>
          <w:lang w:eastAsia="en-GB"/>
        </w:rPr>
        <w:t xml:space="preserve"> their</w:t>
      </w:r>
      <w:r w:rsidRPr="00BF31B7">
        <w:rPr>
          <w:rFonts w:ascii="Times New Roman" w:eastAsia="Times New Roman" w:hAnsi="Times New Roman" w:cs="Times New Roman"/>
          <w:color w:val="0E101A"/>
          <w:sz w:val="24"/>
          <w:szCs w:val="24"/>
          <w:lang w:eastAsia="en-GB"/>
        </w:rPr>
        <w:t xml:space="preserve"> educational outcomes are greatly improved by the quality of the teaching they receive as opposed to the type. (Knowles and Lander, 2011). According to Skinner (1948), learning is an active process achieved through the </w:t>
      </w:r>
      <w:r w:rsidRPr="00BF31B7">
        <w:rPr>
          <w:rFonts w:ascii="Times New Roman" w:eastAsia="Times New Roman" w:hAnsi="Times New Roman" w:cs="Times New Roman"/>
          <w:color w:val="0E101A"/>
          <w:sz w:val="24"/>
          <w:szCs w:val="24"/>
          <w:lang w:eastAsia="en-GB"/>
        </w:rPr>
        <w:lastRenderedPageBreak/>
        <w:t>exploration of one’s environment, influenced by rewards, punishments, and circumstances. Operant conditioning is a means by which inclusion can be encouraged, children can be taught appropriate behaviours, in terms of attitudes and discrimination, which can then be reinforced and rewarded, when the desired behaviour is exhibited, and conclusions drawn from the consequences of their behaviours. (McLeod, 2018). Learning inclusively, gives children greater understanding and acceptance of additional needs, disabilities, cultures, and diversity. </w:t>
      </w:r>
    </w:p>
    <w:p w14:paraId="7118E3DC" w14:textId="77777777" w:rsidR="00C71E2D" w:rsidRPr="00BF31B7" w:rsidRDefault="00C71E2D" w:rsidP="00BF31B7">
      <w:pPr>
        <w:spacing w:after="0" w:line="240" w:lineRule="auto"/>
        <w:rPr>
          <w:rFonts w:ascii="Times New Roman" w:eastAsia="Times New Roman" w:hAnsi="Times New Roman" w:cs="Times New Roman"/>
          <w:color w:val="0E101A"/>
          <w:sz w:val="24"/>
          <w:szCs w:val="24"/>
          <w:lang w:eastAsia="en-GB"/>
        </w:rPr>
      </w:pPr>
    </w:p>
    <w:p w14:paraId="7122E7A1" w14:textId="6C0FE434" w:rsidR="00BF31B7" w:rsidRPr="00C71E2D"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 xml:space="preserve">Inclusive education bestows every child with the prospect of attending school and attaining their full capabilities, it open ups possibilities for all, including those who would otherwise be in jeopardy of becoming excluded, whether it be ALN, English as an additional language (EAL), gender, minority ethnic and faith groups, being in the foster care system, illness, or geography. The inclusive methodology merits what pupils have to offer regardless of circumstances and supports diverseness, although becoming inclusive demands changes and adaption throughout society. Educational establishments may be required to undertake modifications, training to make learning accessible to all, and societies must adopt new perspectives and understanding of stigmatization and discrimination. According to Vygotsky (1978), a Childs’s development is directly influenced by the attitudes, beliefs, values, and cultures of others, and to </w:t>
      </w:r>
      <w:r w:rsidR="00C71E2D" w:rsidRPr="00C71E2D">
        <w:rPr>
          <w:rFonts w:ascii="Times New Roman" w:eastAsia="Times New Roman" w:hAnsi="Times New Roman" w:cs="Times New Roman"/>
          <w:color w:val="0E101A"/>
          <w:sz w:val="24"/>
          <w:szCs w:val="24"/>
          <w:lang w:eastAsia="en-GB"/>
        </w:rPr>
        <w:t>fulfil</w:t>
      </w:r>
      <w:r w:rsidRPr="00BF31B7">
        <w:rPr>
          <w:rFonts w:ascii="Times New Roman" w:eastAsia="Times New Roman" w:hAnsi="Times New Roman" w:cs="Times New Roman"/>
          <w:color w:val="0E101A"/>
          <w:sz w:val="24"/>
          <w:szCs w:val="24"/>
          <w:lang w:eastAsia="en-GB"/>
        </w:rPr>
        <w:t xml:space="preserve"> their maximum potential the input of an adult is necessary. (Tassoni et.al, 2005, p.136). </w:t>
      </w:r>
    </w:p>
    <w:p w14:paraId="38B27E6D" w14:textId="77777777" w:rsidR="00C71E2D" w:rsidRPr="00BF31B7" w:rsidRDefault="00C71E2D" w:rsidP="00BF31B7">
      <w:pPr>
        <w:spacing w:after="0" w:line="240" w:lineRule="auto"/>
        <w:rPr>
          <w:rFonts w:ascii="Times New Roman" w:eastAsia="Times New Roman" w:hAnsi="Times New Roman" w:cs="Times New Roman"/>
          <w:color w:val="0E101A"/>
          <w:sz w:val="24"/>
          <w:szCs w:val="24"/>
          <w:lang w:eastAsia="en-GB"/>
        </w:rPr>
      </w:pPr>
    </w:p>
    <w:p w14:paraId="631D03BF" w14:textId="4E7535B4" w:rsidR="00BF31B7"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The Convention on the Rights of the Child</w:t>
      </w:r>
      <w:r w:rsidR="00AA053D">
        <w:rPr>
          <w:rFonts w:ascii="Times New Roman" w:eastAsia="Times New Roman" w:hAnsi="Times New Roman" w:cs="Times New Roman"/>
          <w:color w:val="0E101A"/>
          <w:sz w:val="24"/>
          <w:szCs w:val="24"/>
          <w:lang w:eastAsia="en-GB"/>
        </w:rPr>
        <w:t xml:space="preserve"> </w:t>
      </w:r>
      <w:r w:rsidR="005732E6">
        <w:rPr>
          <w:rFonts w:ascii="Times New Roman" w:eastAsia="Times New Roman" w:hAnsi="Times New Roman" w:cs="Times New Roman"/>
          <w:color w:val="0E101A"/>
          <w:sz w:val="24"/>
          <w:szCs w:val="24"/>
          <w:lang w:eastAsia="en-GB"/>
        </w:rPr>
        <w:t>1989,</w:t>
      </w:r>
      <w:r w:rsidR="005732E6" w:rsidRPr="00BF31B7">
        <w:rPr>
          <w:rFonts w:ascii="Times New Roman" w:eastAsia="Times New Roman" w:hAnsi="Times New Roman" w:cs="Times New Roman"/>
          <w:color w:val="0E101A"/>
          <w:sz w:val="24"/>
          <w:szCs w:val="24"/>
          <w:lang w:eastAsia="en-GB"/>
        </w:rPr>
        <w:t xml:space="preserve"> (</w:t>
      </w:r>
      <w:r w:rsidRPr="00BF31B7">
        <w:rPr>
          <w:rFonts w:ascii="Times New Roman" w:eastAsia="Times New Roman" w:hAnsi="Times New Roman" w:cs="Times New Roman"/>
          <w:color w:val="0E101A"/>
          <w:sz w:val="24"/>
          <w:szCs w:val="24"/>
          <w:lang w:eastAsia="en-GB"/>
        </w:rPr>
        <w:t>UNCRC)</w:t>
      </w:r>
      <w:r w:rsidR="00AA053D">
        <w:rPr>
          <w:rFonts w:ascii="Times New Roman" w:eastAsia="Times New Roman" w:hAnsi="Times New Roman" w:cs="Times New Roman"/>
          <w:color w:val="0E101A"/>
          <w:sz w:val="24"/>
          <w:szCs w:val="24"/>
          <w:lang w:eastAsia="en-GB"/>
        </w:rPr>
        <w:t>,</w:t>
      </w:r>
      <w:r w:rsidRPr="00BF31B7">
        <w:rPr>
          <w:rFonts w:ascii="Times New Roman" w:eastAsia="Times New Roman" w:hAnsi="Times New Roman" w:cs="Times New Roman"/>
          <w:color w:val="0E101A"/>
          <w:sz w:val="24"/>
          <w:szCs w:val="24"/>
          <w:lang w:eastAsia="en-GB"/>
        </w:rPr>
        <w:t xml:space="preserve"> is unanimous that the best interests of a child should be at the forefront of anything that will determine their futures, and it is every child’s right to be free from violent, abusive, and neglectful environments, to speak for themselves and express opinions, to receive an education and access to appropriate living conditions, as well as a right to life and development. The UNCRC wants all children, irrespective of barriers, to receive the best start in life, achieve their maximum potential and become valuable members of society, who promote an inclusive approach to life</w:t>
      </w:r>
      <w:r w:rsidRPr="00BF31B7">
        <w:rPr>
          <w:rFonts w:ascii="Times New Roman" w:eastAsia="Times New Roman" w:hAnsi="Times New Roman" w:cs="Times New Roman"/>
          <w:i/>
          <w:iCs/>
          <w:color w:val="0E101A"/>
          <w:sz w:val="24"/>
          <w:szCs w:val="24"/>
          <w:lang w:eastAsia="en-GB"/>
        </w:rPr>
        <w:t>.</w:t>
      </w:r>
      <w:r w:rsidR="00AA053D">
        <w:rPr>
          <w:rFonts w:ascii="Times New Roman" w:eastAsia="Times New Roman" w:hAnsi="Times New Roman" w:cs="Times New Roman"/>
          <w:color w:val="0E101A"/>
          <w:sz w:val="24"/>
          <w:szCs w:val="24"/>
          <w:lang w:eastAsia="en-GB"/>
        </w:rPr>
        <w:t xml:space="preserve"> (UNICEF, n.d).</w:t>
      </w:r>
      <w:r w:rsidRPr="00BF31B7">
        <w:rPr>
          <w:rFonts w:ascii="Times New Roman" w:eastAsia="Times New Roman" w:hAnsi="Times New Roman" w:cs="Times New Roman"/>
          <w:i/>
          <w:iCs/>
          <w:color w:val="0E101A"/>
          <w:sz w:val="24"/>
          <w:szCs w:val="24"/>
          <w:lang w:eastAsia="en-GB"/>
        </w:rPr>
        <w:t xml:space="preserve"> “Every child has a fundamental right to education and must be given the opportunity to achieve and maintain an acceptable level of learning”</w:t>
      </w:r>
      <w:r w:rsidRPr="00BF31B7">
        <w:rPr>
          <w:rFonts w:ascii="Times New Roman" w:eastAsia="Times New Roman" w:hAnsi="Times New Roman" w:cs="Times New Roman"/>
          <w:color w:val="0E101A"/>
          <w:sz w:val="24"/>
          <w:szCs w:val="24"/>
          <w:lang w:eastAsia="en-GB"/>
        </w:rPr>
        <w:t>. (The Salamanca statement, 1994, p.3). In Wales, evidence would indicate that poverty directly influences educational attainment, health, and behaviour consequently. It can also impact society in terms of the economy, social cohesion, and can burden public services, the Welsh Government recognises that the deprivation that poverty ensues, has the potential to harm the Welsh economy and thus has set out The Tackling Poverty Action Plan (2012), which aims to focus investment for children from birth right up to adulthood, to diminish inequality from the start. (Sargeant and Thomas 2012). </w:t>
      </w:r>
    </w:p>
    <w:p w14:paraId="42D7441B" w14:textId="77777777" w:rsidR="00C71E2D" w:rsidRPr="00BF31B7" w:rsidRDefault="00C71E2D" w:rsidP="00BF31B7">
      <w:pPr>
        <w:spacing w:after="0" w:line="240" w:lineRule="auto"/>
        <w:rPr>
          <w:rFonts w:ascii="Times New Roman" w:eastAsia="Times New Roman" w:hAnsi="Times New Roman" w:cs="Times New Roman"/>
          <w:color w:val="0E101A"/>
          <w:sz w:val="24"/>
          <w:szCs w:val="24"/>
          <w:lang w:eastAsia="en-GB"/>
        </w:rPr>
      </w:pPr>
    </w:p>
    <w:p w14:paraId="6B25A4C1" w14:textId="094BA827" w:rsidR="00BF31B7" w:rsidRPr="00C71E2D"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 xml:space="preserve">All aspects of a child’s development can be affected by poor health, particularly their ability to learn and access education. The Acheson report (1998) acknowledged that health and inequality continue to broaden the divide between the health of affluent individuals and the impoverished. Poor or insufficient diet has long been linked to health, a child who does not receive proper nourishment or suffers illness may experience physical or developmental delays impacting their ability to learn and access education. (Green, 2007, p.156). Health is one of the five main objectives of Every Child Matters framework, along with staying safe, enjoying and achieving, making a positive contribution and economic well-being, successful implementation of these outcomes, will help to breakdown inequalities and barriers preventing access to education, which will not only benefit children and their families but society and future generations as well. </w:t>
      </w:r>
      <w:r w:rsidR="00C71E2D" w:rsidRPr="00C71E2D">
        <w:rPr>
          <w:rFonts w:ascii="Times New Roman" w:eastAsia="Times New Roman" w:hAnsi="Times New Roman" w:cs="Times New Roman"/>
          <w:color w:val="0E101A"/>
          <w:sz w:val="24"/>
          <w:szCs w:val="24"/>
          <w:lang w:eastAsia="en-GB"/>
        </w:rPr>
        <w:t>(Every</w:t>
      </w:r>
      <w:r w:rsidRPr="00BF31B7">
        <w:rPr>
          <w:rFonts w:ascii="Times New Roman" w:eastAsia="Times New Roman" w:hAnsi="Times New Roman" w:cs="Times New Roman"/>
          <w:color w:val="0E101A"/>
          <w:sz w:val="24"/>
          <w:szCs w:val="24"/>
          <w:lang w:eastAsia="en-GB"/>
        </w:rPr>
        <w:t xml:space="preserve"> Child Matters, 2003, p.14). </w:t>
      </w:r>
    </w:p>
    <w:p w14:paraId="30885C9D" w14:textId="77777777" w:rsidR="00C71E2D" w:rsidRPr="00BF31B7" w:rsidRDefault="00C71E2D" w:rsidP="00BF31B7">
      <w:pPr>
        <w:spacing w:after="0" w:line="240" w:lineRule="auto"/>
        <w:rPr>
          <w:rFonts w:ascii="Times New Roman" w:eastAsia="Times New Roman" w:hAnsi="Times New Roman" w:cs="Times New Roman"/>
          <w:color w:val="0E101A"/>
          <w:sz w:val="24"/>
          <w:szCs w:val="24"/>
          <w:lang w:eastAsia="en-GB"/>
        </w:rPr>
      </w:pPr>
    </w:p>
    <w:p w14:paraId="1E2E6F4F" w14:textId="7A55C262" w:rsidR="00BF31B7" w:rsidRPr="00C71E2D"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lastRenderedPageBreak/>
        <w:t>It is broadly recognised that all children should have equal opportunity when it comes to education, even more so, in today’s ethnically diverse societies, where racism, xenophobia, antisemitism, and islamophobia are ever-present. (ECRI, n.d). Education has an important role to play in tackling issues such as equality and inclusion, as this is often where inequality and discrimination begin, without adequate education, children can lack understanding of equality, respect, and tolerance. A child should not be put at a disadvantage, because of the body they were born into, social class, race, or gender, but unfortunately these can present barriers to education accessibility, in terms of type, quality, and results. The UNESCO Convention against discrimination in Education, (1960) describes discrimination within education as</w:t>
      </w:r>
      <w:r w:rsidRPr="00BF31B7">
        <w:rPr>
          <w:rFonts w:ascii="Times New Roman" w:eastAsia="Times New Roman" w:hAnsi="Times New Roman" w:cs="Times New Roman"/>
          <w:i/>
          <w:iCs/>
          <w:color w:val="0E101A"/>
          <w:sz w:val="24"/>
          <w:szCs w:val="24"/>
          <w:lang w:eastAsia="en-GB"/>
        </w:rPr>
        <w:t>, “any distinction, exclusion, limitation, or preference which is derived from an individual’s, race, colour, sex, language, religion, political or other opinions, national or social origin, economies condition or birth”.</w:t>
      </w:r>
      <w:r w:rsidRPr="00BF31B7">
        <w:rPr>
          <w:rFonts w:ascii="Times New Roman" w:eastAsia="Times New Roman" w:hAnsi="Times New Roman" w:cs="Times New Roman"/>
          <w:color w:val="0E101A"/>
          <w:sz w:val="24"/>
          <w:szCs w:val="24"/>
          <w:lang w:eastAsia="en-GB"/>
        </w:rPr>
        <w:t> (UNESCO, 1960).</w:t>
      </w:r>
    </w:p>
    <w:p w14:paraId="470F1127" w14:textId="77777777" w:rsidR="00C71E2D" w:rsidRPr="00BF31B7" w:rsidRDefault="00C71E2D" w:rsidP="00BF31B7">
      <w:pPr>
        <w:spacing w:after="0" w:line="240" w:lineRule="auto"/>
        <w:rPr>
          <w:rFonts w:ascii="Times New Roman" w:eastAsia="Times New Roman" w:hAnsi="Times New Roman" w:cs="Times New Roman"/>
          <w:color w:val="0E101A"/>
          <w:sz w:val="24"/>
          <w:szCs w:val="24"/>
          <w:lang w:eastAsia="en-GB"/>
        </w:rPr>
      </w:pPr>
    </w:p>
    <w:p w14:paraId="7670F274" w14:textId="5968FAD6" w:rsidR="00BF31B7"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Racism is a means by which individuals or communities suffer prejudice, because of their colour, culture, or ethnic origin, and even in its most subtle form, has the power to affect an individual’s outcome. The Equality Act is legislation that was brought into action in 2010, discriminating against pupils and those associated with them, based on their gender, race, disability, religion, or sexual orientation unlawful. (Government Equalities Office and Equality and Human Rights Commission, 2013), Racism is a deep-rooted issue, that can prevent children from accessing education, and can directly affect achievement and thus success in life. The Experiences, attitudes, belief</w:t>
      </w:r>
      <w:r w:rsidR="00321896">
        <w:rPr>
          <w:rFonts w:ascii="Times New Roman" w:eastAsia="Times New Roman" w:hAnsi="Times New Roman" w:cs="Times New Roman"/>
          <w:color w:val="0E101A"/>
          <w:sz w:val="24"/>
          <w:szCs w:val="24"/>
          <w:lang w:eastAsia="en-GB"/>
        </w:rPr>
        <w:t>s</w:t>
      </w:r>
      <w:r w:rsidRPr="00BF31B7">
        <w:rPr>
          <w:rFonts w:ascii="Times New Roman" w:eastAsia="Times New Roman" w:hAnsi="Times New Roman" w:cs="Times New Roman"/>
          <w:color w:val="0E101A"/>
          <w:sz w:val="24"/>
          <w:szCs w:val="24"/>
          <w:lang w:eastAsia="en-GB"/>
        </w:rPr>
        <w:t>, and values children are witness</w:t>
      </w:r>
      <w:r w:rsidR="00321896">
        <w:rPr>
          <w:rFonts w:ascii="Times New Roman" w:eastAsia="Times New Roman" w:hAnsi="Times New Roman" w:cs="Times New Roman"/>
          <w:color w:val="0E101A"/>
          <w:sz w:val="24"/>
          <w:szCs w:val="24"/>
          <w:lang w:eastAsia="en-GB"/>
        </w:rPr>
        <w:t xml:space="preserve"> to</w:t>
      </w:r>
      <w:r w:rsidRPr="00BF31B7">
        <w:rPr>
          <w:rFonts w:ascii="Times New Roman" w:eastAsia="Times New Roman" w:hAnsi="Times New Roman" w:cs="Times New Roman"/>
          <w:color w:val="0E101A"/>
          <w:sz w:val="24"/>
          <w:szCs w:val="24"/>
          <w:lang w:eastAsia="en-GB"/>
        </w:rPr>
        <w:t xml:space="preserve"> early on in life can drive the way of thinking later, Skinner (1948), suggested children can be ‘conditioned</w:t>
      </w:r>
      <w:r w:rsidR="00E05134">
        <w:rPr>
          <w:rFonts w:ascii="Times New Roman" w:eastAsia="Times New Roman" w:hAnsi="Times New Roman" w:cs="Times New Roman"/>
          <w:color w:val="0E101A"/>
          <w:sz w:val="24"/>
          <w:szCs w:val="24"/>
          <w:lang w:eastAsia="en-GB"/>
        </w:rPr>
        <w:t>’</w:t>
      </w:r>
      <w:r w:rsidRPr="00BF31B7">
        <w:rPr>
          <w:rFonts w:ascii="Times New Roman" w:eastAsia="Times New Roman" w:hAnsi="Times New Roman" w:cs="Times New Roman"/>
          <w:color w:val="0E101A"/>
          <w:sz w:val="24"/>
          <w:szCs w:val="24"/>
          <w:lang w:eastAsia="en-GB"/>
        </w:rPr>
        <w:t xml:space="preserve"> to behave in a particular way, because of previous experiences or association, (Green, 2007, p.137 ), thus if a community or families exhibit certain prejudices, discriminatory behaviours or beliefs, children could on go to think that this is the appropriate way to behave. Research conducted by the Diana Award and Nationwide Building society, into racist behaviour and bullying in schools of parents and young people, ascertained that fifty percent of parents felt that racism remains an issue in schools and thirty-two percent of young people had witnessed racism whilst at school. (Morris, 2020). Educational accomplishment can be severely hampered by attitudes, beliefs, and values, a child may not be achieving their full potential, if they are subject to any form of racism in a school, especially where the institution has not handled or understands the issue. It can be particularly detrimental for a child’s identity and mental health as well as impeding their educational attainment. </w:t>
      </w:r>
    </w:p>
    <w:p w14:paraId="18C9AC99" w14:textId="77777777" w:rsidR="00C71E2D" w:rsidRPr="00BF31B7" w:rsidRDefault="00C71E2D" w:rsidP="00BF31B7">
      <w:pPr>
        <w:spacing w:after="0" w:line="240" w:lineRule="auto"/>
        <w:rPr>
          <w:rFonts w:ascii="Times New Roman" w:eastAsia="Times New Roman" w:hAnsi="Times New Roman" w:cs="Times New Roman"/>
          <w:color w:val="0E101A"/>
          <w:sz w:val="24"/>
          <w:szCs w:val="24"/>
          <w:lang w:eastAsia="en-GB"/>
        </w:rPr>
      </w:pPr>
    </w:p>
    <w:p w14:paraId="38042B5D" w14:textId="77777777" w:rsidR="000D76A3"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Social Inequality concerns one’s class, gender, and ethnicity, and is distinguished by unequal opportunities among different social groups. The Ethnicity and Education: The Evidence on Minority Ethnic pupils aged 5 to 16. (2006), documentation produced by the Department of Education (DfES), noted that twenty-one percent of pupils in state-funded primary education were from minority ethnic pupils, and established that the likelihood of these children encountering deprivation was far greater than White British children, not only that, but the DfES recognised that certain ethnic groups had an increased risk of suffering exclusion, namely the Travelling community, Black Caribbean and Other Black students, and concluded that deprivation is an influencing factor to achievement, furthermore, children from Black Caribbean and White and Black Caribbean backgrounds, have a high</w:t>
      </w:r>
      <w:r w:rsidR="00321896">
        <w:rPr>
          <w:rFonts w:ascii="Times New Roman" w:eastAsia="Times New Roman" w:hAnsi="Times New Roman" w:cs="Times New Roman"/>
          <w:color w:val="0E101A"/>
          <w:sz w:val="24"/>
          <w:szCs w:val="24"/>
          <w:lang w:eastAsia="en-GB"/>
        </w:rPr>
        <w:t>er</w:t>
      </w:r>
      <w:r w:rsidRPr="00BF31B7">
        <w:rPr>
          <w:rFonts w:ascii="Times New Roman" w:eastAsia="Times New Roman" w:hAnsi="Times New Roman" w:cs="Times New Roman"/>
          <w:color w:val="0E101A"/>
          <w:sz w:val="24"/>
          <w:szCs w:val="24"/>
          <w:lang w:eastAsia="en-GB"/>
        </w:rPr>
        <w:t xml:space="preserve"> likelihood of developing behavioural, social or emotional challenges. </w:t>
      </w:r>
      <w:r w:rsidR="00C71E2D" w:rsidRPr="00C71E2D">
        <w:rPr>
          <w:rFonts w:ascii="Times New Roman" w:eastAsia="Times New Roman" w:hAnsi="Times New Roman" w:cs="Times New Roman"/>
          <w:color w:val="0E101A"/>
          <w:sz w:val="24"/>
          <w:szCs w:val="24"/>
          <w:lang w:eastAsia="en-GB"/>
        </w:rPr>
        <w:t>(Department</w:t>
      </w:r>
      <w:r w:rsidRPr="00BF31B7">
        <w:rPr>
          <w:rFonts w:ascii="Times New Roman" w:eastAsia="Times New Roman" w:hAnsi="Times New Roman" w:cs="Times New Roman"/>
          <w:color w:val="0E101A"/>
          <w:sz w:val="24"/>
          <w:szCs w:val="24"/>
          <w:lang w:eastAsia="en-GB"/>
        </w:rPr>
        <w:t xml:space="preserve"> of Education (DfES), 2006). </w:t>
      </w:r>
      <w:r w:rsidR="00C71E2D" w:rsidRPr="00C71E2D">
        <w:rPr>
          <w:rFonts w:ascii="Times New Roman" w:eastAsia="Times New Roman" w:hAnsi="Times New Roman" w:cs="Times New Roman"/>
          <w:color w:val="0E101A"/>
          <w:sz w:val="24"/>
          <w:szCs w:val="24"/>
          <w:lang w:eastAsia="en-GB"/>
        </w:rPr>
        <w:t>The Salamanca Statement (1994)</w:t>
      </w:r>
      <w:r w:rsidRPr="00BF31B7">
        <w:rPr>
          <w:rFonts w:ascii="Times New Roman" w:eastAsia="Times New Roman" w:hAnsi="Times New Roman" w:cs="Times New Roman"/>
          <w:color w:val="0E101A"/>
          <w:sz w:val="24"/>
          <w:szCs w:val="24"/>
          <w:lang w:eastAsia="en-GB"/>
        </w:rPr>
        <w:t xml:space="preserve"> acknowledged that an inclusive environment diminishes discriminatory attitudes within educational establishments and society, Educational settings should implement provision, that meets the diverse needs of all who attend. (The world conference on Special Needs Education, Salamanca Statement, 1994).</w:t>
      </w:r>
    </w:p>
    <w:p w14:paraId="636CE74D" w14:textId="67FEE0D5" w:rsidR="00BF31B7" w:rsidRPr="00C71E2D"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lastRenderedPageBreak/>
        <w:t>According to Maslow’s Hierarchy of Needs (1954), if an individual’s most fundamental physiological requirements such as air, food, and water, are not met, it can become an overriding factor in their ability to learn. Every child has needs, in varying degrees of complexity, meeting these needs opens more opportunities and motivation for learning, and in some cases just allows them to learn, particularly in SEND children, who often present needs that are more difficult to satisfy. Belonging, the third tier of the Hierarchy, can be a challenging element to achieve, especially to those at risk of exclusion, due to factors such as physical or learning disabilities, social status, culture, gender, or religion, that may separate them from their peers. (McLeod, 2007). </w:t>
      </w:r>
    </w:p>
    <w:p w14:paraId="2B33FC58" w14:textId="77777777" w:rsidR="00C71E2D" w:rsidRPr="00BF31B7" w:rsidRDefault="00C71E2D" w:rsidP="00BF31B7">
      <w:pPr>
        <w:spacing w:after="0" w:line="240" w:lineRule="auto"/>
        <w:rPr>
          <w:rFonts w:ascii="Times New Roman" w:eastAsia="Times New Roman" w:hAnsi="Times New Roman" w:cs="Times New Roman"/>
          <w:color w:val="0E101A"/>
          <w:sz w:val="24"/>
          <w:szCs w:val="24"/>
          <w:lang w:eastAsia="en-GB"/>
        </w:rPr>
      </w:pPr>
    </w:p>
    <w:p w14:paraId="63F26ECE" w14:textId="59088059" w:rsidR="00BF31B7" w:rsidRPr="00C71E2D"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Disability can present itself in many different forms and can affect a child’s learning, mobility, or health. “</w:t>
      </w:r>
      <w:r w:rsidRPr="00BF31B7">
        <w:rPr>
          <w:rFonts w:ascii="Times New Roman" w:eastAsia="Times New Roman" w:hAnsi="Times New Roman" w:cs="Times New Roman"/>
          <w:i/>
          <w:iCs/>
          <w:color w:val="0E101A"/>
          <w:sz w:val="24"/>
          <w:szCs w:val="24"/>
          <w:lang w:eastAsia="en-GB"/>
        </w:rPr>
        <w:t>Every Child has unique Characteristics, interests, abilities and learning needs</w:t>
      </w:r>
      <w:r w:rsidRPr="00BF31B7">
        <w:rPr>
          <w:rFonts w:ascii="Times New Roman" w:eastAsia="Times New Roman" w:hAnsi="Times New Roman" w:cs="Times New Roman"/>
          <w:color w:val="0E101A"/>
          <w:sz w:val="24"/>
          <w:szCs w:val="24"/>
          <w:lang w:eastAsia="en-GB"/>
        </w:rPr>
        <w:t>”. (The Salamanca Statement,1994, p8). Consequently, throughout society those who struggle with special educational needs and disabilities (SEND), can experience marginalisation and exclusion, moreover, around ten percent of the world’s population lives with a disability. (United Nations</w:t>
      </w:r>
      <w:r w:rsidR="00AA053D">
        <w:rPr>
          <w:rFonts w:ascii="Times New Roman" w:eastAsia="Times New Roman" w:hAnsi="Times New Roman" w:cs="Times New Roman"/>
          <w:color w:val="0E101A"/>
          <w:sz w:val="24"/>
          <w:szCs w:val="24"/>
          <w:lang w:eastAsia="en-GB"/>
        </w:rPr>
        <w:t>, n.d</w:t>
      </w:r>
      <w:r w:rsidRPr="00BF31B7">
        <w:rPr>
          <w:rFonts w:ascii="Times New Roman" w:eastAsia="Times New Roman" w:hAnsi="Times New Roman" w:cs="Times New Roman"/>
          <w:color w:val="0E101A"/>
          <w:sz w:val="24"/>
          <w:szCs w:val="24"/>
          <w:lang w:eastAsia="en-GB"/>
        </w:rPr>
        <w:t>). The SEN Code of Practice (2001), aims to ensure that all children with special educational needs, can receive support and access the appropriate relevant education they need. The individuals’ best interests, opinions, feelings, and participation should be at the heart of any decisions made so that they can go on and attain the highest possible educational outcome they can. (Whelan, 2019). SEND pupils face several barriers that affect their access to mainstream education, whether it be communication difficulties, physical complexities, inability to learn and develop at the same rate as peers, or poor health. Stigma and labelling surrounding SEND children, can put them at greater risk of peer group isolation and bullying than other children, all of which can significantly impact their chances in life and the education they receive. </w:t>
      </w:r>
    </w:p>
    <w:p w14:paraId="20052CB2" w14:textId="77777777" w:rsidR="00C71E2D" w:rsidRPr="00BF31B7" w:rsidRDefault="00C71E2D" w:rsidP="00BF31B7">
      <w:pPr>
        <w:spacing w:after="0" w:line="240" w:lineRule="auto"/>
        <w:rPr>
          <w:rFonts w:ascii="Times New Roman" w:eastAsia="Times New Roman" w:hAnsi="Times New Roman" w:cs="Times New Roman"/>
          <w:color w:val="0E101A"/>
          <w:sz w:val="24"/>
          <w:szCs w:val="24"/>
          <w:lang w:eastAsia="en-GB"/>
        </w:rPr>
      </w:pPr>
    </w:p>
    <w:p w14:paraId="6691BC03" w14:textId="095B6630" w:rsidR="00BF31B7" w:rsidRPr="00C71E2D"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Looked after (CiC) children, continue to be underachievers in education, often at risk of exclusion due to lack of understanding or opportunities, behaviour, stigma, or labelling. They will have often, experienced disruptive unstable environments early on in life, which can negatively impact their wellbeing, ability to form relationships, and success in terms of education. The importance of early relationships and attachment has been well documented, Bowlby’s theory of maternal deprivation</w:t>
      </w:r>
      <w:r w:rsidR="005732E6">
        <w:rPr>
          <w:rFonts w:ascii="Times New Roman" w:eastAsia="Times New Roman" w:hAnsi="Times New Roman" w:cs="Times New Roman"/>
          <w:color w:val="0E101A"/>
          <w:sz w:val="24"/>
          <w:szCs w:val="24"/>
          <w:lang w:eastAsia="en-GB"/>
        </w:rPr>
        <w:t xml:space="preserve">, </w:t>
      </w:r>
      <w:r w:rsidRPr="00BF31B7">
        <w:rPr>
          <w:rFonts w:ascii="Times New Roman" w:eastAsia="Times New Roman" w:hAnsi="Times New Roman" w:cs="Times New Roman"/>
          <w:color w:val="0E101A"/>
          <w:sz w:val="24"/>
          <w:szCs w:val="24"/>
          <w:lang w:eastAsia="en-GB"/>
        </w:rPr>
        <w:t>(1951), suggests that children need to develop an initial attachment with their primary caregiver, to form a stable, safe environment for the child from which to develop, and if a child is unable to form or experiences persistent disruption to the formation of a primary attachment, the child is more likely to encounter cognitive, social, emotional and behavioural difficulties later on. (McLeod, 2017), Unfortunately, in many instances, it is all too often a challenge that looked after children face, and it ultimately reflects on their educational outcomes. Within England in 2015, up to seventy thousand children were known as CiC, and only around half of these children will have attained the desired levels of achievement by the time they reach the end of Key stage 2, and a large proportion identified as having additional learning needs. (Sobel, 2017). The national statistics report on the achievement of CiC (2008), showed that </w:t>
      </w:r>
      <w:r w:rsidRPr="00BF31B7">
        <w:rPr>
          <w:rFonts w:ascii="Times New Roman" w:eastAsia="Times New Roman" w:hAnsi="Times New Roman" w:cs="Times New Roman"/>
          <w:i/>
          <w:iCs/>
          <w:color w:val="0E101A"/>
          <w:sz w:val="24"/>
          <w:szCs w:val="24"/>
          <w:lang w:eastAsia="en-GB"/>
        </w:rPr>
        <w:t>“only 46% of CiC achieved level 4 in English and 44% achieved level 4 in maths’, whereas the national average showed that ‘81% of all children obtained this level in English and 79% obtained this level in maths</w:t>
      </w:r>
      <w:r w:rsidRPr="00BF31B7">
        <w:rPr>
          <w:rFonts w:ascii="Times New Roman" w:eastAsia="Times New Roman" w:hAnsi="Times New Roman" w:cs="Times New Roman"/>
          <w:color w:val="0E101A"/>
          <w:sz w:val="24"/>
          <w:szCs w:val="24"/>
          <w:lang w:eastAsia="en-GB"/>
        </w:rPr>
        <w:t>”. (Knowles and Lander, 2010, p.19). </w:t>
      </w:r>
    </w:p>
    <w:p w14:paraId="1BCC7000" w14:textId="77777777" w:rsidR="00C71E2D" w:rsidRPr="00BF31B7" w:rsidRDefault="00C71E2D" w:rsidP="00BF31B7">
      <w:pPr>
        <w:spacing w:after="0" w:line="240" w:lineRule="auto"/>
        <w:rPr>
          <w:rFonts w:ascii="Times New Roman" w:eastAsia="Times New Roman" w:hAnsi="Times New Roman" w:cs="Times New Roman"/>
          <w:color w:val="0E101A"/>
          <w:sz w:val="24"/>
          <w:szCs w:val="24"/>
          <w:lang w:eastAsia="en-GB"/>
        </w:rPr>
      </w:pPr>
    </w:p>
    <w:p w14:paraId="7FE69D7F" w14:textId="30442AA0" w:rsidR="00BF31B7" w:rsidRPr="00C71E2D"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 xml:space="preserve">It is every child’s right to receive an education, which is a reflection and appropriate to their needs, supporting cognitive, emotional, social, and physical aspects, furthermore, it should enable them to go on and live full and independent lives, to the best of their abilities, </w:t>
      </w:r>
      <w:r w:rsidR="000D76A3">
        <w:rPr>
          <w:rFonts w:ascii="Times New Roman" w:eastAsia="Times New Roman" w:hAnsi="Times New Roman" w:cs="Times New Roman"/>
          <w:color w:val="0E101A"/>
          <w:sz w:val="24"/>
          <w:szCs w:val="24"/>
          <w:lang w:eastAsia="en-GB"/>
        </w:rPr>
        <w:t>and</w:t>
      </w:r>
      <w:r w:rsidRPr="00BF31B7">
        <w:rPr>
          <w:rFonts w:ascii="Times New Roman" w:eastAsia="Times New Roman" w:hAnsi="Times New Roman" w:cs="Times New Roman"/>
          <w:color w:val="0E101A"/>
          <w:sz w:val="24"/>
          <w:szCs w:val="24"/>
          <w:lang w:eastAsia="en-GB"/>
        </w:rPr>
        <w:t xml:space="preserve"> to contribute to and become part of society. The Convention on the Rights of Persons with </w:t>
      </w:r>
      <w:r w:rsidRPr="00BF31B7">
        <w:rPr>
          <w:rFonts w:ascii="Times New Roman" w:eastAsia="Times New Roman" w:hAnsi="Times New Roman" w:cs="Times New Roman"/>
          <w:color w:val="0E101A"/>
          <w:sz w:val="24"/>
          <w:szCs w:val="24"/>
          <w:lang w:eastAsia="en-GB"/>
        </w:rPr>
        <w:lastRenderedPageBreak/>
        <w:t>Disabilities (CRPD), states, </w:t>
      </w:r>
      <w:r w:rsidRPr="00BF31B7">
        <w:rPr>
          <w:rFonts w:ascii="Times New Roman" w:eastAsia="Times New Roman" w:hAnsi="Times New Roman" w:cs="Times New Roman"/>
          <w:i/>
          <w:iCs/>
          <w:color w:val="0E101A"/>
          <w:sz w:val="24"/>
          <w:szCs w:val="24"/>
          <w:lang w:eastAsia="en-GB"/>
        </w:rPr>
        <w:t xml:space="preserve">“Persons with disabilities </w:t>
      </w:r>
      <w:r w:rsidR="005732E6">
        <w:rPr>
          <w:rFonts w:ascii="Times New Roman" w:eastAsia="Times New Roman" w:hAnsi="Times New Roman" w:cs="Times New Roman"/>
          <w:i/>
          <w:iCs/>
          <w:color w:val="0E101A"/>
          <w:sz w:val="24"/>
          <w:szCs w:val="24"/>
          <w:lang w:eastAsia="en-GB"/>
        </w:rPr>
        <w:t xml:space="preserve">should </w:t>
      </w:r>
      <w:r w:rsidR="00E05134">
        <w:rPr>
          <w:rFonts w:ascii="Times New Roman" w:eastAsia="Times New Roman" w:hAnsi="Times New Roman" w:cs="Times New Roman"/>
          <w:i/>
          <w:iCs/>
          <w:color w:val="0E101A"/>
          <w:sz w:val="24"/>
          <w:szCs w:val="24"/>
          <w:lang w:eastAsia="en-GB"/>
        </w:rPr>
        <w:t xml:space="preserve">have </w:t>
      </w:r>
      <w:r w:rsidR="00E05134" w:rsidRPr="00BF31B7">
        <w:rPr>
          <w:rFonts w:ascii="Times New Roman" w:eastAsia="Times New Roman" w:hAnsi="Times New Roman" w:cs="Times New Roman"/>
          <w:i/>
          <w:iCs/>
          <w:color w:val="0E101A"/>
          <w:sz w:val="24"/>
          <w:szCs w:val="24"/>
          <w:lang w:eastAsia="en-GB"/>
        </w:rPr>
        <w:t>access</w:t>
      </w:r>
      <w:r w:rsidRPr="00BF31B7">
        <w:rPr>
          <w:rFonts w:ascii="Times New Roman" w:eastAsia="Times New Roman" w:hAnsi="Times New Roman" w:cs="Times New Roman"/>
          <w:i/>
          <w:iCs/>
          <w:color w:val="0E101A"/>
          <w:sz w:val="24"/>
          <w:szCs w:val="24"/>
          <w:lang w:eastAsia="en-GB"/>
        </w:rPr>
        <w:t xml:space="preserve"> </w:t>
      </w:r>
      <w:r w:rsidR="005732E6">
        <w:rPr>
          <w:rFonts w:ascii="Times New Roman" w:eastAsia="Times New Roman" w:hAnsi="Times New Roman" w:cs="Times New Roman"/>
          <w:i/>
          <w:iCs/>
          <w:color w:val="0E101A"/>
          <w:sz w:val="24"/>
          <w:szCs w:val="24"/>
          <w:lang w:eastAsia="en-GB"/>
        </w:rPr>
        <w:t>to</w:t>
      </w:r>
      <w:r w:rsidRPr="00BF31B7">
        <w:rPr>
          <w:rFonts w:ascii="Times New Roman" w:eastAsia="Times New Roman" w:hAnsi="Times New Roman" w:cs="Times New Roman"/>
          <w:i/>
          <w:iCs/>
          <w:color w:val="0E101A"/>
          <w:sz w:val="24"/>
          <w:szCs w:val="24"/>
          <w:lang w:eastAsia="en-GB"/>
        </w:rPr>
        <w:t xml:space="preserve"> inclusive, quality and free primary education and secondary education on an equal basis with others in the communities in which they live.”</w:t>
      </w:r>
      <w:r w:rsidRPr="00BF31B7">
        <w:rPr>
          <w:rFonts w:ascii="Times New Roman" w:eastAsia="Times New Roman" w:hAnsi="Times New Roman" w:cs="Times New Roman"/>
          <w:color w:val="0E101A"/>
          <w:sz w:val="24"/>
          <w:szCs w:val="24"/>
          <w:lang w:eastAsia="en-GB"/>
        </w:rPr>
        <w:t> (UNICEF, n.d, CRPD, 2006, Article 24,). Unfortunately, this is not always the case, SEND pupils access to education can face significant challenges which prevent their ability to utilize the teaching and facilities that other children can. The UNESCO World Declaration on Education for all (1990), drew attention to the broader range of children who are at an increased risk of exclusion, including those who are already enrolled in education but are not attaining what they should be, those who could attend school, if the education facility were more accommodating and gender. (Ainscow. M, and Haile – Giorgi. M, 1998).</w:t>
      </w:r>
    </w:p>
    <w:p w14:paraId="25E0A135" w14:textId="77777777" w:rsidR="00C71E2D" w:rsidRPr="00BF31B7" w:rsidRDefault="00C71E2D" w:rsidP="00BF31B7">
      <w:pPr>
        <w:spacing w:after="0" w:line="240" w:lineRule="auto"/>
        <w:rPr>
          <w:rFonts w:ascii="Times New Roman" w:eastAsia="Times New Roman" w:hAnsi="Times New Roman" w:cs="Times New Roman"/>
          <w:color w:val="0E101A"/>
          <w:sz w:val="24"/>
          <w:szCs w:val="24"/>
          <w:lang w:eastAsia="en-GB"/>
        </w:rPr>
      </w:pPr>
    </w:p>
    <w:p w14:paraId="07239126" w14:textId="29738143" w:rsidR="00BF31B7" w:rsidRPr="00C71E2D"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 xml:space="preserve">Gender equality remains at the heart of the human rights agenda and is at the </w:t>
      </w:r>
      <w:r w:rsidR="000D76A3">
        <w:rPr>
          <w:rFonts w:ascii="Times New Roman" w:eastAsia="Times New Roman" w:hAnsi="Times New Roman" w:cs="Times New Roman"/>
          <w:color w:val="0E101A"/>
          <w:sz w:val="24"/>
          <w:szCs w:val="24"/>
          <w:lang w:eastAsia="en-GB"/>
        </w:rPr>
        <w:t>core</w:t>
      </w:r>
      <w:r w:rsidRPr="00BF31B7">
        <w:rPr>
          <w:rFonts w:ascii="Times New Roman" w:eastAsia="Times New Roman" w:hAnsi="Times New Roman" w:cs="Times New Roman"/>
          <w:color w:val="0E101A"/>
          <w:sz w:val="24"/>
          <w:szCs w:val="24"/>
          <w:lang w:eastAsia="en-GB"/>
        </w:rPr>
        <w:t xml:space="preserve"> of the 2030 sustainable development plan, around the world is it becoming increasingly apparent the importance of education for girls, especially in majority countries, battered by war or where girls are in vulnerable situations. Although it is equally crucial to educate all, in the importance of learning and the value of girls in their society, and that providing girls with an education, can help to achieve a more prosperous safer community, the Global Partnership for Education’s gender equality policy and strategy 2016-2020 (GEPS), recognise</w:t>
      </w:r>
      <w:r w:rsidR="00BD143F">
        <w:rPr>
          <w:rFonts w:ascii="Times New Roman" w:eastAsia="Times New Roman" w:hAnsi="Times New Roman" w:cs="Times New Roman"/>
          <w:color w:val="0E101A"/>
          <w:sz w:val="24"/>
          <w:szCs w:val="24"/>
          <w:lang w:eastAsia="en-GB"/>
        </w:rPr>
        <w:t>s</w:t>
      </w:r>
      <w:r w:rsidRPr="00BF31B7">
        <w:rPr>
          <w:rFonts w:ascii="Times New Roman" w:eastAsia="Times New Roman" w:hAnsi="Times New Roman" w:cs="Times New Roman"/>
          <w:color w:val="0E101A"/>
          <w:sz w:val="24"/>
          <w:szCs w:val="24"/>
          <w:lang w:eastAsia="en-GB"/>
        </w:rPr>
        <w:t xml:space="preserve"> that </w:t>
      </w:r>
      <w:r w:rsidR="00BD143F">
        <w:rPr>
          <w:rFonts w:ascii="Times New Roman" w:eastAsia="Times New Roman" w:hAnsi="Times New Roman" w:cs="Times New Roman"/>
          <w:color w:val="0E101A"/>
          <w:sz w:val="24"/>
          <w:szCs w:val="24"/>
          <w:lang w:eastAsia="en-GB"/>
        </w:rPr>
        <w:t>everybody regardless of gender, should have equal rights, responsibilities and opportunities, with the capability to shape their lives and become valuable members of society. (</w:t>
      </w:r>
      <w:r w:rsidR="00C71E2D" w:rsidRPr="00C71E2D">
        <w:rPr>
          <w:rFonts w:ascii="Times New Roman" w:eastAsia="Times New Roman" w:hAnsi="Times New Roman" w:cs="Times New Roman"/>
          <w:color w:val="0E101A"/>
          <w:sz w:val="24"/>
          <w:szCs w:val="24"/>
          <w:lang w:eastAsia="en-GB"/>
        </w:rPr>
        <w:t>Unterhalter.E</w:t>
      </w:r>
      <w:r w:rsidRPr="00BF31B7">
        <w:rPr>
          <w:rFonts w:ascii="Times New Roman" w:eastAsia="Times New Roman" w:hAnsi="Times New Roman" w:cs="Times New Roman"/>
          <w:color w:val="0E101A"/>
          <w:sz w:val="24"/>
          <w:szCs w:val="24"/>
          <w:lang w:eastAsia="en-GB"/>
        </w:rPr>
        <w:t>. E, 2019, p.12). Even though the number of girls and boys not enrolled in school globally is very similar, gender equality is more apparent across different countries. For example, in African countries, girls are far more likely to not receive an education than boys. In Sub-Saharan Africa, North Africa, and South Asia, even if girls are attending a school, they are often faced with several gender-based inequalities, associated with access, participation, progression, and outcomes, because of the educational system and the country they reside in. The Gender Equality Charter Mark Framework, is a three-year European Union (EU) funded project that schools can utilise, it</w:t>
      </w:r>
      <w:r w:rsidRPr="00BF31B7">
        <w:rPr>
          <w:rFonts w:ascii="Times New Roman" w:eastAsia="Times New Roman" w:hAnsi="Times New Roman" w:cs="Times New Roman"/>
          <w:i/>
          <w:iCs/>
          <w:color w:val="0E101A"/>
          <w:sz w:val="24"/>
          <w:szCs w:val="24"/>
          <w:lang w:eastAsia="en-GB"/>
        </w:rPr>
        <w:t> “looks at influencing and informing their leadership, curriculum, physical environment, and the attitudes and relationships of both the students, staff and wider community in relation to gender equality issues.”</w:t>
      </w:r>
      <w:r w:rsidRPr="00BF31B7">
        <w:rPr>
          <w:rFonts w:ascii="Times New Roman" w:eastAsia="Times New Roman" w:hAnsi="Times New Roman" w:cs="Times New Roman"/>
          <w:color w:val="0E101A"/>
          <w:sz w:val="24"/>
          <w:szCs w:val="24"/>
          <w:lang w:eastAsia="en-GB"/>
        </w:rPr>
        <w:t> (Gender Equality in Schools, n.d). The EU identified that stereotyping and attitudes contribute to girls and women facing barriers in society, and to reduce prejudice, across men and women of all ages, attention must be given to the development of respect, equality, and human rights. Gender-based discrimination is increasing and there is a need for new initiatives and solutions, the EU commission on the status of Women perceived that Gender equality is a global issue, that demands change from not just the educational system, but government and society, requiring the creation of policies and plans, to prevent and protect from gender discrimination. (World Health Organisation, 2009). </w:t>
      </w:r>
    </w:p>
    <w:p w14:paraId="092992D6" w14:textId="77777777" w:rsidR="00C71E2D" w:rsidRPr="00BF31B7" w:rsidRDefault="00C71E2D" w:rsidP="00BF31B7">
      <w:pPr>
        <w:spacing w:after="0" w:line="240" w:lineRule="auto"/>
        <w:rPr>
          <w:rFonts w:ascii="Times New Roman" w:eastAsia="Times New Roman" w:hAnsi="Times New Roman" w:cs="Times New Roman"/>
          <w:color w:val="0E101A"/>
          <w:sz w:val="24"/>
          <w:szCs w:val="24"/>
          <w:lang w:eastAsia="en-GB"/>
        </w:rPr>
      </w:pPr>
    </w:p>
    <w:p w14:paraId="7D4BB683" w14:textId="0FE608E1" w:rsidR="000E22BB" w:rsidRDefault="00BF31B7" w:rsidP="000E22BB">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Education is the foundation from which adult life is built, it provides knowledge and understanding, of the world, its people, cultures, history, and religions, it fuels economies and fabricates prosperity for society. The inability to receive an adequate education can have lifelong consequences, for health, income, employment, gender inequality, self-esteem, and independence. Children throughout the world continue to face the challenges that accessing the education they need brings, thus hampering their chances of attainment and ultimately their success in life. Evidently, several key elements hinder a pupil’s ability to access education, some of which would require the participation of all in society to alleviate, whereas others could be addressed on an individual basis. Every child is unique, irrespective of background, locality, gender, or ability, they should be able to unlock their full potential and access the education they deserve.</w:t>
      </w:r>
      <w:r w:rsidR="000E22BB">
        <w:rPr>
          <w:rFonts w:ascii="Times New Roman" w:eastAsia="Times New Roman" w:hAnsi="Times New Roman" w:cs="Times New Roman"/>
          <w:color w:val="0E101A"/>
          <w:sz w:val="24"/>
          <w:szCs w:val="24"/>
          <w:lang w:eastAsia="en-GB"/>
        </w:rPr>
        <w:t xml:space="preserve"> </w:t>
      </w:r>
      <w:r w:rsidR="000E22BB" w:rsidRPr="000E22BB">
        <w:rPr>
          <w:rFonts w:ascii="Times New Roman" w:eastAsia="Times New Roman" w:hAnsi="Times New Roman" w:cs="Times New Roman"/>
          <w:b/>
          <w:bCs/>
          <w:color w:val="0E101A"/>
          <w:sz w:val="24"/>
          <w:szCs w:val="24"/>
          <w:lang w:eastAsia="en-GB"/>
        </w:rPr>
        <w:t>(299</w:t>
      </w:r>
      <w:r w:rsidR="000D76A3">
        <w:rPr>
          <w:rFonts w:ascii="Times New Roman" w:eastAsia="Times New Roman" w:hAnsi="Times New Roman" w:cs="Times New Roman"/>
          <w:b/>
          <w:bCs/>
          <w:color w:val="0E101A"/>
          <w:sz w:val="24"/>
          <w:szCs w:val="24"/>
          <w:lang w:eastAsia="en-GB"/>
        </w:rPr>
        <w:t>9</w:t>
      </w:r>
      <w:r w:rsidR="000E22BB" w:rsidRPr="000E22BB">
        <w:rPr>
          <w:rFonts w:ascii="Times New Roman" w:eastAsia="Times New Roman" w:hAnsi="Times New Roman" w:cs="Times New Roman"/>
          <w:b/>
          <w:bCs/>
          <w:color w:val="0E101A"/>
          <w:sz w:val="24"/>
          <w:szCs w:val="24"/>
          <w:lang w:eastAsia="en-GB"/>
        </w:rPr>
        <w:t xml:space="preserve"> Words).</w:t>
      </w:r>
    </w:p>
    <w:p w14:paraId="2013CBC1" w14:textId="77777777" w:rsidR="000E22BB" w:rsidRDefault="000E22BB" w:rsidP="000E22BB">
      <w:pPr>
        <w:spacing w:after="0" w:line="240" w:lineRule="auto"/>
        <w:rPr>
          <w:rFonts w:ascii="Times New Roman" w:eastAsia="Times New Roman" w:hAnsi="Times New Roman" w:cs="Times New Roman"/>
          <w:color w:val="0E101A"/>
          <w:sz w:val="24"/>
          <w:szCs w:val="24"/>
          <w:lang w:eastAsia="en-GB"/>
        </w:rPr>
      </w:pPr>
    </w:p>
    <w:p w14:paraId="385B9434" w14:textId="64889C51" w:rsidR="00BF31B7" w:rsidRDefault="00BF31B7" w:rsidP="000E22BB">
      <w:pPr>
        <w:spacing w:after="0" w:line="240" w:lineRule="auto"/>
        <w:jc w:val="center"/>
        <w:rPr>
          <w:rFonts w:ascii="Times New Roman" w:eastAsia="Times New Roman" w:hAnsi="Times New Roman" w:cs="Times New Roman"/>
          <w:b/>
          <w:bCs/>
          <w:color w:val="0E101A"/>
          <w:sz w:val="44"/>
          <w:szCs w:val="44"/>
          <w:u w:val="single"/>
          <w:lang w:eastAsia="en-GB"/>
        </w:rPr>
      </w:pPr>
      <w:r w:rsidRPr="00BF31B7">
        <w:rPr>
          <w:rFonts w:ascii="Times New Roman" w:eastAsia="Times New Roman" w:hAnsi="Times New Roman" w:cs="Times New Roman"/>
          <w:b/>
          <w:bCs/>
          <w:color w:val="0E101A"/>
          <w:sz w:val="44"/>
          <w:szCs w:val="44"/>
          <w:u w:val="single"/>
          <w:lang w:eastAsia="en-GB"/>
        </w:rPr>
        <w:t>References</w:t>
      </w:r>
    </w:p>
    <w:p w14:paraId="67E1B866" w14:textId="596C0D40" w:rsidR="000E22BB" w:rsidRDefault="000E22BB" w:rsidP="000E22BB">
      <w:pPr>
        <w:spacing w:after="0" w:line="240" w:lineRule="auto"/>
        <w:jc w:val="center"/>
        <w:rPr>
          <w:rFonts w:ascii="Times New Roman" w:eastAsia="Times New Roman" w:hAnsi="Times New Roman" w:cs="Times New Roman"/>
          <w:b/>
          <w:bCs/>
          <w:color w:val="0E101A"/>
          <w:sz w:val="44"/>
          <w:szCs w:val="44"/>
          <w:u w:val="single"/>
          <w:lang w:eastAsia="en-GB"/>
        </w:rPr>
      </w:pPr>
    </w:p>
    <w:p w14:paraId="2145352E" w14:textId="77777777" w:rsidR="000E22BB" w:rsidRPr="000E22BB" w:rsidRDefault="000E22BB" w:rsidP="000E22BB">
      <w:pPr>
        <w:spacing w:after="0" w:line="240" w:lineRule="auto"/>
        <w:jc w:val="center"/>
        <w:rPr>
          <w:rFonts w:ascii="Times New Roman" w:eastAsia="Times New Roman" w:hAnsi="Times New Roman" w:cs="Times New Roman"/>
          <w:color w:val="0E101A"/>
          <w:sz w:val="24"/>
          <w:szCs w:val="24"/>
          <w:lang w:eastAsia="en-GB"/>
        </w:rPr>
      </w:pPr>
    </w:p>
    <w:p w14:paraId="70840504" w14:textId="77777777" w:rsidR="00C71E2D" w:rsidRPr="00BF31B7" w:rsidRDefault="00C71E2D" w:rsidP="00BF31B7">
      <w:pPr>
        <w:spacing w:after="0" w:line="240" w:lineRule="auto"/>
        <w:rPr>
          <w:rFonts w:ascii="Times New Roman" w:eastAsia="Times New Roman" w:hAnsi="Times New Roman" w:cs="Times New Roman"/>
          <w:color w:val="0E101A"/>
          <w:sz w:val="24"/>
          <w:szCs w:val="24"/>
          <w:lang w:eastAsia="en-GB"/>
        </w:rPr>
      </w:pPr>
    </w:p>
    <w:p w14:paraId="2C516E0D" w14:textId="2AE96D96" w:rsidR="00BF31B7"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Ainscow. M, and Haile – Giorgi. M, (1998), The Education of Children with Special Needs: Barriers and Opportunities in Central and Eastern Europe </w:t>
      </w:r>
      <w:hyperlink r:id="rId6" w:tgtFrame="_blank" w:history="1">
        <w:r w:rsidRPr="00BF31B7">
          <w:rPr>
            <w:rFonts w:ascii="Times New Roman" w:eastAsia="Times New Roman" w:hAnsi="Times New Roman" w:cs="Times New Roman"/>
            <w:color w:val="4A6EE0"/>
            <w:sz w:val="24"/>
            <w:szCs w:val="24"/>
            <w:u w:val="single"/>
            <w:lang w:eastAsia="en-GB"/>
          </w:rPr>
          <w:t>IOP67-IMPA (usal.es)</w:t>
        </w:r>
      </w:hyperlink>
      <w:r w:rsidRPr="00BF31B7">
        <w:rPr>
          <w:rFonts w:ascii="Times New Roman" w:eastAsia="Times New Roman" w:hAnsi="Times New Roman" w:cs="Times New Roman"/>
          <w:color w:val="0E101A"/>
          <w:sz w:val="24"/>
          <w:szCs w:val="24"/>
          <w:lang w:eastAsia="en-GB"/>
        </w:rPr>
        <w:t>. Date accessed 15/05/2021. </w:t>
      </w:r>
    </w:p>
    <w:p w14:paraId="581DF07A" w14:textId="77777777" w:rsidR="00C71E2D" w:rsidRPr="00BF31B7" w:rsidRDefault="00C71E2D" w:rsidP="00BF31B7">
      <w:pPr>
        <w:spacing w:after="0" w:line="240" w:lineRule="auto"/>
        <w:rPr>
          <w:rFonts w:ascii="Times New Roman" w:eastAsia="Times New Roman" w:hAnsi="Times New Roman" w:cs="Times New Roman"/>
          <w:color w:val="0E101A"/>
          <w:sz w:val="24"/>
          <w:szCs w:val="24"/>
          <w:lang w:eastAsia="en-GB"/>
        </w:rPr>
      </w:pPr>
    </w:p>
    <w:p w14:paraId="4AF7B66C" w14:textId="071DDA03" w:rsidR="00BF31B7"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Anderson. J, (2021), Scholarships do ‘remarkably little’ to make private schools inclusive as most grants given to well-off pupils, </w:t>
      </w:r>
      <w:hyperlink r:id="rId7" w:tgtFrame="_blank" w:history="1">
        <w:r w:rsidRPr="00BF31B7">
          <w:rPr>
            <w:rFonts w:ascii="Times New Roman" w:eastAsia="Times New Roman" w:hAnsi="Times New Roman" w:cs="Times New Roman"/>
            <w:color w:val="4A6EE0"/>
            <w:sz w:val="24"/>
            <w:szCs w:val="24"/>
            <w:u w:val="single"/>
            <w:lang w:eastAsia="en-GB"/>
          </w:rPr>
          <w:t>Scholarships do 'remarkably little' to make private schools inclusive as most grants given to well-off pupils (inews.co.uk)</w:t>
        </w:r>
      </w:hyperlink>
      <w:r w:rsidRPr="00BF31B7">
        <w:rPr>
          <w:rFonts w:ascii="Times New Roman" w:eastAsia="Times New Roman" w:hAnsi="Times New Roman" w:cs="Times New Roman"/>
          <w:color w:val="0E101A"/>
          <w:sz w:val="24"/>
          <w:szCs w:val="24"/>
          <w:lang w:eastAsia="en-GB"/>
        </w:rPr>
        <w:t>. Date accessed 3/05/2021.</w:t>
      </w:r>
    </w:p>
    <w:p w14:paraId="1F4165C1" w14:textId="77777777" w:rsidR="00C71E2D" w:rsidRPr="00BF31B7" w:rsidRDefault="00C71E2D" w:rsidP="00BF31B7">
      <w:pPr>
        <w:spacing w:after="0" w:line="240" w:lineRule="auto"/>
        <w:rPr>
          <w:rFonts w:ascii="Times New Roman" w:eastAsia="Times New Roman" w:hAnsi="Times New Roman" w:cs="Times New Roman"/>
          <w:color w:val="0E101A"/>
          <w:sz w:val="24"/>
          <w:szCs w:val="24"/>
          <w:lang w:eastAsia="en-GB"/>
        </w:rPr>
      </w:pPr>
    </w:p>
    <w:p w14:paraId="1C1E34F0" w14:textId="55E68234" w:rsidR="00BF31B7" w:rsidRPr="00BF31B7" w:rsidRDefault="00C71E2D" w:rsidP="00C71E2D">
      <w:pPr>
        <w:spacing w:after="0" w:line="24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 xml:space="preserve">Aplin. </w:t>
      </w:r>
      <w:r w:rsidR="00BF31B7" w:rsidRPr="00BF31B7">
        <w:rPr>
          <w:rFonts w:ascii="Times New Roman" w:eastAsia="Times New Roman" w:hAnsi="Times New Roman" w:cs="Times New Roman"/>
          <w:color w:val="0E101A"/>
          <w:sz w:val="24"/>
          <w:szCs w:val="24"/>
          <w:lang w:eastAsia="en-GB"/>
        </w:rPr>
        <w:t>K, (2013), Technology in the classroom: thoughts prompted by the first session and from time in school, </w:t>
      </w:r>
      <w:hyperlink r:id="rId8" w:tgtFrame="_blank" w:history="1">
        <w:r w:rsidR="00BF31B7" w:rsidRPr="00BF31B7">
          <w:rPr>
            <w:rFonts w:ascii="Times New Roman" w:eastAsia="Times New Roman" w:hAnsi="Times New Roman" w:cs="Times New Roman"/>
            <w:color w:val="4A6EE0"/>
            <w:sz w:val="24"/>
            <w:szCs w:val="24"/>
            <w:u w:val="single"/>
            <w:lang w:eastAsia="en-GB"/>
          </w:rPr>
          <w:t>Technology in the classroom: thoughts prompted by the first session and from time in school | Reflective PGCE (wordpress.com)</w:t>
        </w:r>
      </w:hyperlink>
      <w:r w:rsidR="00BF31B7" w:rsidRPr="00BF31B7">
        <w:rPr>
          <w:rFonts w:ascii="Times New Roman" w:eastAsia="Times New Roman" w:hAnsi="Times New Roman" w:cs="Times New Roman"/>
          <w:color w:val="0E101A"/>
          <w:sz w:val="24"/>
          <w:szCs w:val="24"/>
          <w:lang w:eastAsia="en-GB"/>
        </w:rPr>
        <w:t>. Date accessed 15/05/2021. </w:t>
      </w:r>
    </w:p>
    <w:p w14:paraId="4DE19DA6" w14:textId="77777777" w:rsidR="00BF31B7" w:rsidRPr="00BF31B7" w:rsidRDefault="00BF31B7" w:rsidP="00BF31B7">
      <w:pPr>
        <w:spacing w:after="0" w:line="240" w:lineRule="auto"/>
        <w:rPr>
          <w:rFonts w:ascii="Times New Roman" w:eastAsia="Times New Roman" w:hAnsi="Times New Roman" w:cs="Times New Roman"/>
          <w:color w:val="0E101A"/>
          <w:sz w:val="24"/>
          <w:szCs w:val="24"/>
          <w:lang w:eastAsia="en-GB"/>
        </w:rPr>
      </w:pPr>
    </w:p>
    <w:p w14:paraId="6369C790" w14:textId="0C7FD4E8" w:rsidR="00BF31B7"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Department for Education and Skills, (2006), Ethnicity and Education: The Evidence on Minority Ethnic Pupils aged 5–16, </w:t>
      </w:r>
      <w:hyperlink r:id="rId9" w:tgtFrame="_blank" w:history="1">
        <w:r w:rsidRPr="00BF31B7">
          <w:rPr>
            <w:rFonts w:ascii="Times New Roman" w:eastAsia="Times New Roman" w:hAnsi="Times New Roman" w:cs="Times New Roman"/>
            <w:color w:val="4A6EE0"/>
            <w:sz w:val="24"/>
            <w:szCs w:val="24"/>
            <w:u w:val="single"/>
            <w:lang w:eastAsia="en-GB"/>
          </w:rPr>
          <w:t>0208-2006dom-en_Redacted.pdf (ioe.ac.uk)</w:t>
        </w:r>
      </w:hyperlink>
      <w:r w:rsidRPr="00BF31B7">
        <w:rPr>
          <w:rFonts w:ascii="Times New Roman" w:eastAsia="Times New Roman" w:hAnsi="Times New Roman" w:cs="Times New Roman"/>
          <w:color w:val="0E101A"/>
          <w:sz w:val="24"/>
          <w:szCs w:val="24"/>
          <w:lang w:eastAsia="en-GB"/>
        </w:rPr>
        <w:t>. Date accessed 10/05/2021. </w:t>
      </w:r>
    </w:p>
    <w:p w14:paraId="1F1781C1" w14:textId="77777777" w:rsidR="00C71E2D" w:rsidRPr="00BF31B7" w:rsidRDefault="00C71E2D" w:rsidP="00BF31B7">
      <w:pPr>
        <w:spacing w:after="0" w:line="240" w:lineRule="auto"/>
        <w:rPr>
          <w:rFonts w:ascii="Times New Roman" w:eastAsia="Times New Roman" w:hAnsi="Times New Roman" w:cs="Times New Roman"/>
          <w:color w:val="0E101A"/>
          <w:sz w:val="24"/>
          <w:szCs w:val="24"/>
          <w:lang w:eastAsia="en-GB"/>
        </w:rPr>
      </w:pPr>
    </w:p>
    <w:p w14:paraId="6C19CC7B" w14:textId="62745AD8" w:rsidR="00BF31B7"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Government Equalities Office and Equality and Human Rights Commission, (2013), Equality Act 2010: Guidance, Equality Act 2010: guidance - GOV.UK (www.gov.uk)</w:t>
      </w:r>
      <w:r w:rsidRPr="00BF31B7">
        <w:rPr>
          <w:rFonts w:ascii="Times New Roman" w:eastAsia="Times New Roman" w:hAnsi="Times New Roman" w:cs="Times New Roman"/>
          <w:color w:val="0E101A"/>
          <w:sz w:val="24"/>
          <w:szCs w:val="24"/>
          <w:u w:val="single"/>
          <w:lang w:eastAsia="en-GB"/>
        </w:rPr>
        <w:t>. </w:t>
      </w:r>
      <w:r w:rsidRPr="00BF31B7">
        <w:rPr>
          <w:rFonts w:ascii="Times New Roman" w:eastAsia="Times New Roman" w:hAnsi="Times New Roman" w:cs="Times New Roman"/>
          <w:color w:val="0E101A"/>
          <w:sz w:val="24"/>
          <w:szCs w:val="24"/>
          <w:lang w:eastAsia="en-GB"/>
        </w:rPr>
        <w:t>Date accessed 14/05/2021.</w:t>
      </w:r>
    </w:p>
    <w:p w14:paraId="24CDF6BF" w14:textId="77777777" w:rsidR="00C71E2D" w:rsidRPr="00BF31B7" w:rsidRDefault="00C71E2D" w:rsidP="00BF31B7">
      <w:pPr>
        <w:spacing w:after="0" w:line="240" w:lineRule="auto"/>
        <w:rPr>
          <w:rFonts w:ascii="Times New Roman" w:eastAsia="Times New Roman" w:hAnsi="Times New Roman" w:cs="Times New Roman"/>
          <w:color w:val="0E101A"/>
          <w:sz w:val="24"/>
          <w:szCs w:val="24"/>
          <w:lang w:eastAsia="en-GB"/>
        </w:rPr>
      </w:pPr>
    </w:p>
    <w:p w14:paraId="34C67D7A" w14:textId="77777777" w:rsidR="00BF31B7" w:rsidRPr="00BF31B7"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Green. S, (2007), Children’s Care, Learning and Development. Date accessed 14/05/2021. </w:t>
      </w:r>
    </w:p>
    <w:p w14:paraId="3DC86F49" w14:textId="77777777" w:rsidR="00BF31B7" w:rsidRPr="00BF31B7" w:rsidRDefault="00BF31B7" w:rsidP="00BF31B7">
      <w:pPr>
        <w:spacing w:after="0" w:line="240" w:lineRule="auto"/>
        <w:rPr>
          <w:rFonts w:ascii="Times New Roman" w:eastAsia="Times New Roman" w:hAnsi="Times New Roman" w:cs="Times New Roman"/>
          <w:color w:val="0E101A"/>
          <w:sz w:val="24"/>
          <w:szCs w:val="24"/>
          <w:lang w:eastAsia="en-GB"/>
        </w:rPr>
      </w:pPr>
    </w:p>
    <w:p w14:paraId="4D6225AD" w14:textId="116D5B7A" w:rsidR="00BF31B7"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House of Lords Social Mobility Committee, (2016), Overlooked and Left Behind: Improving the Transition from School to Work for the Majority of Young People, HL Paper 120 of session 2015–16, pp 18–19. Date accessed 10/05/2021. </w:t>
      </w:r>
    </w:p>
    <w:p w14:paraId="2B5B23AD" w14:textId="77777777" w:rsidR="00C71E2D" w:rsidRPr="00BF31B7" w:rsidRDefault="00C71E2D" w:rsidP="00BF31B7">
      <w:pPr>
        <w:spacing w:after="0" w:line="240" w:lineRule="auto"/>
        <w:rPr>
          <w:rFonts w:ascii="Times New Roman" w:eastAsia="Times New Roman" w:hAnsi="Times New Roman" w:cs="Times New Roman"/>
          <w:color w:val="0E101A"/>
          <w:sz w:val="24"/>
          <w:szCs w:val="24"/>
          <w:lang w:eastAsia="en-GB"/>
        </w:rPr>
      </w:pPr>
    </w:p>
    <w:p w14:paraId="494C35BD" w14:textId="7AE35EE9" w:rsidR="00BF31B7"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House of Lords Social Mobility Committee, (2016), Overlooked and Left Behind: Improving the Transition from School to Work for the Majority of Young People, HL Paper 120 of session 2015–16, pp 18–21. Date Accessed 10/05/2021. </w:t>
      </w:r>
    </w:p>
    <w:p w14:paraId="7FBD04C8" w14:textId="77777777" w:rsidR="00C71E2D" w:rsidRPr="00BF31B7" w:rsidRDefault="00C71E2D" w:rsidP="00BF31B7">
      <w:pPr>
        <w:spacing w:after="0" w:line="240" w:lineRule="auto"/>
        <w:rPr>
          <w:rFonts w:ascii="Times New Roman" w:eastAsia="Times New Roman" w:hAnsi="Times New Roman" w:cs="Times New Roman"/>
          <w:color w:val="0E101A"/>
          <w:sz w:val="24"/>
          <w:szCs w:val="24"/>
          <w:lang w:eastAsia="en-GB"/>
        </w:rPr>
      </w:pPr>
    </w:p>
    <w:p w14:paraId="0BB66FFA" w14:textId="36512DF5" w:rsidR="00BF31B7"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Knowles. G, and Lander. V, (2011), Diversity, Equality, and Achievement in Education. SAGE Publications, MLA 8th Edition. Date accessed 1/05/2021. </w:t>
      </w:r>
    </w:p>
    <w:p w14:paraId="635CD1A4" w14:textId="77777777" w:rsidR="00C71E2D" w:rsidRPr="00BF31B7" w:rsidRDefault="00C71E2D" w:rsidP="00BF31B7">
      <w:pPr>
        <w:spacing w:after="0" w:line="240" w:lineRule="auto"/>
        <w:rPr>
          <w:rFonts w:ascii="Times New Roman" w:eastAsia="Times New Roman" w:hAnsi="Times New Roman" w:cs="Times New Roman"/>
          <w:color w:val="0E101A"/>
          <w:sz w:val="24"/>
          <w:szCs w:val="24"/>
          <w:lang w:eastAsia="en-GB"/>
        </w:rPr>
      </w:pPr>
    </w:p>
    <w:p w14:paraId="70F274E7" w14:textId="2D34A955" w:rsidR="00BF31B7"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Knowles. G, and Lander. V, (2011), Diversity, Equality, and Achievement in Education. SAGE Publications, APA 7th Edition. Date accessed 1/05/2021. </w:t>
      </w:r>
    </w:p>
    <w:p w14:paraId="5850FEF0" w14:textId="77777777" w:rsidR="00C71E2D" w:rsidRPr="00BF31B7" w:rsidRDefault="00C71E2D" w:rsidP="00BF31B7">
      <w:pPr>
        <w:spacing w:after="0" w:line="240" w:lineRule="auto"/>
        <w:rPr>
          <w:rFonts w:ascii="Times New Roman" w:eastAsia="Times New Roman" w:hAnsi="Times New Roman" w:cs="Times New Roman"/>
          <w:color w:val="0E101A"/>
          <w:sz w:val="24"/>
          <w:szCs w:val="24"/>
          <w:lang w:eastAsia="en-GB"/>
        </w:rPr>
      </w:pPr>
    </w:p>
    <w:p w14:paraId="207BACC5" w14:textId="42F846C5" w:rsidR="00BF31B7"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Landorf. H and Nevin. A, (2007), "Inclusive global education: implications for social justice", </w:t>
      </w:r>
      <w:hyperlink r:id="rId10" w:tgtFrame="_blank" w:history="1">
        <w:r w:rsidRPr="00BF31B7">
          <w:rPr>
            <w:rFonts w:ascii="Times New Roman" w:eastAsia="Times New Roman" w:hAnsi="Times New Roman" w:cs="Times New Roman"/>
            <w:i/>
            <w:iCs/>
            <w:color w:val="0066FF"/>
            <w:sz w:val="24"/>
            <w:szCs w:val="24"/>
            <w:u w:val="single"/>
            <w:lang w:eastAsia="en-GB"/>
          </w:rPr>
          <w:t>Journal of Educational Administration</w:t>
        </w:r>
      </w:hyperlink>
      <w:r w:rsidRPr="00BF31B7">
        <w:rPr>
          <w:rFonts w:ascii="Times New Roman" w:eastAsia="Times New Roman" w:hAnsi="Times New Roman" w:cs="Times New Roman"/>
          <w:color w:val="0E101A"/>
          <w:sz w:val="24"/>
          <w:szCs w:val="24"/>
          <w:lang w:eastAsia="en-GB"/>
        </w:rPr>
        <w:t>, Vol. 45 No. 6, pp. 711-723. </w:t>
      </w:r>
      <w:hyperlink r:id="rId11" w:tgtFrame="_blank" w:history="1">
        <w:r w:rsidRPr="00BF31B7">
          <w:rPr>
            <w:rFonts w:ascii="Times New Roman" w:eastAsia="Times New Roman" w:hAnsi="Times New Roman" w:cs="Times New Roman"/>
            <w:color w:val="0066FF"/>
            <w:sz w:val="24"/>
            <w:szCs w:val="24"/>
            <w:u w:val="single"/>
            <w:lang w:eastAsia="en-GB"/>
          </w:rPr>
          <w:t>https://doi.org/10.1108/09578230710829892</w:t>
        </w:r>
      </w:hyperlink>
      <w:r w:rsidRPr="00BF31B7">
        <w:rPr>
          <w:rFonts w:ascii="Times New Roman" w:eastAsia="Times New Roman" w:hAnsi="Times New Roman" w:cs="Times New Roman"/>
          <w:color w:val="0E101A"/>
          <w:sz w:val="24"/>
          <w:szCs w:val="24"/>
          <w:lang w:eastAsia="en-GB"/>
        </w:rPr>
        <w:t>. Date accessed 1/05/2021. </w:t>
      </w:r>
    </w:p>
    <w:p w14:paraId="49BFD7E5" w14:textId="77777777" w:rsidR="00C71E2D" w:rsidRPr="00BF31B7" w:rsidRDefault="00C71E2D" w:rsidP="00BF31B7">
      <w:pPr>
        <w:spacing w:after="0" w:line="240" w:lineRule="auto"/>
        <w:rPr>
          <w:rFonts w:ascii="Times New Roman" w:eastAsia="Times New Roman" w:hAnsi="Times New Roman" w:cs="Times New Roman"/>
          <w:color w:val="0E101A"/>
          <w:sz w:val="24"/>
          <w:szCs w:val="24"/>
          <w:lang w:eastAsia="en-GB"/>
        </w:rPr>
      </w:pPr>
    </w:p>
    <w:p w14:paraId="439FB5F1" w14:textId="56DE677A" w:rsidR="00BF31B7" w:rsidRPr="00BF31B7"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Levitas, R. et al, Pantazis, C., Fahmy, E., Gordon, D., Lloyd, E. and Patsios, D, (2007), </w:t>
      </w:r>
      <w:r w:rsidRPr="00BF31B7">
        <w:rPr>
          <w:rFonts w:ascii="Times New Roman" w:eastAsia="Times New Roman" w:hAnsi="Times New Roman" w:cs="Times New Roman"/>
          <w:i/>
          <w:iCs/>
          <w:color w:val="0E101A"/>
          <w:sz w:val="24"/>
          <w:szCs w:val="24"/>
          <w:lang w:eastAsia="en-GB"/>
        </w:rPr>
        <w:t>The Multi-dimensional Analysis of Social Exclusion</w:t>
      </w:r>
      <w:r w:rsidRPr="00BF31B7">
        <w:rPr>
          <w:rFonts w:ascii="Times New Roman" w:eastAsia="Times New Roman" w:hAnsi="Times New Roman" w:cs="Times New Roman"/>
          <w:color w:val="0E101A"/>
          <w:sz w:val="24"/>
          <w:szCs w:val="24"/>
          <w:lang w:eastAsia="en-GB"/>
        </w:rPr>
        <w:t xml:space="preserve">, London, Department for Communities and </w:t>
      </w:r>
      <w:r w:rsidRPr="00BF31B7">
        <w:rPr>
          <w:rFonts w:ascii="Times New Roman" w:eastAsia="Times New Roman" w:hAnsi="Times New Roman" w:cs="Times New Roman"/>
          <w:color w:val="0E101A"/>
          <w:sz w:val="24"/>
          <w:szCs w:val="24"/>
          <w:lang w:eastAsia="en-GB"/>
        </w:rPr>
        <w:lastRenderedPageBreak/>
        <w:t>Local Government (DCLG); also available online at </w:t>
      </w:r>
      <w:hyperlink r:id="rId12" w:tgtFrame="_blank" w:history="1">
        <w:r w:rsidRPr="00BF31B7">
          <w:rPr>
            <w:rFonts w:ascii="Times New Roman" w:eastAsia="Times New Roman" w:hAnsi="Times New Roman" w:cs="Times New Roman"/>
            <w:color w:val="4A6EE0"/>
            <w:sz w:val="24"/>
            <w:szCs w:val="24"/>
            <w:u w:val="single"/>
            <w:lang w:eastAsia="en-GB"/>
          </w:rPr>
          <w:t>http://webarchive.nationalarchives.gov.uk/+/http:/www.cabinetoffice.gov.uk/media/cabinetoffice/social_exclusion_task_force/assets/research/multidimensional.pdf</w:t>
        </w:r>
      </w:hyperlink>
      <w:r w:rsidR="00C71E2D">
        <w:rPr>
          <w:rFonts w:ascii="Times New Roman" w:eastAsia="Times New Roman" w:hAnsi="Times New Roman" w:cs="Times New Roman"/>
          <w:color w:val="0E101A"/>
          <w:sz w:val="24"/>
          <w:szCs w:val="24"/>
          <w:lang w:eastAsia="en-GB"/>
        </w:rPr>
        <w:t>. Date accessed 15/05/2021.</w:t>
      </w:r>
    </w:p>
    <w:p w14:paraId="6113B71D" w14:textId="77777777" w:rsidR="00BF31B7" w:rsidRPr="00BF31B7" w:rsidRDefault="00BF31B7" w:rsidP="00BF31B7">
      <w:pPr>
        <w:spacing w:after="0" w:line="240" w:lineRule="auto"/>
        <w:rPr>
          <w:rFonts w:ascii="Times New Roman" w:eastAsia="Times New Roman" w:hAnsi="Times New Roman" w:cs="Times New Roman"/>
          <w:color w:val="0E101A"/>
          <w:sz w:val="24"/>
          <w:szCs w:val="24"/>
          <w:lang w:eastAsia="en-GB"/>
        </w:rPr>
      </w:pPr>
    </w:p>
    <w:p w14:paraId="4C64C833" w14:textId="043BFC7E" w:rsidR="00BF31B7"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Mack. J, Social Exclusion, (2016), </w:t>
      </w:r>
      <w:hyperlink r:id="rId13" w:tgtFrame="_blank" w:history="1">
        <w:r w:rsidRPr="00BF31B7">
          <w:rPr>
            <w:rFonts w:ascii="Times New Roman" w:eastAsia="Times New Roman" w:hAnsi="Times New Roman" w:cs="Times New Roman"/>
            <w:color w:val="4A6EE0"/>
            <w:sz w:val="24"/>
            <w:szCs w:val="24"/>
            <w:u w:val="single"/>
            <w:lang w:eastAsia="en-GB"/>
          </w:rPr>
          <w:t>Social exclusion | Poverty and Social Exclusion</w:t>
        </w:r>
      </w:hyperlink>
      <w:r w:rsidRPr="00BF31B7">
        <w:rPr>
          <w:rFonts w:ascii="Times New Roman" w:eastAsia="Times New Roman" w:hAnsi="Times New Roman" w:cs="Times New Roman"/>
          <w:color w:val="0E101A"/>
          <w:sz w:val="24"/>
          <w:szCs w:val="24"/>
          <w:lang w:eastAsia="en-GB"/>
        </w:rPr>
        <w:t>. Date accessed 12/05/2021. </w:t>
      </w:r>
    </w:p>
    <w:p w14:paraId="0C520E39" w14:textId="77777777" w:rsidR="00C71E2D" w:rsidRPr="00BF31B7" w:rsidRDefault="00C71E2D" w:rsidP="00BF31B7">
      <w:pPr>
        <w:spacing w:after="0" w:line="240" w:lineRule="auto"/>
        <w:rPr>
          <w:rFonts w:ascii="Times New Roman" w:eastAsia="Times New Roman" w:hAnsi="Times New Roman" w:cs="Times New Roman"/>
          <w:color w:val="0E101A"/>
          <w:sz w:val="24"/>
          <w:szCs w:val="24"/>
          <w:lang w:eastAsia="en-GB"/>
        </w:rPr>
      </w:pPr>
    </w:p>
    <w:p w14:paraId="51611F3F" w14:textId="77777777" w:rsidR="00BF31B7" w:rsidRPr="00BF31B7"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McLeod. S, (2020), Maslow’s Hierarchy of Needs, </w:t>
      </w:r>
      <w:hyperlink r:id="rId14" w:anchor="gsc.tab=0" w:tgtFrame="_blank" w:history="1">
        <w:r w:rsidRPr="00BF31B7">
          <w:rPr>
            <w:rFonts w:ascii="Times New Roman" w:eastAsia="Times New Roman" w:hAnsi="Times New Roman" w:cs="Times New Roman"/>
            <w:color w:val="4A6EE0"/>
            <w:sz w:val="24"/>
            <w:szCs w:val="24"/>
            <w:u w:val="single"/>
            <w:lang w:eastAsia="en-GB"/>
          </w:rPr>
          <w:t>Maslow's Hierarchy of Needs | Simply Psychology</w:t>
        </w:r>
      </w:hyperlink>
      <w:r w:rsidRPr="00BF31B7">
        <w:rPr>
          <w:rFonts w:ascii="Times New Roman" w:eastAsia="Times New Roman" w:hAnsi="Times New Roman" w:cs="Times New Roman"/>
          <w:color w:val="0E101A"/>
          <w:sz w:val="24"/>
          <w:szCs w:val="24"/>
          <w:lang w:eastAsia="en-GB"/>
        </w:rPr>
        <w:t>. Date accessed 9/05/2021.</w:t>
      </w:r>
    </w:p>
    <w:p w14:paraId="15F8A21C" w14:textId="77777777" w:rsidR="00BF31B7" w:rsidRPr="00BF31B7" w:rsidRDefault="00BF31B7" w:rsidP="00BF31B7">
      <w:pPr>
        <w:spacing w:after="0" w:line="240" w:lineRule="auto"/>
        <w:rPr>
          <w:rFonts w:ascii="Times New Roman" w:eastAsia="Times New Roman" w:hAnsi="Times New Roman" w:cs="Times New Roman"/>
          <w:color w:val="0E101A"/>
          <w:sz w:val="24"/>
          <w:szCs w:val="24"/>
          <w:lang w:eastAsia="en-GB"/>
        </w:rPr>
      </w:pPr>
    </w:p>
    <w:p w14:paraId="7E6FC710" w14:textId="3C3AC87C" w:rsidR="00BF31B7"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McLeod. S, 2017, Bowlby’s Attachment theory, </w:t>
      </w:r>
      <w:hyperlink r:id="rId15" w:anchor=":~:text=Bowlby%E2%80%99s%20evolutionary%20theory%20of%20attachment%20suggests%20that%20children,one%20main%20attachment%20figure.%20This%20is%20called%20monotropy." w:tgtFrame="_blank" w:history="1">
        <w:r w:rsidRPr="00BF31B7">
          <w:rPr>
            <w:rFonts w:ascii="Times New Roman" w:eastAsia="Times New Roman" w:hAnsi="Times New Roman" w:cs="Times New Roman"/>
            <w:color w:val="4A6EE0"/>
            <w:sz w:val="24"/>
            <w:szCs w:val="24"/>
            <w:u w:val="single"/>
            <w:lang w:eastAsia="en-GB"/>
          </w:rPr>
          <w:t>John Bowlby | Maternal Deprivation Theory | Simply Psychology</w:t>
        </w:r>
      </w:hyperlink>
      <w:r w:rsidRPr="00BF31B7">
        <w:rPr>
          <w:rFonts w:ascii="Times New Roman" w:eastAsia="Times New Roman" w:hAnsi="Times New Roman" w:cs="Times New Roman"/>
          <w:color w:val="0E101A"/>
          <w:sz w:val="24"/>
          <w:szCs w:val="24"/>
          <w:lang w:eastAsia="en-GB"/>
        </w:rPr>
        <w:t>. Date accessed 13/05/2021.</w:t>
      </w:r>
    </w:p>
    <w:p w14:paraId="3629FF82" w14:textId="77777777" w:rsidR="00C71E2D" w:rsidRPr="00BF31B7" w:rsidRDefault="00C71E2D" w:rsidP="00BF31B7">
      <w:pPr>
        <w:spacing w:after="0" w:line="240" w:lineRule="auto"/>
        <w:rPr>
          <w:rFonts w:ascii="Times New Roman" w:eastAsia="Times New Roman" w:hAnsi="Times New Roman" w:cs="Times New Roman"/>
          <w:color w:val="0E101A"/>
          <w:sz w:val="24"/>
          <w:szCs w:val="24"/>
          <w:lang w:eastAsia="en-GB"/>
        </w:rPr>
      </w:pPr>
    </w:p>
    <w:p w14:paraId="2134A82D" w14:textId="5149204C" w:rsidR="00BF31B7"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Morris. N,( 2020), Racism in schools has ‘ increased during lockdown’, </w:t>
      </w:r>
      <w:hyperlink r:id="rId16" w:tgtFrame="_blank" w:history="1">
        <w:r w:rsidRPr="00BF31B7">
          <w:rPr>
            <w:rFonts w:ascii="Times New Roman" w:eastAsia="Times New Roman" w:hAnsi="Times New Roman" w:cs="Times New Roman"/>
            <w:color w:val="4A6EE0"/>
            <w:sz w:val="24"/>
            <w:szCs w:val="24"/>
            <w:u w:val="single"/>
            <w:lang w:eastAsia="en-GB"/>
          </w:rPr>
          <w:t>Racism in schools has 'increased during lockdown' | Metro News</w:t>
        </w:r>
      </w:hyperlink>
      <w:r w:rsidRPr="00BF31B7">
        <w:rPr>
          <w:rFonts w:ascii="Times New Roman" w:eastAsia="Times New Roman" w:hAnsi="Times New Roman" w:cs="Times New Roman"/>
          <w:color w:val="0E101A"/>
          <w:sz w:val="24"/>
          <w:szCs w:val="24"/>
          <w:lang w:eastAsia="en-GB"/>
        </w:rPr>
        <w:t>. Date accessed 14/05/2021. </w:t>
      </w:r>
    </w:p>
    <w:p w14:paraId="7D68E58A" w14:textId="77777777" w:rsidR="00C71E2D" w:rsidRPr="00BF31B7" w:rsidRDefault="00C71E2D" w:rsidP="00BF31B7">
      <w:pPr>
        <w:spacing w:after="0" w:line="240" w:lineRule="auto"/>
        <w:rPr>
          <w:rFonts w:ascii="Times New Roman" w:eastAsia="Times New Roman" w:hAnsi="Times New Roman" w:cs="Times New Roman"/>
          <w:color w:val="0E101A"/>
          <w:sz w:val="24"/>
          <w:szCs w:val="24"/>
          <w:lang w:eastAsia="en-GB"/>
        </w:rPr>
      </w:pPr>
    </w:p>
    <w:p w14:paraId="7C248775" w14:textId="6E88232F" w:rsidR="00BF31B7"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Pierson. J, (2010) </w:t>
      </w:r>
      <w:r w:rsidRPr="00BF31B7">
        <w:rPr>
          <w:rFonts w:ascii="Times New Roman" w:eastAsia="Times New Roman" w:hAnsi="Times New Roman" w:cs="Times New Roman"/>
          <w:i/>
          <w:iCs/>
          <w:color w:val="0E101A"/>
          <w:sz w:val="24"/>
          <w:szCs w:val="24"/>
          <w:lang w:eastAsia="en-GB"/>
        </w:rPr>
        <w:t>Tackling Social Exclusion</w:t>
      </w:r>
      <w:r w:rsidRPr="00BF31B7">
        <w:rPr>
          <w:rFonts w:ascii="Times New Roman" w:eastAsia="Times New Roman" w:hAnsi="Times New Roman" w:cs="Times New Roman"/>
          <w:color w:val="0E101A"/>
          <w:sz w:val="24"/>
          <w:szCs w:val="24"/>
          <w:lang w:eastAsia="en-GB"/>
        </w:rPr>
        <w:t>, Taylor &amp; Francis Group,</w:t>
      </w:r>
      <w:r w:rsidRPr="00BF31B7">
        <w:rPr>
          <w:rFonts w:ascii="Times New Roman" w:eastAsia="Times New Roman" w:hAnsi="Times New Roman" w:cs="Times New Roman"/>
          <w:i/>
          <w:iCs/>
          <w:color w:val="0E101A"/>
          <w:sz w:val="24"/>
          <w:szCs w:val="24"/>
          <w:lang w:eastAsia="en-GB"/>
        </w:rPr>
        <w:t> ProQuest eBook Central</w:t>
      </w:r>
      <w:r w:rsidRPr="00BF31B7">
        <w:rPr>
          <w:rFonts w:ascii="Times New Roman" w:eastAsia="Times New Roman" w:hAnsi="Times New Roman" w:cs="Times New Roman"/>
          <w:color w:val="0E101A"/>
          <w:sz w:val="24"/>
          <w:szCs w:val="24"/>
          <w:lang w:eastAsia="en-GB"/>
        </w:rPr>
        <w:t>, </w:t>
      </w:r>
      <w:hyperlink r:id="rId17" w:tgtFrame="_blank" w:history="1">
        <w:r w:rsidRPr="00BF31B7">
          <w:rPr>
            <w:rFonts w:ascii="Times New Roman" w:eastAsia="Times New Roman" w:hAnsi="Times New Roman" w:cs="Times New Roman"/>
            <w:color w:val="4A6EE0"/>
            <w:sz w:val="24"/>
            <w:szCs w:val="24"/>
            <w:u w:val="single"/>
            <w:lang w:eastAsia="en-GB"/>
          </w:rPr>
          <w:t>Http://ebookcentral.proquest.com/lib/trinity/detail.action?docID=460340</w:t>
        </w:r>
      </w:hyperlink>
      <w:r w:rsidRPr="00BF31B7">
        <w:rPr>
          <w:rFonts w:ascii="Times New Roman" w:eastAsia="Times New Roman" w:hAnsi="Times New Roman" w:cs="Times New Roman"/>
          <w:color w:val="0E101A"/>
          <w:sz w:val="24"/>
          <w:szCs w:val="24"/>
          <w:lang w:eastAsia="en-GB"/>
        </w:rPr>
        <w:t>. Date accessed 3/05/2021. </w:t>
      </w:r>
    </w:p>
    <w:p w14:paraId="77BAB89C" w14:textId="77777777" w:rsidR="00C71E2D" w:rsidRPr="00BF31B7" w:rsidRDefault="00C71E2D" w:rsidP="00BF31B7">
      <w:pPr>
        <w:spacing w:after="0" w:line="240" w:lineRule="auto"/>
        <w:rPr>
          <w:rFonts w:ascii="Times New Roman" w:eastAsia="Times New Roman" w:hAnsi="Times New Roman" w:cs="Times New Roman"/>
          <w:color w:val="0E101A"/>
          <w:sz w:val="24"/>
          <w:szCs w:val="24"/>
          <w:lang w:eastAsia="en-GB"/>
        </w:rPr>
      </w:pPr>
    </w:p>
    <w:p w14:paraId="206D8DCA" w14:textId="66413481" w:rsidR="00BF31B7"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Roser. M and Ortiz-Ospina, (2013), "Primary and Secondary Education", </w:t>
      </w:r>
      <w:r w:rsidRPr="00BF31B7">
        <w:rPr>
          <w:rFonts w:ascii="Times New Roman" w:eastAsia="Times New Roman" w:hAnsi="Times New Roman" w:cs="Times New Roman"/>
          <w:i/>
          <w:iCs/>
          <w:color w:val="0E101A"/>
          <w:sz w:val="24"/>
          <w:szCs w:val="24"/>
          <w:lang w:eastAsia="en-GB"/>
        </w:rPr>
        <w:t>Published online at OurWorldInData.org.</w:t>
      </w:r>
      <w:r w:rsidRPr="00BF31B7">
        <w:rPr>
          <w:rFonts w:ascii="Times New Roman" w:eastAsia="Times New Roman" w:hAnsi="Times New Roman" w:cs="Times New Roman"/>
          <w:color w:val="0E101A"/>
          <w:sz w:val="24"/>
          <w:szCs w:val="24"/>
          <w:lang w:eastAsia="en-GB"/>
        </w:rPr>
        <w:t> Retrieved from: </w:t>
      </w:r>
      <w:hyperlink r:id="rId18" w:history="1">
        <w:r w:rsidR="00C71E2D" w:rsidRPr="00BF31B7">
          <w:rPr>
            <w:rStyle w:val="Hyperlink"/>
            <w:rFonts w:ascii="Times New Roman" w:eastAsia="Times New Roman" w:hAnsi="Times New Roman" w:cs="Times New Roman"/>
            <w:sz w:val="24"/>
            <w:szCs w:val="24"/>
            <w:lang w:eastAsia="en-GB"/>
          </w:rPr>
          <w:t>Https://ourworldindata.org/primary-and-secondary-education. Date accessed 1/05/2021</w:t>
        </w:r>
      </w:hyperlink>
      <w:r w:rsidRPr="00BF31B7">
        <w:rPr>
          <w:rFonts w:ascii="Times New Roman" w:eastAsia="Times New Roman" w:hAnsi="Times New Roman" w:cs="Times New Roman"/>
          <w:color w:val="0E101A"/>
          <w:sz w:val="24"/>
          <w:szCs w:val="24"/>
          <w:lang w:eastAsia="en-GB"/>
        </w:rPr>
        <w:t>. </w:t>
      </w:r>
    </w:p>
    <w:p w14:paraId="7A354224" w14:textId="77777777" w:rsidR="00C71E2D" w:rsidRPr="00BF31B7" w:rsidRDefault="00C71E2D" w:rsidP="00BF31B7">
      <w:pPr>
        <w:spacing w:after="0" w:line="240" w:lineRule="auto"/>
        <w:rPr>
          <w:rFonts w:ascii="Times New Roman" w:eastAsia="Times New Roman" w:hAnsi="Times New Roman" w:cs="Times New Roman"/>
          <w:color w:val="0E101A"/>
          <w:sz w:val="24"/>
          <w:szCs w:val="24"/>
          <w:lang w:eastAsia="en-GB"/>
        </w:rPr>
      </w:pPr>
    </w:p>
    <w:p w14:paraId="25E542A5" w14:textId="77777777" w:rsidR="00BF31B7" w:rsidRPr="00BF31B7"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Sargeant. C, and Thomas. G, (2012), Written Statement: Tackling Poverty Action plan, </w:t>
      </w:r>
      <w:hyperlink r:id="rId19" w:tgtFrame="_blank" w:history="1">
        <w:r w:rsidRPr="00BF31B7">
          <w:rPr>
            <w:rFonts w:ascii="Times New Roman" w:eastAsia="Times New Roman" w:hAnsi="Times New Roman" w:cs="Times New Roman"/>
            <w:color w:val="4A6EE0"/>
            <w:sz w:val="24"/>
            <w:szCs w:val="24"/>
            <w:u w:val="single"/>
            <w:lang w:eastAsia="en-GB"/>
          </w:rPr>
          <w:t>Written Statement: Tackling Poverty Action Plan (25 June 2012) | GOV.WALES</w:t>
        </w:r>
      </w:hyperlink>
      <w:r w:rsidRPr="00BF31B7">
        <w:rPr>
          <w:rFonts w:ascii="Times New Roman" w:eastAsia="Times New Roman" w:hAnsi="Times New Roman" w:cs="Times New Roman"/>
          <w:color w:val="0E101A"/>
          <w:sz w:val="24"/>
          <w:szCs w:val="24"/>
          <w:lang w:eastAsia="en-GB"/>
        </w:rPr>
        <w:t>. Date accessed 15/05/2021. </w:t>
      </w:r>
    </w:p>
    <w:p w14:paraId="673A799F" w14:textId="77777777" w:rsidR="00BF31B7" w:rsidRPr="00BF31B7" w:rsidRDefault="00BF31B7" w:rsidP="00BF31B7">
      <w:pPr>
        <w:spacing w:after="0" w:line="240" w:lineRule="auto"/>
        <w:rPr>
          <w:rFonts w:ascii="Times New Roman" w:eastAsia="Times New Roman" w:hAnsi="Times New Roman" w:cs="Times New Roman"/>
          <w:color w:val="0E101A"/>
          <w:sz w:val="24"/>
          <w:szCs w:val="24"/>
          <w:lang w:eastAsia="en-GB"/>
        </w:rPr>
      </w:pPr>
    </w:p>
    <w:p w14:paraId="4958C61E" w14:textId="3A416CF5" w:rsidR="00BF31B7"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Save the Children, ( 2018), Early learning Gap Between Children in and out of poverty widens in half of areas across England, </w:t>
      </w:r>
      <w:hyperlink r:id="rId20" w:anchor=":~:text=Regionally%2C%20the%20biggest%20gap%20is,West%2C%20at%2022%20percentage%20points.&amp;text=Across%20the%20country%20two%20in,gap%20of%2017%20percentage%20points." w:tgtFrame="_blank" w:history="1">
        <w:r w:rsidRPr="00BF31B7">
          <w:rPr>
            <w:rFonts w:ascii="Times New Roman" w:eastAsia="Times New Roman" w:hAnsi="Times New Roman" w:cs="Times New Roman"/>
            <w:color w:val="4A6EE0"/>
            <w:sz w:val="24"/>
            <w:szCs w:val="24"/>
            <w:u w:val="single"/>
            <w:lang w:eastAsia="en-GB"/>
          </w:rPr>
          <w:t>Early learning gap between children in poverty widens in half of England (savethechildren.org.uk)</w:t>
        </w:r>
      </w:hyperlink>
      <w:r w:rsidRPr="00BF31B7">
        <w:rPr>
          <w:rFonts w:ascii="Times New Roman" w:eastAsia="Times New Roman" w:hAnsi="Times New Roman" w:cs="Times New Roman"/>
          <w:color w:val="0E101A"/>
          <w:sz w:val="24"/>
          <w:szCs w:val="24"/>
          <w:lang w:eastAsia="en-GB"/>
        </w:rPr>
        <w:t>. Date accessed 15/05/2021. </w:t>
      </w:r>
    </w:p>
    <w:p w14:paraId="7AFDC0C7" w14:textId="77777777" w:rsidR="00C71E2D" w:rsidRPr="00BF31B7" w:rsidRDefault="00C71E2D" w:rsidP="00BF31B7">
      <w:pPr>
        <w:spacing w:after="0" w:line="240" w:lineRule="auto"/>
        <w:rPr>
          <w:rFonts w:ascii="Times New Roman" w:eastAsia="Times New Roman" w:hAnsi="Times New Roman" w:cs="Times New Roman"/>
          <w:color w:val="0E101A"/>
          <w:sz w:val="24"/>
          <w:szCs w:val="24"/>
          <w:lang w:eastAsia="en-GB"/>
        </w:rPr>
      </w:pPr>
    </w:p>
    <w:p w14:paraId="6DB54250" w14:textId="58D5F527" w:rsidR="00BF31B7"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Sobel, (2017), Looked-after children and attachment theory, </w:t>
      </w:r>
      <w:hyperlink r:id="rId21" w:tgtFrame="_blank" w:history="1">
        <w:r w:rsidRPr="00BF31B7">
          <w:rPr>
            <w:rFonts w:ascii="Times New Roman" w:eastAsia="Times New Roman" w:hAnsi="Times New Roman" w:cs="Times New Roman"/>
            <w:color w:val="4A6EE0"/>
            <w:sz w:val="24"/>
            <w:szCs w:val="24"/>
            <w:u w:val="single"/>
            <w:lang w:eastAsia="en-GB"/>
          </w:rPr>
          <w:t>Looked-after children and Attachment Theory - Inclusion Expert</w:t>
        </w:r>
      </w:hyperlink>
      <w:r w:rsidRPr="00BF31B7">
        <w:rPr>
          <w:rFonts w:ascii="Times New Roman" w:eastAsia="Times New Roman" w:hAnsi="Times New Roman" w:cs="Times New Roman"/>
          <w:color w:val="0E101A"/>
          <w:sz w:val="24"/>
          <w:szCs w:val="24"/>
          <w:lang w:eastAsia="en-GB"/>
        </w:rPr>
        <w:t>. Date accessed 30/04/2021.</w:t>
      </w:r>
    </w:p>
    <w:p w14:paraId="232AC12C" w14:textId="77777777" w:rsidR="00C71E2D" w:rsidRPr="00BF31B7" w:rsidRDefault="00C71E2D" w:rsidP="00BF31B7">
      <w:pPr>
        <w:spacing w:after="0" w:line="240" w:lineRule="auto"/>
        <w:rPr>
          <w:rFonts w:ascii="Times New Roman" w:eastAsia="Times New Roman" w:hAnsi="Times New Roman" w:cs="Times New Roman"/>
          <w:color w:val="0E101A"/>
          <w:sz w:val="24"/>
          <w:szCs w:val="24"/>
          <w:lang w:eastAsia="en-GB"/>
        </w:rPr>
      </w:pPr>
    </w:p>
    <w:p w14:paraId="5DBDF9F6" w14:textId="77777777" w:rsidR="00BF31B7" w:rsidRPr="00BF31B7"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Tassoni. P, Bulman. K, Beith. K, (2005), Children’s Care, Learning and Development. Date accessed 30/04/2021.</w:t>
      </w:r>
    </w:p>
    <w:p w14:paraId="5C2B38CB" w14:textId="77777777" w:rsidR="00BF31B7" w:rsidRPr="00BF31B7" w:rsidRDefault="00BF31B7" w:rsidP="00BF31B7">
      <w:pPr>
        <w:spacing w:after="0" w:line="240" w:lineRule="auto"/>
        <w:rPr>
          <w:rFonts w:ascii="Times New Roman" w:eastAsia="Times New Roman" w:hAnsi="Times New Roman" w:cs="Times New Roman"/>
          <w:color w:val="0E101A"/>
          <w:sz w:val="24"/>
          <w:szCs w:val="24"/>
          <w:lang w:eastAsia="en-GB"/>
        </w:rPr>
      </w:pPr>
    </w:p>
    <w:p w14:paraId="012EA934" w14:textId="2AC68820" w:rsidR="00BF31B7"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The Salamanca Statement and Framework for Action on Special Needs Education,(1994), Adopted by the World Conference on Special Needs Education: Access and Quality, Salamanca, Spain, </w:t>
      </w:r>
      <w:hyperlink r:id="rId22" w:tgtFrame="_blank" w:history="1">
        <w:r w:rsidRPr="00BF31B7">
          <w:rPr>
            <w:rFonts w:ascii="Times New Roman" w:eastAsia="Times New Roman" w:hAnsi="Times New Roman" w:cs="Times New Roman"/>
            <w:color w:val="4A6EE0"/>
            <w:sz w:val="24"/>
            <w:szCs w:val="24"/>
            <w:u w:val="single"/>
            <w:lang w:eastAsia="en-GB"/>
          </w:rPr>
          <w:t>Salamanca_Statement_1994.pdf (right-to-education.org)</w:t>
        </w:r>
      </w:hyperlink>
      <w:r w:rsidRPr="00BF31B7">
        <w:rPr>
          <w:rFonts w:ascii="Times New Roman" w:eastAsia="Times New Roman" w:hAnsi="Times New Roman" w:cs="Times New Roman"/>
          <w:color w:val="0E101A"/>
          <w:sz w:val="24"/>
          <w:szCs w:val="24"/>
          <w:lang w:eastAsia="en-GB"/>
        </w:rPr>
        <w:t>. Date accessed 29/4/2021.</w:t>
      </w:r>
    </w:p>
    <w:p w14:paraId="1D610779" w14:textId="77777777" w:rsidR="00BF31B7" w:rsidRPr="00BF31B7" w:rsidRDefault="00BF31B7" w:rsidP="00BF31B7">
      <w:pPr>
        <w:spacing w:after="0" w:line="240" w:lineRule="auto"/>
        <w:rPr>
          <w:rFonts w:ascii="Times New Roman" w:eastAsia="Times New Roman" w:hAnsi="Times New Roman" w:cs="Times New Roman"/>
          <w:color w:val="0E101A"/>
          <w:sz w:val="24"/>
          <w:szCs w:val="24"/>
          <w:lang w:eastAsia="en-GB"/>
        </w:rPr>
      </w:pPr>
    </w:p>
    <w:p w14:paraId="761DE11E" w14:textId="23A932E4" w:rsidR="00BF31B7"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UNESCO, (1960), Convention against Discrimination in Education 1960,</w:t>
      </w:r>
      <w:hyperlink r:id="rId23" w:tgtFrame="_blank" w:history="1">
        <w:r w:rsidRPr="00BF31B7">
          <w:rPr>
            <w:rFonts w:ascii="Times New Roman" w:eastAsia="Times New Roman" w:hAnsi="Times New Roman" w:cs="Times New Roman"/>
            <w:color w:val="4A6EE0"/>
            <w:sz w:val="24"/>
            <w:szCs w:val="24"/>
            <w:u w:val="single"/>
            <w:lang w:eastAsia="en-GB"/>
          </w:rPr>
          <w:t> Convention against Discrimination in Education (unesco.org)</w:t>
        </w:r>
      </w:hyperlink>
      <w:r w:rsidRPr="00BF31B7">
        <w:rPr>
          <w:rFonts w:ascii="Times New Roman" w:eastAsia="Times New Roman" w:hAnsi="Times New Roman" w:cs="Times New Roman"/>
          <w:color w:val="0E101A"/>
          <w:sz w:val="24"/>
          <w:szCs w:val="24"/>
          <w:lang w:eastAsia="en-GB"/>
        </w:rPr>
        <w:t>. Date accessed 14/05/2021. </w:t>
      </w:r>
    </w:p>
    <w:p w14:paraId="2D121BF0" w14:textId="77777777" w:rsidR="00BF31B7" w:rsidRPr="00BF31B7" w:rsidRDefault="00BF31B7" w:rsidP="00BF31B7">
      <w:pPr>
        <w:spacing w:after="0" w:line="240" w:lineRule="auto"/>
        <w:rPr>
          <w:rFonts w:ascii="Times New Roman" w:eastAsia="Times New Roman" w:hAnsi="Times New Roman" w:cs="Times New Roman"/>
          <w:color w:val="0E101A"/>
          <w:sz w:val="24"/>
          <w:szCs w:val="24"/>
          <w:lang w:eastAsia="en-GB"/>
        </w:rPr>
      </w:pPr>
    </w:p>
    <w:p w14:paraId="735222B3" w14:textId="39B98BBA" w:rsidR="00BF31B7"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 xml:space="preserve">UNICEF, </w:t>
      </w:r>
      <w:r w:rsidR="00586534">
        <w:rPr>
          <w:rFonts w:ascii="Times New Roman" w:eastAsia="Times New Roman" w:hAnsi="Times New Roman" w:cs="Times New Roman"/>
          <w:color w:val="0E101A"/>
          <w:sz w:val="24"/>
          <w:szCs w:val="24"/>
          <w:lang w:eastAsia="en-GB"/>
        </w:rPr>
        <w:t>(</w:t>
      </w:r>
      <w:r w:rsidRPr="00BF31B7">
        <w:rPr>
          <w:rFonts w:ascii="Times New Roman" w:eastAsia="Times New Roman" w:hAnsi="Times New Roman" w:cs="Times New Roman"/>
          <w:color w:val="0E101A"/>
          <w:sz w:val="24"/>
          <w:szCs w:val="24"/>
          <w:lang w:eastAsia="en-GB"/>
        </w:rPr>
        <w:t>n.d</w:t>
      </w:r>
      <w:r w:rsidR="00586534">
        <w:rPr>
          <w:rFonts w:ascii="Times New Roman" w:eastAsia="Times New Roman" w:hAnsi="Times New Roman" w:cs="Times New Roman"/>
          <w:color w:val="0E101A"/>
          <w:sz w:val="24"/>
          <w:szCs w:val="24"/>
          <w:lang w:eastAsia="en-GB"/>
        </w:rPr>
        <w:t>)</w:t>
      </w:r>
      <w:r w:rsidRPr="00BF31B7">
        <w:rPr>
          <w:rFonts w:ascii="Times New Roman" w:eastAsia="Times New Roman" w:hAnsi="Times New Roman" w:cs="Times New Roman"/>
          <w:color w:val="0E101A"/>
          <w:sz w:val="24"/>
          <w:szCs w:val="24"/>
          <w:lang w:eastAsia="en-GB"/>
        </w:rPr>
        <w:t>, Inclusive Education, Understanding Article 24 of the Convention on the Rights of Persons with Disabilities, </w:t>
      </w:r>
      <w:hyperlink r:id="rId24" w:tgtFrame="_blank" w:history="1">
        <w:r w:rsidRPr="00BF31B7">
          <w:rPr>
            <w:rFonts w:ascii="Times New Roman" w:eastAsia="Times New Roman" w:hAnsi="Times New Roman" w:cs="Times New Roman"/>
            <w:color w:val="4A6EE0"/>
            <w:sz w:val="24"/>
            <w:szCs w:val="24"/>
            <w:u w:val="single"/>
            <w:lang w:eastAsia="en-GB"/>
          </w:rPr>
          <w:t xml:space="preserve">Inclusive Education - Understanding Article 24 of the </w:t>
        </w:r>
        <w:r w:rsidRPr="00BF31B7">
          <w:rPr>
            <w:rFonts w:ascii="Times New Roman" w:eastAsia="Times New Roman" w:hAnsi="Times New Roman" w:cs="Times New Roman"/>
            <w:color w:val="4A6EE0"/>
            <w:sz w:val="24"/>
            <w:szCs w:val="24"/>
            <w:u w:val="single"/>
            <w:lang w:eastAsia="en-GB"/>
          </w:rPr>
          <w:lastRenderedPageBreak/>
          <w:t>Convention on the Rights of Persons with Disabilities (unicef.org)</w:t>
        </w:r>
      </w:hyperlink>
      <w:r w:rsidRPr="00BF31B7">
        <w:rPr>
          <w:rFonts w:ascii="Times New Roman" w:eastAsia="Times New Roman" w:hAnsi="Times New Roman" w:cs="Times New Roman"/>
          <w:color w:val="0E101A"/>
          <w:sz w:val="24"/>
          <w:szCs w:val="24"/>
          <w:lang w:eastAsia="en-GB"/>
        </w:rPr>
        <w:t>. Date accessed 13/05/2021. </w:t>
      </w:r>
    </w:p>
    <w:p w14:paraId="7AB2CC0D" w14:textId="384B185E" w:rsidR="000E22BB" w:rsidRDefault="000E22BB" w:rsidP="00BF31B7">
      <w:pPr>
        <w:spacing w:after="0" w:line="240" w:lineRule="auto"/>
        <w:rPr>
          <w:rFonts w:ascii="Times New Roman" w:eastAsia="Times New Roman" w:hAnsi="Times New Roman" w:cs="Times New Roman"/>
          <w:color w:val="0E101A"/>
          <w:sz w:val="24"/>
          <w:szCs w:val="24"/>
          <w:lang w:eastAsia="en-GB"/>
        </w:rPr>
      </w:pPr>
    </w:p>
    <w:p w14:paraId="7D463C0C" w14:textId="77777777" w:rsidR="000E22BB" w:rsidRDefault="000E22BB" w:rsidP="000E22BB">
      <w:pPr>
        <w:spacing w:after="288" w:line="240" w:lineRule="auto"/>
        <w:rPr>
          <w:rFonts w:ascii="Times New Roman" w:hAnsi="Times New Roman" w:cs="Times New Roman"/>
        </w:rPr>
      </w:pPr>
      <w:r>
        <w:rPr>
          <w:rFonts w:ascii="Times New Roman" w:hAnsi="Times New Roman" w:cs="Times New Roman"/>
          <w:sz w:val="24"/>
          <w:szCs w:val="24"/>
        </w:rPr>
        <w:t xml:space="preserve">UNICEF, ( 1989), The United Nations Convention on the Rights of the Child, </w:t>
      </w:r>
      <w:hyperlink r:id="rId25" w:history="1">
        <w:r>
          <w:rPr>
            <w:rStyle w:val="Hyperlink"/>
            <w:rFonts w:ascii="Times New Roman" w:hAnsi="Times New Roman" w:cs="Times New Roman"/>
          </w:rPr>
          <w:t>Layout 1 (unicef.org.uk)</w:t>
        </w:r>
      </w:hyperlink>
      <w:r>
        <w:rPr>
          <w:rFonts w:ascii="Times New Roman" w:hAnsi="Times New Roman" w:cs="Times New Roman"/>
        </w:rPr>
        <w:t xml:space="preserve">. Date accessed 16/05/2021. </w:t>
      </w:r>
    </w:p>
    <w:p w14:paraId="310A1A80" w14:textId="09403396" w:rsidR="00BF31B7"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 xml:space="preserve">United Nations, </w:t>
      </w:r>
      <w:r w:rsidR="00586534">
        <w:rPr>
          <w:rFonts w:ascii="Times New Roman" w:eastAsia="Times New Roman" w:hAnsi="Times New Roman" w:cs="Times New Roman"/>
          <w:color w:val="0E101A"/>
          <w:sz w:val="24"/>
          <w:szCs w:val="24"/>
          <w:lang w:eastAsia="en-GB"/>
        </w:rPr>
        <w:t>(</w:t>
      </w:r>
      <w:r w:rsidRPr="00BF31B7">
        <w:rPr>
          <w:rFonts w:ascii="Times New Roman" w:eastAsia="Times New Roman" w:hAnsi="Times New Roman" w:cs="Times New Roman"/>
          <w:color w:val="0E101A"/>
          <w:sz w:val="24"/>
          <w:szCs w:val="24"/>
          <w:lang w:eastAsia="en-GB"/>
        </w:rPr>
        <w:t>1995</w:t>
      </w:r>
      <w:r w:rsidR="00586534">
        <w:rPr>
          <w:rFonts w:ascii="Times New Roman" w:eastAsia="Times New Roman" w:hAnsi="Times New Roman" w:cs="Times New Roman"/>
          <w:color w:val="0E101A"/>
          <w:sz w:val="24"/>
          <w:szCs w:val="24"/>
          <w:lang w:eastAsia="en-GB"/>
        </w:rPr>
        <w:t>)</w:t>
      </w:r>
      <w:r w:rsidRPr="00BF31B7">
        <w:rPr>
          <w:rFonts w:ascii="Times New Roman" w:eastAsia="Times New Roman" w:hAnsi="Times New Roman" w:cs="Times New Roman"/>
          <w:color w:val="0E101A"/>
          <w:sz w:val="24"/>
          <w:szCs w:val="24"/>
          <w:lang w:eastAsia="en-GB"/>
        </w:rPr>
        <w:t>, The World Summit for Social Development in Copenhagen, paragraph 66, </w:t>
      </w:r>
      <w:hyperlink r:id="rId26" w:tgtFrame="_blank" w:history="1">
        <w:r w:rsidRPr="00BF31B7">
          <w:rPr>
            <w:rFonts w:ascii="Times New Roman" w:eastAsia="Times New Roman" w:hAnsi="Times New Roman" w:cs="Times New Roman"/>
            <w:color w:val="4A6EE0"/>
            <w:sz w:val="24"/>
            <w:szCs w:val="24"/>
            <w:u w:val="single"/>
            <w:lang w:eastAsia="en-GB"/>
          </w:rPr>
          <w:t>Social Inclusion | Poverty Eradication (un.org)</w:t>
        </w:r>
      </w:hyperlink>
      <w:r w:rsidRPr="00BF31B7">
        <w:rPr>
          <w:rFonts w:ascii="Times New Roman" w:eastAsia="Times New Roman" w:hAnsi="Times New Roman" w:cs="Times New Roman"/>
          <w:color w:val="0E101A"/>
          <w:sz w:val="24"/>
          <w:szCs w:val="24"/>
          <w:lang w:eastAsia="en-GB"/>
        </w:rPr>
        <w:t>. Date accessed 29/04/2021. </w:t>
      </w:r>
    </w:p>
    <w:p w14:paraId="517DBBFD" w14:textId="5FA1BD2A" w:rsidR="000E22BB" w:rsidRDefault="000E22BB" w:rsidP="00BF31B7">
      <w:pPr>
        <w:spacing w:after="0" w:line="240" w:lineRule="auto"/>
        <w:rPr>
          <w:rFonts w:ascii="Times New Roman" w:eastAsia="Times New Roman" w:hAnsi="Times New Roman" w:cs="Times New Roman"/>
          <w:color w:val="0E101A"/>
          <w:sz w:val="24"/>
          <w:szCs w:val="24"/>
          <w:lang w:eastAsia="en-GB"/>
        </w:rPr>
      </w:pPr>
    </w:p>
    <w:p w14:paraId="5515D295" w14:textId="1B3329F6" w:rsidR="000E22BB" w:rsidRDefault="000E22BB" w:rsidP="000E22BB">
      <w:pPr>
        <w:rPr>
          <w:rFonts w:ascii="Times New Roman" w:hAnsi="Times New Roman" w:cs="Times New Roman"/>
          <w:sz w:val="24"/>
          <w:szCs w:val="24"/>
        </w:rPr>
      </w:pPr>
      <w:r>
        <w:rPr>
          <w:rFonts w:ascii="Times New Roman" w:hAnsi="Times New Roman" w:cs="Times New Roman"/>
          <w:sz w:val="24"/>
          <w:szCs w:val="24"/>
        </w:rPr>
        <w:t xml:space="preserve">United Nations, (n.d), Fact sheet on </w:t>
      </w:r>
      <w:r>
        <w:rPr>
          <w:rFonts w:ascii="Times New Roman" w:hAnsi="Times New Roman" w:cs="Times New Roman"/>
          <w:sz w:val="24"/>
          <w:szCs w:val="24"/>
        </w:rPr>
        <w:t>Persons</w:t>
      </w:r>
      <w:r>
        <w:rPr>
          <w:rFonts w:ascii="Times New Roman" w:hAnsi="Times New Roman" w:cs="Times New Roman"/>
          <w:sz w:val="24"/>
          <w:szCs w:val="24"/>
        </w:rPr>
        <w:t xml:space="preserve"> with Disabilities, </w:t>
      </w:r>
      <w:hyperlink r:id="rId27" w:anchor=":~:text=%E2%80%A2%20Around%2010%20per%20cent%20of%20the%20world%27s,ageing%20process%2C%20says%20the%20World%20Health%20Organization%20%28WHO%29." w:history="1">
        <w:r>
          <w:rPr>
            <w:rStyle w:val="Hyperlink"/>
            <w:rFonts w:ascii="Times New Roman" w:hAnsi="Times New Roman" w:cs="Times New Roman"/>
            <w:sz w:val="24"/>
            <w:szCs w:val="24"/>
          </w:rPr>
          <w:t>Microsoft Word - Document1 (un.org)</w:t>
        </w:r>
      </w:hyperlink>
      <w:r>
        <w:rPr>
          <w:rFonts w:ascii="Times New Roman" w:hAnsi="Times New Roman" w:cs="Times New Roman"/>
          <w:sz w:val="24"/>
          <w:szCs w:val="24"/>
        </w:rPr>
        <w:t xml:space="preserve">. Date accessed 16/05/2021. </w:t>
      </w:r>
    </w:p>
    <w:p w14:paraId="6BA76282" w14:textId="5A4F0B6A" w:rsidR="00BF31B7" w:rsidRDefault="00C71E2D"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Unterhalter.E</w:t>
      </w:r>
      <w:r w:rsidR="00BF31B7" w:rsidRPr="00BF31B7">
        <w:rPr>
          <w:rFonts w:ascii="Times New Roman" w:eastAsia="Times New Roman" w:hAnsi="Times New Roman" w:cs="Times New Roman"/>
          <w:color w:val="0E101A"/>
          <w:sz w:val="24"/>
          <w:szCs w:val="24"/>
          <w:lang w:eastAsia="en-GB"/>
        </w:rPr>
        <w:t>. E, (2019), Achieving Gender Equality in and Though Education, P.12, </w:t>
      </w:r>
      <w:hyperlink r:id="rId28" w:tgtFrame="_blank" w:history="1">
        <w:r w:rsidR="00BF31B7" w:rsidRPr="00BF31B7">
          <w:rPr>
            <w:rFonts w:ascii="Times New Roman" w:eastAsia="Times New Roman" w:hAnsi="Times New Roman" w:cs="Times New Roman"/>
            <w:color w:val="4A6EE0"/>
            <w:sz w:val="24"/>
            <w:szCs w:val="24"/>
            <w:u w:val="single"/>
            <w:lang w:eastAsia="en-GB"/>
          </w:rPr>
          <w:t>2019-07-kix-gender-final-english.pdf (globalpartnership.org)</w:t>
        </w:r>
      </w:hyperlink>
      <w:r w:rsidR="00BF31B7" w:rsidRPr="00BF31B7">
        <w:rPr>
          <w:rFonts w:ascii="Times New Roman" w:eastAsia="Times New Roman" w:hAnsi="Times New Roman" w:cs="Times New Roman"/>
          <w:color w:val="0E101A"/>
          <w:sz w:val="24"/>
          <w:szCs w:val="24"/>
          <w:lang w:eastAsia="en-GB"/>
        </w:rPr>
        <w:t>. Date accessed 12/05/2021. </w:t>
      </w:r>
    </w:p>
    <w:p w14:paraId="57B7B76D" w14:textId="77777777" w:rsidR="00BF31B7" w:rsidRPr="00BF31B7" w:rsidRDefault="00BF31B7" w:rsidP="00BF31B7">
      <w:pPr>
        <w:spacing w:after="0" w:line="240" w:lineRule="auto"/>
        <w:rPr>
          <w:rFonts w:ascii="Times New Roman" w:eastAsia="Times New Roman" w:hAnsi="Times New Roman" w:cs="Times New Roman"/>
          <w:color w:val="0E101A"/>
          <w:sz w:val="24"/>
          <w:szCs w:val="24"/>
          <w:lang w:eastAsia="en-GB"/>
        </w:rPr>
      </w:pPr>
    </w:p>
    <w:p w14:paraId="0F7B1668" w14:textId="2979696D" w:rsidR="00BF31B7"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Whelan. L, ( 2019), The SEND Code of Practice, </w:t>
      </w:r>
      <w:hyperlink r:id="rId29" w:anchor=":~:text=The%20SEND%20Code%20of%20Practice%20is%20broken%20into%3A,adulthood%20from%20the%20earliest%20years%20More%20items...%20" w:tgtFrame="_blank" w:history="1">
        <w:r w:rsidRPr="00BF31B7">
          <w:rPr>
            <w:rFonts w:ascii="Times New Roman" w:eastAsia="Times New Roman" w:hAnsi="Times New Roman" w:cs="Times New Roman"/>
            <w:color w:val="4A6EE0"/>
            <w:sz w:val="24"/>
            <w:szCs w:val="24"/>
            <w:u w:val="single"/>
            <w:lang w:eastAsia="en-GB"/>
          </w:rPr>
          <w:t>The SEND Code of Practice - Engage Education (engage-education.com)</w:t>
        </w:r>
      </w:hyperlink>
      <w:r w:rsidRPr="00BF31B7">
        <w:rPr>
          <w:rFonts w:ascii="Times New Roman" w:eastAsia="Times New Roman" w:hAnsi="Times New Roman" w:cs="Times New Roman"/>
          <w:color w:val="0E101A"/>
          <w:sz w:val="24"/>
          <w:szCs w:val="24"/>
          <w:lang w:eastAsia="en-GB"/>
        </w:rPr>
        <w:t>. Date accessed 13/05/2021.</w:t>
      </w:r>
    </w:p>
    <w:p w14:paraId="31CE3F75" w14:textId="77777777" w:rsidR="00BF31B7" w:rsidRPr="00BF31B7" w:rsidRDefault="00BF31B7" w:rsidP="00BF31B7">
      <w:pPr>
        <w:spacing w:after="0" w:line="240" w:lineRule="auto"/>
        <w:rPr>
          <w:rFonts w:ascii="Times New Roman" w:eastAsia="Times New Roman" w:hAnsi="Times New Roman" w:cs="Times New Roman"/>
          <w:color w:val="0E101A"/>
          <w:sz w:val="24"/>
          <w:szCs w:val="24"/>
          <w:lang w:eastAsia="en-GB"/>
        </w:rPr>
      </w:pPr>
    </w:p>
    <w:p w14:paraId="00174CF5" w14:textId="1CF427EA" w:rsidR="00BF31B7"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World Health Organisation, (2009), Promoting gender equality to prevent violence against women, </w:t>
      </w:r>
      <w:hyperlink r:id="rId30" w:tgtFrame="_blank" w:history="1">
        <w:r w:rsidRPr="00BF31B7">
          <w:rPr>
            <w:rFonts w:ascii="Times New Roman" w:eastAsia="Times New Roman" w:hAnsi="Times New Roman" w:cs="Times New Roman"/>
            <w:color w:val="4A6EE0"/>
            <w:sz w:val="24"/>
            <w:szCs w:val="24"/>
            <w:u w:val="single"/>
            <w:lang w:eastAsia="en-GB"/>
          </w:rPr>
          <w:t>4Briefing pages LAST.pdf, page 15 @ Preflight (who. int)</w:t>
        </w:r>
      </w:hyperlink>
      <w:r w:rsidRPr="00BF31B7">
        <w:rPr>
          <w:rFonts w:ascii="Times New Roman" w:eastAsia="Times New Roman" w:hAnsi="Times New Roman" w:cs="Times New Roman"/>
          <w:color w:val="0E101A"/>
          <w:sz w:val="24"/>
          <w:szCs w:val="24"/>
          <w:lang w:eastAsia="en-GB"/>
        </w:rPr>
        <w:t>. Date accessed 12/05/2021. </w:t>
      </w:r>
    </w:p>
    <w:p w14:paraId="5DABF8EC" w14:textId="77777777" w:rsidR="00BF31B7" w:rsidRPr="00BF31B7" w:rsidRDefault="00BF31B7" w:rsidP="00BF31B7">
      <w:pPr>
        <w:spacing w:after="0" w:line="240" w:lineRule="auto"/>
        <w:rPr>
          <w:rFonts w:ascii="Times New Roman" w:eastAsia="Times New Roman" w:hAnsi="Times New Roman" w:cs="Times New Roman"/>
          <w:color w:val="0E101A"/>
          <w:sz w:val="24"/>
          <w:szCs w:val="24"/>
          <w:lang w:eastAsia="en-GB"/>
        </w:rPr>
      </w:pPr>
    </w:p>
    <w:p w14:paraId="18EFF6D3" w14:textId="77777777" w:rsidR="00BF31B7" w:rsidRPr="00BF31B7"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Writer. S, (2020), How Does Social Class Affect Education? </w:t>
      </w:r>
      <w:hyperlink r:id="rId31" w:tgtFrame="_blank" w:history="1">
        <w:r w:rsidRPr="00BF31B7">
          <w:rPr>
            <w:rFonts w:ascii="Times New Roman" w:eastAsia="Times New Roman" w:hAnsi="Times New Roman" w:cs="Times New Roman"/>
            <w:color w:val="4A6EE0"/>
            <w:sz w:val="24"/>
            <w:szCs w:val="24"/>
            <w:u w:val="single"/>
            <w:lang w:eastAsia="en-GB"/>
          </w:rPr>
          <w:t>How Does Social Class Affect Education? (reference.com)</w:t>
        </w:r>
      </w:hyperlink>
      <w:r w:rsidRPr="00BF31B7">
        <w:rPr>
          <w:rFonts w:ascii="Times New Roman" w:eastAsia="Times New Roman" w:hAnsi="Times New Roman" w:cs="Times New Roman"/>
          <w:color w:val="0E101A"/>
          <w:sz w:val="24"/>
          <w:szCs w:val="24"/>
          <w:lang w:eastAsia="en-GB"/>
        </w:rPr>
        <w:t>. Date accessed 12/05/2021. </w:t>
      </w:r>
    </w:p>
    <w:p w14:paraId="48DCA963" w14:textId="77777777" w:rsidR="00BF31B7" w:rsidRPr="00BF31B7" w:rsidRDefault="00BF31B7" w:rsidP="00BF31B7">
      <w:pPr>
        <w:spacing w:after="0" w:line="240" w:lineRule="auto"/>
        <w:rPr>
          <w:rFonts w:ascii="Times New Roman" w:eastAsia="Times New Roman" w:hAnsi="Times New Roman" w:cs="Times New Roman"/>
          <w:color w:val="0E101A"/>
          <w:sz w:val="24"/>
          <w:szCs w:val="24"/>
          <w:lang w:eastAsia="en-GB"/>
        </w:rPr>
      </w:pPr>
    </w:p>
    <w:p w14:paraId="545B0CF4" w14:textId="77777777" w:rsidR="00BF31B7" w:rsidRPr="00BF31B7" w:rsidRDefault="00BF31B7" w:rsidP="00BF31B7">
      <w:pPr>
        <w:spacing w:after="0" w:line="240" w:lineRule="auto"/>
        <w:rPr>
          <w:rFonts w:ascii="Times New Roman" w:eastAsia="Times New Roman" w:hAnsi="Times New Roman" w:cs="Times New Roman"/>
          <w:color w:val="0E101A"/>
          <w:sz w:val="24"/>
          <w:szCs w:val="24"/>
          <w:lang w:eastAsia="en-GB"/>
        </w:rPr>
      </w:pPr>
    </w:p>
    <w:p w14:paraId="440CDA09" w14:textId="77777777" w:rsidR="00BF31B7" w:rsidRPr="00BF31B7" w:rsidRDefault="00BF31B7" w:rsidP="00BF31B7">
      <w:pPr>
        <w:spacing w:after="0" w:line="240" w:lineRule="auto"/>
        <w:rPr>
          <w:rFonts w:ascii="Times New Roman" w:eastAsia="Times New Roman" w:hAnsi="Times New Roman" w:cs="Times New Roman"/>
          <w:color w:val="0E101A"/>
          <w:sz w:val="24"/>
          <w:szCs w:val="24"/>
          <w:lang w:eastAsia="en-GB"/>
        </w:rPr>
      </w:pPr>
    </w:p>
    <w:p w14:paraId="3C156C9A" w14:textId="77777777" w:rsidR="00BF31B7" w:rsidRPr="00BF31B7" w:rsidRDefault="00BF31B7" w:rsidP="00BF31B7">
      <w:pPr>
        <w:spacing w:after="0" w:line="240" w:lineRule="auto"/>
        <w:rPr>
          <w:rFonts w:ascii="Times New Roman" w:eastAsia="Times New Roman" w:hAnsi="Times New Roman" w:cs="Times New Roman"/>
          <w:color w:val="0E101A"/>
          <w:sz w:val="24"/>
          <w:szCs w:val="24"/>
          <w:lang w:eastAsia="en-GB"/>
        </w:rPr>
      </w:pPr>
      <w:r w:rsidRPr="00BF31B7">
        <w:rPr>
          <w:rFonts w:ascii="Times New Roman" w:eastAsia="Times New Roman" w:hAnsi="Times New Roman" w:cs="Times New Roman"/>
          <w:color w:val="0E101A"/>
          <w:sz w:val="24"/>
          <w:szCs w:val="24"/>
          <w:lang w:eastAsia="en-GB"/>
        </w:rPr>
        <w:t> </w:t>
      </w:r>
    </w:p>
    <w:p w14:paraId="4AFA262A" w14:textId="14DA93D9" w:rsidR="00D3677F" w:rsidRPr="00F773AF" w:rsidRDefault="00D3677F" w:rsidP="00116CB9">
      <w:pPr>
        <w:rPr>
          <w:rFonts w:ascii="Times New Roman" w:hAnsi="Times New Roman" w:cs="Times New Roman"/>
          <w:sz w:val="24"/>
          <w:szCs w:val="24"/>
        </w:rPr>
      </w:pPr>
      <w:r w:rsidRPr="00D3677F">
        <w:rPr>
          <w:noProof/>
        </w:rPr>
        <w:t xml:space="preserve"> </w:t>
      </w:r>
    </w:p>
    <w:sectPr w:rsidR="00D3677F" w:rsidRPr="00F773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90DF9"/>
    <w:multiLevelType w:val="multilevel"/>
    <w:tmpl w:val="88D26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CF63D8"/>
    <w:multiLevelType w:val="multilevel"/>
    <w:tmpl w:val="2ECA4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D2523ED"/>
    <w:multiLevelType w:val="multilevel"/>
    <w:tmpl w:val="C7047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3672C7"/>
    <w:multiLevelType w:val="multilevel"/>
    <w:tmpl w:val="F3FE0D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857"/>
    <w:rsid w:val="000037FD"/>
    <w:rsid w:val="00007A31"/>
    <w:rsid w:val="000A3BDC"/>
    <w:rsid w:val="000D76A3"/>
    <w:rsid w:val="000E0ABF"/>
    <w:rsid w:val="000E22BB"/>
    <w:rsid w:val="00106474"/>
    <w:rsid w:val="001141AF"/>
    <w:rsid w:val="00116CB9"/>
    <w:rsid w:val="00117EF0"/>
    <w:rsid w:val="00141290"/>
    <w:rsid w:val="001836C1"/>
    <w:rsid w:val="001D2023"/>
    <w:rsid w:val="001D3449"/>
    <w:rsid w:val="001D5CDE"/>
    <w:rsid w:val="001F3D4E"/>
    <w:rsid w:val="002052CB"/>
    <w:rsid w:val="00235504"/>
    <w:rsid w:val="00284B4F"/>
    <w:rsid w:val="002855C4"/>
    <w:rsid w:val="002C0B9C"/>
    <w:rsid w:val="002E59AA"/>
    <w:rsid w:val="00321896"/>
    <w:rsid w:val="003548F3"/>
    <w:rsid w:val="003A2F7A"/>
    <w:rsid w:val="003A56A0"/>
    <w:rsid w:val="003C13FA"/>
    <w:rsid w:val="003C7023"/>
    <w:rsid w:val="003F26CE"/>
    <w:rsid w:val="00496D3A"/>
    <w:rsid w:val="004A29AA"/>
    <w:rsid w:val="004E1316"/>
    <w:rsid w:val="004F2D47"/>
    <w:rsid w:val="004F2F60"/>
    <w:rsid w:val="005059E9"/>
    <w:rsid w:val="005419E7"/>
    <w:rsid w:val="00563ABA"/>
    <w:rsid w:val="005732E6"/>
    <w:rsid w:val="00586534"/>
    <w:rsid w:val="005A4DEC"/>
    <w:rsid w:val="005A67F2"/>
    <w:rsid w:val="005D53A5"/>
    <w:rsid w:val="006E40AD"/>
    <w:rsid w:val="00756FDA"/>
    <w:rsid w:val="008A4C60"/>
    <w:rsid w:val="008C1D46"/>
    <w:rsid w:val="008C64FE"/>
    <w:rsid w:val="009841CD"/>
    <w:rsid w:val="009C16E6"/>
    <w:rsid w:val="00AA053D"/>
    <w:rsid w:val="00AF0861"/>
    <w:rsid w:val="00B21609"/>
    <w:rsid w:val="00B857A5"/>
    <w:rsid w:val="00BD143F"/>
    <w:rsid w:val="00BD4E9D"/>
    <w:rsid w:val="00BF31B7"/>
    <w:rsid w:val="00C2415C"/>
    <w:rsid w:val="00C56463"/>
    <w:rsid w:val="00C71E2D"/>
    <w:rsid w:val="00C84B16"/>
    <w:rsid w:val="00CB0BB3"/>
    <w:rsid w:val="00CC73A0"/>
    <w:rsid w:val="00CE7B6C"/>
    <w:rsid w:val="00D16857"/>
    <w:rsid w:val="00D3677F"/>
    <w:rsid w:val="00D4127F"/>
    <w:rsid w:val="00D618D4"/>
    <w:rsid w:val="00D66798"/>
    <w:rsid w:val="00D967F1"/>
    <w:rsid w:val="00DA528D"/>
    <w:rsid w:val="00DC0D74"/>
    <w:rsid w:val="00DC3008"/>
    <w:rsid w:val="00DC35B7"/>
    <w:rsid w:val="00DC7292"/>
    <w:rsid w:val="00DF7CAF"/>
    <w:rsid w:val="00E05134"/>
    <w:rsid w:val="00E423DD"/>
    <w:rsid w:val="00E46B5A"/>
    <w:rsid w:val="00E559E7"/>
    <w:rsid w:val="00EE7B2D"/>
    <w:rsid w:val="00F53E07"/>
    <w:rsid w:val="00F773AF"/>
    <w:rsid w:val="00F92FA5"/>
    <w:rsid w:val="00FB0EB1"/>
    <w:rsid w:val="00FC7D72"/>
    <w:rsid w:val="00FE2F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9A580"/>
  <w15:chartTrackingRefBased/>
  <w15:docId w15:val="{5B507B1D-C1F5-4195-AC2E-3DCB19643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6857"/>
  </w:style>
  <w:style w:type="paragraph" w:styleId="Heading1">
    <w:name w:val="heading 1"/>
    <w:basedOn w:val="Normal"/>
    <w:next w:val="Normal"/>
    <w:link w:val="Heading1Char"/>
    <w:uiPriority w:val="9"/>
    <w:qFormat/>
    <w:rsid w:val="00DC35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D16857"/>
    <w:rPr>
      <w:b/>
      <w:bCs/>
    </w:rPr>
  </w:style>
  <w:style w:type="paragraph" w:styleId="NormalWeb">
    <w:name w:val="Normal (Web)"/>
    <w:basedOn w:val="Normal"/>
    <w:uiPriority w:val="99"/>
    <w:semiHidden/>
    <w:unhideWhenUsed/>
    <w:rsid w:val="003F26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5D53A5"/>
    <w:rPr>
      <w:sz w:val="16"/>
      <w:szCs w:val="16"/>
    </w:rPr>
  </w:style>
  <w:style w:type="paragraph" w:styleId="CommentText">
    <w:name w:val="annotation text"/>
    <w:basedOn w:val="Normal"/>
    <w:link w:val="CommentTextChar"/>
    <w:uiPriority w:val="99"/>
    <w:semiHidden/>
    <w:unhideWhenUsed/>
    <w:rsid w:val="005D53A5"/>
    <w:pPr>
      <w:spacing w:line="240" w:lineRule="auto"/>
    </w:pPr>
    <w:rPr>
      <w:sz w:val="20"/>
      <w:szCs w:val="20"/>
    </w:rPr>
  </w:style>
  <w:style w:type="character" w:customStyle="1" w:styleId="CommentTextChar">
    <w:name w:val="Comment Text Char"/>
    <w:basedOn w:val="DefaultParagraphFont"/>
    <w:link w:val="CommentText"/>
    <w:uiPriority w:val="99"/>
    <w:semiHidden/>
    <w:rsid w:val="005D53A5"/>
    <w:rPr>
      <w:sz w:val="20"/>
      <w:szCs w:val="20"/>
    </w:rPr>
  </w:style>
  <w:style w:type="paragraph" w:styleId="CommentSubject">
    <w:name w:val="annotation subject"/>
    <w:basedOn w:val="CommentText"/>
    <w:next w:val="CommentText"/>
    <w:link w:val="CommentSubjectChar"/>
    <w:uiPriority w:val="99"/>
    <w:semiHidden/>
    <w:unhideWhenUsed/>
    <w:rsid w:val="005D53A5"/>
    <w:rPr>
      <w:b/>
      <w:bCs/>
    </w:rPr>
  </w:style>
  <w:style w:type="character" w:customStyle="1" w:styleId="CommentSubjectChar">
    <w:name w:val="Comment Subject Char"/>
    <w:basedOn w:val="CommentTextChar"/>
    <w:link w:val="CommentSubject"/>
    <w:uiPriority w:val="99"/>
    <w:semiHidden/>
    <w:rsid w:val="005D53A5"/>
    <w:rPr>
      <w:b/>
      <w:bCs/>
      <w:sz w:val="20"/>
      <w:szCs w:val="20"/>
    </w:rPr>
  </w:style>
  <w:style w:type="character" w:styleId="HTMLCite">
    <w:name w:val="HTML Cite"/>
    <w:basedOn w:val="DefaultParagraphFont"/>
    <w:uiPriority w:val="99"/>
    <w:semiHidden/>
    <w:unhideWhenUsed/>
    <w:rsid w:val="00CE7B6C"/>
    <w:rPr>
      <w:i/>
      <w:iCs/>
    </w:rPr>
  </w:style>
  <w:style w:type="character" w:styleId="Hyperlink">
    <w:name w:val="Hyperlink"/>
    <w:basedOn w:val="DefaultParagraphFont"/>
    <w:uiPriority w:val="99"/>
    <w:unhideWhenUsed/>
    <w:rsid w:val="00FB0EB1"/>
    <w:rPr>
      <w:color w:val="0563C1" w:themeColor="hyperlink"/>
      <w:u w:val="single"/>
    </w:rPr>
  </w:style>
  <w:style w:type="paragraph" w:customStyle="1" w:styleId="Date1">
    <w:name w:val="Date1"/>
    <w:basedOn w:val="Normal"/>
    <w:rsid w:val="00FB0E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itle1">
    <w:name w:val="Title1"/>
    <w:basedOn w:val="DefaultParagraphFont"/>
    <w:rsid w:val="00FB0EB1"/>
  </w:style>
  <w:style w:type="character" w:customStyle="1" w:styleId="Heading1Char">
    <w:name w:val="Heading 1 Char"/>
    <w:basedOn w:val="DefaultParagraphFont"/>
    <w:link w:val="Heading1"/>
    <w:uiPriority w:val="9"/>
    <w:rsid w:val="00DC35B7"/>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C71E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718028">
      <w:bodyDiv w:val="1"/>
      <w:marLeft w:val="0"/>
      <w:marRight w:val="0"/>
      <w:marTop w:val="0"/>
      <w:marBottom w:val="0"/>
      <w:divBdr>
        <w:top w:val="none" w:sz="0" w:space="0" w:color="auto"/>
        <w:left w:val="none" w:sz="0" w:space="0" w:color="auto"/>
        <w:bottom w:val="none" w:sz="0" w:space="0" w:color="auto"/>
        <w:right w:val="none" w:sz="0" w:space="0" w:color="auto"/>
      </w:divBdr>
    </w:div>
    <w:div w:id="292636365">
      <w:bodyDiv w:val="1"/>
      <w:marLeft w:val="0"/>
      <w:marRight w:val="0"/>
      <w:marTop w:val="0"/>
      <w:marBottom w:val="0"/>
      <w:divBdr>
        <w:top w:val="none" w:sz="0" w:space="0" w:color="auto"/>
        <w:left w:val="none" w:sz="0" w:space="0" w:color="auto"/>
        <w:bottom w:val="none" w:sz="0" w:space="0" w:color="auto"/>
        <w:right w:val="none" w:sz="0" w:space="0" w:color="auto"/>
      </w:divBdr>
    </w:div>
    <w:div w:id="328676186">
      <w:bodyDiv w:val="1"/>
      <w:marLeft w:val="0"/>
      <w:marRight w:val="0"/>
      <w:marTop w:val="0"/>
      <w:marBottom w:val="0"/>
      <w:divBdr>
        <w:top w:val="none" w:sz="0" w:space="0" w:color="auto"/>
        <w:left w:val="none" w:sz="0" w:space="0" w:color="auto"/>
        <w:bottom w:val="none" w:sz="0" w:space="0" w:color="auto"/>
        <w:right w:val="none" w:sz="0" w:space="0" w:color="auto"/>
      </w:divBdr>
    </w:div>
    <w:div w:id="383915424">
      <w:bodyDiv w:val="1"/>
      <w:marLeft w:val="0"/>
      <w:marRight w:val="0"/>
      <w:marTop w:val="0"/>
      <w:marBottom w:val="0"/>
      <w:divBdr>
        <w:top w:val="none" w:sz="0" w:space="0" w:color="auto"/>
        <w:left w:val="none" w:sz="0" w:space="0" w:color="auto"/>
        <w:bottom w:val="none" w:sz="0" w:space="0" w:color="auto"/>
        <w:right w:val="none" w:sz="0" w:space="0" w:color="auto"/>
      </w:divBdr>
    </w:div>
    <w:div w:id="423186319">
      <w:bodyDiv w:val="1"/>
      <w:marLeft w:val="0"/>
      <w:marRight w:val="0"/>
      <w:marTop w:val="0"/>
      <w:marBottom w:val="0"/>
      <w:divBdr>
        <w:top w:val="none" w:sz="0" w:space="0" w:color="auto"/>
        <w:left w:val="none" w:sz="0" w:space="0" w:color="auto"/>
        <w:bottom w:val="none" w:sz="0" w:space="0" w:color="auto"/>
        <w:right w:val="none" w:sz="0" w:space="0" w:color="auto"/>
      </w:divBdr>
    </w:div>
    <w:div w:id="429934818">
      <w:bodyDiv w:val="1"/>
      <w:marLeft w:val="0"/>
      <w:marRight w:val="0"/>
      <w:marTop w:val="0"/>
      <w:marBottom w:val="0"/>
      <w:divBdr>
        <w:top w:val="none" w:sz="0" w:space="0" w:color="auto"/>
        <w:left w:val="none" w:sz="0" w:space="0" w:color="auto"/>
        <w:bottom w:val="none" w:sz="0" w:space="0" w:color="auto"/>
        <w:right w:val="none" w:sz="0" w:space="0" w:color="auto"/>
      </w:divBdr>
    </w:div>
    <w:div w:id="473643845">
      <w:bodyDiv w:val="1"/>
      <w:marLeft w:val="0"/>
      <w:marRight w:val="0"/>
      <w:marTop w:val="0"/>
      <w:marBottom w:val="0"/>
      <w:divBdr>
        <w:top w:val="none" w:sz="0" w:space="0" w:color="auto"/>
        <w:left w:val="none" w:sz="0" w:space="0" w:color="auto"/>
        <w:bottom w:val="none" w:sz="0" w:space="0" w:color="auto"/>
        <w:right w:val="none" w:sz="0" w:space="0" w:color="auto"/>
      </w:divBdr>
    </w:div>
    <w:div w:id="586236546">
      <w:bodyDiv w:val="1"/>
      <w:marLeft w:val="0"/>
      <w:marRight w:val="0"/>
      <w:marTop w:val="0"/>
      <w:marBottom w:val="0"/>
      <w:divBdr>
        <w:top w:val="none" w:sz="0" w:space="0" w:color="auto"/>
        <w:left w:val="none" w:sz="0" w:space="0" w:color="auto"/>
        <w:bottom w:val="none" w:sz="0" w:space="0" w:color="auto"/>
        <w:right w:val="none" w:sz="0" w:space="0" w:color="auto"/>
      </w:divBdr>
    </w:div>
    <w:div w:id="604507292">
      <w:bodyDiv w:val="1"/>
      <w:marLeft w:val="0"/>
      <w:marRight w:val="0"/>
      <w:marTop w:val="0"/>
      <w:marBottom w:val="0"/>
      <w:divBdr>
        <w:top w:val="none" w:sz="0" w:space="0" w:color="auto"/>
        <w:left w:val="none" w:sz="0" w:space="0" w:color="auto"/>
        <w:bottom w:val="none" w:sz="0" w:space="0" w:color="auto"/>
        <w:right w:val="none" w:sz="0" w:space="0" w:color="auto"/>
      </w:divBdr>
    </w:div>
    <w:div w:id="736901383">
      <w:bodyDiv w:val="1"/>
      <w:marLeft w:val="0"/>
      <w:marRight w:val="0"/>
      <w:marTop w:val="0"/>
      <w:marBottom w:val="0"/>
      <w:divBdr>
        <w:top w:val="none" w:sz="0" w:space="0" w:color="auto"/>
        <w:left w:val="none" w:sz="0" w:space="0" w:color="auto"/>
        <w:bottom w:val="none" w:sz="0" w:space="0" w:color="auto"/>
        <w:right w:val="none" w:sz="0" w:space="0" w:color="auto"/>
      </w:divBdr>
    </w:div>
    <w:div w:id="770469656">
      <w:bodyDiv w:val="1"/>
      <w:marLeft w:val="0"/>
      <w:marRight w:val="0"/>
      <w:marTop w:val="0"/>
      <w:marBottom w:val="0"/>
      <w:divBdr>
        <w:top w:val="none" w:sz="0" w:space="0" w:color="auto"/>
        <w:left w:val="none" w:sz="0" w:space="0" w:color="auto"/>
        <w:bottom w:val="none" w:sz="0" w:space="0" w:color="auto"/>
        <w:right w:val="none" w:sz="0" w:space="0" w:color="auto"/>
      </w:divBdr>
    </w:div>
    <w:div w:id="770591479">
      <w:bodyDiv w:val="1"/>
      <w:marLeft w:val="0"/>
      <w:marRight w:val="0"/>
      <w:marTop w:val="0"/>
      <w:marBottom w:val="0"/>
      <w:divBdr>
        <w:top w:val="none" w:sz="0" w:space="0" w:color="auto"/>
        <w:left w:val="none" w:sz="0" w:space="0" w:color="auto"/>
        <w:bottom w:val="none" w:sz="0" w:space="0" w:color="auto"/>
        <w:right w:val="none" w:sz="0" w:space="0" w:color="auto"/>
      </w:divBdr>
    </w:div>
    <w:div w:id="849487765">
      <w:bodyDiv w:val="1"/>
      <w:marLeft w:val="0"/>
      <w:marRight w:val="0"/>
      <w:marTop w:val="0"/>
      <w:marBottom w:val="0"/>
      <w:divBdr>
        <w:top w:val="none" w:sz="0" w:space="0" w:color="auto"/>
        <w:left w:val="none" w:sz="0" w:space="0" w:color="auto"/>
        <w:bottom w:val="none" w:sz="0" w:space="0" w:color="auto"/>
        <w:right w:val="none" w:sz="0" w:space="0" w:color="auto"/>
      </w:divBdr>
    </w:div>
    <w:div w:id="979113942">
      <w:bodyDiv w:val="1"/>
      <w:marLeft w:val="0"/>
      <w:marRight w:val="0"/>
      <w:marTop w:val="0"/>
      <w:marBottom w:val="0"/>
      <w:divBdr>
        <w:top w:val="none" w:sz="0" w:space="0" w:color="auto"/>
        <w:left w:val="none" w:sz="0" w:space="0" w:color="auto"/>
        <w:bottom w:val="none" w:sz="0" w:space="0" w:color="auto"/>
        <w:right w:val="none" w:sz="0" w:space="0" w:color="auto"/>
      </w:divBdr>
    </w:div>
    <w:div w:id="987828727">
      <w:bodyDiv w:val="1"/>
      <w:marLeft w:val="0"/>
      <w:marRight w:val="0"/>
      <w:marTop w:val="0"/>
      <w:marBottom w:val="0"/>
      <w:divBdr>
        <w:top w:val="none" w:sz="0" w:space="0" w:color="auto"/>
        <w:left w:val="none" w:sz="0" w:space="0" w:color="auto"/>
        <w:bottom w:val="none" w:sz="0" w:space="0" w:color="auto"/>
        <w:right w:val="none" w:sz="0" w:space="0" w:color="auto"/>
      </w:divBdr>
    </w:div>
    <w:div w:id="995642553">
      <w:bodyDiv w:val="1"/>
      <w:marLeft w:val="0"/>
      <w:marRight w:val="0"/>
      <w:marTop w:val="0"/>
      <w:marBottom w:val="0"/>
      <w:divBdr>
        <w:top w:val="none" w:sz="0" w:space="0" w:color="auto"/>
        <w:left w:val="none" w:sz="0" w:space="0" w:color="auto"/>
        <w:bottom w:val="none" w:sz="0" w:space="0" w:color="auto"/>
        <w:right w:val="none" w:sz="0" w:space="0" w:color="auto"/>
      </w:divBdr>
    </w:div>
    <w:div w:id="998920480">
      <w:bodyDiv w:val="1"/>
      <w:marLeft w:val="0"/>
      <w:marRight w:val="0"/>
      <w:marTop w:val="0"/>
      <w:marBottom w:val="0"/>
      <w:divBdr>
        <w:top w:val="none" w:sz="0" w:space="0" w:color="auto"/>
        <w:left w:val="none" w:sz="0" w:space="0" w:color="auto"/>
        <w:bottom w:val="none" w:sz="0" w:space="0" w:color="auto"/>
        <w:right w:val="none" w:sz="0" w:space="0" w:color="auto"/>
      </w:divBdr>
    </w:div>
    <w:div w:id="1037435226">
      <w:bodyDiv w:val="1"/>
      <w:marLeft w:val="0"/>
      <w:marRight w:val="0"/>
      <w:marTop w:val="0"/>
      <w:marBottom w:val="0"/>
      <w:divBdr>
        <w:top w:val="none" w:sz="0" w:space="0" w:color="auto"/>
        <w:left w:val="none" w:sz="0" w:space="0" w:color="auto"/>
        <w:bottom w:val="none" w:sz="0" w:space="0" w:color="auto"/>
        <w:right w:val="none" w:sz="0" w:space="0" w:color="auto"/>
      </w:divBdr>
    </w:div>
    <w:div w:id="1132477653">
      <w:bodyDiv w:val="1"/>
      <w:marLeft w:val="0"/>
      <w:marRight w:val="0"/>
      <w:marTop w:val="0"/>
      <w:marBottom w:val="0"/>
      <w:divBdr>
        <w:top w:val="none" w:sz="0" w:space="0" w:color="auto"/>
        <w:left w:val="none" w:sz="0" w:space="0" w:color="auto"/>
        <w:bottom w:val="none" w:sz="0" w:space="0" w:color="auto"/>
        <w:right w:val="none" w:sz="0" w:space="0" w:color="auto"/>
      </w:divBdr>
    </w:div>
    <w:div w:id="1136143664">
      <w:bodyDiv w:val="1"/>
      <w:marLeft w:val="0"/>
      <w:marRight w:val="0"/>
      <w:marTop w:val="0"/>
      <w:marBottom w:val="0"/>
      <w:divBdr>
        <w:top w:val="none" w:sz="0" w:space="0" w:color="auto"/>
        <w:left w:val="none" w:sz="0" w:space="0" w:color="auto"/>
        <w:bottom w:val="none" w:sz="0" w:space="0" w:color="auto"/>
        <w:right w:val="none" w:sz="0" w:space="0" w:color="auto"/>
      </w:divBdr>
    </w:div>
    <w:div w:id="1213496631">
      <w:bodyDiv w:val="1"/>
      <w:marLeft w:val="0"/>
      <w:marRight w:val="0"/>
      <w:marTop w:val="0"/>
      <w:marBottom w:val="0"/>
      <w:divBdr>
        <w:top w:val="none" w:sz="0" w:space="0" w:color="auto"/>
        <w:left w:val="none" w:sz="0" w:space="0" w:color="auto"/>
        <w:bottom w:val="none" w:sz="0" w:space="0" w:color="auto"/>
        <w:right w:val="none" w:sz="0" w:space="0" w:color="auto"/>
      </w:divBdr>
    </w:div>
    <w:div w:id="1275290983">
      <w:bodyDiv w:val="1"/>
      <w:marLeft w:val="0"/>
      <w:marRight w:val="0"/>
      <w:marTop w:val="0"/>
      <w:marBottom w:val="0"/>
      <w:divBdr>
        <w:top w:val="none" w:sz="0" w:space="0" w:color="auto"/>
        <w:left w:val="none" w:sz="0" w:space="0" w:color="auto"/>
        <w:bottom w:val="none" w:sz="0" w:space="0" w:color="auto"/>
        <w:right w:val="none" w:sz="0" w:space="0" w:color="auto"/>
      </w:divBdr>
    </w:div>
    <w:div w:id="1311329258">
      <w:bodyDiv w:val="1"/>
      <w:marLeft w:val="0"/>
      <w:marRight w:val="0"/>
      <w:marTop w:val="0"/>
      <w:marBottom w:val="0"/>
      <w:divBdr>
        <w:top w:val="none" w:sz="0" w:space="0" w:color="auto"/>
        <w:left w:val="none" w:sz="0" w:space="0" w:color="auto"/>
        <w:bottom w:val="none" w:sz="0" w:space="0" w:color="auto"/>
        <w:right w:val="none" w:sz="0" w:space="0" w:color="auto"/>
      </w:divBdr>
    </w:div>
    <w:div w:id="1407410346">
      <w:bodyDiv w:val="1"/>
      <w:marLeft w:val="0"/>
      <w:marRight w:val="0"/>
      <w:marTop w:val="0"/>
      <w:marBottom w:val="0"/>
      <w:divBdr>
        <w:top w:val="none" w:sz="0" w:space="0" w:color="auto"/>
        <w:left w:val="none" w:sz="0" w:space="0" w:color="auto"/>
        <w:bottom w:val="none" w:sz="0" w:space="0" w:color="auto"/>
        <w:right w:val="none" w:sz="0" w:space="0" w:color="auto"/>
      </w:divBdr>
    </w:div>
    <w:div w:id="1490171914">
      <w:bodyDiv w:val="1"/>
      <w:marLeft w:val="0"/>
      <w:marRight w:val="0"/>
      <w:marTop w:val="0"/>
      <w:marBottom w:val="0"/>
      <w:divBdr>
        <w:top w:val="none" w:sz="0" w:space="0" w:color="auto"/>
        <w:left w:val="none" w:sz="0" w:space="0" w:color="auto"/>
        <w:bottom w:val="none" w:sz="0" w:space="0" w:color="auto"/>
        <w:right w:val="none" w:sz="0" w:space="0" w:color="auto"/>
      </w:divBdr>
    </w:div>
    <w:div w:id="1673989097">
      <w:bodyDiv w:val="1"/>
      <w:marLeft w:val="0"/>
      <w:marRight w:val="0"/>
      <w:marTop w:val="0"/>
      <w:marBottom w:val="0"/>
      <w:divBdr>
        <w:top w:val="none" w:sz="0" w:space="0" w:color="auto"/>
        <w:left w:val="none" w:sz="0" w:space="0" w:color="auto"/>
        <w:bottom w:val="none" w:sz="0" w:space="0" w:color="auto"/>
        <w:right w:val="none" w:sz="0" w:space="0" w:color="auto"/>
      </w:divBdr>
    </w:div>
    <w:div w:id="1684821380">
      <w:bodyDiv w:val="1"/>
      <w:marLeft w:val="0"/>
      <w:marRight w:val="0"/>
      <w:marTop w:val="0"/>
      <w:marBottom w:val="0"/>
      <w:divBdr>
        <w:top w:val="none" w:sz="0" w:space="0" w:color="auto"/>
        <w:left w:val="none" w:sz="0" w:space="0" w:color="auto"/>
        <w:bottom w:val="none" w:sz="0" w:space="0" w:color="auto"/>
        <w:right w:val="none" w:sz="0" w:space="0" w:color="auto"/>
      </w:divBdr>
    </w:div>
    <w:div w:id="1752241813">
      <w:bodyDiv w:val="1"/>
      <w:marLeft w:val="0"/>
      <w:marRight w:val="0"/>
      <w:marTop w:val="0"/>
      <w:marBottom w:val="0"/>
      <w:divBdr>
        <w:top w:val="none" w:sz="0" w:space="0" w:color="auto"/>
        <w:left w:val="none" w:sz="0" w:space="0" w:color="auto"/>
        <w:bottom w:val="none" w:sz="0" w:space="0" w:color="auto"/>
        <w:right w:val="none" w:sz="0" w:space="0" w:color="auto"/>
      </w:divBdr>
    </w:div>
    <w:div w:id="1848717255">
      <w:bodyDiv w:val="1"/>
      <w:marLeft w:val="0"/>
      <w:marRight w:val="0"/>
      <w:marTop w:val="0"/>
      <w:marBottom w:val="0"/>
      <w:divBdr>
        <w:top w:val="none" w:sz="0" w:space="0" w:color="auto"/>
        <w:left w:val="none" w:sz="0" w:space="0" w:color="auto"/>
        <w:bottom w:val="none" w:sz="0" w:space="0" w:color="auto"/>
        <w:right w:val="none" w:sz="0" w:space="0" w:color="auto"/>
      </w:divBdr>
    </w:div>
    <w:div w:id="2053453476">
      <w:bodyDiv w:val="1"/>
      <w:marLeft w:val="0"/>
      <w:marRight w:val="0"/>
      <w:marTop w:val="0"/>
      <w:marBottom w:val="0"/>
      <w:divBdr>
        <w:top w:val="none" w:sz="0" w:space="0" w:color="auto"/>
        <w:left w:val="none" w:sz="0" w:space="0" w:color="auto"/>
        <w:bottom w:val="none" w:sz="0" w:space="0" w:color="auto"/>
        <w:right w:val="none" w:sz="0" w:space="0" w:color="auto"/>
      </w:divBdr>
    </w:div>
    <w:div w:id="2076851352">
      <w:bodyDiv w:val="1"/>
      <w:marLeft w:val="0"/>
      <w:marRight w:val="0"/>
      <w:marTop w:val="0"/>
      <w:marBottom w:val="0"/>
      <w:divBdr>
        <w:top w:val="none" w:sz="0" w:space="0" w:color="auto"/>
        <w:left w:val="none" w:sz="0" w:space="0" w:color="auto"/>
        <w:bottom w:val="none" w:sz="0" w:space="0" w:color="auto"/>
        <w:right w:val="none" w:sz="0" w:space="0" w:color="auto"/>
      </w:divBdr>
    </w:div>
    <w:div w:id="2135128719">
      <w:bodyDiv w:val="1"/>
      <w:marLeft w:val="0"/>
      <w:marRight w:val="0"/>
      <w:marTop w:val="0"/>
      <w:marBottom w:val="0"/>
      <w:divBdr>
        <w:top w:val="none" w:sz="0" w:space="0" w:color="auto"/>
        <w:left w:val="none" w:sz="0" w:space="0" w:color="auto"/>
        <w:bottom w:val="none" w:sz="0" w:space="0" w:color="auto"/>
        <w:right w:val="none" w:sz="0" w:space="0" w:color="auto"/>
      </w:divBdr>
    </w:div>
    <w:div w:id="2140150724">
      <w:bodyDiv w:val="1"/>
      <w:marLeft w:val="0"/>
      <w:marRight w:val="0"/>
      <w:marTop w:val="0"/>
      <w:marBottom w:val="0"/>
      <w:divBdr>
        <w:top w:val="none" w:sz="0" w:space="0" w:color="auto"/>
        <w:left w:val="none" w:sz="0" w:space="0" w:color="auto"/>
        <w:bottom w:val="none" w:sz="0" w:space="0" w:color="auto"/>
        <w:right w:val="none" w:sz="0" w:space="0" w:color="auto"/>
      </w:divBdr>
    </w:div>
    <w:div w:id="2145542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overty.ac.uk/definitions-poverty/social-exclusion" TargetMode="External"/><Relationship Id="rId18" Type="http://schemas.openxmlformats.org/officeDocument/2006/relationships/hyperlink" Target="Https://ourworldindata.org/primary-and-secondary-education.%20Date%20accessed%201/05/2021" TargetMode="External"/><Relationship Id="rId26" Type="http://schemas.openxmlformats.org/officeDocument/2006/relationships/hyperlink" Target="https://www.un.org/development/desa/socialperspectiveondevelopment/issues/social-integration.html" TargetMode="External"/><Relationship Id="rId3" Type="http://schemas.openxmlformats.org/officeDocument/2006/relationships/settings" Target="settings.xml"/><Relationship Id="rId21" Type="http://schemas.openxmlformats.org/officeDocument/2006/relationships/hyperlink" Target="https://inclusionexpert.com/looked-after-children-and-attachment-theory/" TargetMode="External"/><Relationship Id="rId7" Type="http://schemas.openxmlformats.org/officeDocument/2006/relationships/hyperlink" Target="https://inews.co.uk/news/education/scholarships-private-schools-grants-954840" TargetMode="External"/><Relationship Id="rId12" Type="http://schemas.openxmlformats.org/officeDocument/2006/relationships/hyperlink" Target="http://webarchive.nationalarchives.gov.uk/+/http:/www.cabinetoffice.gov.uk/media/cabinetoffice/social_exclusion_task_force/assets/research/multidimensional.pdf" TargetMode="External"/><Relationship Id="rId17" Type="http://schemas.openxmlformats.org/officeDocument/2006/relationships/hyperlink" Target="Http://ebookcentral.proquest.com/lib/trinity/detail.action?docID=460340" TargetMode="External"/><Relationship Id="rId25" Type="http://schemas.openxmlformats.org/officeDocument/2006/relationships/hyperlink" Target="https://downloads.unicef.org.uk/wp-content/uploads/2016/08/unicef-convention-rights-child-uncrc.pdf?_adal_sd=www.unicef.org.uk.1621164669169&amp;_adal_ca=so%3DLive%26me%3Dorganic%26ca%3D(not%2520set)%26co%3D(not%2520set)%26ke%3D(not%2520set).1621164669169&amp;_adal_cw=1621164606678.1621164669169&amp;_adal_id=89a94078-5787-414b-90d0-8aa40837779f.1620038697.3.1621164607.1620038697.f5fc633a-e7de-45e0-9abe-62a3b1ed30c9.1621164669169&amp;_ga=2.236573633.1553422877.1621164606-1573444359.1620038697"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metro.co.uk/2020/09/22/racism-in-schools-has-increased-during-lockdown-13302172/" TargetMode="External"/><Relationship Id="rId20" Type="http://schemas.openxmlformats.org/officeDocument/2006/relationships/hyperlink" Target="https://www.savethechildren.org.uk/news/media-centre/press-releases/early-learning-gap-between-children-in-and-out-of-poverty-widens" TargetMode="External"/><Relationship Id="rId29" Type="http://schemas.openxmlformats.org/officeDocument/2006/relationships/hyperlink" Target="https://engage-education.com/blog/the-send-code-of-practice/" TargetMode="External"/><Relationship Id="rId1" Type="http://schemas.openxmlformats.org/officeDocument/2006/relationships/numbering" Target="numbering.xml"/><Relationship Id="rId6" Type="http://schemas.openxmlformats.org/officeDocument/2006/relationships/hyperlink" Target="https://sid.usal.es/idocs/F8/FDO7202/eps67.pdf" TargetMode="External"/><Relationship Id="rId11" Type="http://schemas.openxmlformats.org/officeDocument/2006/relationships/hyperlink" Target="https://doi.org/10.1108/09578230710829892" TargetMode="External"/><Relationship Id="rId24" Type="http://schemas.openxmlformats.org/officeDocument/2006/relationships/hyperlink" Target="https://www.unicef.org/eca/sites/unicef.org.eca/files/IE_summary_accessible_220917_0.pdf" TargetMode="External"/><Relationship Id="rId32"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hyperlink" Target="https://www.simplypsychology.org/bowlby.html" TargetMode="External"/><Relationship Id="rId23" Type="http://schemas.openxmlformats.org/officeDocument/2006/relationships/hyperlink" Target="http://portal.unesco.org/en/ev.php-URL_ID=12949&amp;URL_DO=DO_TOPIC&amp;URL_SECTION=201.html" TargetMode="External"/><Relationship Id="rId28" Type="http://schemas.openxmlformats.org/officeDocument/2006/relationships/hyperlink" Target="https://www.globalpartnership.org/sites/default/files/2019-07-kix-gender-final-english.pdf" TargetMode="External"/><Relationship Id="rId10" Type="http://schemas.openxmlformats.org/officeDocument/2006/relationships/hyperlink" Target="https://www.emerald.com/insight/publication/issn/0957-8234" TargetMode="External"/><Relationship Id="rId19" Type="http://schemas.openxmlformats.org/officeDocument/2006/relationships/hyperlink" Target="https://gov.wales/written-statement-tackling-poverty-action-plan" TargetMode="External"/><Relationship Id="rId31" Type="http://schemas.openxmlformats.org/officeDocument/2006/relationships/hyperlink" Target="https://www.reference.com/world-view/social-class-affect-education-f5d9bdde8b366810" TargetMode="External"/><Relationship Id="rId4" Type="http://schemas.openxmlformats.org/officeDocument/2006/relationships/webSettings" Target="webSettings.xml"/><Relationship Id="rId9" Type="http://schemas.openxmlformats.org/officeDocument/2006/relationships/hyperlink" Target="https://dera.ioe.ac.uk/6306/7/0208-2006dom-en_Redacted.pdf" TargetMode="External"/><Relationship Id="rId14" Type="http://schemas.openxmlformats.org/officeDocument/2006/relationships/hyperlink" Target="https://www.simplypsychology.org/maslow.html" TargetMode="External"/><Relationship Id="rId22" Type="http://schemas.openxmlformats.org/officeDocument/2006/relationships/hyperlink" Target="https://www.right-to-education.org/sites/right-to-education.org/files/resource-attachments/Salamanca_Statement_1994.pdf" TargetMode="External"/><Relationship Id="rId27" Type="http://schemas.openxmlformats.org/officeDocument/2006/relationships/hyperlink" Target="https://www.un.org/disabilities/documents/toolaction/pwdfs.pdf" TargetMode="External"/><Relationship Id="rId30" Type="http://schemas.openxmlformats.org/officeDocument/2006/relationships/hyperlink" Target="https://www.who.int/violence_injury_prevention/violence/gender.pdf" TargetMode="External"/><Relationship Id="rId8" Type="http://schemas.openxmlformats.org/officeDocument/2006/relationships/hyperlink" Target="https://reflectivepgce.wordpress.com/2013/09/22/technology-in-the-classroom-thoughts-prompted-by-the-first-session-and-from-time-in-schoo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329</TotalTime>
  <Pages>9</Pages>
  <Words>4905</Words>
  <Characters>27962</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Camille Checkley (2008047)</dc:creator>
  <cp:keywords/>
  <dc:description/>
  <cp:lastModifiedBy>Camille Checkley (2008047)</cp:lastModifiedBy>
  <cp:revision>5</cp:revision>
  <dcterms:created xsi:type="dcterms:W3CDTF">2021-05-16T12:11:00Z</dcterms:created>
  <dcterms:modified xsi:type="dcterms:W3CDTF">2021-05-16T17:40:00Z</dcterms:modified>
</cp:coreProperties>
</file>