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8FD36B5">
      <w:pPr>
        <w:jc w:val="center"/>
        <w:rPr>
          <w:rFonts w:ascii="Arial" w:hAnsi="Arial" w:eastAsia="Arial" w:cs="Arial"/>
          <w:b/>
          <w:sz w:val="22"/>
          <w:szCs w:val="22"/>
          <w:lang w:val="en-GB"/>
        </w:rPr>
      </w:pPr>
    </w:p>
    <w:p w14:paraId="5528A767">
      <w:pPr>
        <w:jc w:val="center"/>
        <w:rPr>
          <w:rFonts w:ascii="Arial" w:hAnsi="Arial" w:eastAsia="Arial" w:cs="Arial"/>
          <w:b/>
          <w:sz w:val="22"/>
          <w:szCs w:val="22"/>
          <w:lang w:val="en-GB"/>
        </w:rPr>
      </w:pPr>
    </w:p>
    <w:p w14:paraId="13AAF89B">
      <w:pPr>
        <w:jc w:val="center"/>
        <w:rPr>
          <w:rFonts w:ascii="Arial" w:hAnsi="Arial" w:eastAsia="Arial" w:cs="Arial"/>
          <w:b/>
          <w:sz w:val="22"/>
          <w:szCs w:val="22"/>
          <w:lang w:val="en-GB"/>
        </w:rPr>
      </w:pPr>
    </w:p>
    <w:p w14:paraId="21101226">
      <w:pPr>
        <w:jc w:val="center"/>
        <w:rPr>
          <w:rFonts w:ascii="Arial" w:hAnsi="Arial" w:eastAsia="Arial" w:cs="Arial"/>
          <w:b/>
          <w:sz w:val="22"/>
          <w:szCs w:val="22"/>
          <w:lang w:val="en-GB"/>
        </w:rPr>
      </w:pPr>
      <w:bookmarkStart w:id="0" w:name="_heading=h.dajai024s79d" w:colFirst="0" w:colLast="0"/>
      <w:bookmarkEnd w:id="0"/>
      <w:r>
        <w:rPr>
          <w:rFonts w:ascii="Arial" w:hAnsi="Arial" w:eastAsia="Arial" w:cs="Arial"/>
          <w:b/>
          <w:sz w:val="22"/>
          <w:szCs w:val="22"/>
          <w:lang w:val="en-GB"/>
        </w:rPr>
        <w:drawing>
          <wp:inline distT="0" distB="0" distL="0" distR="0">
            <wp:extent cx="3238500" cy="1228725"/>
            <wp:effectExtent l="0" t="0" r="0" b="0"/>
            <wp:docPr id="1485234247" name="image1.png" descr="A close-up of a logo&#10;&#10;AI-generated content may be incorrect."/>
            <wp:cNvGraphicFramePr/>
            <a:graphic xmlns:a="http://schemas.openxmlformats.org/drawingml/2006/main">
              <a:graphicData uri="http://schemas.openxmlformats.org/drawingml/2006/picture">
                <pic:pic xmlns:pic="http://schemas.openxmlformats.org/drawingml/2006/picture">
                  <pic:nvPicPr>
                    <pic:cNvPr id="1485234247" name="image1.png" descr="A close-up of a logo&#10;&#10;AI-generated content may be incorrect."/>
                    <pic:cNvPicPr preferRelativeResize="0"/>
                  </pic:nvPicPr>
                  <pic:blipFill>
                    <a:blip r:embed="rId8"/>
                    <a:srcRect/>
                    <a:stretch>
                      <a:fillRect/>
                    </a:stretch>
                  </pic:blipFill>
                  <pic:spPr>
                    <a:xfrm>
                      <a:off x="0" y="0"/>
                      <a:ext cx="3238952" cy="1228896"/>
                    </a:xfrm>
                    <a:prstGeom prst="rect">
                      <a:avLst/>
                    </a:prstGeom>
                  </pic:spPr>
                </pic:pic>
              </a:graphicData>
            </a:graphic>
          </wp:inline>
        </w:drawing>
      </w:r>
    </w:p>
    <w:p w14:paraId="00950C5B">
      <w:pPr>
        <w:jc w:val="center"/>
        <w:rPr>
          <w:rFonts w:ascii="Arial" w:hAnsi="Arial" w:eastAsia="Arial" w:cs="Arial"/>
          <w:b/>
          <w:sz w:val="22"/>
          <w:szCs w:val="22"/>
          <w:lang w:val="en-GB"/>
        </w:rPr>
      </w:pPr>
    </w:p>
    <w:p w14:paraId="257A8097">
      <w:pPr>
        <w:jc w:val="center"/>
        <w:rPr>
          <w:rFonts w:ascii="Arial" w:hAnsi="Arial" w:eastAsia="Arial" w:cs="Arial"/>
          <w:b/>
          <w:sz w:val="22"/>
          <w:szCs w:val="22"/>
          <w:lang w:val="en-GB"/>
        </w:rPr>
      </w:pPr>
    </w:p>
    <w:p w14:paraId="527A201B">
      <w:pPr>
        <w:jc w:val="center"/>
        <w:rPr>
          <w:rFonts w:ascii="Arial" w:hAnsi="Arial" w:eastAsia="Arial" w:cs="Arial"/>
          <w:b/>
          <w:sz w:val="22"/>
          <w:szCs w:val="22"/>
          <w:lang w:val="en-GB"/>
        </w:rPr>
      </w:pPr>
    </w:p>
    <w:p w14:paraId="6D3F63C6">
      <w:pPr>
        <w:jc w:val="center"/>
        <w:rPr>
          <w:rFonts w:ascii="Arial" w:hAnsi="Arial" w:eastAsia="Arial" w:cs="Arial"/>
          <w:b/>
          <w:sz w:val="22"/>
          <w:szCs w:val="22"/>
          <w:lang w:val="en-GB"/>
        </w:rPr>
      </w:pPr>
    </w:p>
    <w:p w14:paraId="3E622A37">
      <w:pPr>
        <w:jc w:val="center"/>
        <w:rPr>
          <w:rFonts w:ascii="Arial" w:hAnsi="Arial" w:eastAsia="Arial" w:cs="Arial"/>
          <w:b/>
          <w:sz w:val="22"/>
          <w:szCs w:val="22"/>
          <w:lang w:val="en-GB"/>
        </w:rPr>
      </w:pPr>
      <w:bookmarkStart w:id="7" w:name="_GoBack"/>
      <w:bookmarkEnd w:id="7"/>
    </w:p>
    <w:p w14:paraId="7107BCA6">
      <w:pPr>
        <w:jc w:val="center"/>
        <w:rPr>
          <w:rFonts w:ascii="Arial" w:hAnsi="Arial" w:eastAsia="Arial" w:cs="Arial"/>
          <w:b/>
          <w:sz w:val="22"/>
          <w:szCs w:val="22"/>
          <w:lang w:val="en-GB"/>
        </w:rPr>
      </w:pPr>
      <w:r>
        <w:rPr>
          <w:rFonts w:ascii="Arial" w:hAnsi="Arial" w:eastAsia="Arial" w:cs="Arial"/>
          <w:b/>
          <w:sz w:val="22"/>
          <w:szCs w:val="22"/>
          <w:lang w:val="en-GB"/>
        </w:rPr>
        <w:t>Programme: BA (Hons) Leadership and Management Skills for the Workplace</w:t>
      </w:r>
    </w:p>
    <w:p w14:paraId="50DD11FC">
      <w:pPr>
        <w:jc w:val="center"/>
        <w:rPr>
          <w:rFonts w:ascii="Arial" w:hAnsi="Arial" w:eastAsia="Arial" w:cs="Arial"/>
          <w:b/>
          <w:sz w:val="22"/>
          <w:szCs w:val="22"/>
          <w:lang w:val="en-GB"/>
        </w:rPr>
      </w:pPr>
      <w:r>
        <w:rPr>
          <w:rFonts w:ascii="Arial" w:hAnsi="Arial" w:eastAsia="Arial" w:cs="Arial"/>
          <w:b/>
          <w:sz w:val="22"/>
          <w:szCs w:val="22"/>
          <w:lang w:val="en-GB"/>
        </w:rPr>
        <w:t>Module: Developing and Managing Individuals and Teams</w:t>
      </w:r>
    </w:p>
    <w:p w14:paraId="4C07C24B">
      <w:pPr>
        <w:jc w:val="center"/>
        <w:rPr>
          <w:rFonts w:ascii="Arial" w:hAnsi="Arial" w:eastAsia="Arial" w:cs="Arial"/>
          <w:b/>
          <w:sz w:val="22"/>
          <w:szCs w:val="22"/>
          <w:lang w:val="en-GB"/>
        </w:rPr>
      </w:pPr>
      <w:r>
        <w:rPr>
          <w:rFonts w:ascii="Arial" w:hAnsi="Arial" w:eastAsia="Arial" w:cs="Arial"/>
          <w:b/>
          <w:sz w:val="22"/>
          <w:szCs w:val="22"/>
          <w:lang w:val="en-GB"/>
        </w:rPr>
        <w:t>Module code: LCLM5002</w:t>
      </w:r>
    </w:p>
    <w:p w14:paraId="60B5979A">
      <w:pPr>
        <w:jc w:val="center"/>
        <w:rPr>
          <w:rFonts w:ascii="Arial" w:hAnsi="Arial" w:eastAsia="Arial" w:cs="Arial"/>
          <w:b/>
          <w:sz w:val="22"/>
          <w:szCs w:val="22"/>
          <w:lang w:val="en-GB"/>
        </w:rPr>
      </w:pPr>
      <w:r>
        <w:rPr>
          <w:rFonts w:ascii="Arial" w:hAnsi="Arial" w:eastAsia="Arial" w:cs="Arial"/>
          <w:b/>
          <w:sz w:val="22"/>
          <w:szCs w:val="22"/>
          <w:lang w:val="en-GB"/>
        </w:rPr>
        <w:t>Assignment Title: Component 2- Individual Report</w:t>
      </w:r>
    </w:p>
    <w:p w14:paraId="58AFB700">
      <w:pPr>
        <w:jc w:val="center"/>
        <w:rPr>
          <w:rFonts w:hint="default" w:ascii="Arial" w:hAnsi="Arial" w:eastAsia="Arial"/>
          <w:b/>
          <w:sz w:val="22"/>
          <w:szCs w:val="22"/>
          <w:lang w:val="en-GB"/>
        </w:rPr>
      </w:pPr>
      <w:r>
        <w:rPr>
          <w:rFonts w:hint="default" w:ascii="Arial" w:hAnsi="Arial" w:eastAsia="Arial"/>
          <w:b/>
          <w:sz w:val="22"/>
          <w:szCs w:val="22"/>
          <w:lang w:val="en-GB"/>
        </w:rPr>
        <w:t>Student name : Ana Capatina</w:t>
      </w:r>
      <w:r>
        <w:rPr>
          <w:rFonts w:hint="default" w:ascii="Arial" w:hAnsi="Arial" w:eastAsia="Arial"/>
          <w:b/>
          <w:sz w:val="22"/>
          <w:szCs w:val="22"/>
          <w:lang w:val="en-GB"/>
        </w:rPr>
        <w:br w:type="textWrapping"/>
      </w:r>
      <w:r>
        <w:rPr>
          <w:rFonts w:hint="default" w:ascii="Arial" w:hAnsi="Arial" w:eastAsia="Arial"/>
          <w:b/>
          <w:sz w:val="22"/>
          <w:szCs w:val="22"/>
          <w:lang w:val="en-GB"/>
        </w:rPr>
        <w:t>Student ID : 2408124</w:t>
      </w:r>
    </w:p>
    <w:p w14:paraId="6A95C424">
      <w:pPr>
        <w:jc w:val="center"/>
        <w:rPr>
          <w:rFonts w:hint="default" w:ascii="Arial" w:hAnsi="Arial" w:eastAsia="Arial"/>
          <w:b/>
          <w:sz w:val="22"/>
          <w:szCs w:val="22"/>
          <w:lang w:val="en-GB"/>
        </w:rPr>
      </w:pPr>
    </w:p>
    <w:p w14:paraId="4B5AACC7">
      <w:pPr>
        <w:jc w:val="center"/>
        <w:rPr>
          <w:rFonts w:hint="default" w:ascii="Arial" w:hAnsi="Arial" w:eastAsia="Arial"/>
          <w:b/>
          <w:sz w:val="22"/>
          <w:szCs w:val="22"/>
          <w:lang w:val="en-GB"/>
        </w:rPr>
      </w:pPr>
    </w:p>
    <w:p w14:paraId="4AD0A275">
      <w:pPr>
        <w:jc w:val="center"/>
        <w:rPr>
          <w:rFonts w:hint="default" w:ascii="Arial" w:hAnsi="Arial" w:eastAsia="Arial"/>
          <w:b/>
          <w:sz w:val="22"/>
          <w:szCs w:val="22"/>
          <w:lang w:val="en-GB"/>
        </w:rPr>
      </w:pPr>
    </w:p>
    <w:p w14:paraId="3538D85D">
      <w:pPr>
        <w:jc w:val="center"/>
        <w:rPr>
          <w:rFonts w:hint="default" w:ascii="Arial" w:hAnsi="Arial" w:eastAsia="Arial"/>
          <w:b/>
          <w:sz w:val="22"/>
          <w:szCs w:val="22"/>
          <w:lang w:val="en-GB"/>
        </w:rPr>
      </w:pPr>
    </w:p>
    <w:p w14:paraId="1E4B2335">
      <w:pPr>
        <w:jc w:val="center"/>
        <w:rPr>
          <w:rFonts w:hint="default" w:ascii="Arial" w:hAnsi="Arial" w:eastAsia="Arial"/>
          <w:b/>
          <w:sz w:val="22"/>
          <w:szCs w:val="22"/>
          <w:lang w:val="en-GB"/>
        </w:rPr>
      </w:pPr>
    </w:p>
    <w:p w14:paraId="619A7EB1">
      <w:pPr>
        <w:jc w:val="center"/>
        <w:rPr>
          <w:rFonts w:hint="default" w:ascii="Arial" w:hAnsi="Arial" w:eastAsia="Arial"/>
          <w:b/>
          <w:sz w:val="22"/>
          <w:szCs w:val="22"/>
          <w:lang w:val="en-GB"/>
        </w:rPr>
      </w:pPr>
    </w:p>
    <w:p w14:paraId="5E7BA0CA">
      <w:pPr>
        <w:jc w:val="center"/>
        <w:rPr>
          <w:rFonts w:hint="default" w:ascii="Arial" w:hAnsi="Arial" w:eastAsia="Arial"/>
          <w:b/>
          <w:sz w:val="22"/>
          <w:szCs w:val="22"/>
          <w:lang w:val="en-GB"/>
        </w:rPr>
      </w:pPr>
    </w:p>
    <w:p w14:paraId="368AE8A9">
      <w:pPr>
        <w:jc w:val="center"/>
        <w:rPr>
          <w:rFonts w:hint="default" w:ascii="Arial" w:hAnsi="Arial" w:eastAsia="Arial"/>
          <w:b/>
          <w:sz w:val="22"/>
          <w:szCs w:val="22"/>
          <w:lang w:val="en-GB"/>
        </w:rPr>
      </w:pPr>
    </w:p>
    <w:p w14:paraId="6B123EB2">
      <w:pPr>
        <w:jc w:val="center"/>
        <w:rPr>
          <w:rFonts w:hint="default" w:ascii="Arial" w:hAnsi="Arial" w:eastAsia="Arial"/>
          <w:b/>
          <w:sz w:val="22"/>
          <w:szCs w:val="22"/>
          <w:lang w:val="en-GB"/>
        </w:rPr>
      </w:pPr>
    </w:p>
    <w:p w14:paraId="1C45BD3F">
      <w:pPr>
        <w:jc w:val="center"/>
        <w:rPr>
          <w:rFonts w:hint="default" w:ascii="Arial" w:hAnsi="Arial" w:eastAsia="Arial"/>
          <w:b/>
          <w:sz w:val="22"/>
          <w:szCs w:val="22"/>
          <w:lang w:val="en-GB"/>
        </w:rPr>
      </w:pPr>
    </w:p>
    <w:p w14:paraId="68049411">
      <w:pPr>
        <w:jc w:val="center"/>
        <w:rPr>
          <w:rFonts w:hint="default" w:ascii="Arial" w:hAnsi="Arial" w:eastAsia="Arial"/>
          <w:b/>
          <w:sz w:val="22"/>
          <w:szCs w:val="22"/>
          <w:lang w:val="en-GB"/>
        </w:rPr>
      </w:pPr>
    </w:p>
    <w:p w14:paraId="3BE34541">
      <w:pPr>
        <w:jc w:val="center"/>
        <w:rPr>
          <w:rFonts w:hint="default" w:ascii="Arial" w:hAnsi="Arial" w:eastAsia="Arial"/>
          <w:b/>
          <w:sz w:val="22"/>
          <w:szCs w:val="22"/>
          <w:lang w:val="en-GB"/>
        </w:rPr>
      </w:pPr>
    </w:p>
    <w:p w14:paraId="3E90A512">
      <w:pPr>
        <w:jc w:val="center"/>
        <w:rPr>
          <w:rFonts w:hint="default" w:ascii="Arial" w:hAnsi="Arial" w:eastAsia="Arial"/>
          <w:b/>
          <w:sz w:val="22"/>
          <w:szCs w:val="22"/>
          <w:lang w:val="en-GB"/>
        </w:rPr>
      </w:pPr>
    </w:p>
    <w:p w14:paraId="3CC3994E">
      <w:pPr>
        <w:jc w:val="center"/>
        <w:rPr>
          <w:rFonts w:hint="default" w:ascii="Arial" w:hAnsi="Arial" w:eastAsia="Arial"/>
          <w:b/>
          <w:sz w:val="22"/>
          <w:szCs w:val="22"/>
          <w:lang w:val="en-GB"/>
        </w:rPr>
      </w:pPr>
    </w:p>
    <w:p w14:paraId="05CD93E9">
      <w:pPr>
        <w:jc w:val="center"/>
        <w:rPr>
          <w:rFonts w:hint="default" w:ascii="Arial" w:hAnsi="Arial" w:eastAsia="Arial"/>
          <w:b/>
          <w:sz w:val="22"/>
          <w:szCs w:val="22"/>
          <w:lang w:val="en-GB"/>
        </w:rPr>
      </w:pPr>
    </w:p>
    <w:p w14:paraId="2AF11536">
      <w:pPr>
        <w:jc w:val="center"/>
        <w:rPr>
          <w:rFonts w:hint="default" w:ascii="Arial" w:hAnsi="Arial" w:eastAsia="Arial"/>
          <w:b/>
          <w:sz w:val="22"/>
          <w:szCs w:val="22"/>
          <w:lang w:val="en-GB"/>
        </w:rPr>
      </w:pPr>
    </w:p>
    <w:p w14:paraId="7CDA580B">
      <w:pPr>
        <w:jc w:val="center"/>
        <w:rPr>
          <w:rFonts w:ascii="Arial" w:hAnsi="Arial" w:eastAsia="Arial" w:cs="Arial"/>
          <w:b/>
          <w:sz w:val="22"/>
          <w:szCs w:val="22"/>
          <w:lang w:val="en-GB"/>
        </w:rPr>
      </w:pPr>
    </w:p>
    <w:p w14:paraId="2058CCD7">
      <w:pPr>
        <w:keepNext/>
        <w:keepLines/>
        <w:pBdr>
          <w:top w:val="none" w:color="auto" w:sz="0" w:space="0"/>
          <w:left w:val="none" w:color="auto" w:sz="0" w:space="0"/>
          <w:bottom w:val="none" w:color="auto" w:sz="0" w:space="0"/>
          <w:right w:val="none" w:color="auto" w:sz="0" w:space="0"/>
          <w:between w:val="none" w:color="auto" w:sz="0" w:space="0"/>
        </w:pBdr>
        <w:spacing w:before="240"/>
        <w:jc w:val="center"/>
        <w:rPr>
          <w:rFonts w:ascii="Arial" w:hAnsi="Arial" w:eastAsia="Arial" w:cs="Arial"/>
          <w:color w:val="000000"/>
          <w:sz w:val="22"/>
          <w:szCs w:val="22"/>
          <w:lang w:val="en-GB"/>
        </w:rPr>
      </w:pPr>
      <w:r>
        <w:rPr>
          <w:rFonts w:ascii="Arial" w:hAnsi="Arial" w:eastAsia="Arial" w:cs="Arial"/>
          <w:b/>
          <w:color w:val="000000"/>
          <w:sz w:val="22"/>
          <w:szCs w:val="22"/>
          <w:lang w:val="en-GB"/>
        </w:rPr>
        <w:t>Table of Contents</w:t>
      </w:r>
    </w:p>
    <w:sdt>
      <w:sdtPr>
        <w:rPr>
          <w:sz w:val="22"/>
          <w:szCs w:val="22"/>
          <w:lang w:val="en-GB"/>
        </w:rPr>
        <w:id w:val="589972283"/>
        <w:docPartObj>
          <w:docPartGallery w:val="Table of Contents"/>
          <w:docPartUnique/>
        </w:docPartObj>
      </w:sdtPr>
      <w:sdtEndPr>
        <w:rPr>
          <w:sz w:val="22"/>
          <w:szCs w:val="22"/>
          <w:lang w:val="en-GB"/>
        </w:rPr>
      </w:sdtEndPr>
      <w:sdtContent>
        <w:p w14:paraId="09B70B1B">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Arial" w:hAnsi="Arial" w:eastAsia="Arial" w:cs="Arial"/>
              <w:color w:val="000000"/>
              <w:sz w:val="22"/>
              <w:szCs w:val="22"/>
              <w:lang w:val="en-GB"/>
            </w:rPr>
          </w:pPr>
          <w:r>
            <w:rPr>
              <w:sz w:val="22"/>
              <w:szCs w:val="22"/>
              <w:lang w:val="en-GB"/>
            </w:rPr>
            <w:fldChar w:fldCharType="begin"/>
          </w:r>
          <w:r>
            <w:rPr>
              <w:sz w:val="22"/>
              <w:szCs w:val="22"/>
              <w:lang w:val="en-GB"/>
            </w:rPr>
            <w:instrText xml:space="preserve"> TOC \h \u \z \t "Heading 1,1,Heading 2,2,Heading 3,3,"</w:instrText>
          </w:r>
          <w:r>
            <w:rPr>
              <w:sz w:val="22"/>
              <w:szCs w:val="22"/>
              <w:lang w:val="en-GB"/>
            </w:rPr>
            <w:fldChar w:fldCharType="separate"/>
          </w:r>
          <w:r>
            <w:fldChar w:fldCharType="begin"/>
          </w:r>
          <w:r>
            <w:instrText xml:space="preserve"> HYPERLINK \l "_heading=h.wpz755jv9yuj" \h </w:instrText>
          </w:r>
          <w:r>
            <w:fldChar w:fldCharType="separate"/>
          </w:r>
          <w:r>
            <w:rPr>
              <w:rFonts w:ascii="Arial" w:hAnsi="Arial" w:eastAsia="Arial" w:cs="Arial"/>
              <w:color w:val="000000"/>
              <w:sz w:val="22"/>
              <w:szCs w:val="22"/>
              <w:lang w:val="en-GB"/>
            </w:rPr>
            <w:t>Introduction</w:t>
          </w:r>
          <w:r>
            <w:rPr>
              <w:rFonts w:ascii="Arial" w:hAnsi="Arial" w:eastAsia="Arial" w:cs="Arial"/>
              <w:color w:val="000000"/>
              <w:sz w:val="22"/>
              <w:szCs w:val="22"/>
              <w:lang w:val="en-GB"/>
            </w:rPr>
            <w:tab/>
          </w:r>
          <w:r>
            <w:rPr>
              <w:rFonts w:ascii="Arial" w:hAnsi="Arial" w:eastAsia="Arial" w:cs="Arial"/>
              <w:color w:val="000000"/>
              <w:sz w:val="22"/>
              <w:szCs w:val="22"/>
              <w:lang w:val="en-GB"/>
            </w:rPr>
            <w:t>3</w:t>
          </w:r>
          <w:r>
            <w:rPr>
              <w:rFonts w:ascii="Arial" w:hAnsi="Arial" w:eastAsia="Arial" w:cs="Arial"/>
              <w:color w:val="000000"/>
              <w:sz w:val="22"/>
              <w:szCs w:val="22"/>
              <w:lang w:val="en-GB"/>
            </w:rPr>
            <w:fldChar w:fldCharType="end"/>
          </w:r>
        </w:p>
        <w:p w14:paraId="4E31CAB9">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Arial" w:hAnsi="Arial" w:eastAsia="Arial" w:cs="Arial"/>
              <w:color w:val="000000"/>
              <w:sz w:val="22"/>
              <w:szCs w:val="22"/>
              <w:lang w:val="en-GB"/>
            </w:rPr>
          </w:pPr>
          <w:r>
            <w:fldChar w:fldCharType="begin"/>
          </w:r>
          <w:r>
            <w:instrText xml:space="preserve"> HYPERLINK \l "_heading=h.i8mrzj9iup53" \h </w:instrText>
          </w:r>
          <w:r>
            <w:fldChar w:fldCharType="separate"/>
          </w:r>
          <w:r>
            <w:rPr>
              <w:rFonts w:ascii="Arial" w:hAnsi="Arial" w:eastAsia="Arial" w:cs="Arial"/>
              <w:color w:val="000000"/>
              <w:sz w:val="22"/>
              <w:szCs w:val="22"/>
              <w:lang w:val="en-GB"/>
            </w:rPr>
            <w:t>Factors related to business transformation</w:t>
          </w:r>
          <w:r>
            <w:rPr>
              <w:rFonts w:ascii="Arial" w:hAnsi="Arial" w:eastAsia="Arial" w:cs="Arial"/>
              <w:color w:val="000000"/>
              <w:sz w:val="22"/>
              <w:szCs w:val="22"/>
              <w:lang w:val="en-GB"/>
            </w:rPr>
            <w:tab/>
          </w:r>
          <w:r>
            <w:rPr>
              <w:rFonts w:ascii="Arial" w:hAnsi="Arial" w:eastAsia="Arial" w:cs="Arial"/>
              <w:color w:val="000000"/>
              <w:sz w:val="22"/>
              <w:szCs w:val="22"/>
              <w:lang w:val="en-GB"/>
            </w:rPr>
            <w:t>3</w:t>
          </w:r>
          <w:r>
            <w:rPr>
              <w:rFonts w:ascii="Arial" w:hAnsi="Arial" w:eastAsia="Arial" w:cs="Arial"/>
              <w:color w:val="000000"/>
              <w:sz w:val="22"/>
              <w:szCs w:val="22"/>
              <w:lang w:val="en-GB"/>
            </w:rPr>
            <w:fldChar w:fldCharType="end"/>
          </w:r>
        </w:p>
        <w:p w14:paraId="673AF2B9">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Arial" w:hAnsi="Arial" w:eastAsia="Arial" w:cs="Arial"/>
              <w:color w:val="000000"/>
              <w:sz w:val="22"/>
              <w:szCs w:val="22"/>
              <w:lang w:val="en-GB"/>
            </w:rPr>
          </w:pPr>
          <w:r>
            <w:fldChar w:fldCharType="begin"/>
          </w:r>
          <w:r>
            <w:instrText xml:space="preserve"> HYPERLINK \l "_heading=h.h5p919ffe2pz" \h </w:instrText>
          </w:r>
          <w:r>
            <w:fldChar w:fldCharType="separate"/>
          </w:r>
          <w:r>
            <w:rPr>
              <w:rFonts w:ascii="Arial" w:hAnsi="Arial" w:eastAsia="Arial" w:cs="Arial"/>
              <w:color w:val="000000"/>
              <w:sz w:val="22"/>
              <w:szCs w:val="22"/>
              <w:lang w:val="en-GB"/>
            </w:rPr>
            <w:t>Different contemporary HR practices</w:t>
          </w:r>
          <w:r>
            <w:rPr>
              <w:rFonts w:ascii="Arial" w:hAnsi="Arial" w:eastAsia="Arial" w:cs="Arial"/>
              <w:color w:val="000000"/>
              <w:sz w:val="22"/>
              <w:szCs w:val="22"/>
              <w:lang w:val="en-GB"/>
            </w:rPr>
            <w:tab/>
          </w:r>
          <w:r>
            <w:rPr>
              <w:rFonts w:ascii="Arial" w:hAnsi="Arial" w:eastAsia="Arial" w:cs="Arial"/>
              <w:color w:val="000000"/>
              <w:sz w:val="22"/>
              <w:szCs w:val="22"/>
              <w:lang w:val="en-GB"/>
            </w:rPr>
            <w:t>5</w:t>
          </w:r>
          <w:r>
            <w:rPr>
              <w:rFonts w:ascii="Arial" w:hAnsi="Arial" w:eastAsia="Arial" w:cs="Arial"/>
              <w:color w:val="000000"/>
              <w:sz w:val="22"/>
              <w:szCs w:val="22"/>
              <w:lang w:val="en-GB"/>
            </w:rPr>
            <w:fldChar w:fldCharType="end"/>
          </w:r>
        </w:p>
        <w:p w14:paraId="5B7E830A">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Arial" w:hAnsi="Arial" w:eastAsia="Arial" w:cs="Arial"/>
              <w:color w:val="000000"/>
              <w:sz w:val="22"/>
              <w:szCs w:val="22"/>
              <w:lang w:val="en-GB"/>
            </w:rPr>
          </w:pPr>
          <w:r>
            <w:fldChar w:fldCharType="begin"/>
          </w:r>
          <w:r>
            <w:instrText xml:space="preserve"> HYPERLINK \l "_heading=h.46jl861y62n4" \h </w:instrText>
          </w:r>
          <w:r>
            <w:fldChar w:fldCharType="separate"/>
          </w:r>
          <w:r>
            <w:rPr>
              <w:rFonts w:ascii="Arial" w:hAnsi="Arial" w:eastAsia="Arial" w:cs="Arial"/>
              <w:color w:val="000000"/>
              <w:sz w:val="22"/>
              <w:szCs w:val="22"/>
              <w:lang w:val="en-GB"/>
            </w:rPr>
            <w:t>Role of Departmental Managers in Implementing Contemporary HR Practices</w:t>
          </w:r>
          <w:r>
            <w:rPr>
              <w:rFonts w:ascii="Arial" w:hAnsi="Arial" w:eastAsia="Arial" w:cs="Arial"/>
              <w:color w:val="000000"/>
              <w:sz w:val="22"/>
              <w:szCs w:val="22"/>
              <w:lang w:val="en-GB"/>
            </w:rPr>
            <w:tab/>
          </w:r>
          <w:r>
            <w:rPr>
              <w:rFonts w:ascii="Arial" w:hAnsi="Arial" w:eastAsia="Arial" w:cs="Arial"/>
              <w:color w:val="000000"/>
              <w:sz w:val="22"/>
              <w:szCs w:val="22"/>
              <w:lang w:val="en-GB"/>
            </w:rPr>
            <w:t>6</w:t>
          </w:r>
          <w:r>
            <w:rPr>
              <w:rFonts w:ascii="Arial" w:hAnsi="Arial" w:eastAsia="Arial" w:cs="Arial"/>
              <w:color w:val="000000"/>
              <w:sz w:val="22"/>
              <w:szCs w:val="22"/>
              <w:lang w:val="en-GB"/>
            </w:rPr>
            <w:fldChar w:fldCharType="end"/>
          </w:r>
        </w:p>
        <w:p w14:paraId="1F75FCB0">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Arial" w:hAnsi="Arial" w:eastAsia="Arial" w:cs="Arial"/>
              <w:color w:val="000000"/>
              <w:sz w:val="22"/>
              <w:szCs w:val="22"/>
              <w:lang w:val="en-GB"/>
            </w:rPr>
          </w:pPr>
          <w:r>
            <w:fldChar w:fldCharType="begin"/>
          </w:r>
          <w:r>
            <w:instrText xml:space="preserve"> HYPERLINK \l "_heading=h.v4xina6eimt3" \h </w:instrText>
          </w:r>
          <w:r>
            <w:fldChar w:fldCharType="separate"/>
          </w:r>
          <w:r>
            <w:rPr>
              <w:rFonts w:ascii="Arial" w:hAnsi="Arial" w:eastAsia="Arial" w:cs="Arial"/>
              <w:color w:val="000000"/>
              <w:sz w:val="22"/>
              <w:szCs w:val="22"/>
              <w:lang w:val="en-GB"/>
            </w:rPr>
            <w:t>Conclusion and Recommendations</w:t>
          </w:r>
          <w:r>
            <w:rPr>
              <w:rFonts w:ascii="Arial" w:hAnsi="Arial" w:eastAsia="Arial" w:cs="Arial"/>
              <w:color w:val="000000"/>
              <w:sz w:val="22"/>
              <w:szCs w:val="22"/>
              <w:lang w:val="en-GB"/>
            </w:rPr>
            <w:tab/>
          </w:r>
          <w:r>
            <w:rPr>
              <w:rFonts w:ascii="Arial" w:hAnsi="Arial" w:eastAsia="Arial" w:cs="Arial"/>
              <w:color w:val="000000"/>
              <w:sz w:val="22"/>
              <w:szCs w:val="22"/>
              <w:lang w:val="en-GB"/>
            </w:rPr>
            <w:t>8</w:t>
          </w:r>
          <w:r>
            <w:rPr>
              <w:rFonts w:ascii="Arial" w:hAnsi="Arial" w:eastAsia="Arial" w:cs="Arial"/>
              <w:color w:val="000000"/>
              <w:sz w:val="22"/>
              <w:szCs w:val="22"/>
              <w:lang w:val="en-GB"/>
            </w:rPr>
            <w:fldChar w:fldCharType="end"/>
          </w:r>
        </w:p>
        <w:p w14:paraId="0C6BAE8D">
          <w:pPr>
            <w:pBdr>
              <w:top w:val="none" w:color="auto" w:sz="0" w:space="0"/>
              <w:left w:val="none" w:color="auto" w:sz="0" w:space="0"/>
              <w:bottom w:val="none" w:color="auto" w:sz="0" w:space="0"/>
              <w:right w:val="none" w:color="auto" w:sz="0" w:space="0"/>
              <w:between w:val="none" w:color="auto" w:sz="0" w:space="0"/>
            </w:pBdr>
            <w:tabs>
              <w:tab w:val="right" w:leader="dot" w:pos="9350"/>
            </w:tabs>
            <w:spacing w:after="100"/>
            <w:rPr>
              <w:rFonts w:ascii="Arial" w:hAnsi="Arial" w:eastAsia="Arial" w:cs="Arial"/>
              <w:color w:val="000000"/>
              <w:sz w:val="22"/>
              <w:szCs w:val="22"/>
              <w:lang w:val="en-GB"/>
            </w:rPr>
          </w:pPr>
          <w:r>
            <w:fldChar w:fldCharType="begin"/>
          </w:r>
          <w:r>
            <w:instrText xml:space="preserve"> HYPERLINK \l "_heading=h.crzg7vwuy5oi" \h </w:instrText>
          </w:r>
          <w:r>
            <w:fldChar w:fldCharType="separate"/>
          </w:r>
          <w:r>
            <w:rPr>
              <w:rFonts w:ascii="Arial" w:hAnsi="Arial" w:eastAsia="Arial" w:cs="Arial"/>
              <w:color w:val="000000"/>
              <w:sz w:val="22"/>
              <w:szCs w:val="22"/>
              <w:lang w:val="en-GB"/>
            </w:rPr>
            <w:t>References</w:t>
          </w:r>
          <w:r>
            <w:rPr>
              <w:rFonts w:ascii="Arial" w:hAnsi="Arial" w:eastAsia="Arial" w:cs="Arial"/>
              <w:color w:val="000000"/>
              <w:sz w:val="22"/>
              <w:szCs w:val="22"/>
              <w:lang w:val="en-GB"/>
            </w:rPr>
            <w:tab/>
          </w:r>
          <w:r>
            <w:rPr>
              <w:rFonts w:ascii="Arial" w:hAnsi="Arial" w:eastAsia="Arial" w:cs="Arial"/>
              <w:color w:val="000000"/>
              <w:sz w:val="22"/>
              <w:szCs w:val="22"/>
              <w:lang w:val="en-GB"/>
            </w:rPr>
            <w:t>10</w:t>
          </w:r>
          <w:r>
            <w:rPr>
              <w:rFonts w:ascii="Arial" w:hAnsi="Arial" w:eastAsia="Arial" w:cs="Arial"/>
              <w:color w:val="000000"/>
              <w:sz w:val="22"/>
              <w:szCs w:val="22"/>
              <w:lang w:val="en-GB"/>
            </w:rPr>
            <w:fldChar w:fldCharType="end"/>
          </w:r>
        </w:p>
        <w:p w14:paraId="1A141D0F">
          <w:pPr>
            <w:rPr>
              <w:sz w:val="22"/>
              <w:szCs w:val="22"/>
              <w:lang w:val="en-GB"/>
            </w:rPr>
          </w:pPr>
          <w:r>
            <w:rPr>
              <w:sz w:val="22"/>
              <w:szCs w:val="22"/>
              <w:lang w:val="en-GB"/>
            </w:rPr>
            <w:fldChar w:fldCharType="end"/>
          </w:r>
        </w:p>
      </w:sdtContent>
    </w:sdt>
    <w:p w14:paraId="10AB8704">
      <w:pPr>
        <w:rPr>
          <w:rFonts w:ascii="Arial" w:hAnsi="Arial" w:eastAsia="Arial" w:cs="Arial"/>
          <w:b/>
          <w:sz w:val="22"/>
          <w:szCs w:val="22"/>
          <w:lang w:val="en-GB"/>
        </w:rPr>
      </w:pPr>
      <w:r>
        <w:rPr>
          <w:sz w:val="22"/>
          <w:szCs w:val="22"/>
          <w:lang w:val="en-GB"/>
        </w:rPr>
        <w:br w:type="page"/>
      </w:r>
    </w:p>
    <w:p w14:paraId="1F6771A2">
      <w:pPr>
        <w:pStyle w:val="2"/>
        <w:rPr>
          <w:rFonts w:ascii="Arial" w:hAnsi="Arial" w:eastAsia="Arial" w:cs="Arial"/>
          <w:sz w:val="22"/>
          <w:szCs w:val="22"/>
          <w:lang w:val="en-GB"/>
        </w:rPr>
      </w:pPr>
      <w:bookmarkStart w:id="1" w:name="_heading=h.wpz755jv9yuj" w:colFirst="0" w:colLast="0"/>
      <w:bookmarkEnd w:id="1"/>
      <w:r>
        <w:rPr>
          <w:rFonts w:ascii="Arial" w:hAnsi="Arial" w:eastAsia="Arial" w:cs="Arial"/>
          <w:sz w:val="22"/>
          <w:szCs w:val="22"/>
          <w:lang w:val="en-GB"/>
        </w:rPr>
        <w:t xml:space="preserve">Introduction </w:t>
      </w:r>
    </w:p>
    <w:p w14:paraId="5E7F0AC6">
      <w:pPr>
        <w:rPr>
          <w:rFonts w:ascii="Arial" w:hAnsi="Arial" w:eastAsia="Arial" w:cs="Arial"/>
          <w:sz w:val="22"/>
          <w:szCs w:val="22"/>
          <w:lang w:val="en-GB"/>
        </w:rPr>
      </w:pPr>
      <w:r>
        <w:rPr>
          <w:rFonts w:ascii="Arial" w:hAnsi="Arial" w:eastAsia="Arial" w:cs="Arial"/>
          <w:sz w:val="22"/>
          <w:szCs w:val="22"/>
          <w:lang w:val="en-GB"/>
        </w:rPr>
        <w:t>Digital, flexible, and organisational restructuring are transforming global financial firms like HSBC London. This study is crucial since the modification has caused employee complaints and shown a corporate goal-worker reality mismatch. HR directors must ensure technical preparedness and employee engagement as banks deploy AI, cloud platforms, and automation. Flexible working has been the norm since the epidemic, so HR must balance autonomy and cohesiveness. Organisational restructuring for worldwide development affects careers at HSBC. Understanding how HR policies and management practices may address these objectives boosts employee happiness, performance, and resilience. This study evaluates ways that link organisational objectives to employee wellbeing, not only problems.</w:t>
      </w:r>
    </w:p>
    <w:p w14:paraId="4ACD2D3D">
      <w:pPr>
        <w:jc w:val="center"/>
        <w:rPr>
          <w:rFonts w:ascii="Arial" w:hAnsi="Arial" w:eastAsia="Arial" w:cs="Arial"/>
          <w:sz w:val="22"/>
          <w:szCs w:val="22"/>
          <w:lang w:val="en-GB"/>
        </w:rPr>
      </w:pPr>
      <w:r>
        <w:rPr>
          <w:sz w:val="22"/>
          <w:szCs w:val="22"/>
          <w:lang w:val="en-GB"/>
        </w:rPr>
        <w:drawing>
          <wp:inline distT="0" distB="0" distL="0" distR="0">
            <wp:extent cx="4783455" cy="1288415"/>
            <wp:effectExtent l="0" t="0" r="0" b="0"/>
            <wp:docPr id="1485234249" name="image3.png" descr="A red and white diamond on a black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485234249" name="image3.png" descr="A red and white diamond on a black background&#10;&#10;AI-generated content may be incorrect."/>
                    <pic:cNvPicPr preferRelativeResize="0"/>
                  </pic:nvPicPr>
                  <pic:blipFill>
                    <a:blip r:embed="rId9"/>
                    <a:srcRect/>
                    <a:stretch>
                      <a:fillRect/>
                    </a:stretch>
                  </pic:blipFill>
                  <pic:spPr>
                    <a:xfrm>
                      <a:off x="0" y="0"/>
                      <a:ext cx="4783671" cy="1288422"/>
                    </a:xfrm>
                    <a:prstGeom prst="rect">
                      <a:avLst/>
                    </a:prstGeom>
                  </pic:spPr>
                </pic:pic>
              </a:graphicData>
            </a:graphic>
          </wp:inline>
        </w:drawing>
      </w:r>
    </w:p>
    <w:p w14:paraId="3C4D58CC">
      <w:pPr>
        <w:jc w:val="center"/>
        <w:rPr>
          <w:rFonts w:ascii="Arial" w:hAnsi="Arial" w:eastAsia="Arial" w:cs="Arial"/>
          <w:b/>
          <w:sz w:val="22"/>
          <w:szCs w:val="22"/>
          <w:lang w:val="en-GB"/>
        </w:rPr>
      </w:pPr>
      <w:r>
        <w:rPr>
          <w:rFonts w:ascii="Arial" w:hAnsi="Arial" w:eastAsia="Arial" w:cs="Arial"/>
          <w:b/>
          <w:sz w:val="22"/>
          <w:szCs w:val="22"/>
          <w:lang w:val="en-GB"/>
        </w:rPr>
        <w:t xml:space="preserve">Figure 1: HSBC </w:t>
      </w:r>
    </w:p>
    <w:p w14:paraId="7E546991">
      <w:pPr>
        <w:jc w:val="center"/>
        <w:rPr>
          <w:rFonts w:ascii="Arial" w:hAnsi="Arial" w:eastAsia="Arial" w:cs="Arial"/>
          <w:sz w:val="22"/>
          <w:szCs w:val="22"/>
          <w:lang w:val="en-GB"/>
        </w:rPr>
      </w:pPr>
      <w:r>
        <w:rPr>
          <w:rFonts w:ascii="Arial" w:hAnsi="Arial" w:eastAsia="Arial" w:cs="Arial"/>
          <w:sz w:val="22"/>
          <w:szCs w:val="22"/>
          <w:lang w:val="en-GB"/>
        </w:rPr>
        <w:t>(Source: HSBC, 2025)</w:t>
      </w:r>
    </w:p>
    <w:p w14:paraId="0762C941">
      <w:pPr>
        <w:pStyle w:val="2"/>
        <w:rPr>
          <w:rFonts w:ascii="Arial" w:hAnsi="Arial" w:eastAsia="Arial" w:cs="Arial"/>
          <w:sz w:val="22"/>
          <w:szCs w:val="22"/>
          <w:lang w:val="en-GB"/>
        </w:rPr>
      </w:pPr>
      <w:bookmarkStart w:id="2" w:name="_heading=h.i8mrzj9iup53" w:colFirst="0" w:colLast="0"/>
      <w:bookmarkEnd w:id="2"/>
      <w:r>
        <w:rPr>
          <w:rFonts w:ascii="Arial" w:hAnsi="Arial" w:eastAsia="Arial" w:cs="Arial"/>
          <w:sz w:val="22"/>
          <w:szCs w:val="22"/>
          <w:lang w:val="en-GB"/>
        </w:rPr>
        <w:t>Factors related to business transformation</w:t>
      </w:r>
    </w:p>
    <w:p w14:paraId="73CF738A">
      <w:pPr>
        <w:rPr>
          <w:rFonts w:ascii="Arial" w:hAnsi="Arial" w:eastAsia="Arial" w:cs="Arial"/>
          <w:sz w:val="22"/>
          <w:szCs w:val="22"/>
          <w:lang w:val="en-GB"/>
        </w:rPr>
      </w:pPr>
      <w:r>
        <w:rPr>
          <w:rFonts w:ascii="Arial" w:hAnsi="Arial" w:eastAsia="Arial" w:cs="Arial"/>
          <w:sz w:val="22"/>
          <w:szCs w:val="22"/>
          <w:lang w:val="en-GB"/>
        </w:rPr>
        <w:t>Digital technology and changing workplace patterns have propelled corporate change at HSBC London, one of the largest banking organisations. Technological advances, increased client expectations, regulatory restrictions, and post-pandemic developments have disrupted the banking industry workforce. These developments affect recruiting, performance management, training, and employee well-being, making them important to HR.</w:t>
      </w:r>
    </w:p>
    <w:p w14:paraId="7890666C">
      <w:pPr>
        <w:rPr>
          <w:rFonts w:ascii="Arial" w:hAnsi="Arial" w:eastAsia="Arial" w:cs="Arial"/>
          <w:b/>
          <w:sz w:val="22"/>
          <w:szCs w:val="22"/>
          <w:lang w:val="en-GB"/>
        </w:rPr>
      </w:pPr>
      <w:r>
        <w:rPr>
          <w:rFonts w:ascii="Arial" w:hAnsi="Arial" w:eastAsia="Arial" w:cs="Arial"/>
          <w:b/>
          <w:sz w:val="22"/>
          <w:szCs w:val="22"/>
          <w:lang w:val="en-GB"/>
        </w:rPr>
        <w:t>Digital Technology Trends and Workforce Impact</w:t>
      </w:r>
    </w:p>
    <w:p w14:paraId="56B62FA6">
      <w:pPr>
        <w:rPr>
          <w:rFonts w:ascii="Arial" w:hAnsi="Arial" w:eastAsia="Arial" w:cs="Arial"/>
          <w:sz w:val="22"/>
          <w:szCs w:val="22"/>
          <w:lang w:val="en-GB"/>
        </w:rPr>
      </w:pPr>
      <w:r>
        <w:rPr>
          <w:rFonts w:ascii="Arial" w:hAnsi="Arial" w:eastAsia="Arial" w:cs="Arial"/>
          <w:sz w:val="22"/>
          <w:szCs w:val="22"/>
          <w:lang w:val="en-GB"/>
        </w:rPr>
        <w:t xml:space="preserve">The HSBC transformation strategy emphasises digital technologies to improve banking services. Digital innovation is crucial in competitive finance. According to Paramesha </w:t>
      </w:r>
      <w:r>
        <w:rPr>
          <w:rFonts w:ascii="Arial" w:hAnsi="Arial" w:eastAsia="Arial" w:cs="Arial"/>
          <w:i/>
          <w:sz w:val="22"/>
          <w:szCs w:val="22"/>
          <w:lang w:val="en-GB"/>
        </w:rPr>
        <w:t>et al.</w:t>
      </w:r>
      <w:r>
        <w:rPr>
          <w:rFonts w:ascii="Arial" w:hAnsi="Arial" w:eastAsia="Arial" w:cs="Arial"/>
          <w:sz w:val="22"/>
          <w:szCs w:val="22"/>
          <w:lang w:val="en-GB"/>
        </w:rPr>
        <w:t xml:space="preserve"> (2024), blockchain, AI, ML, and RPA are revolutionising bank customer service and internal processes. AI-driven HSBC fraud detection tools identify suspicious transactions in real time, reducing risk and increasing confidence. Cloud-based technologies have accelerated transaction processing and branch connectivity for the bank. These technological advances impact HR. Workers fear automation replacing clerical or back-office positions. HR must prioritise upskilling and reskilling. HSBC trains people in digital literacy and develops technologies for new supervisory, client, and analytics roles. Through digital learning, HSBC University educates workers for a technology-led banking environment. HR difficulties include employee training and job security concerns. Mohan </w:t>
      </w:r>
      <w:r>
        <w:rPr>
          <w:rFonts w:ascii="Arial" w:hAnsi="Arial" w:eastAsia="Arial" w:cs="Arial"/>
          <w:i/>
          <w:sz w:val="22"/>
          <w:szCs w:val="22"/>
          <w:lang w:val="en-GB"/>
        </w:rPr>
        <w:t>et al.</w:t>
      </w:r>
      <w:r>
        <w:rPr>
          <w:rFonts w:ascii="Arial" w:hAnsi="Arial" w:eastAsia="Arial" w:cs="Arial"/>
          <w:sz w:val="22"/>
          <w:szCs w:val="22"/>
          <w:lang w:val="en-GB"/>
        </w:rPr>
        <w:t xml:space="preserve"> (2024) found that communication, career development roadmaps, and innovation efforts reduce complaints and increase engagement. HR process transformation encompasses the adoption of digital platforms. HR analytics tracks employee performance, turnover, and engagement at HSBC. These methods help managers see dissatisfaction before it becomes a complaint. Data-driven management must be combined with empathy and human connection since workers may find these tools intrusive or impersonal. Change brought by technology demands cultural adaptation.</w:t>
      </w:r>
    </w:p>
    <w:p w14:paraId="264EDB3B">
      <w:pPr>
        <w:rPr>
          <w:rFonts w:ascii="Arial" w:hAnsi="Arial" w:eastAsia="Arial" w:cs="Arial"/>
          <w:b/>
          <w:sz w:val="22"/>
          <w:szCs w:val="22"/>
          <w:lang w:val="en-GB"/>
        </w:rPr>
      </w:pPr>
      <w:r>
        <w:rPr>
          <w:rFonts w:ascii="Arial" w:hAnsi="Arial" w:eastAsia="Arial" w:cs="Arial"/>
          <w:b/>
          <w:sz w:val="22"/>
          <w:szCs w:val="22"/>
          <w:lang w:val="en-GB"/>
        </w:rPr>
        <w:t>Flexible Working Arrangements in a Global Bank</w:t>
      </w:r>
    </w:p>
    <w:p w14:paraId="3A3D3DCD">
      <w:pPr>
        <w:rPr>
          <w:rFonts w:ascii="Arial" w:hAnsi="Arial" w:eastAsia="Arial" w:cs="Arial"/>
          <w:b/>
          <w:sz w:val="22"/>
          <w:szCs w:val="22"/>
          <w:lang w:val="en-GB"/>
        </w:rPr>
      </w:pPr>
      <w:r>
        <w:rPr>
          <w:rFonts w:ascii="Arial" w:hAnsi="Arial" w:eastAsia="Arial" w:cs="Arial"/>
          <w:sz w:val="22"/>
          <w:szCs w:val="22"/>
          <w:lang w:val="en-GB"/>
        </w:rPr>
        <w:t>The second adjustment is flexible working conditions, which workers expect after the pandemic. London-based HSBC must accommodate regional worker expectations while ensuring global homogeneity. According to HSBC (2024), flexibility at HSBC includes hybrid, remote, job-sharing, and shorter work weeks. Many employees, especially younger ones, need a work-life balance to be happy and retain their jobs. HSBC has tested hybrid working, allowing three days on-site and two remotely. Office consolidation has reduced overhead and enhanced department output. Remote workers may feel disconnected from business culture or denied advancements. HSBC leadership has prioritised Microsoft Teams, Zoom, and anchor days where teams gather in person for planning and relationship building to solve these difficulties. Traditional office attendance statistics are less useful in flexible arrangements, making performance monitoring harder. Sweney (2023) discussed that flexible employment has reduced office consumption, so HSBC downsized its Canary Wharf headquarters in 2022. This reduces HR costs and environmental impact but increases justice, inclusiveness, and communication challenges. Thus, the HR department of HSBC prioritises client satisfaction and quality above-desk time. Management of work-life boundaries is difficult. The always-on mindset of digital connectivity may induce tiredness and mental health difficulties. Human resources must enforce wellness rules, including working hours and mental health care. Flexible work alternatives should empower, not exploit, people; thus, leadership must be balanced.</w:t>
      </w:r>
    </w:p>
    <w:p w14:paraId="5A78B35E">
      <w:pPr>
        <w:spacing w:after="80"/>
        <w:rPr>
          <w:rFonts w:ascii="Arial" w:hAnsi="Arial" w:eastAsia="Arial" w:cs="Arial"/>
          <w:b/>
          <w:sz w:val="22"/>
          <w:szCs w:val="22"/>
          <w:lang w:val="en-GB"/>
        </w:rPr>
      </w:pPr>
      <w:r>
        <w:rPr>
          <w:rFonts w:ascii="Arial" w:hAnsi="Arial" w:eastAsia="Arial" w:cs="Arial"/>
          <w:b/>
          <w:sz w:val="22"/>
          <w:szCs w:val="22"/>
          <w:lang w:val="en-GB"/>
        </w:rPr>
        <w:t>Business Transformation and Organisational Change</w:t>
      </w:r>
    </w:p>
    <w:p w14:paraId="63860B71">
      <w:pPr>
        <w:rPr>
          <w:rFonts w:ascii="Arial" w:hAnsi="Arial" w:eastAsia="Arial" w:cs="Arial"/>
          <w:sz w:val="22"/>
          <w:szCs w:val="22"/>
          <w:lang w:val="en-GB"/>
        </w:rPr>
      </w:pPr>
      <w:r>
        <w:rPr>
          <w:rFonts w:ascii="Arial" w:hAnsi="Arial" w:eastAsia="Arial" w:cs="Arial"/>
          <w:sz w:val="22"/>
          <w:szCs w:val="22"/>
          <w:lang w:val="en-GB"/>
        </w:rPr>
        <w:t>Beyond technology and flexible working, the organisational transformation of HSBC affects HR operations. Recent restructuring has helped the bank compete in a fast-changing global market. This involves investing heavily in digital-first banking, Asia as a development sector, and divesting from underperforming areas. This huge change undermines organisational structures, job titles, and employee expectations. For instance, in Europe, HSBC eliminated its UK operations to concentrate on Asia. Retrenched workers worry about justice, job security, and communication (Cruise, 2025). Thus, HR directors must actively advise, mentor, and redeploy personnel throughout these changes. The HSBC Voluntary Redundancy Program gave laid-off staff monetary incentives and job transition assistance. Such approaches maintain confidence and highlight the crucial role of human resource (HR) in business transformation and employee well-being. Another transformational aspect is culture. HSBC seeks flatter, more collaborative structures as it implements agile and innovative business approaches. Strong leadership is needed to set a strategy and foster psychological safety and diversity. Employees need assurances that their voices will be heard throughout the change. HSBC offers global employee engagement surveys and town hall meetings so workers may speak to executives.</w:t>
      </w:r>
    </w:p>
    <w:p w14:paraId="2871D647">
      <w:pPr>
        <w:pStyle w:val="2"/>
        <w:rPr>
          <w:rFonts w:ascii="Arial" w:hAnsi="Arial" w:eastAsia="Arial" w:cs="Arial"/>
          <w:sz w:val="22"/>
          <w:szCs w:val="22"/>
          <w:lang w:val="en-GB"/>
        </w:rPr>
      </w:pPr>
      <w:bookmarkStart w:id="3" w:name="_heading=h.h5p919ffe2pz" w:colFirst="0" w:colLast="0"/>
      <w:bookmarkEnd w:id="3"/>
      <w:r>
        <w:rPr>
          <w:rFonts w:ascii="Arial" w:hAnsi="Arial" w:eastAsia="Arial" w:cs="Arial"/>
          <w:sz w:val="22"/>
          <w:szCs w:val="22"/>
          <w:lang w:val="en-GB"/>
        </w:rPr>
        <w:t>Different contemporary HR practices</w:t>
      </w:r>
    </w:p>
    <w:p w14:paraId="32362EAC">
      <w:pPr>
        <w:rPr>
          <w:rFonts w:ascii="Arial" w:hAnsi="Arial" w:eastAsia="Arial" w:cs="Arial"/>
          <w:sz w:val="22"/>
          <w:szCs w:val="22"/>
          <w:lang w:val="en-GB"/>
        </w:rPr>
      </w:pPr>
      <w:r>
        <w:rPr>
          <w:rFonts w:ascii="Arial" w:hAnsi="Arial" w:eastAsia="Arial" w:cs="Arial"/>
          <w:sz w:val="22"/>
          <w:szCs w:val="22"/>
          <w:lang w:val="en-GB"/>
        </w:rPr>
        <w:t xml:space="preserve">To stay competitive in a global market and establish a robust and flexible organisational culture, HSBC has implemented transformation methods.  HSBC needs new HR strategies to balance corporate transformation goals with workforce expectations in the evolving financial services market. HR approaches to digital technologies, flexible working arrangements, and organisational change must address employee challenges and support sustainable growth. Creative HR practices built on current concepts may help HSBC manage upheaval and improve resilience. Elugbaju </w:t>
      </w:r>
      <w:r>
        <w:rPr>
          <w:rFonts w:ascii="Arial" w:hAnsi="Arial" w:eastAsia="Arial" w:cs="Arial"/>
          <w:i/>
          <w:sz w:val="22"/>
          <w:szCs w:val="22"/>
          <w:lang w:val="en-GB"/>
        </w:rPr>
        <w:t>et al.</w:t>
      </w:r>
      <w:r>
        <w:rPr>
          <w:rFonts w:ascii="Arial" w:hAnsi="Arial" w:eastAsia="Arial" w:cs="Arial"/>
          <w:sz w:val="22"/>
          <w:szCs w:val="22"/>
          <w:lang w:val="en-GB"/>
        </w:rPr>
        <w:t xml:space="preserve"> (2024) recommend strategic workforce analytics and predictive modelling for HR to adapt to digital technology. HR departments at HSBC use HR analytics to predict attrition, identify skill shortages, and plan staff readiness as they invest in AI. </w:t>
      </w:r>
    </w:p>
    <w:p w14:paraId="63A93DE5">
      <w:pPr>
        <w:jc w:val="center"/>
        <w:rPr>
          <w:rFonts w:ascii="Arial" w:hAnsi="Arial" w:eastAsia="Arial" w:cs="Arial"/>
          <w:sz w:val="22"/>
          <w:szCs w:val="22"/>
          <w:lang w:val="en-GB"/>
        </w:rPr>
      </w:pPr>
      <w:r>
        <w:rPr>
          <w:sz w:val="22"/>
          <w:szCs w:val="22"/>
          <w:lang w:val="en-GB"/>
        </w:rPr>
        <w:drawing>
          <wp:inline distT="0" distB="0" distL="0" distR="0">
            <wp:extent cx="4431665" cy="2351405"/>
            <wp:effectExtent l="0" t="0" r="0" b="0"/>
            <wp:docPr id="1485234248" name="image2.jpg" descr="Succeed in HR Digital Transformation With Change Management"/>
            <wp:cNvGraphicFramePr/>
            <a:graphic xmlns:a="http://schemas.openxmlformats.org/drawingml/2006/main">
              <a:graphicData uri="http://schemas.openxmlformats.org/drawingml/2006/picture">
                <pic:pic xmlns:pic="http://schemas.openxmlformats.org/drawingml/2006/picture">
                  <pic:nvPicPr>
                    <pic:cNvPr id="1485234248" name="image2.jpg" descr="Succeed in HR Digital Transformation With Change Management"/>
                    <pic:cNvPicPr preferRelativeResize="0"/>
                  </pic:nvPicPr>
                  <pic:blipFill>
                    <a:blip r:embed="rId10"/>
                    <a:srcRect b="7009"/>
                    <a:stretch>
                      <a:fillRect/>
                    </a:stretch>
                  </pic:blipFill>
                  <pic:spPr>
                    <a:xfrm>
                      <a:off x="0" y="0"/>
                      <a:ext cx="4431944" cy="2351885"/>
                    </a:xfrm>
                    <a:prstGeom prst="rect">
                      <a:avLst/>
                    </a:prstGeom>
                  </pic:spPr>
                </pic:pic>
              </a:graphicData>
            </a:graphic>
          </wp:inline>
        </w:drawing>
      </w:r>
    </w:p>
    <w:p w14:paraId="6EB869FB">
      <w:pPr>
        <w:jc w:val="center"/>
        <w:rPr>
          <w:rFonts w:ascii="Arial" w:hAnsi="Arial" w:eastAsia="Arial" w:cs="Arial"/>
          <w:b/>
          <w:sz w:val="22"/>
          <w:szCs w:val="22"/>
          <w:lang w:val="en-GB"/>
        </w:rPr>
      </w:pPr>
      <w:r>
        <w:rPr>
          <w:rFonts w:ascii="Arial" w:hAnsi="Arial" w:eastAsia="Arial" w:cs="Arial"/>
          <w:b/>
          <w:sz w:val="22"/>
          <w:szCs w:val="22"/>
          <w:lang w:val="en-GB"/>
        </w:rPr>
        <w:t xml:space="preserve">Figure 2: Success of HR in digital transformation </w:t>
      </w:r>
    </w:p>
    <w:p w14:paraId="33C6C2B0">
      <w:pPr>
        <w:jc w:val="center"/>
        <w:rPr>
          <w:rFonts w:ascii="Arial" w:hAnsi="Arial" w:eastAsia="Arial" w:cs="Arial"/>
          <w:sz w:val="22"/>
          <w:szCs w:val="22"/>
          <w:lang w:val="en-GB"/>
        </w:rPr>
      </w:pPr>
      <w:r>
        <w:rPr>
          <w:rFonts w:ascii="Arial" w:hAnsi="Arial" w:eastAsia="Arial" w:cs="Arial"/>
          <w:sz w:val="22"/>
          <w:szCs w:val="22"/>
          <w:lang w:val="en-GB"/>
        </w:rPr>
        <w:t>(Source: Prosci, 2024)</w:t>
      </w:r>
    </w:p>
    <w:p w14:paraId="6B27A131">
      <w:pPr>
        <w:rPr>
          <w:rFonts w:ascii="Arial" w:hAnsi="Arial" w:eastAsia="Arial" w:cs="Arial"/>
          <w:sz w:val="22"/>
          <w:szCs w:val="22"/>
          <w:lang w:val="en-GB"/>
        </w:rPr>
      </w:pPr>
      <w:r>
        <w:rPr>
          <w:rFonts w:ascii="Arial" w:hAnsi="Arial" w:eastAsia="Arial" w:cs="Arial"/>
          <w:sz w:val="22"/>
          <w:szCs w:val="22"/>
          <w:lang w:val="en-GB"/>
        </w:rPr>
        <w:t>HR leaders may evolve from reactive to proactive personnel planning. John and Hajam (2024) discovered that predictive analytics can identify workers at risk of disengagement due to automation, enabling early career development. According to the Resource-Based View (RBV) of human capital, knowledge of workers and flexibility are competitive advantages. HSBC can transform relocation into professional advancement by improving digital literacy. Another development is digital talent marketplaces. AI-powered internal platforms match workers to short-term projects, jobs, and learning opportunities based on their skills and aspirations. By letting employees practice different jobs before redeployment, HSBC can react to swift technological changes. This strategy reduces digital transformation apprehension and increases career mobility transparency. HSBC may learn from talent marketplaces like Unilever and Schneider Electric, which have increased employee engagement and flexibility.</w:t>
      </w:r>
    </w:p>
    <w:p w14:paraId="6A5FCB09">
      <w:pPr>
        <w:rPr>
          <w:rFonts w:ascii="Arial" w:hAnsi="Arial" w:eastAsia="Arial" w:cs="Arial"/>
          <w:sz w:val="22"/>
          <w:szCs w:val="22"/>
          <w:lang w:val="en-GB"/>
        </w:rPr>
      </w:pPr>
      <w:r>
        <w:rPr>
          <w:rFonts w:ascii="Arial" w:hAnsi="Arial" w:eastAsia="Arial" w:cs="Arial"/>
          <w:sz w:val="22"/>
          <w:szCs w:val="22"/>
          <w:lang w:val="en-GB"/>
        </w:rPr>
        <w:t>Flexible work choices promote autonomy but need robust HR rules to minimise isolation and performance uncertainty. Modern methods formalise remote-first culture. Beyond hybrid scheduling, these programs integrate digital collaboration standards, virtual onboarding, and organised communication into everyday operations (Varshney, 2022). At HSBC, HR may utilise digital-first performance dialogues, remote feedback sessions that emphasise outcomes, cooperation, and well-being. Modern HR practitioners prioritise employee experience design, arranging digital and physical touchpoints to provide office-based and remote workers equal access, support, and recognition. Inclusion of remote workers in award ceremonies and innovation forums reduces injustice and fosters unity.</w:t>
      </w:r>
    </w:p>
    <w:p w14:paraId="77FD0A62">
      <w:pPr>
        <w:rPr>
          <w:rFonts w:ascii="Arial" w:hAnsi="Arial" w:eastAsia="Arial" w:cs="Arial"/>
          <w:sz w:val="22"/>
          <w:szCs w:val="22"/>
          <w:lang w:val="en-GB"/>
        </w:rPr>
      </w:pPr>
      <w:r>
        <w:rPr>
          <w:rFonts w:ascii="Arial" w:hAnsi="Arial" w:eastAsia="Arial" w:cs="Arial"/>
          <w:sz w:val="22"/>
          <w:szCs w:val="22"/>
          <w:lang w:val="en-GB"/>
        </w:rPr>
        <w:t xml:space="preserve">Integrating wellness ecosystems with HR requirements is flexible. Time management, mental health, and digital wellness ecosystems exist (Benis </w:t>
      </w:r>
      <w:r>
        <w:rPr>
          <w:rFonts w:ascii="Arial" w:hAnsi="Arial" w:eastAsia="Arial" w:cs="Arial"/>
          <w:i/>
          <w:sz w:val="22"/>
          <w:szCs w:val="22"/>
          <w:lang w:val="en-GB"/>
        </w:rPr>
        <w:t>et al</w:t>
      </w:r>
      <w:r>
        <w:rPr>
          <w:rFonts w:ascii="Arial" w:hAnsi="Arial" w:eastAsia="Arial" w:cs="Arial"/>
          <w:sz w:val="22"/>
          <w:szCs w:val="22"/>
          <w:lang w:val="en-GB"/>
        </w:rPr>
        <w:t xml:space="preserve">., 2021). Herzberg's Two-Factor Theory promotes cleanliness and recognition (Ybañez, 2024). Structured wellness frameworks and flexibility encourage long-term engagement. Organisational change requires modifications in HR methods; therefore, the current reorganisation includes employee participation platforms. Staff can ask questions, share ideas, and get real-time leadership updates via various platforms. HR creates two-way communication channels to minimise employee alienation during downsizing or redeployment. </w:t>
      </w:r>
    </w:p>
    <w:p w14:paraId="418443F1">
      <w:pPr>
        <w:rPr>
          <w:rFonts w:ascii="Arial" w:hAnsi="Arial" w:eastAsia="Arial" w:cs="Arial"/>
          <w:sz w:val="22"/>
          <w:szCs w:val="22"/>
          <w:lang w:val="en-GB"/>
        </w:rPr>
      </w:pPr>
      <w:r>
        <w:rPr>
          <w:rFonts w:ascii="Arial" w:hAnsi="Arial" w:eastAsia="Arial" w:cs="Arial"/>
          <w:sz w:val="22"/>
          <w:szCs w:val="22"/>
          <w:lang w:val="en-GB"/>
        </w:rPr>
        <w:t>HR may provide career transition assistance for restructured employees (Johnstone, 2023). Beyond redundancy payouts, these companies provide reskilling boot camps, online courses, and employer networking. Offering London employees specific job transfer help may lessen dissatisfaction and improve HSBC's employer image in Asia. This proactive tactic shows the unwritten care and reciprocity of the organisation, especially in difficult times, supporting psychological contract theory. The development of leaders affects company change. HR prioritises empathy, flexibility, and multicultural competency in inclusive leadership. Globally varied HSBC employees need leaders who can transcend cultural gaps and give psychological comfort. If younger workers advise senior managers on digital and cultural developments, reverse mentoring may increase leadership humility and adaptation. This method demonstrates a desire to grow with their leaders and teams, improving management and employee trust throughout the transition.</w:t>
      </w:r>
    </w:p>
    <w:p w14:paraId="0A2F5596">
      <w:pPr>
        <w:pStyle w:val="2"/>
        <w:rPr>
          <w:rFonts w:ascii="Arial" w:hAnsi="Arial" w:eastAsia="Arial" w:cs="Arial"/>
          <w:sz w:val="22"/>
          <w:szCs w:val="22"/>
          <w:lang w:val="en-GB"/>
        </w:rPr>
      </w:pPr>
      <w:bookmarkStart w:id="4" w:name="_heading=h.46jl861y62n4" w:colFirst="0" w:colLast="0"/>
      <w:bookmarkEnd w:id="4"/>
      <w:r>
        <w:rPr>
          <w:rFonts w:ascii="Arial" w:hAnsi="Arial" w:eastAsia="Arial" w:cs="Arial"/>
          <w:sz w:val="22"/>
          <w:szCs w:val="22"/>
          <w:lang w:val="en-GB"/>
        </w:rPr>
        <w:t>Role of Departmental Managers in Implementing Contemporary HR Practices</w:t>
      </w:r>
    </w:p>
    <w:p w14:paraId="54F31795">
      <w:pPr>
        <w:rPr>
          <w:rFonts w:ascii="Arial" w:hAnsi="Arial" w:eastAsia="Arial" w:cs="Arial"/>
          <w:sz w:val="22"/>
          <w:szCs w:val="22"/>
          <w:lang w:val="en-GB"/>
        </w:rPr>
      </w:pPr>
      <w:r>
        <w:rPr>
          <w:rFonts w:ascii="Arial" w:hAnsi="Arial" w:eastAsia="Arial" w:cs="Arial"/>
          <w:sz w:val="22"/>
          <w:szCs w:val="22"/>
          <w:lang w:val="en-GB"/>
        </w:rPr>
        <w:t xml:space="preserve">Departmental managers must adopt contemporary HR practices throughout HSBC, not simply the central HR unit. During rapid company changes, these managers are the key link between strategy and employee experience. Without assistance, even the most innovative HR frameworks are aspirational. Poljašević </w:t>
      </w:r>
      <w:r>
        <w:rPr>
          <w:rFonts w:ascii="Arial" w:hAnsi="Arial" w:eastAsia="Arial" w:cs="Arial"/>
          <w:i/>
          <w:sz w:val="22"/>
          <w:szCs w:val="22"/>
          <w:lang w:val="en-GB"/>
        </w:rPr>
        <w:t>et al.</w:t>
      </w:r>
      <w:r>
        <w:rPr>
          <w:rFonts w:ascii="Arial" w:hAnsi="Arial" w:eastAsia="Arial" w:cs="Arial"/>
          <w:sz w:val="22"/>
          <w:szCs w:val="22"/>
          <w:lang w:val="en-GB"/>
        </w:rPr>
        <w:t xml:space="preserve"> (2025) found that managers must be urgent and responsible to prevent bureaucratic slowness and cultural resistance from hindering digital technology, flexible work, and organisational transformation. Managers should align HR transformation with departmental objectives. Leaders must swiftly integrate predictive analytics findings into personnel planning if HR has identified talent shortages. This requires rethinking employment standards, emphasising digital skills, and actively allocating staff to reskilling programs. Managers must prioritise training for individual and departmental performance. Team meetings and data-driven performance evaluations help managers integrate HR practices into daily operations.</w:t>
      </w:r>
    </w:p>
    <w:p w14:paraId="0CDCA2E6">
      <w:pPr>
        <w:rPr>
          <w:rFonts w:ascii="Arial" w:hAnsi="Arial" w:eastAsia="Arial" w:cs="Arial"/>
          <w:sz w:val="22"/>
          <w:szCs w:val="22"/>
          <w:lang w:val="en-GB"/>
        </w:rPr>
      </w:pPr>
      <w:r>
        <w:rPr>
          <w:rFonts w:ascii="Arial" w:hAnsi="Arial" w:eastAsia="Arial" w:cs="Arial"/>
          <w:sz w:val="22"/>
          <w:szCs w:val="22"/>
          <w:lang w:val="en-GB"/>
        </w:rPr>
        <w:t xml:space="preserve">Department heads are well-suited to adopt flexible work arrangements. HR builds hybrid scheduling systems, but managers implement them equitably. Clarifying team coordination, availability, and accountability standards may help managers react swiftly to uncertainty. Team anchor days and digital check-ins may be introduced without central approval (Barber </w:t>
      </w:r>
      <w:r>
        <w:rPr>
          <w:rFonts w:ascii="Arial" w:hAnsi="Arial" w:eastAsia="Arial" w:cs="Arial"/>
          <w:i/>
          <w:sz w:val="22"/>
          <w:szCs w:val="22"/>
          <w:lang w:val="en-GB"/>
        </w:rPr>
        <w:t>et al.,</w:t>
      </w:r>
      <w:r>
        <w:rPr>
          <w:rFonts w:ascii="Arial" w:hAnsi="Arial" w:eastAsia="Arial" w:cs="Arial"/>
          <w:sz w:val="22"/>
          <w:szCs w:val="22"/>
          <w:lang w:val="en-GB"/>
        </w:rPr>
        <w:t xml:space="preserve"> 2023). Flexible, productive managers provide clear expectations for personnel as role models. Failing to adjust or follow attendance measures slows change. Managers are cultural ambassadors and decide whether flexible work empowers or inhibits staff. Another priority is employee communication. When workers regard current HR practices as business jargon or poorly explained, they fail. Department managers might prevent such blunders by contextualising new processes for personnel. Buick </w:t>
      </w:r>
      <w:r>
        <w:rPr>
          <w:rFonts w:ascii="Arial" w:hAnsi="Arial" w:eastAsia="Arial" w:cs="Arial"/>
          <w:i/>
          <w:sz w:val="22"/>
          <w:szCs w:val="22"/>
          <w:lang w:val="en-GB"/>
        </w:rPr>
        <w:t xml:space="preserve">et al. </w:t>
      </w:r>
      <w:r>
        <w:rPr>
          <w:rFonts w:ascii="Arial" w:hAnsi="Arial" w:eastAsia="Arial" w:cs="Arial"/>
          <w:sz w:val="22"/>
          <w:szCs w:val="22"/>
          <w:lang w:val="en-GB"/>
        </w:rPr>
        <w:t>(2024) found that managers should actively encourage flexible work wellness activities, explain their importance to workload management, and monitor adoption. Translating HR policy to employee issues reduces confusion and improves adoption. Weekly check-ins or digital surveys may help managers see resistance before it becomes a complaint.</w:t>
      </w:r>
    </w:p>
    <w:p w14:paraId="0761F706">
      <w:pPr>
        <w:rPr>
          <w:rFonts w:ascii="Arial" w:hAnsi="Arial" w:eastAsia="Arial" w:cs="Arial"/>
          <w:sz w:val="22"/>
          <w:szCs w:val="22"/>
          <w:lang w:val="en-GB"/>
        </w:rPr>
      </w:pPr>
      <w:r>
        <w:rPr>
          <w:rFonts w:ascii="Arial" w:hAnsi="Arial" w:eastAsia="Arial" w:cs="Arial"/>
          <w:sz w:val="22"/>
          <w:szCs w:val="22"/>
          <w:lang w:val="en-GB"/>
        </w:rPr>
        <w:t xml:space="preserve">Management intervention matters more in organisational change. When redeployed or laid off, workers feel uneasy, which may harm departmental performance. Coetzer </w:t>
      </w:r>
      <w:r>
        <w:rPr>
          <w:rFonts w:ascii="Arial" w:hAnsi="Arial" w:eastAsia="Arial" w:cs="Arial"/>
          <w:i/>
          <w:sz w:val="22"/>
          <w:szCs w:val="22"/>
          <w:lang w:val="en-GB"/>
        </w:rPr>
        <w:t>et al.</w:t>
      </w:r>
      <w:r>
        <w:rPr>
          <w:rFonts w:ascii="Arial" w:hAnsi="Arial" w:eastAsia="Arial" w:cs="Arial"/>
          <w:sz w:val="22"/>
          <w:szCs w:val="22"/>
          <w:lang w:val="en-GB"/>
        </w:rPr>
        <w:t xml:space="preserve"> (2019) argued that managers must thoroughly evaluate their role as career transition facilitators versus headcount receivers. They may quickly adopt career counselling or digital talent marketplaces by directly suggesting affected personnel, mentoring, and lowering procedural barriers. Urgency shows care and responsibility, sustaining leadership credibility in challenging situations. Departmental managers must avoid superficial HR processes. Launching digital talent platforms quickly should not lead to tick-box compliance. Managers must assess if these technologies link individuals with relevant opportunities and act when algorithms neglect contextual assets (Jarrahi </w:t>
      </w:r>
      <w:r>
        <w:rPr>
          <w:rFonts w:ascii="Arial" w:hAnsi="Arial" w:eastAsia="Arial" w:cs="Arial"/>
          <w:i/>
          <w:sz w:val="22"/>
          <w:szCs w:val="22"/>
          <w:lang w:val="en-GB"/>
        </w:rPr>
        <w:t>et al</w:t>
      </w:r>
      <w:r>
        <w:rPr>
          <w:rFonts w:ascii="Arial" w:hAnsi="Arial" w:eastAsia="Arial" w:cs="Arial"/>
          <w:sz w:val="22"/>
          <w:szCs w:val="22"/>
          <w:lang w:val="en-GB"/>
        </w:rPr>
        <w:t>., 2021). Urgency requires managers to monitor work allocation and avoid overusing digital technologies to hide organisational stress in wellness ecosystems. Managers can think quickly and critically, unlike compliance enforcers.</w:t>
      </w:r>
    </w:p>
    <w:p w14:paraId="544E4DC3">
      <w:pPr>
        <w:rPr>
          <w:rFonts w:ascii="Arial" w:hAnsi="Arial" w:eastAsia="Arial" w:cs="Arial"/>
          <w:sz w:val="22"/>
          <w:szCs w:val="22"/>
          <w:lang w:val="en-GB"/>
        </w:rPr>
      </w:pPr>
      <w:bookmarkStart w:id="5" w:name="_heading=h.v4xina6eimt3" w:colFirst="0" w:colLast="0"/>
      <w:bookmarkEnd w:id="5"/>
      <w:r>
        <w:rPr>
          <w:rFonts w:ascii="Arial" w:hAnsi="Arial" w:eastAsia="Arial" w:cs="Arial"/>
          <w:sz w:val="22"/>
          <w:szCs w:val="22"/>
          <w:lang w:val="en-GB"/>
        </w:rPr>
        <w:t>The unfreeze–change–refreeze paradigm in Lewin's Change Management Theory may explain departmental managers. Managers unfreeze attitudes and see the need for swift adjustment in crucial implementation scenarios. They integrate contemporary HR practices into team routines and give clarity and assistance throughout the change period. Managers refreeze these techniques into performance management, recognition systems, and departmental culture to preserve them beyond initial enthusiasm. Urgency may induce temporary compliance but not lasting change without management involvement in all three stages. The urgent limitations of managers also must be evaluated. Insufficient autonomy, performance standards, and training may impede adoption (Jang and Kim, 2025). Departmental managers may appreciate health but lack financial or diplomatic abilities. To address such challenges, HSBC must empower managers, give them HR skills, and hold them responsible.</w:t>
      </w:r>
    </w:p>
    <w:p w14:paraId="5B0A0E9A">
      <w:pPr>
        <w:pStyle w:val="2"/>
        <w:rPr>
          <w:rFonts w:ascii="Arial" w:hAnsi="Arial" w:eastAsia="Arial" w:cs="Arial"/>
          <w:sz w:val="22"/>
          <w:szCs w:val="22"/>
          <w:lang w:val="en-GB"/>
        </w:rPr>
      </w:pPr>
      <w:r>
        <w:rPr>
          <w:rFonts w:ascii="Arial" w:hAnsi="Arial" w:eastAsia="Arial" w:cs="Arial"/>
          <w:sz w:val="22"/>
          <w:szCs w:val="22"/>
          <w:lang w:val="en-GB"/>
        </w:rPr>
        <w:t xml:space="preserve">Conclusion and Recommendations </w:t>
      </w:r>
    </w:p>
    <w:p w14:paraId="2BDEFED7">
      <w:pPr>
        <w:rPr>
          <w:rFonts w:ascii="Arial" w:hAnsi="Arial" w:eastAsia="Arial" w:cs="Arial"/>
          <w:sz w:val="22"/>
          <w:szCs w:val="22"/>
          <w:lang w:val="en-GB"/>
        </w:rPr>
      </w:pPr>
      <w:r>
        <w:rPr>
          <w:rFonts w:ascii="Arial" w:hAnsi="Arial" w:eastAsia="Arial" w:cs="Arial"/>
          <w:sz w:val="22"/>
          <w:szCs w:val="22"/>
          <w:lang w:val="en-GB"/>
        </w:rPr>
        <w:t>To combat technological disruption and change worker expectations based on HR practices, HSBC must act now. In departmental planning, workforce analytics helps managers predict attrition, personnel shortages, and engagement concerns. Use predictive data to quickly provide reskilling or targeted mentorship, decreasing grievance escalation. Digital talent markets and job transition services help workers adapt to automation and change careers. Open platforms enable individuals to construct their own careers, fostering confidence in uncertain times. Flexibility and accountability must be balanced in a remote-first society. To minimise burnout, leaders must communicate, appreciate remote and office workers, and encourage wellness ecosystems. Inclusive managers may promote flexible work to boost productivity. One should use participatory communication throughout restructuring. By enabling employees to voice issues, get real-time information, and interact with leadership, it is important to increase transparency and prevent separation. Finally, HSBC must teach managers empathy, coaching, and adaptability to promote psychological safety via inclusive leadership. Inclusive leaders build cultures by creating HR practices that empower.</w:t>
      </w:r>
    </w:p>
    <w:p w14:paraId="24E3503B">
      <w:pPr>
        <w:rPr>
          <w:rFonts w:ascii="Arial" w:hAnsi="Arial" w:eastAsia="Arial" w:cs="Arial"/>
          <w:sz w:val="22"/>
          <w:szCs w:val="22"/>
          <w:lang w:val="en-GB"/>
        </w:rPr>
      </w:pPr>
    </w:p>
    <w:p w14:paraId="3F899DE8">
      <w:pPr>
        <w:rPr>
          <w:rFonts w:ascii="Arial" w:hAnsi="Arial" w:eastAsia="Arial" w:cs="Arial"/>
          <w:b/>
          <w:sz w:val="22"/>
          <w:szCs w:val="22"/>
          <w:lang w:val="en-GB"/>
        </w:rPr>
      </w:pPr>
      <w:bookmarkStart w:id="6" w:name="_heading=h.crzg7vwuy5oi" w:colFirst="0" w:colLast="0"/>
      <w:bookmarkEnd w:id="6"/>
      <w:r>
        <w:rPr>
          <w:sz w:val="22"/>
          <w:szCs w:val="22"/>
          <w:lang w:val="en-GB"/>
        </w:rPr>
        <w:br w:type="page"/>
      </w:r>
    </w:p>
    <w:p w14:paraId="1D7BA925">
      <w:pPr>
        <w:pStyle w:val="2"/>
        <w:rPr>
          <w:rFonts w:ascii="Arial" w:hAnsi="Arial" w:eastAsia="Arial" w:cs="Arial"/>
          <w:sz w:val="22"/>
          <w:szCs w:val="22"/>
          <w:lang w:val="en-GB"/>
        </w:rPr>
      </w:pPr>
      <w:r>
        <w:rPr>
          <w:rFonts w:ascii="Arial" w:hAnsi="Arial" w:eastAsia="Arial" w:cs="Arial"/>
          <w:sz w:val="22"/>
          <w:szCs w:val="22"/>
          <w:lang w:val="en-GB"/>
        </w:rPr>
        <w:t xml:space="preserve">References </w:t>
      </w:r>
    </w:p>
    <w:p w14:paraId="2C14BE71">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Barber, L.K., Kuykendall, L.E. and Santuzzi, A.M. (2023) ‘How managers can reduce ‘always on’ work stress in teams: An optimal work availability framework.’ </w:t>
      </w:r>
      <w:r>
        <w:rPr>
          <w:rFonts w:ascii="Arial" w:hAnsi="Arial" w:eastAsia="Arial" w:cs="Arial"/>
          <w:i/>
          <w:sz w:val="22"/>
          <w:szCs w:val="22"/>
          <w:lang w:val="en-GB"/>
        </w:rPr>
        <w:t>Organizational Dynamics</w:t>
      </w:r>
      <w:r>
        <w:rPr>
          <w:rFonts w:ascii="Arial" w:hAnsi="Arial" w:eastAsia="Arial" w:cs="Arial"/>
          <w:sz w:val="22"/>
          <w:szCs w:val="22"/>
          <w:lang w:val="en-GB"/>
        </w:rPr>
        <w:t xml:space="preserve">, 52(3), p.100992. </w:t>
      </w:r>
    </w:p>
    <w:p w14:paraId="32DAD243">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Benis, A., Tamburis, O., Chronaki, C. and Moen, A. (2021) ‘One Digital Health: A Unified Framework for Future Health Ecosystems.’ </w:t>
      </w:r>
      <w:r>
        <w:rPr>
          <w:rFonts w:ascii="Arial" w:hAnsi="Arial" w:eastAsia="Arial" w:cs="Arial"/>
          <w:i/>
          <w:sz w:val="22"/>
          <w:szCs w:val="22"/>
          <w:lang w:val="en-GB"/>
        </w:rPr>
        <w:t>Journal of Medical Internet Research</w:t>
      </w:r>
      <w:r>
        <w:rPr>
          <w:rFonts w:ascii="Arial" w:hAnsi="Arial" w:eastAsia="Arial" w:cs="Arial"/>
          <w:sz w:val="22"/>
          <w:szCs w:val="22"/>
          <w:lang w:val="en-GB"/>
        </w:rPr>
        <w:t xml:space="preserve">, 23(2), p.e22189. </w:t>
      </w:r>
    </w:p>
    <w:p w14:paraId="0FC12CAF">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Buick, F., Blackman, D.A., Glennie, M., Weeratunga, V. and O’Donnell, M.E. (2024) ‘Different Approaches to Managerial Support for Flexible Working: Implications for Public Sector Employee Well-Being.’ </w:t>
      </w:r>
      <w:r>
        <w:rPr>
          <w:rFonts w:ascii="Arial" w:hAnsi="Arial" w:eastAsia="Arial" w:cs="Arial"/>
          <w:i/>
          <w:sz w:val="22"/>
          <w:szCs w:val="22"/>
          <w:lang w:val="en-GB"/>
        </w:rPr>
        <w:t>Public Personnel Management</w:t>
      </w:r>
      <w:r>
        <w:rPr>
          <w:rFonts w:ascii="Arial" w:hAnsi="Arial" w:eastAsia="Arial" w:cs="Arial"/>
          <w:sz w:val="22"/>
          <w:szCs w:val="22"/>
          <w:lang w:val="en-GB"/>
        </w:rPr>
        <w:t xml:space="preserve">, 53(3). </w:t>
      </w:r>
    </w:p>
    <w:p w14:paraId="00DBEEF9">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Coetzer, A., Wallo, A. and Kock, H. (2019) ‘The owner-manager’s role as a facilitator of informal learning in small businesses.’ </w:t>
      </w:r>
      <w:r>
        <w:rPr>
          <w:rFonts w:ascii="Arial" w:hAnsi="Arial" w:eastAsia="Arial" w:cs="Arial"/>
          <w:i/>
          <w:sz w:val="22"/>
          <w:szCs w:val="22"/>
          <w:lang w:val="en-GB"/>
        </w:rPr>
        <w:t>Human Resource Development International</w:t>
      </w:r>
      <w:r>
        <w:rPr>
          <w:rFonts w:ascii="Arial" w:hAnsi="Arial" w:eastAsia="Arial" w:cs="Arial"/>
          <w:sz w:val="22"/>
          <w:szCs w:val="22"/>
          <w:lang w:val="en-GB"/>
        </w:rPr>
        <w:t xml:space="preserve">, 22(5), pp.420–452. </w:t>
      </w:r>
    </w:p>
    <w:p w14:paraId="106B7F2E">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Cruise, S. (2025). HSBC plans biggest investment banking retrenchment in decades. </w:t>
      </w:r>
      <w:r>
        <w:rPr>
          <w:rFonts w:ascii="Arial" w:hAnsi="Arial" w:eastAsia="Arial" w:cs="Arial"/>
          <w:i/>
          <w:sz w:val="22"/>
          <w:szCs w:val="22"/>
          <w:lang w:val="en-GB"/>
        </w:rPr>
        <w:t>Reuters</w:t>
      </w:r>
      <w:r>
        <w:rPr>
          <w:rFonts w:ascii="Arial" w:hAnsi="Arial" w:eastAsia="Arial" w:cs="Arial"/>
          <w:sz w:val="22"/>
          <w:szCs w:val="22"/>
          <w:lang w:val="en-GB"/>
        </w:rPr>
        <w:t xml:space="preserve">. [online] 28 Jan. Available at: </w:t>
      </w:r>
      <w:r>
        <w:fldChar w:fldCharType="begin"/>
      </w:r>
      <w:r>
        <w:instrText xml:space="preserve"> HYPERLINK "https://www.reuters.com/business/finance/hsbc-wind-down-ma-ecm-capabilities-europe-uk-americas-memo-shows-2025-01-28/" \h </w:instrText>
      </w:r>
      <w:r>
        <w:fldChar w:fldCharType="separate"/>
      </w:r>
      <w:r>
        <w:rPr>
          <w:rFonts w:ascii="Arial" w:hAnsi="Arial" w:eastAsia="Arial" w:cs="Arial"/>
          <w:color w:val="1155CC"/>
          <w:sz w:val="22"/>
          <w:szCs w:val="22"/>
          <w:u w:val="single"/>
          <w:lang w:val="en-GB"/>
        </w:rPr>
        <w:t>https://www.reuters.com/business/finance/hsbc-wind-down-ma-ecm-capabilities-europe-uk-americas-memo-shows-2025-01-28/</w:t>
      </w:r>
      <w:r>
        <w:rPr>
          <w:rFonts w:ascii="Arial" w:hAnsi="Arial" w:eastAsia="Arial" w:cs="Arial"/>
          <w:color w:val="1155CC"/>
          <w:sz w:val="22"/>
          <w:szCs w:val="22"/>
          <w:u w:val="single"/>
          <w:lang w:val="en-GB"/>
        </w:rPr>
        <w:fldChar w:fldCharType="end"/>
      </w:r>
      <w:r>
        <w:rPr>
          <w:rFonts w:ascii="Arial" w:hAnsi="Arial" w:eastAsia="Arial" w:cs="Arial"/>
          <w:sz w:val="22"/>
          <w:szCs w:val="22"/>
          <w:lang w:val="en-GB"/>
        </w:rPr>
        <w:t>. [Accessed on 20 Sept. 2025]</w:t>
      </w:r>
    </w:p>
    <w:p w14:paraId="06FACE73">
      <w:pPr>
        <w:spacing w:before="240"/>
        <w:jc w:val="left"/>
        <w:rPr>
          <w:rFonts w:ascii="Arial" w:hAnsi="Arial" w:eastAsia="Arial" w:cs="Arial"/>
          <w:color w:val="222222"/>
          <w:sz w:val="22"/>
          <w:szCs w:val="22"/>
          <w:lang w:val="en-GB"/>
        </w:rPr>
      </w:pPr>
      <w:r>
        <w:rPr>
          <w:rFonts w:ascii="Arial" w:hAnsi="Arial" w:eastAsia="Arial" w:cs="Arial"/>
          <w:color w:val="222222"/>
          <w:sz w:val="22"/>
          <w:szCs w:val="22"/>
          <w:highlight w:val="white"/>
          <w:lang w:val="en-GB"/>
        </w:rPr>
        <w:t xml:space="preserve">Elugbaju, W.K., Okeke, N.I. and Alabi, O.A., (2024). ‘Human resource analytics as a strategic tool for workforce planning and succession management.’ </w:t>
      </w:r>
      <w:r>
        <w:rPr>
          <w:rFonts w:ascii="Arial" w:hAnsi="Arial" w:eastAsia="Arial" w:cs="Arial"/>
          <w:i/>
          <w:color w:val="222222"/>
          <w:sz w:val="22"/>
          <w:szCs w:val="22"/>
          <w:highlight w:val="white"/>
          <w:lang w:val="en-GB"/>
        </w:rPr>
        <w:t>International Journal of Engineering Research and Development</w:t>
      </w:r>
      <w:r>
        <w:rPr>
          <w:rFonts w:ascii="Arial" w:hAnsi="Arial" w:eastAsia="Arial" w:cs="Arial"/>
          <w:color w:val="222222"/>
          <w:sz w:val="22"/>
          <w:szCs w:val="22"/>
          <w:highlight w:val="white"/>
          <w:lang w:val="en-GB"/>
        </w:rPr>
        <w:t xml:space="preserve">, </w:t>
      </w:r>
      <w:r>
        <w:rPr>
          <w:rFonts w:ascii="Arial" w:hAnsi="Arial" w:eastAsia="Arial" w:cs="Arial"/>
          <w:i/>
          <w:color w:val="222222"/>
          <w:sz w:val="22"/>
          <w:szCs w:val="22"/>
          <w:highlight w:val="white"/>
          <w:lang w:val="en-GB"/>
        </w:rPr>
        <w:t>20</w:t>
      </w:r>
      <w:r>
        <w:rPr>
          <w:rFonts w:ascii="Arial" w:hAnsi="Arial" w:eastAsia="Arial" w:cs="Arial"/>
          <w:color w:val="222222"/>
          <w:sz w:val="22"/>
          <w:szCs w:val="22"/>
          <w:highlight w:val="white"/>
          <w:lang w:val="en-GB"/>
        </w:rPr>
        <w:t>(11), pp.744-756.</w:t>
      </w:r>
    </w:p>
    <w:p w14:paraId="5ECEBC5F">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HSBC (2024). </w:t>
      </w:r>
      <w:r>
        <w:rPr>
          <w:rFonts w:ascii="Arial" w:hAnsi="Arial" w:eastAsia="Arial" w:cs="Arial"/>
          <w:i/>
          <w:sz w:val="22"/>
          <w:szCs w:val="22"/>
          <w:lang w:val="en-GB"/>
        </w:rPr>
        <w:t>HSBC Business Go</w:t>
      </w:r>
      <w:r>
        <w:rPr>
          <w:rFonts w:ascii="Arial" w:hAnsi="Arial" w:eastAsia="Arial" w:cs="Arial"/>
          <w:sz w:val="22"/>
          <w:szCs w:val="22"/>
          <w:lang w:val="en-GB"/>
        </w:rPr>
        <w:t xml:space="preserve">. [online] Hsbc.com. Available at: </w:t>
      </w:r>
      <w:r>
        <w:fldChar w:fldCharType="begin"/>
      </w:r>
      <w:r>
        <w:instrText xml:space="preserve"> HYPERLINK "https://www.businessgo.hsbc.com/article/a-full-guide-to-hybrid-work-what-is-hybrid-work-model-and-why-it-is-important" \h </w:instrText>
      </w:r>
      <w:r>
        <w:fldChar w:fldCharType="separate"/>
      </w:r>
      <w:r>
        <w:rPr>
          <w:rFonts w:ascii="Arial" w:hAnsi="Arial" w:eastAsia="Arial" w:cs="Arial"/>
          <w:color w:val="1155CC"/>
          <w:sz w:val="22"/>
          <w:szCs w:val="22"/>
          <w:u w:val="single"/>
          <w:lang w:val="en-GB"/>
        </w:rPr>
        <w:t>https://www.businessgo.hsbc.com/article/a-full-guide-to-hybrid-work-what-is-hybrid-work-model-and-why-it-is-important</w:t>
      </w:r>
      <w:r>
        <w:rPr>
          <w:rFonts w:ascii="Arial" w:hAnsi="Arial" w:eastAsia="Arial" w:cs="Arial"/>
          <w:color w:val="1155CC"/>
          <w:sz w:val="22"/>
          <w:szCs w:val="22"/>
          <w:u w:val="single"/>
          <w:lang w:val="en-GB"/>
        </w:rPr>
        <w:fldChar w:fldCharType="end"/>
      </w:r>
      <w:r>
        <w:rPr>
          <w:rFonts w:ascii="Arial" w:hAnsi="Arial" w:eastAsia="Arial" w:cs="Arial"/>
          <w:sz w:val="22"/>
          <w:szCs w:val="22"/>
          <w:lang w:val="en-GB"/>
        </w:rPr>
        <w:t>. [Accessed on 23 Sept. 2025]</w:t>
      </w:r>
    </w:p>
    <w:p w14:paraId="3C1D7F9C">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HSBC (2025). </w:t>
      </w:r>
      <w:r>
        <w:rPr>
          <w:rFonts w:ascii="Arial" w:hAnsi="Arial" w:eastAsia="Arial" w:cs="Arial"/>
          <w:i/>
          <w:sz w:val="22"/>
          <w:szCs w:val="22"/>
          <w:lang w:val="en-GB"/>
        </w:rPr>
        <w:t>Balance for better</w:t>
      </w:r>
      <w:r>
        <w:rPr>
          <w:rFonts w:ascii="Arial" w:hAnsi="Arial" w:eastAsia="Arial" w:cs="Arial"/>
          <w:sz w:val="22"/>
          <w:szCs w:val="22"/>
          <w:lang w:val="en-GB"/>
        </w:rPr>
        <w:t xml:space="preserve">. [online] HSBC. Available at: </w:t>
      </w:r>
      <w:r>
        <w:fldChar w:fldCharType="begin"/>
      </w:r>
      <w:r>
        <w:instrText xml:space="preserve"> HYPERLINK "https://www.hsbc.com/" \h </w:instrText>
      </w:r>
      <w:r>
        <w:fldChar w:fldCharType="separate"/>
      </w:r>
      <w:r>
        <w:rPr>
          <w:rFonts w:ascii="Arial" w:hAnsi="Arial" w:eastAsia="Arial" w:cs="Arial"/>
          <w:color w:val="0000FF"/>
          <w:sz w:val="22"/>
          <w:szCs w:val="22"/>
          <w:u w:val="single"/>
          <w:lang w:val="en-GB"/>
        </w:rPr>
        <w:t>https://www.hsbc.com/</w:t>
      </w:r>
      <w:r>
        <w:rPr>
          <w:rFonts w:ascii="Arial" w:hAnsi="Arial" w:eastAsia="Arial" w:cs="Arial"/>
          <w:color w:val="0000FF"/>
          <w:sz w:val="22"/>
          <w:szCs w:val="22"/>
          <w:u w:val="single"/>
          <w:lang w:val="en-GB"/>
        </w:rPr>
        <w:fldChar w:fldCharType="end"/>
      </w:r>
      <w:r>
        <w:rPr>
          <w:rFonts w:ascii="Arial" w:hAnsi="Arial" w:eastAsia="Arial" w:cs="Arial"/>
          <w:sz w:val="22"/>
          <w:szCs w:val="22"/>
          <w:lang w:val="en-GB"/>
        </w:rPr>
        <w:t>.  [Accessed on 20 Sept. 2025]</w:t>
      </w:r>
    </w:p>
    <w:p w14:paraId="52B565D4">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Jang, E. and Kim, Y.C. (2025) ‘Autonomy Constrained: The Dynamic Interplay Among Job Autonomy, Work Engagement, and Innovative Behavior Under Performance Pressure.’ </w:t>
      </w:r>
      <w:r>
        <w:rPr>
          <w:rFonts w:ascii="Arial" w:hAnsi="Arial" w:eastAsia="Arial" w:cs="Arial"/>
          <w:i/>
          <w:sz w:val="22"/>
          <w:szCs w:val="22"/>
          <w:lang w:val="en-GB"/>
        </w:rPr>
        <w:t>Administrative Sciences</w:t>
      </w:r>
      <w:r>
        <w:rPr>
          <w:rFonts w:ascii="Arial" w:hAnsi="Arial" w:eastAsia="Arial" w:cs="Arial"/>
          <w:sz w:val="22"/>
          <w:szCs w:val="22"/>
          <w:lang w:val="en-GB"/>
        </w:rPr>
        <w:t xml:space="preserve">, 15(3), pp.97–97. </w:t>
      </w:r>
    </w:p>
    <w:p w14:paraId="14104DE9">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Jarrahi, M.H., Newlands, G., Lee, M.K., Wolf, C.T., Kinder, E. and Sutherland, W. (2021) ‘Algorithmic management in a work context.’ </w:t>
      </w:r>
      <w:r>
        <w:rPr>
          <w:rFonts w:ascii="Arial" w:hAnsi="Arial" w:eastAsia="Arial" w:cs="Arial"/>
          <w:i/>
          <w:sz w:val="22"/>
          <w:szCs w:val="22"/>
          <w:lang w:val="en-GB"/>
        </w:rPr>
        <w:t>Big Data &amp; Society</w:t>
      </w:r>
      <w:r>
        <w:rPr>
          <w:rFonts w:ascii="Arial" w:hAnsi="Arial" w:eastAsia="Arial" w:cs="Arial"/>
          <w:sz w:val="22"/>
          <w:szCs w:val="22"/>
          <w:lang w:val="en-GB"/>
        </w:rPr>
        <w:t xml:space="preserve">, 8(2). </w:t>
      </w:r>
    </w:p>
    <w:p w14:paraId="50899998">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John, A.S. and Hajam, A.A. (2024) ‘Leveraging Predictive Analytics for Enhancing Employee Engagement and Optimizing Workforce Planning: A Data-Driven HR Management Approach.’ </w:t>
      </w:r>
      <w:r>
        <w:rPr>
          <w:rFonts w:ascii="Arial" w:hAnsi="Arial" w:eastAsia="Arial" w:cs="Arial"/>
          <w:i/>
          <w:sz w:val="22"/>
          <w:szCs w:val="22"/>
          <w:lang w:val="en-GB"/>
        </w:rPr>
        <w:t>International Journal of Innovation in Management, Economics and Social Sciences</w:t>
      </w:r>
      <w:r>
        <w:rPr>
          <w:rFonts w:ascii="Arial" w:hAnsi="Arial" w:eastAsia="Arial" w:cs="Arial"/>
          <w:sz w:val="22"/>
          <w:szCs w:val="22"/>
          <w:lang w:val="en-GB"/>
        </w:rPr>
        <w:t xml:space="preserve">, 4(4), pp.33–41. </w:t>
      </w:r>
    </w:p>
    <w:p w14:paraId="49D62DAA">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Johnstone, S. (2023) ‘Human resource management in recession: Restructuring and alternatives to downsizing in times of crisis.’ </w:t>
      </w:r>
      <w:r>
        <w:rPr>
          <w:rFonts w:ascii="Arial" w:hAnsi="Arial" w:eastAsia="Arial" w:cs="Arial"/>
          <w:i/>
          <w:sz w:val="22"/>
          <w:szCs w:val="22"/>
          <w:lang w:val="en-GB"/>
        </w:rPr>
        <w:t>Human Resource Management Journal</w:t>
      </w:r>
      <w:r>
        <w:rPr>
          <w:rFonts w:ascii="Arial" w:hAnsi="Arial" w:eastAsia="Arial" w:cs="Arial"/>
          <w:sz w:val="22"/>
          <w:szCs w:val="22"/>
          <w:lang w:val="en-GB"/>
        </w:rPr>
        <w:t xml:space="preserve">, 34(1), pp.138–157. </w:t>
      </w:r>
    </w:p>
    <w:p w14:paraId="38A2BD9B">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Mohan, P., Goel, D.P., Jain, D.A., Pal, S., Pagidi, R.K. and Ayyagiri, A. (2024) ‘Employee Advocacy Through Automated HR Solutions.’ </w:t>
      </w:r>
      <w:r>
        <w:rPr>
          <w:rFonts w:ascii="Arial" w:hAnsi="Arial" w:eastAsia="Arial" w:cs="Arial"/>
          <w:i/>
          <w:sz w:val="22"/>
          <w:szCs w:val="22"/>
          <w:lang w:val="en-GB"/>
        </w:rPr>
        <w:t>International Journal of Advanced Research and Interdisciplinary Scientific Endeavours</w:t>
      </w:r>
      <w:r>
        <w:rPr>
          <w:rFonts w:ascii="Arial" w:hAnsi="Arial" w:eastAsia="Arial" w:cs="Arial"/>
          <w:sz w:val="22"/>
          <w:szCs w:val="22"/>
          <w:lang w:val="en-GB"/>
        </w:rPr>
        <w:t xml:space="preserve">, 1(4), pp.209–225. </w:t>
      </w:r>
    </w:p>
    <w:p w14:paraId="5650BDE5">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Paramesha, M., Rane, N. and Rane, J. (2024) ‘Artificial intelligence, machine learning, deep learning, and blockchain in financial and banking services: a comprehensive review.’ </w:t>
      </w:r>
      <w:r>
        <w:rPr>
          <w:rFonts w:ascii="Arial" w:hAnsi="Arial" w:eastAsia="Arial" w:cs="Arial"/>
          <w:i/>
          <w:sz w:val="22"/>
          <w:szCs w:val="22"/>
          <w:lang w:val="en-GB"/>
        </w:rPr>
        <w:t>SSRN Electronic Journal</w:t>
      </w:r>
      <w:r>
        <w:rPr>
          <w:rFonts w:ascii="Arial" w:hAnsi="Arial" w:eastAsia="Arial" w:cs="Arial"/>
          <w:sz w:val="22"/>
          <w:szCs w:val="22"/>
          <w:lang w:val="en-GB"/>
        </w:rPr>
        <w:t>. pp.68–83.</w:t>
      </w:r>
    </w:p>
    <w:p w14:paraId="7291EB2E">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Poljašević, B.Z., Gričnik, A.M. and Žižek, S.Š. (2025) ‘Human Resource Management in Public Administration: The Ongoing Tension Between Reform Requirements and Resistance to Change.’ </w:t>
      </w:r>
      <w:r>
        <w:rPr>
          <w:rFonts w:ascii="Arial" w:hAnsi="Arial" w:eastAsia="Arial" w:cs="Arial"/>
          <w:i/>
          <w:sz w:val="22"/>
          <w:szCs w:val="22"/>
          <w:lang w:val="en-GB"/>
        </w:rPr>
        <w:t>Administrative Sciences</w:t>
      </w:r>
      <w:r>
        <w:rPr>
          <w:rFonts w:ascii="Arial" w:hAnsi="Arial" w:eastAsia="Arial" w:cs="Arial"/>
          <w:sz w:val="22"/>
          <w:szCs w:val="22"/>
          <w:lang w:val="en-GB"/>
        </w:rPr>
        <w:t xml:space="preserve">, 15(3), pp.94–94. </w:t>
      </w:r>
    </w:p>
    <w:p w14:paraId="62F8409D">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Prosci (2024) </w:t>
      </w:r>
      <w:r>
        <w:rPr>
          <w:rFonts w:ascii="Arial" w:hAnsi="Arial" w:eastAsia="Arial" w:cs="Arial"/>
          <w:i/>
          <w:sz w:val="22"/>
          <w:szCs w:val="22"/>
          <w:lang w:val="en-GB"/>
        </w:rPr>
        <w:t>Succeed in HR Digital Transformation With Change Management</w:t>
      </w:r>
      <w:r>
        <w:rPr>
          <w:rFonts w:ascii="Arial" w:hAnsi="Arial" w:eastAsia="Arial" w:cs="Arial"/>
          <w:sz w:val="22"/>
          <w:szCs w:val="22"/>
          <w:lang w:val="en-GB"/>
        </w:rPr>
        <w:t xml:space="preserve">. [online] Prosci.com. Available at: </w:t>
      </w:r>
      <w:r>
        <w:fldChar w:fldCharType="begin"/>
      </w:r>
      <w:r>
        <w:instrText xml:space="preserve"> HYPERLINK "https://www.prosci.com/blog/hr-digital-transformation" \h </w:instrText>
      </w:r>
      <w:r>
        <w:fldChar w:fldCharType="separate"/>
      </w:r>
      <w:r>
        <w:rPr>
          <w:rFonts w:ascii="Arial" w:hAnsi="Arial" w:eastAsia="Arial" w:cs="Arial"/>
          <w:color w:val="0000FF"/>
          <w:sz w:val="22"/>
          <w:szCs w:val="22"/>
          <w:u w:val="single"/>
          <w:lang w:val="en-GB"/>
        </w:rPr>
        <w:t>https://www.prosci.com/blog/hr-digital-transformation</w:t>
      </w:r>
      <w:r>
        <w:rPr>
          <w:rFonts w:ascii="Arial" w:hAnsi="Arial" w:eastAsia="Arial" w:cs="Arial"/>
          <w:color w:val="0000FF"/>
          <w:sz w:val="22"/>
          <w:szCs w:val="22"/>
          <w:u w:val="single"/>
          <w:lang w:val="en-GB"/>
        </w:rPr>
        <w:fldChar w:fldCharType="end"/>
      </w:r>
      <w:r>
        <w:rPr>
          <w:rFonts w:ascii="Arial" w:hAnsi="Arial" w:eastAsia="Arial" w:cs="Arial"/>
          <w:sz w:val="22"/>
          <w:szCs w:val="22"/>
          <w:lang w:val="en-GB"/>
        </w:rPr>
        <w:t>. [Accessed on 20 Sept. 2025]</w:t>
      </w:r>
    </w:p>
    <w:p w14:paraId="68D3BF71">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Sweney, M. (2023) HSBC to move out of Canary Wharf headquarters due to hybrid working. </w:t>
      </w:r>
      <w:r>
        <w:rPr>
          <w:rFonts w:ascii="Arial" w:hAnsi="Arial" w:eastAsia="Arial" w:cs="Arial"/>
          <w:i/>
          <w:sz w:val="22"/>
          <w:szCs w:val="22"/>
          <w:lang w:val="en-GB"/>
        </w:rPr>
        <w:t>The Guardian</w:t>
      </w:r>
      <w:r>
        <w:rPr>
          <w:rFonts w:ascii="Arial" w:hAnsi="Arial" w:eastAsia="Arial" w:cs="Arial"/>
          <w:sz w:val="22"/>
          <w:szCs w:val="22"/>
          <w:lang w:val="en-GB"/>
        </w:rPr>
        <w:t xml:space="preserve">. [online] 26 Jun. Available at: </w:t>
      </w:r>
      <w:r>
        <w:fldChar w:fldCharType="begin"/>
      </w:r>
      <w:r>
        <w:instrText xml:space="preserve"> HYPERLINK "https://www.theguardian.com/business/2023/jun/26/hsbc-to-move-to-smaller-city-of-london-headquarters-due-to-hybrid-working" \h </w:instrText>
      </w:r>
      <w:r>
        <w:fldChar w:fldCharType="separate"/>
      </w:r>
      <w:r>
        <w:rPr>
          <w:rFonts w:ascii="Arial" w:hAnsi="Arial" w:eastAsia="Arial" w:cs="Arial"/>
          <w:color w:val="1155CC"/>
          <w:sz w:val="22"/>
          <w:szCs w:val="22"/>
          <w:u w:val="single"/>
          <w:lang w:val="en-GB"/>
        </w:rPr>
        <w:t>https://www.theguardian.com/business/2023/jun/26/hsbc-to-move-to-smaller-city-of-london-headquarters-due-to-hybrid-working</w:t>
      </w:r>
      <w:r>
        <w:rPr>
          <w:rFonts w:ascii="Arial" w:hAnsi="Arial" w:eastAsia="Arial" w:cs="Arial"/>
          <w:color w:val="1155CC"/>
          <w:sz w:val="22"/>
          <w:szCs w:val="22"/>
          <w:u w:val="single"/>
          <w:lang w:val="en-GB"/>
        </w:rPr>
        <w:fldChar w:fldCharType="end"/>
      </w:r>
      <w:r>
        <w:rPr>
          <w:rFonts w:ascii="Arial" w:hAnsi="Arial" w:eastAsia="Arial" w:cs="Arial"/>
          <w:sz w:val="22"/>
          <w:szCs w:val="22"/>
          <w:lang w:val="en-GB"/>
        </w:rPr>
        <w:t>. [Accessed on 18 Sept. 2025]</w:t>
      </w:r>
    </w:p>
    <w:p w14:paraId="1E644E49">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Varshney, D. (2022) ‘Understanding Virtual Employee Onboarding (VEO): The New Normal and beyond.’ </w:t>
      </w:r>
      <w:r>
        <w:rPr>
          <w:rFonts w:ascii="Arial" w:hAnsi="Arial" w:eastAsia="Arial" w:cs="Arial"/>
          <w:i/>
          <w:sz w:val="22"/>
          <w:szCs w:val="22"/>
          <w:lang w:val="en-GB"/>
        </w:rPr>
        <w:t>Emirati Journal of Business, Economics and Social Studies</w:t>
      </w:r>
      <w:r>
        <w:rPr>
          <w:rFonts w:ascii="Arial" w:hAnsi="Arial" w:eastAsia="Arial" w:cs="Arial"/>
          <w:sz w:val="22"/>
          <w:szCs w:val="22"/>
          <w:lang w:val="en-GB"/>
        </w:rPr>
        <w:t xml:space="preserve">, 1(1). </w:t>
      </w:r>
    </w:p>
    <w:p w14:paraId="091C0025">
      <w:pPr>
        <w:spacing w:before="240" w:after="240"/>
        <w:jc w:val="left"/>
        <w:rPr>
          <w:rFonts w:ascii="Arial" w:hAnsi="Arial" w:eastAsia="Arial" w:cs="Arial"/>
          <w:sz w:val="22"/>
          <w:szCs w:val="22"/>
          <w:lang w:val="en-GB"/>
        </w:rPr>
      </w:pPr>
      <w:r>
        <w:rPr>
          <w:rFonts w:ascii="Arial" w:hAnsi="Arial" w:eastAsia="Arial" w:cs="Arial"/>
          <w:sz w:val="22"/>
          <w:szCs w:val="22"/>
          <w:lang w:val="en-GB"/>
        </w:rPr>
        <w:t xml:space="preserve">Ybañez, R. (2024) ‘Application of Herzberg’s Two-Factor Theory: Motivational Factors and Hygiene Factors in the Financial Industry.’ </w:t>
      </w:r>
      <w:r>
        <w:rPr>
          <w:rFonts w:ascii="Arial" w:hAnsi="Arial" w:eastAsia="Arial" w:cs="Arial"/>
          <w:i/>
          <w:sz w:val="22"/>
          <w:szCs w:val="22"/>
          <w:lang w:val="en-GB"/>
        </w:rPr>
        <w:t>Journal of Interdisciplinary Perspectives</w:t>
      </w:r>
      <w:r>
        <w:rPr>
          <w:rFonts w:ascii="Arial" w:hAnsi="Arial" w:eastAsia="Arial" w:cs="Arial"/>
          <w:sz w:val="22"/>
          <w:szCs w:val="22"/>
          <w:lang w:val="en-GB"/>
        </w:rPr>
        <w:t xml:space="preserve">, 2(4), pp.92–101. </w:t>
      </w:r>
    </w:p>
    <w:p w14:paraId="123E32B5">
      <w:pPr>
        <w:spacing w:before="240" w:after="240"/>
        <w:jc w:val="left"/>
        <w:rPr>
          <w:rFonts w:ascii="Arial" w:hAnsi="Arial" w:eastAsia="Arial" w:cs="Arial"/>
          <w:sz w:val="22"/>
          <w:szCs w:val="22"/>
          <w:lang w:val="en-GB"/>
        </w:rPr>
      </w:pPr>
    </w:p>
    <w:sectPr>
      <w:headerReference r:id="rId5" w:type="default"/>
      <w:footerReference r:id="rId6" w:type="default"/>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5513C56">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jc w:val="right"/>
      <w:rPr>
        <w:color w:val="000000"/>
      </w:rPr>
    </w:pPr>
    <w:r>
      <w:rPr>
        <w:color w:val="000000"/>
      </w:rPr>
      <w:fldChar w:fldCharType="begin"/>
    </w:r>
    <w:r>
      <w:rPr>
        <w:color w:val="000000"/>
      </w:rPr>
      <w:instrText xml:space="preserve">PAGE</w:instrText>
    </w:r>
    <w:r>
      <w:rPr>
        <w:color w:val="000000"/>
      </w:rPr>
      <w:fldChar w:fldCharType="separate"/>
    </w:r>
    <w:r>
      <w:rPr>
        <w:color w:val="000000"/>
      </w:rPr>
      <w:t>1</w:t>
    </w:r>
    <w:r>
      <w:rPr>
        <w:color w:val="000000"/>
      </w:rPr>
      <w:fldChar w:fldCharType="end"/>
    </w:r>
  </w:p>
  <w:p w14:paraId="08848A49">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9E2BAF5">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jc w:val="right"/>
      <w:rPr>
        <w:color w:val="000000"/>
      </w:rPr>
    </w:pPr>
  </w:p>
  <w:p w14:paraId="6A2B34C0">
    <w:pPr>
      <w:pBdr>
        <w:top w:val="none" w:color="auto" w:sz="0" w:space="0"/>
        <w:left w:val="none" w:color="auto" w:sz="0" w:space="0"/>
        <w:bottom w:val="none" w:color="auto" w:sz="0" w:space="0"/>
        <w:right w:val="none" w:color="auto" w:sz="0" w:space="0"/>
        <w:between w:val="none" w:color="auto" w:sz="0" w:space="0"/>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7EA5"/>
    <w:rsid w:val="00337981"/>
    <w:rsid w:val="0047517D"/>
    <w:rsid w:val="00476982"/>
    <w:rsid w:val="008A0D1D"/>
    <w:rsid w:val="00957EA5"/>
    <w:rsid w:val="00BC7F08"/>
    <w:rsid w:val="00DE58FA"/>
    <w:rsid w:val="00EE5DD5"/>
    <w:rsid w:val="49F83F5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val="en" w:eastAsia="en-IN" w:bidi="ar-SA"/>
    </w:rPr>
  </w:style>
  <w:style w:type="paragraph" w:styleId="2">
    <w:name w:val="heading 1"/>
    <w:basedOn w:val="1"/>
    <w:next w:val="1"/>
    <w:qFormat/>
    <w:uiPriority w:val="9"/>
    <w:pPr>
      <w:keepNext/>
      <w:keepLines/>
      <w:spacing w:before="400" w:after="120"/>
      <w:outlineLvl w:val="0"/>
    </w:pPr>
    <w:rPr>
      <w:b/>
      <w:sz w:val="28"/>
      <w:szCs w:val="28"/>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annotation reference"/>
    <w:basedOn w:val="8"/>
    <w:semiHidden/>
    <w:unhideWhenUsed/>
    <w:uiPriority w:val="99"/>
    <w:rPr>
      <w:sz w:val="16"/>
      <w:szCs w:val="16"/>
    </w:rPr>
  </w:style>
  <w:style w:type="paragraph" w:styleId="11">
    <w:name w:val="annotation text"/>
    <w:basedOn w:val="1"/>
    <w:link w:val="24"/>
    <w:semiHidden/>
    <w:unhideWhenUsed/>
    <w:uiPriority w:val="99"/>
    <w:pPr>
      <w:spacing w:line="240" w:lineRule="auto"/>
    </w:pPr>
    <w:rPr>
      <w:sz w:val="20"/>
      <w:szCs w:val="20"/>
    </w:rPr>
  </w:style>
  <w:style w:type="paragraph" w:styleId="12">
    <w:name w:val="annotation subject"/>
    <w:basedOn w:val="11"/>
    <w:next w:val="11"/>
    <w:link w:val="25"/>
    <w:semiHidden/>
    <w:unhideWhenUsed/>
    <w:uiPriority w:val="99"/>
    <w:rPr>
      <w:b/>
      <w:bCs/>
    </w:rPr>
  </w:style>
  <w:style w:type="paragraph" w:styleId="13">
    <w:name w:val="footer"/>
    <w:basedOn w:val="1"/>
    <w:link w:val="22"/>
    <w:unhideWhenUsed/>
    <w:qFormat/>
    <w:uiPriority w:val="99"/>
    <w:pPr>
      <w:tabs>
        <w:tab w:val="center" w:pos="4513"/>
        <w:tab w:val="right" w:pos="9026"/>
      </w:tabs>
      <w:spacing w:line="240" w:lineRule="auto"/>
    </w:pPr>
  </w:style>
  <w:style w:type="paragraph" w:styleId="14">
    <w:name w:val="header"/>
    <w:basedOn w:val="1"/>
    <w:link w:val="21"/>
    <w:unhideWhenUsed/>
    <w:uiPriority w:val="99"/>
    <w:pPr>
      <w:tabs>
        <w:tab w:val="center" w:pos="4513"/>
        <w:tab w:val="right" w:pos="9026"/>
      </w:tabs>
      <w:spacing w:line="240" w:lineRule="auto"/>
    </w:pPr>
  </w:style>
  <w:style w:type="character" w:styleId="15">
    <w:name w:val="Hyperlink"/>
    <w:basedOn w:val="8"/>
    <w:unhideWhenUsed/>
    <w:uiPriority w:val="99"/>
    <w:rPr>
      <w:color w:val="0000FF" w:themeColor="hyperlink"/>
      <w:u w:val="single"/>
      <w14:textFill>
        <w14:solidFill>
          <w14:schemeClr w14:val="hlink"/>
        </w14:solidFill>
      </w14:textFill>
    </w:rPr>
  </w:style>
  <w:style w:type="paragraph" w:styleId="16">
    <w:name w:val="Subtitle"/>
    <w:basedOn w:val="1"/>
    <w:next w:val="1"/>
    <w:qFormat/>
    <w:uiPriority w:val="11"/>
    <w:pPr>
      <w:keepNext/>
      <w:keepLines/>
      <w:spacing w:after="320"/>
    </w:pPr>
    <w:rPr>
      <w:rFonts w:ascii="Arial" w:hAnsi="Arial" w:eastAsia="Arial" w:cs="Arial"/>
      <w:color w:val="666666"/>
      <w:sz w:val="30"/>
      <w:szCs w:val="30"/>
    </w:rPr>
  </w:style>
  <w:style w:type="paragraph" w:styleId="17">
    <w:name w:val="Title"/>
    <w:basedOn w:val="1"/>
    <w:next w:val="1"/>
    <w:qFormat/>
    <w:uiPriority w:val="10"/>
    <w:pPr>
      <w:keepNext/>
      <w:keepLines/>
      <w:spacing w:after="60"/>
    </w:pPr>
    <w:rPr>
      <w:sz w:val="52"/>
      <w:szCs w:val="52"/>
    </w:rPr>
  </w:style>
  <w:style w:type="paragraph" w:styleId="18">
    <w:name w:val="toc 1"/>
    <w:basedOn w:val="1"/>
    <w:next w:val="1"/>
    <w:autoRedefine/>
    <w:unhideWhenUsed/>
    <w:uiPriority w:val="39"/>
    <w:pPr>
      <w:spacing w:after="100"/>
    </w:pPr>
  </w:style>
  <w:style w:type="table" w:customStyle="1" w:styleId="19">
    <w:name w:val="TableNormal"/>
    <w:qFormat/>
    <w:uiPriority w:val="0"/>
    <w:tblPr>
      <w:tblCellMar>
        <w:top w:w="100" w:type="dxa"/>
        <w:left w:w="100" w:type="dxa"/>
        <w:bottom w:w="100" w:type="dxa"/>
        <w:right w:w="100" w:type="dxa"/>
      </w:tblCellMar>
    </w:tblPr>
  </w:style>
  <w:style w:type="paragraph" w:customStyle="1" w:styleId="20">
    <w:name w:val="TOC Heading"/>
    <w:basedOn w:val="2"/>
    <w:next w:val="1"/>
    <w:unhideWhenUsed/>
    <w:qFormat/>
    <w:uiPriority w:val="39"/>
    <w:pPr>
      <w:spacing w:before="240" w:after="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character" w:customStyle="1" w:styleId="21">
    <w:name w:val="Header Char"/>
    <w:basedOn w:val="8"/>
    <w:link w:val="14"/>
    <w:uiPriority w:val="99"/>
  </w:style>
  <w:style w:type="character" w:customStyle="1" w:styleId="22">
    <w:name w:val="Footer Char"/>
    <w:basedOn w:val="8"/>
    <w:link w:val="13"/>
    <w:qFormat/>
    <w:uiPriority w:val="99"/>
  </w:style>
  <w:style w:type="character" w:customStyle="1" w:styleId="23">
    <w:name w:val="Unresolved Mention"/>
    <w:basedOn w:val="8"/>
    <w:semiHidden/>
    <w:unhideWhenUsed/>
    <w:qFormat/>
    <w:uiPriority w:val="99"/>
    <w:rPr>
      <w:color w:val="605E5C"/>
      <w:shd w:val="clear" w:color="auto" w:fill="E1DFDD"/>
    </w:rPr>
  </w:style>
  <w:style w:type="character" w:customStyle="1" w:styleId="24">
    <w:name w:val="Comment Text Char"/>
    <w:basedOn w:val="8"/>
    <w:link w:val="11"/>
    <w:semiHidden/>
    <w:uiPriority w:val="99"/>
    <w:rPr>
      <w:sz w:val="20"/>
      <w:szCs w:val="20"/>
    </w:rPr>
  </w:style>
  <w:style w:type="character" w:customStyle="1" w:styleId="25">
    <w:name w:val="Comment Subject Char"/>
    <w:basedOn w:val="24"/>
    <w:link w:val="12"/>
    <w:semiHidden/>
    <w:uiPriority w:val="99"/>
    <w:rPr>
      <w:b/>
      <w:bCs/>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3.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Uz58TXmbZzE9oRKvPv4CWHX52w==">CgMxLjAyDmguZGFqYWkwMjRzNzlkMg5oLndwejc1NWp2OXl1ajIOaC5pOG1yemo5aXVwNTMyDmguaDVwOTE5ZmZlMnB6Mg5oLjQ2amw4NjF5NjJuNDIOaC52NHhpbmE2ZWltdDMyDmguY3J6Zzd2d3V5NW9pOAByITFDemRtMzhkWlkwejRvdzJZNzd0d2JVNmlOZ1FCa19tSg==</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3171</Words>
  <Characters>18079</Characters>
  <DocSecurity>0</DocSecurity>
  <Lines>150</Lines>
  <Paragraphs>42</Paragraphs>
  <ScaleCrop>false</ScaleCrop>
  <LinksUpToDate>false</LinksUpToDate>
  <CharactersWithSpaces>21208</CharactersWithSpac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Ana-Capatina</dc:creator>
  <dcterms:created xsi:type="dcterms:W3CDTF">2025-09-26T10:14:00Z</dcterms:created>
  <dcterms:modified xsi:type="dcterms:W3CDTF">2025-10-01T09:11:22Z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2057-12.2.0.22549</vt:lpwstr>
  </property>
  <property fmtid="{D5CDD505-2E9C-101B-9397-08002B2CF9AE}" pid="3" name="ICV">
    <vt:lpwstr>2DE68011E3754BE68F64A45C3829B25D_12</vt:lpwstr>
  </property>
</Properties>
</file>