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86D9FB">
      <w:pPr>
        <w:autoSpaceDE w:val="0"/>
        <w:autoSpaceDN w:val="0"/>
        <w:adjustRightInd w:val="0"/>
        <w:spacing w:line="360" w:lineRule="auto"/>
        <w:ind w:firstLine="601" w:firstLineChars="200"/>
        <w:jc w:val="center"/>
        <w:rPr>
          <w:rFonts w:ascii="Times New Roman Bold" w:hAnsi="Times New Roman Bold" w:eastAsia="Songti SC" w:cs="Times New Roman Bold"/>
          <w:b/>
          <w:bCs/>
          <w:kern w:val="0"/>
          <w:sz w:val="30"/>
          <w:szCs w:val="30"/>
        </w:rPr>
      </w:pPr>
      <w:r>
        <w:rPr>
          <w:rFonts w:ascii="Times New Roman Bold" w:hAnsi="Times New Roman Bold" w:eastAsia="Songti SC" w:cs="Times New Roman Bold"/>
          <w:b/>
          <w:bCs/>
          <w:kern w:val="0"/>
          <w:sz w:val="30"/>
          <w:szCs w:val="30"/>
        </w:rPr>
        <w:t>Strategic Analysis and Sustainable Strategy Development</w:t>
      </w:r>
    </w:p>
    <w:p w14:paraId="6AB1A81E">
      <w:pPr>
        <w:autoSpaceDE w:val="0"/>
        <w:autoSpaceDN w:val="0"/>
        <w:adjustRightInd w:val="0"/>
        <w:spacing w:line="360" w:lineRule="auto"/>
        <w:ind w:firstLine="480" w:firstLineChars="200"/>
        <w:jc w:val="center"/>
        <w:rPr>
          <w:rFonts w:ascii="Times New Roman Regular" w:hAnsi="Times New Roman Regular" w:eastAsia="Songti SC" w:cs="Times New Roman Regular"/>
          <w:kern w:val="0"/>
          <w:sz w:val="24"/>
        </w:rPr>
      </w:pPr>
      <w:bookmarkStart w:id="18" w:name="_GoBack"/>
      <w:bookmarkEnd w:id="18"/>
      <w:r>
        <w:rPr>
          <w:rFonts w:ascii="Times New Roman Regular" w:hAnsi="Times New Roman Regular" w:eastAsia="Songti SC" w:cs="Times New Roman Regular"/>
          <w:kern w:val="0"/>
          <w:sz w:val="24"/>
        </w:rPr>
        <w:drawing>
          <wp:inline distT="0" distB="0" distL="0" distR="0">
            <wp:extent cx="3039110" cy="2393315"/>
            <wp:effectExtent l="0" t="0" r="0" b="196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063700" cy="2413018"/>
                    </a:xfrm>
                    <a:prstGeom prst="rect">
                      <a:avLst/>
                    </a:prstGeom>
                  </pic:spPr>
                </pic:pic>
              </a:graphicData>
            </a:graphic>
          </wp:inline>
        </w:drawing>
      </w:r>
    </w:p>
    <w:p w14:paraId="3C8B7F02">
      <w:pPr>
        <w:autoSpaceDE w:val="0"/>
        <w:autoSpaceDN w:val="0"/>
        <w:adjustRightInd w:val="0"/>
        <w:spacing w:line="360" w:lineRule="auto"/>
        <w:ind w:firstLine="480" w:firstLineChars="200"/>
        <w:jc w:val="center"/>
        <w:rPr>
          <w:rFonts w:ascii="Times New Roman" w:hAnsi="Times New Roman" w:eastAsia="Songti SC" w:cs="Times New Roman"/>
          <w:kern w:val="0"/>
          <w:sz w:val="24"/>
        </w:rPr>
      </w:pPr>
      <w:r>
        <w:rPr>
          <w:rFonts w:ascii="Times New Roman" w:hAnsi="Times New Roman" w:eastAsia="Songti SC" w:cs="Times New Roman"/>
          <w:kern w:val="0"/>
          <w:sz w:val="24"/>
        </w:rPr>
        <w:t>Student Name: Zedong Zhang</w:t>
      </w:r>
    </w:p>
    <w:p w14:paraId="4E945015">
      <w:pPr>
        <w:autoSpaceDE w:val="0"/>
        <w:autoSpaceDN w:val="0"/>
        <w:adjustRightInd w:val="0"/>
        <w:spacing w:line="360" w:lineRule="auto"/>
        <w:ind w:firstLine="480" w:firstLineChars="200"/>
        <w:jc w:val="center"/>
        <w:rPr>
          <w:rFonts w:ascii="Times New Roman" w:hAnsi="Times New Roman" w:eastAsia="Songti SC" w:cs="Times New Roman"/>
          <w:kern w:val="0"/>
          <w:sz w:val="24"/>
        </w:rPr>
      </w:pPr>
      <w:r>
        <w:rPr>
          <w:rFonts w:ascii="Times New Roman" w:hAnsi="Times New Roman" w:eastAsia="Songti SC" w:cs="Times New Roman"/>
          <w:kern w:val="0"/>
          <w:sz w:val="24"/>
        </w:rPr>
        <w:t>Student ID: 2500386</w:t>
      </w:r>
    </w:p>
    <w:p w14:paraId="2AD12619">
      <w:pPr>
        <w:autoSpaceDE w:val="0"/>
        <w:autoSpaceDN w:val="0"/>
        <w:adjustRightInd w:val="0"/>
        <w:spacing w:line="360" w:lineRule="auto"/>
        <w:ind w:firstLine="480" w:firstLineChars="200"/>
        <w:jc w:val="center"/>
        <w:rPr>
          <w:rFonts w:ascii="Times New Roman" w:hAnsi="Times New Roman" w:eastAsia="Songti SC" w:cs="Times New Roman"/>
          <w:kern w:val="0"/>
          <w:sz w:val="24"/>
        </w:rPr>
      </w:pPr>
      <w:r>
        <w:rPr>
          <w:rFonts w:ascii="Times New Roman" w:hAnsi="Times New Roman" w:eastAsia="Songti SC" w:cs="Times New Roman"/>
          <w:kern w:val="0"/>
          <w:sz w:val="24"/>
        </w:rPr>
        <w:t>Course: Strategic Management and Sustainability</w:t>
      </w:r>
    </w:p>
    <w:p w14:paraId="34AF5936">
      <w:pPr>
        <w:autoSpaceDE w:val="0"/>
        <w:autoSpaceDN w:val="0"/>
        <w:adjustRightInd w:val="0"/>
        <w:spacing w:line="360" w:lineRule="auto"/>
        <w:ind w:firstLine="480" w:firstLineChars="200"/>
        <w:jc w:val="center"/>
        <w:rPr>
          <w:rFonts w:ascii="Times New Roman" w:hAnsi="Times New Roman" w:eastAsia="Songti SC" w:cs="Times New Roman"/>
          <w:kern w:val="0"/>
          <w:sz w:val="24"/>
        </w:rPr>
      </w:pPr>
      <w:r>
        <w:rPr>
          <w:rFonts w:ascii="Times New Roman" w:hAnsi="Times New Roman" w:eastAsia="Songti SC" w:cs="Times New Roman"/>
          <w:kern w:val="0"/>
          <w:sz w:val="24"/>
        </w:rPr>
        <w:t>Course Code: BMBM6024</w:t>
      </w:r>
    </w:p>
    <w:p w14:paraId="45FE3513">
      <w:pPr>
        <w:autoSpaceDE w:val="0"/>
        <w:autoSpaceDN w:val="0"/>
        <w:adjustRightInd w:val="0"/>
        <w:spacing w:line="360" w:lineRule="auto"/>
        <w:ind w:firstLine="480" w:firstLineChars="200"/>
        <w:jc w:val="center"/>
        <w:rPr>
          <w:rFonts w:ascii="Times New Roman" w:hAnsi="Times New Roman" w:eastAsia="Songti SC" w:cs="Times New Roman"/>
          <w:kern w:val="0"/>
          <w:sz w:val="24"/>
        </w:rPr>
      </w:pPr>
      <w:r>
        <w:rPr>
          <w:rFonts w:ascii="Times New Roman" w:hAnsi="Times New Roman" w:eastAsia="Songti SC" w:cs="Times New Roman"/>
          <w:kern w:val="0"/>
          <w:sz w:val="24"/>
        </w:rPr>
        <w:t>Lecturer Name: Robyn Griffiths</w:t>
      </w:r>
    </w:p>
    <w:p w14:paraId="4446E62E">
      <w:pPr>
        <w:autoSpaceDE w:val="0"/>
        <w:autoSpaceDN w:val="0"/>
        <w:adjustRightInd w:val="0"/>
        <w:spacing w:line="360" w:lineRule="auto"/>
        <w:ind w:firstLine="480" w:firstLineChars="200"/>
        <w:jc w:val="center"/>
        <w:rPr>
          <w:rFonts w:ascii="Times New Roman" w:hAnsi="Times New Roman" w:eastAsia="Songti SC" w:cs="Times New Roman"/>
          <w:kern w:val="0"/>
          <w:sz w:val="24"/>
        </w:rPr>
      </w:pPr>
      <w:r>
        <w:rPr>
          <w:rFonts w:ascii="Times New Roman" w:hAnsi="Times New Roman" w:eastAsia="Songti SC" w:cs="Times New Roman"/>
          <w:kern w:val="0"/>
          <w:sz w:val="24"/>
        </w:rPr>
        <w:t>Date of Submission: 20/03/2026</w:t>
      </w:r>
    </w:p>
    <w:p w14:paraId="6FB01BD0">
      <w:pPr>
        <w:widowControl/>
        <w:spacing w:line="360" w:lineRule="auto"/>
        <w:ind w:firstLine="200"/>
        <w:jc w:val="left"/>
        <w:rPr>
          <w:rFonts w:ascii="Times New Roman" w:hAnsi="Times New Roman" w:cs="Times New Roman"/>
          <w:sz w:val="24"/>
        </w:rPr>
      </w:pPr>
      <w:r>
        <w:rPr>
          <w:rFonts w:ascii="Times New Roman" w:hAnsi="Times New Roman" w:cs="Times New Roman"/>
          <w:sz w:val="24"/>
        </w:rPr>
        <w:br w:type="page"/>
      </w:r>
    </w:p>
    <w:p w14:paraId="0BA48A86">
      <w:pPr>
        <w:spacing w:line="360" w:lineRule="auto"/>
        <w:ind w:firstLine="198"/>
        <w:jc w:val="center"/>
        <w:outlineLvl w:val="0"/>
        <w:rPr>
          <w:rFonts w:ascii="Times New Roman" w:hAnsi="Times New Roman" w:cs="Times New Roman"/>
          <w:b/>
          <w:sz w:val="28"/>
          <w:szCs w:val="28"/>
        </w:rPr>
      </w:pPr>
      <w:bookmarkStart w:id="0" w:name="_Toc224878328"/>
      <w:r>
        <w:rPr>
          <w:rFonts w:ascii="Times New Roman" w:hAnsi="Times New Roman" w:cs="Times New Roman"/>
          <w:b/>
          <w:sz w:val="28"/>
          <w:szCs w:val="28"/>
        </w:rPr>
        <w:t>Executive Summary</w:t>
      </w:r>
      <w:bookmarkEnd w:id="0"/>
    </w:p>
    <w:p w14:paraId="7D2AFAB6">
      <w:pPr>
        <w:spacing w:line="360" w:lineRule="auto"/>
        <w:ind w:firstLine="200"/>
        <w:rPr>
          <w:rFonts w:ascii="Times New Roman" w:hAnsi="Times New Roman" w:cs="Times New Roman"/>
          <w:sz w:val="24"/>
        </w:rPr>
      </w:pPr>
      <w:r>
        <w:rPr>
          <w:rFonts w:ascii="Times New Roman" w:hAnsi="Times New Roman" w:cs="Times New Roman"/>
          <w:sz w:val="24"/>
        </w:rPr>
        <w:t>This report analyses Unilever’s strategic position within the global fast-moving consumer goods (FMCG) industry, a sector characterized by high competition, low margins and increasing sustainability pressures. As a multinational operating in over 190 countries, Unilever has established strong brand equity and a leading position in sustainability-driven business practices. To evaluate its strategy, the report applies several analytical frameworks, including PESTEL, Porter’s Five Forces, Resource-Based View (RBV), Value Chain and SWOT analysis. In addition, Porter’s Generic Strategy and the Ansoff Matrix are used to assess Unilever’s competitive positioning and growth strategies.</w:t>
      </w:r>
    </w:p>
    <w:p w14:paraId="6B85EB27">
      <w:pPr>
        <w:spacing w:line="360" w:lineRule="auto"/>
        <w:ind w:firstLine="200"/>
        <w:rPr>
          <w:rFonts w:ascii="Times New Roman" w:hAnsi="Times New Roman" w:cs="Times New Roman"/>
          <w:sz w:val="24"/>
        </w:rPr>
      </w:pPr>
      <w:r>
        <w:rPr>
          <w:rFonts w:ascii="Times New Roman" w:hAnsi="Times New Roman" w:cs="Times New Roman"/>
          <w:sz w:val="24"/>
        </w:rPr>
        <w:t>The analysis finds that the FMCG industry is highly competitive, with strong buyer power and increasing pressure from private-label brands. Sustainability has emerged as a core competitive advantage, although rising supply chain complexity and cost pressures present ongoing challenges. Based on these findings, the report recommends investing in circular packaging innovation, implementing AI-driven supply chain optimization, expanding sustainable product lines in emerging markets, and strengthening supplier partnerships to enhance long-term competitiveness.</w:t>
      </w:r>
    </w:p>
    <w:p w14:paraId="1E133A09">
      <w:pPr>
        <w:widowControl/>
        <w:jc w:val="left"/>
        <w:rPr>
          <w:rFonts w:ascii="Times New Roman" w:hAnsi="Times New Roman" w:cs="Times New Roman"/>
          <w:sz w:val="24"/>
        </w:rPr>
      </w:pPr>
      <w:r>
        <w:rPr>
          <w:rFonts w:ascii="Times New Roman" w:hAnsi="Times New Roman" w:cs="Times New Roman"/>
          <w:sz w:val="24"/>
        </w:rPr>
        <w:br w:type="page"/>
      </w:r>
    </w:p>
    <w:p w14:paraId="3B1757A7">
      <w:pPr>
        <w:spacing w:line="360" w:lineRule="auto"/>
        <w:ind w:firstLine="200"/>
        <w:rPr>
          <w:rFonts w:ascii="Times New Roman" w:hAnsi="Times New Roman" w:cs="Times New Roman"/>
          <w:sz w:val="24"/>
        </w:rPr>
      </w:pPr>
    </w:p>
    <w:sdt>
      <w:sdtPr>
        <w:rPr>
          <w:lang w:val="zh-CN"/>
        </w:rPr>
        <w:id w:val="-1"/>
        <w:docPartObj>
          <w:docPartGallery w:val="Table of Contents"/>
          <w:docPartUnique/>
        </w:docPartObj>
      </w:sdtPr>
      <w:sdtEndPr>
        <w:rPr>
          <w:rFonts w:asciiTheme="minorHAnsi" w:hAnsiTheme="minorHAnsi" w:eastAsiaTheme="minorEastAsia" w:cstheme="minorBidi"/>
          <w:b/>
          <w:bCs/>
          <w:color w:val="auto"/>
          <w:kern w:val="2"/>
          <w:sz w:val="21"/>
          <w:szCs w:val="24"/>
          <w:lang w:val="zh-CN"/>
        </w:rPr>
      </w:sdtEndPr>
      <w:sdtContent>
        <w:p w14:paraId="4B38E5CC">
          <w:pPr>
            <w:pStyle w:val="9"/>
            <w:jc w:val="center"/>
            <w:rPr>
              <w:rFonts w:ascii="Times New Roman" w:hAnsi="Times New Roman" w:cs="Times New Roman"/>
              <w:b/>
              <w:color w:val="auto"/>
            </w:rPr>
          </w:pPr>
          <w:r>
            <w:rPr>
              <w:rFonts w:ascii="Times New Roman" w:hAnsi="Times New Roman" w:cs="Times New Roman"/>
              <w:b/>
              <w:color w:val="auto"/>
              <w:lang w:val="zh-CN"/>
            </w:rPr>
            <w:t>Content</w:t>
          </w:r>
        </w:p>
        <w:p w14:paraId="0CB2E09D">
          <w:pPr>
            <w:pStyle w:val="3"/>
            <w:tabs>
              <w:tab w:val="right" w:leader="dot" w:pos="8296"/>
            </w:tabs>
            <w:rPr>
              <w:szCs w:val="22"/>
            </w:rPr>
          </w:pPr>
          <w:r>
            <w:fldChar w:fldCharType="begin"/>
          </w:r>
          <w:r>
            <w:instrText xml:space="preserve"> TOC \o "1-3" \h \z \u </w:instrText>
          </w:r>
          <w:r>
            <w:fldChar w:fldCharType="separate"/>
          </w:r>
          <w:r>
            <w:fldChar w:fldCharType="begin"/>
          </w:r>
          <w:r>
            <w:instrText xml:space="preserve"> HYPERLINK \l "_Toc224878328" </w:instrText>
          </w:r>
          <w:r>
            <w:fldChar w:fldCharType="separate"/>
          </w:r>
          <w:r>
            <w:rPr>
              <w:rStyle w:val="7"/>
              <w:rFonts w:ascii="Times New Roman" w:hAnsi="Times New Roman" w:cs="Times New Roman"/>
              <w:b/>
            </w:rPr>
            <w:t>Executive Summary</w:t>
          </w:r>
          <w:r>
            <w:tab/>
          </w:r>
          <w:r>
            <w:fldChar w:fldCharType="begin"/>
          </w:r>
          <w:r>
            <w:instrText xml:space="preserve"> PAGEREF _Toc224878328 \h </w:instrText>
          </w:r>
          <w:r>
            <w:fldChar w:fldCharType="separate"/>
          </w:r>
          <w:r>
            <w:t>2</w:t>
          </w:r>
          <w:r>
            <w:fldChar w:fldCharType="end"/>
          </w:r>
          <w:r>
            <w:fldChar w:fldCharType="end"/>
          </w:r>
        </w:p>
        <w:p w14:paraId="455F9497">
          <w:pPr>
            <w:pStyle w:val="3"/>
            <w:tabs>
              <w:tab w:val="right" w:leader="dot" w:pos="8296"/>
            </w:tabs>
            <w:rPr>
              <w:szCs w:val="22"/>
            </w:rPr>
          </w:pPr>
          <w:r>
            <w:fldChar w:fldCharType="begin"/>
          </w:r>
          <w:r>
            <w:instrText xml:space="preserve"> HYPERLINK \l "_Toc224878329" </w:instrText>
          </w:r>
          <w:r>
            <w:fldChar w:fldCharType="separate"/>
          </w:r>
          <w:r>
            <w:rPr>
              <w:rStyle w:val="7"/>
              <w:rFonts w:ascii="Times New Roman" w:hAnsi="Times New Roman" w:cs="Times New Roman"/>
              <w:b/>
            </w:rPr>
            <w:t>1.0 Introduction</w:t>
          </w:r>
          <w:r>
            <w:tab/>
          </w:r>
          <w:r>
            <w:fldChar w:fldCharType="begin"/>
          </w:r>
          <w:r>
            <w:instrText xml:space="preserve"> PAGEREF _Toc224878329 \h </w:instrText>
          </w:r>
          <w:r>
            <w:fldChar w:fldCharType="separate"/>
          </w:r>
          <w:r>
            <w:t>4</w:t>
          </w:r>
          <w:r>
            <w:fldChar w:fldCharType="end"/>
          </w:r>
          <w:r>
            <w:fldChar w:fldCharType="end"/>
          </w:r>
        </w:p>
        <w:p w14:paraId="7ED44F7A">
          <w:pPr>
            <w:pStyle w:val="3"/>
            <w:tabs>
              <w:tab w:val="right" w:leader="dot" w:pos="8296"/>
            </w:tabs>
            <w:rPr>
              <w:szCs w:val="22"/>
            </w:rPr>
          </w:pPr>
          <w:r>
            <w:fldChar w:fldCharType="begin"/>
          </w:r>
          <w:r>
            <w:instrText xml:space="preserve"> HYPERLINK \l "_Toc224878330" </w:instrText>
          </w:r>
          <w:r>
            <w:fldChar w:fldCharType="separate"/>
          </w:r>
          <w:r>
            <w:rPr>
              <w:rStyle w:val="7"/>
              <w:rFonts w:ascii="Times New Roman" w:hAnsi="Times New Roman" w:cs="Times New Roman"/>
              <w:b/>
            </w:rPr>
            <w:t>2.0 External Analysis</w:t>
          </w:r>
          <w:r>
            <w:tab/>
          </w:r>
          <w:r>
            <w:fldChar w:fldCharType="begin"/>
          </w:r>
          <w:r>
            <w:instrText xml:space="preserve"> PAGEREF _Toc224878330 \h </w:instrText>
          </w:r>
          <w:r>
            <w:fldChar w:fldCharType="separate"/>
          </w:r>
          <w:r>
            <w:t>4</w:t>
          </w:r>
          <w:r>
            <w:fldChar w:fldCharType="end"/>
          </w:r>
          <w:r>
            <w:fldChar w:fldCharType="end"/>
          </w:r>
        </w:p>
        <w:p w14:paraId="31F9E75E">
          <w:pPr>
            <w:pStyle w:val="4"/>
            <w:tabs>
              <w:tab w:val="right" w:leader="dot" w:pos="8296"/>
            </w:tabs>
            <w:rPr>
              <w:szCs w:val="22"/>
            </w:rPr>
          </w:pPr>
          <w:r>
            <w:fldChar w:fldCharType="begin"/>
          </w:r>
          <w:r>
            <w:instrText xml:space="preserve"> HYPERLINK \l "_Toc224878331" </w:instrText>
          </w:r>
          <w:r>
            <w:fldChar w:fldCharType="separate"/>
          </w:r>
          <w:r>
            <w:rPr>
              <w:rStyle w:val="7"/>
              <w:rFonts w:ascii="Times New Roman" w:hAnsi="Times New Roman" w:eastAsia="Times New Roman" w:cs="Times New Roman"/>
            </w:rPr>
            <w:t>2.1 PESTEL Analysis</w:t>
          </w:r>
          <w:r>
            <w:tab/>
          </w:r>
          <w:r>
            <w:fldChar w:fldCharType="begin"/>
          </w:r>
          <w:r>
            <w:instrText xml:space="preserve"> PAGEREF _Toc224878331 \h </w:instrText>
          </w:r>
          <w:r>
            <w:fldChar w:fldCharType="separate"/>
          </w:r>
          <w:r>
            <w:t>4</w:t>
          </w:r>
          <w:r>
            <w:fldChar w:fldCharType="end"/>
          </w:r>
          <w:r>
            <w:fldChar w:fldCharType="end"/>
          </w:r>
        </w:p>
        <w:p w14:paraId="5B2DD84A">
          <w:pPr>
            <w:pStyle w:val="4"/>
            <w:tabs>
              <w:tab w:val="right" w:leader="dot" w:pos="8296"/>
            </w:tabs>
            <w:rPr>
              <w:szCs w:val="22"/>
            </w:rPr>
          </w:pPr>
          <w:r>
            <w:fldChar w:fldCharType="begin"/>
          </w:r>
          <w:r>
            <w:instrText xml:space="preserve"> HYPERLINK \l "_Toc224878332" </w:instrText>
          </w:r>
          <w:r>
            <w:fldChar w:fldCharType="separate"/>
          </w:r>
          <w:r>
            <w:rPr>
              <w:rStyle w:val="7"/>
              <w:rFonts w:ascii="Times New Roman" w:hAnsi="Times New Roman" w:eastAsia="Times New Roman" w:cs="Times New Roman"/>
            </w:rPr>
            <w:t>2.2 Porter’s Five Forces</w:t>
          </w:r>
          <w:r>
            <w:tab/>
          </w:r>
          <w:r>
            <w:fldChar w:fldCharType="begin"/>
          </w:r>
          <w:r>
            <w:instrText xml:space="preserve"> PAGEREF _Toc224878332 \h </w:instrText>
          </w:r>
          <w:r>
            <w:fldChar w:fldCharType="separate"/>
          </w:r>
          <w:r>
            <w:t>5</w:t>
          </w:r>
          <w:r>
            <w:fldChar w:fldCharType="end"/>
          </w:r>
          <w:r>
            <w:fldChar w:fldCharType="end"/>
          </w:r>
        </w:p>
        <w:p w14:paraId="08CF723E">
          <w:pPr>
            <w:pStyle w:val="3"/>
            <w:tabs>
              <w:tab w:val="right" w:leader="dot" w:pos="8296"/>
            </w:tabs>
            <w:rPr>
              <w:szCs w:val="22"/>
            </w:rPr>
          </w:pPr>
          <w:r>
            <w:fldChar w:fldCharType="begin"/>
          </w:r>
          <w:r>
            <w:instrText xml:space="preserve"> HYPERLINK \l "_Toc224878333" </w:instrText>
          </w:r>
          <w:r>
            <w:fldChar w:fldCharType="separate"/>
          </w:r>
          <w:r>
            <w:rPr>
              <w:rStyle w:val="7"/>
              <w:rFonts w:ascii="Times New Roman" w:hAnsi="Times New Roman" w:cs="Times New Roman"/>
              <w:b/>
            </w:rPr>
            <w:t>3.0 Internal Analysis</w:t>
          </w:r>
          <w:r>
            <w:tab/>
          </w:r>
          <w:r>
            <w:fldChar w:fldCharType="begin"/>
          </w:r>
          <w:r>
            <w:instrText xml:space="preserve"> PAGEREF _Toc224878333 \h </w:instrText>
          </w:r>
          <w:r>
            <w:fldChar w:fldCharType="separate"/>
          </w:r>
          <w:r>
            <w:t>6</w:t>
          </w:r>
          <w:r>
            <w:fldChar w:fldCharType="end"/>
          </w:r>
          <w:r>
            <w:fldChar w:fldCharType="end"/>
          </w:r>
        </w:p>
        <w:p w14:paraId="195E6275">
          <w:pPr>
            <w:pStyle w:val="4"/>
            <w:tabs>
              <w:tab w:val="right" w:leader="dot" w:pos="8296"/>
            </w:tabs>
            <w:rPr>
              <w:szCs w:val="22"/>
            </w:rPr>
          </w:pPr>
          <w:r>
            <w:fldChar w:fldCharType="begin"/>
          </w:r>
          <w:r>
            <w:instrText xml:space="preserve"> HYPERLINK \l "_Toc224878334" </w:instrText>
          </w:r>
          <w:r>
            <w:fldChar w:fldCharType="separate"/>
          </w:r>
          <w:r>
            <w:rPr>
              <w:rStyle w:val="7"/>
              <w:rFonts w:ascii="Times New Roman" w:hAnsi="Times New Roman" w:eastAsia="Times New Roman" w:cs="Times New Roman"/>
            </w:rPr>
            <w:t>3.1 Resource-Based View (RBV)</w:t>
          </w:r>
          <w:r>
            <w:tab/>
          </w:r>
          <w:r>
            <w:fldChar w:fldCharType="begin"/>
          </w:r>
          <w:r>
            <w:instrText xml:space="preserve"> PAGEREF _Toc224878334 \h </w:instrText>
          </w:r>
          <w:r>
            <w:fldChar w:fldCharType="separate"/>
          </w:r>
          <w:r>
            <w:t>6</w:t>
          </w:r>
          <w:r>
            <w:fldChar w:fldCharType="end"/>
          </w:r>
          <w:r>
            <w:fldChar w:fldCharType="end"/>
          </w:r>
        </w:p>
        <w:p w14:paraId="54F3E33E">
          <w:pPr>
            <w:pStyle w:val="4"/>
            <w:tabs>
              <w:tab w:val="right" w:leader="dot" w:pos="8296"/>
            </w:tabs>
            <w:rPr>
              <w:szCs w:val="22"/>
            </w:rPr>
          </w:pPr>
          <w:r>
            <w:fldChar w:fldCharType="begin"/>
          </w:r>
          <w:r>
            <w:instrText xml:space="preserve"> HYPERLINK \l "_Toc224878335" </w:instrText>
          </w:r>
          <w:r>
            <w:fldChar w:fldCharType="separate"/>
          </w:r>
          <w:r>
            <w:rPr>
              <w:rStyle w:val="7"/>
              <w:rFonts w:ascii="Times New Roman" w:hAnsi="Times New Roman" w:eastAsia="Times New Roman" w:cs="Times New Roman"/>
            </w:rPr>
            <w:t>3.2 Value Chain Analysis</w:t>
          </w:r>
          <w:r>
            <w:tab/>
          </w:r>
          <w:r>
            <w:fldChar w:fldCharType="begin"/>
          </w:r>
          <w:r>
            <w:instrText xml:space="preserve"> PAGEREF _Toc224878335 \h </w:instrText>
          </w:r>
          <w:r>
            <w:fldChar w:fldCharType="separate"/>
          </w:r>
          <w:r>
            <w:t>7</w:t>
          </w:r>
          <w:r>
            <w:fldChar w:fldCharType="end"/>
          </w:r>
          <w:r>
            <w:fldChar w:fldCharType="end"/>
          </w:r>
        </w:p>
        <w:p w14:paraId="2B6198F7">
          <w:pPr>
            <w:pStyle w:val="4"/>
            <w:tabs>
              <w:tab w:val="right" w:leader="dot" w:pos="8296"/>
            </w:tabs>
            <w:rPr>
              <w:szCs w:val="22"/>
            </w:rPr>
          </w:pPr>
          <w:r>
            <w:fldChar w:fldCharType="begin"/>
          </w:r>
          <w:r>
            <w:instrText xml:space="preserve"> HYPERLINK \l "_Toc224878336" </w:instrText>
          </w:r>
          <w:r>
            <w:fldChar w:fldCharType="separate"/>
          </w:r>
          <w:r>
            <w:rPr>
              <w:rStyle w:val="7"/>
              <w:rFonts w:ascii="Times New Roman" w:hAnsi="Times New Roman" w:eastAsia="Times New Roman" w:cs="Times New Roman"/>
            </w:rPr>
            <w:t>3.3 SWOT Analysis</w:t>
          </w:r>
          <w:r>
            <w:tab/>
          </w:r>
          <w:r>
            <w:fldChar w:fldCharType="begin"/>
          </w:r>
          <w:r>
            <w:instrText xml:space="preserve"> PAGEREF _Toc224878336 \h </w:instrText>
          </w:r>
          <w:r>
            <w:fldChar w:fldCharType="separate"/>
          </w:r>
          <w:r>
            <w:t>7</w:t>
          </w:r>
          <w:r>
            <w:fldChar w:fldCharType="end"/>
          </w:r>
          <w:r>
            <w:fldChar w:fldCharType="end"/>
          </w:r>
        </w:p>
        <w:p w14:paraId="5A361498">
          <w:pPr>
            <w:pStyle w:val="3"/>
            <w:tabs>
              <w:tab w:val="right" w:leader="dot" w:pos="8296"/>
            </w:tabs>
            <w:rPr>
              <w:szCs w:val="22"/>
            </w:rPr>
          </w:pPr>
          <w:r>
            <w:fldChar w:fldCharType="begin"/>
          </w:r>
          <w:r>
            <w:instrText xml:space="preserve"> HYPERLINK \l "_Toc224878337" </w:instrText>
          </w:r>
          <w:r>
            <w:fldChar w:fldCharType="separate"/>
          </w:r>
          <w:r>
            <w:rPr>
              <w:rStyle w:val="7"/>
              <w:rFonts w:ascii="Times New Roman" w:hAnsi="Times New Roman" w:cs="Times New Roman"/>
              <w:b/>
            </w:rPr>
            <w:t>4.0 Strategy Formulation and Competitive Positioning</w:t>
          </w:r>
          <w:r>
            <w:tab/>
          </w:r>
          <w:r>
            <w:fldChar w:fldCharType="begin"/>
          </w:r>
          <w:r>
            <w:instrText xml:space="preserve"> PAGEREF _Toc224878337 \h </w:instrText>
          </w:r>
          <w:r>
            <w:fldChar w:fldCharType="separate"/>
          </w:r>
          <w:r>
            <w:t>8</w:t>
          </w:r>
          <w:r>
            <w:fldChar w:fldCharType="end"/>
          </w:r>
          <w:r>
            <w:fldChar w:fldCharType="end"/>
          </w:r>
        </w:p>
        <w:p w14:paraId="67C0F564">
          <w:pPr>
            <w:pStyle w:val="4"/>
            <w:tabs>
              <w:tab w:val="right" w:leader="dot" w:pos="8296"/>
            </w:tabs>
            <w:rPr>
              <w:szCs w:val="22"/>
            </w:rPr>
          </w:pPr>
          <w:r>
            <w:fldChar w:fldCharType="begin"/>
          </w:r>
          <w:r>
            <w:instrText xml:space="preserve"> HYPERLINK \l "_Toc224878338" </w:instrText>
          </w:r>
          <w:r>
            <w:fldChar w:fldCharType="separate"/>
          </w:r>
          <w:r>
            <w:rPr>
              <w:rStyle w:val="7"/>
              <w:rFonts w:ascii="Times New Roman" w:hAnsi="Times New Roman" w:eastAsia="Times New Roman" w:cs="Times New Roman"/>
            </w:rPr>
            <w:t>4.1 Porter’s Generic Strategy</w:t>
          </w:r>
          <w:r>
            <w:tab/>
          </w:r>
          <w:r>
            <w:fldChar w:fldCharType="begin"/>
          </w:r>
          <w:r>
            <w:instrText xml:space="preserve"> PAGEREF _Toc224878338 \h </w:instrText>
          </w:r>
          <w:r>
            <w:fldChar w:fldCharType="separate"/>
          </w:r>
          <w:r>
            <w:t>8</w:t>
          </w:r>
          <w:r>
            <w:fldChar w:fldCharType="end"/>
          </w:r>
          <w:r>
            <w:fldChar w:fldCharType="end"/>
          </w:r>
        </w:p>
        <w:p w14:paraId="7092E5ED">
          <w:pPr>
            <w:pStyle w:val="4"/>
            <w:tabs>
              <w:tab w:val="right" w:leader="dot" w:pos="8296"/>
            </w:tabs>
            <w:rPr>
              <w:szCs w:val="22"/>
            </w:rPr>
          </w:pPr>
          <w:r>
            <w:fldChar w:fldCharType="begin"/>
          </w:r>
          <w:r>
            <w:instrText xml:space="preserve"> HYPERLINK \l "_Toc224878339" </w:instrText>
          </w:r>
          <w:r>
            <w:fldChar w:fldCharType="separate"/>
          </w:r>
          <w:r>
            <w:rPr>
              <w:rStyle w:val="7"/>
              <w:rFonts w:ascii="Times New Roman" w:hAnsi="Times New Roman" w:eastAsia="Times New Roman" w:cs="Times New Roman"/>
            </w:rPr>
            <w:t>4.2 Ansoff Matrix</w:t>
          </w:r>
          <w:r>
            <w:tab/>
          </w:r>
          <w:r>
            <w:fldChar w:fldCharType="begin"/>
          </w:r>
          <w:r>
            <w:instrText xml:space="preserve"> PAGEREF _Toc224878339 \h </w:instrText>
          </w:r>
          <w:r>
            <w:fldChar w:fldCharType="separate"/>
          </w:r>
          <w:r>
            <w:t>9</w:t>
          </w:r>
          <w:r>
            <w:fldChar w:fldCharType="end"/>
          </w:r>
          <w:r>
            <w:fldChar w:fldCharType="end"/>
          </w:r>
        </w:p>
        <w:p w14:paraId="4E8BA4D1">
          <w:pPr>
            <w:pStyle w:val="4"/>
            <w:tabs>
              <w:tab w:val="right" w:leader="dot" w:pos="8296"/>
            </w:tabs>
            <w:rPr>
              <w:szCs w:val="22"/>
            </w:rPr>
          </w:pPr>
          <w:r>
            <w:fldChar w:fldCharType="begin"/>
          </w:r>
          <w:r>
            <w:instrText xml:space="preserve"> HYPERLINK \l "_Toc224878340" </w:instrText>
          </w:r>
          <w:r>
            <w:fldChar w:fldCharType="separate"/>
          </w:r>
          <w:r>
            <w:rPr>
              <w:rStyle w:val="7"/>
              <w:rFonts w:ascii="Times New Roman" w:hAnsi="Times New Roman" w:eastAsia="Times New Roman" w:cs="Times New Roman"/>
            </w:rPr>
            <w:t>4.3 Mergers and Acquisitions</w:t>
          </w:r>
          <w:r>
            <w:tab/>
          </w:r>
          <w:r>
            <w:fldChar w:fldCharType="begin"/>
          </w:r>
          <w:r>
            <w:instrText xml:space="preserve"> PAGEREF _Toc224878340 \h </w:instrText>
          </w:r>
          <w:r>
            <w:fldChar w:fldCharType="separate"/>
          </w:r>
          <w:r>
            <w:t>9</w:t>
          </w:r>
          <w:r>
            <w:fldChar w:fldCharType="end"/>
          </w:r>
          <w:r>
            <w:fldChar w:fldCharType="end"/>
          </w:r>
        </w:p>
        <w:p w14:paraId="5E3EB92B">
          <w:pPr>
            <w:pStyle w:val="3"/>
            <w:tabs>
              <w:tab w:val="right" w:leader="dot" w:pos="8296"/>
            </w:tabs>
            <w:rPr>
              <w:szCs w:val="22"/>
            </w:rPr>
          </w:pPr>
          <w:r>
            <w:fldChar w:fldCharType="begin"/>
          </w:r>
          <w:r>
            <w:instrText xml:space="preserve"> HYPERLINK \l "_Toc224878341" </w:instrText>
          </w:r>
          <w:r>
            <w:fldChar w:fldCharType="separate"/>
          </w:r>
          <w:r>
            <w:rPr>
              <w:rStyle w:val="7"/>
              <w:rFonts w:ascii="Times New Roman" w:hAnsi="Times New Roman" w:cs="Times New Roman"/>
              <w:b/>
            </w:rPr>
            <w:t>5.0 Sustainability and Strategic Recommendations</w:t>
          </w:r>
          <w:r>
            <w:tab/>
          </w:r>
          <w:r>
            <w:fldChar w:fldCharType="begin"/>
          </w:r>
          <w:r>
            <w:instrText xml:space="preserve"> PAGEREF _Toc224878341 \h </w:instrText>
          </w:r>
          <w:r>
            <w:fldChar w:fldCharType="separate"/>
          </w:r>
          <w:r>
            <w:t>10</w:t>
          </w:r>
          <w:r>
            <w:fldChar w:fldCharType="end"/>
          </w:r>
          <w:r>
            <w:fldChar w:fldCharType="end"/>
          </w:r>
        </w:p>
        <w:p w14:paraId="27529F42">
          <w:pPr>
            <w:pStyle w:val="4"/>
            <w:tabs>
              <w:tab w:val="right" w:leader="dot" w:pos="8296"/>
            </w:tabs>
            <w:rPr>
              <w:szCs w:val="22"/>
            </w:rPr>
          </w:pPr>
          <w:r>
            <w:fldChar w:fldCharType="begin"/>
          </w:r>
          <w:r>
            <w:instrText xml:space="preserve"> HYPERLINK \l "_Toc224878342" </w:instrText>
          </w:r>
          <w:r>
            <w:fldChar w:fldCharType="separate"/>
          </w:r>
          <w:r>
            <w:rPr>
              <w:rStyle w:val="7"/>
              <w:rFonts w:ascii="Times New Roman" w:hAnsi="Times New Roman" w:eastAsia="Times New Roman" w:cs="Times New Roman"/>
            </w:rPr>
            <w:t>5.1 Sustainability Evaluation</w:t>
          </w:r>
          <w:r>
            <w:tab/>
          </w:r>
          <w:r>
            <w:fldChar w:fldCharType="begin"/>
          </w:r>
          <w:r>
            <w:instrText xml:space="preserve"> PAGEREF _Toc224878342 \h </w:instrText>
          </w:r>
          <w:r>
            <w:fldChar w:fldCharType="separate"/>
          </w:r>
          <w:r>
            <w:t>10</w:t>
          </w:r>
          <w:r>
            <w:fldChar w:fldCharType="end"/>
          </w:r>
          <w:r>
            <w:fldChar w:fldCharType="end"/>
          </w:r>
        </w:p>
        <w:p w14:paraId="27B46B63">
          <w:pPr>
            <w:pStyle w:val="4"/>
            <w:tabs>
              <w:tab w:val="right" w:leader="dot" w:pos="8296"/>
            </w:tabs>
            <w:rPr>
              <w:szCs w:val="22"/>
            </w:rPr>
          </w:pPr>
          <w:r>
            <w:fldChar w:fldCharType="begin"/>
          </w:r>
          <w:r>
            <w:instrText xml:space="preserve"> HYPERLINK \l "_Toc224878343" </w:instrText>
          </w:r>
          <w:r>
            <w:fldChar w:fldCharType="separate"/>
          </w:r>
          <w:r>
            <w:rPr>
              <w:rStyle w:val="7"/>
              <w:rFonts w:ascii="Times New Roman" w:hAnsi="Times New Roman" w:eastAsia="Times New Roman" w:cs="Times New Roman"/>
            </w:rPr>
            <w:t>5.2 Strategic Recommendations</w:t>
          </w:r>
          <w:r>
            <w:tab/>
          </w:r>
          <w:r>
            <w:fldChar w:fldCharType="begin"/>
          </w:r>
          <w:r>
            <w:instrText xml:space="preserve"> PAGEREF _Toc224878343 \h </w:instrText>
          </w:r>
          <w:r>
            <w:fldChar w:fldCharType="separate"/>
          </w:r>
          <w:r>
            <w:t>10</w:t>
          </w:r>
          <w:r>
            <w:fldChar w:fldCharType="end"/>
          </w:r>
          <w:r>
            <w:fldChar w:fldCharType="end"/>
          </w:r>
        </w:p>
        <w:p w14:paraId="4F888896">
          <w:pPr>
            <w:pStyle w:val="3"/>
            <w:tabs>
              <w:tab w:val="right" w:leader="dot" w:pos="8296"/>
            </w:tabs>
            <w:rPr>
              <w:szCs w:val="22"/>
            </w:rPr>
          </w:pPr>
          <w:r>
            <w:fldChar w:fldCharType="begin"/>
          </w:r>
          <w:r>
            <w:instrText xml:space="preserve"> HYPERLINK \l "_Toc224878344" </w:instrText>
          </w:r>
          <w:r>
            <w:fldChar w:fldCharType="separate"/>
          </w:r>
          <w:r>
            <w:rPr>
              <w:rStyle w:val="7"/>
              <w:rFonts w:ascii="Times New Roman" w:hAnsi="Times New Roman" w:cs="Times New Roman"/>
              <w:b/>
            </w:rPr>
            <w:t>6.0 Conclusion</w:t>
          </w:r>
          <w:r>
            <w:tab/>
          </w:r>
          <w:r>
            <w:fldChar w:fldCharType="begin"/>
          </w:r>
          <w:r>
            <w:instrText xml:space="preserve"> PAGEREF _Toc224878344 \h </w:instrText>
          </w:r>
          <w:r>
            <w:fldChar w:fldCharType="separate"/>
          </w:r>
          <w:r>
            <w:t>11</w:t>
          </w:r>
          <w:r>
            <w:fldChar w:fldCharType="end"/>
          </w:r>
          <w:r>
            <w:fldChar w:fldCharType="end"/>
          </w:r>
        </w:p>
        <w:p w14:paraId="43ECB13E">
          <w:pPr>
            <w:pStyle w:val="3"/>
            <w:tabs>
              <w:tab w:val="right" w:leader="dot" w:pos="8296"/>
            </w:tabs>
            <w:rPr>
              <w:szCs w:val="22"/>
            </w:rPr>
          </w:pPr>
          <w:r>
            <w:fldChar w:fldCharType="begin"/>
          </w:r>
          <w:r>
            <w:instrText xml:space="preserve"> HYPERLINK \l "_Toc224878345" </w:instrText>
          </w:r>
          <w:r>
            <w:fldChar w:fldCharType="separate"/>
          </w:r>
          <w:r>
            <w:rPr>
              <w:rStyle w:val="7"/>
              <w:rFonts w:ascii="Times New Roman" w:hAnsi="Times New Roman" w:cs="Times New Roman"/>
              <w:b/>
            </w:rPr>
            <w:t>7.0 Reference</w:t>
          </w:r>
          <w:r>
            <w:tab/>
          </w:r>
          <w:r>
            <w:fldChar w:fldCharType="begin"/>
          </w:r>
          <w:r>
            <w:instrText xml:space="preserve"> PAGEREF _Toc224878345 \h </w:instrText>
          </w:r>
          <w:r>
            <w:fldChar w:fldCharType="separate"/>
          </w:r>
          <w:r>
            <w:t>13</w:t>
          </w:r>
          <w:r>
            <w:fldChar w:fldCharType="end"/>
          </w:r>
          <w:r>
            <w:fldChar w:fldCharType="end"/>
          </w:r>
        </w:p>
        <w:p w14:paraId="60D49E25">
          <w:r>
            <w:rPr>
              <w:b/>
              <w:bCs/>
              <w:lang w:val="zh-CN"/>
            </w:rPr>
            <w:fldChar w:fldCharType="end"/>
          </w:r>
        </w:p>
      </w:sdtContent>
    </w:sdt>
    <w:p w14:paraId="1BFE8F61">
      <w:pPr>
        <w:widowControl/>
        <w:jc w:val="left"/>
        <w:rPr>
          <w:rFonts w:ascii="Times New Roman" w:hAnsi="Times New Roman" w:cs="Times New Roman"/>
          <w:b/>
          <w:sz w:val="28"/>
        </w:rPr>
      </w:pPr>
      <w:r>
        <w:rPr>
          <w:rFonts w:ascii="Times New Roman" w:hAnsi="Times New Roman" w:cs="Times New Roman"/>
          <w:b/>
          <w:sz w:val="28"/>
        </w:rPr>
        <w:br w:type="page"/>
      </w:r>
    </w:p>
    <w:p w14:paraId="1E8BE10C">
      <w:pPr>
        <w:spacing w:line="360" w:lineRule="auto"/>
        <w:outlineLvl w:val="0"/>
        <w:rPr>
          <w:rFonts w:ascii="Times New Roman" w:hAnsi="Times New Roman" w:cs="Times New Roman"/>
          <w:b/>
          <w:sz w:val="28"/>
        </w:rPr>
      </w:pPr>
      <w:bookmarkStart w:id="1" w:name="_Toc224878329"/>
      <w:r>
        <w:rPr>
          <w:rFonts w:ascii="Times New Roman" w:hAnsi="Times New Roman" w:cs="Times New Roman"/>
          <w:b/>
          <w:sz w:val="28"/>
        </w:rPr>
        <w:t>1.0 Introduction</w:t>
      </w:r>
      <w:bookmarkEnd w:id="1"/>
    </w:p>
    <w:p w14:paraId="0E20C6C0">
      <w:pPr>
        <w:spacing w:line="360" w:lineRule="auto"/>
        <w:ind w:firstLine="200"/>
        <w:rPr>
          <w:rFonts w:ascii="Times New Roman" w:hAnsi="Times New Roman" w:cs="Times New Roman"/>
          <w:sz w:val="24"/>
        </w:rPr>
      </w:pPr>
      <w:r>
        <w:rPr>
          <w:rFonts w:ascii="Times New Roman" w:hAnsi="Times New Roman" w:cs="Times New Roman"/>
          <w:sz w:val="24"/>
        </w:rPr>
        <w:t>The fast-moving consumer goods (FMCG) industry represents a significant share of the global economy, characterized by high-volume, low-margin products such as food, beverages and personal care items. Its competitiveness depends on efficient global supply chains and strong brand differentiation, yet it is increasingly shaped by sustainability pressures, including carbon reduction, waste management and responsible sourcing (Hu and Zeng, 2024).</w:t>
      </w:r>
    </w:p>
    <w:p w14:paraId="62B4C979">
      <w:pPr>
        <w:spacing w:line="360" w:lineRule="auto"/>
        <w:ind w:firstLine="200"/>
        <w:rPr>
          <w:rFonts w:ascii="Times New Roman" w:hAnsi="Times New Roman" w:cs="Times New Roman"/>
          <w:sz w:val="24"/>
        </w:rPr>
      </w:pPr>
      <w:r>
        <w:rPr>
          <w:rFonts w:ascii="Times New Roman" w:hAnsi="Times New Roman" w:cs="Times New Roman"/>
          <w:sz w:val="24"/>
        </w:rPr>
        <w:t>Unilever, founded in 1930, operates in over 190 countries with well-known brands such as Dove, Lipton and Hellmann’s (Unilever, 2024). The company is widely recognized for its sustainability leadership, having embedded environmental objectives into its long-term strategy and committed to carbon reduction and waste minimization initiatives (Narikiyo et al., 2025).</w:t>
      </w:r>
    </w:p>
    <w:p w14:paraId="6CADD25B">
      <w:pPr>
        <w:spacing w:line="360" w:lineRule="auto"/>
        <w:ind w:firstLine="200"/>
        <w:rPr>
          <w:rFonts w:hint="eastAsia" w:ascii="Times New Roman" w:hAnsi="Times New Roman" w:cs="Times New Roman"/>
          <w:sz w:val="24"/>
        </w:rPr>
      </w:pPr>
      <w:r>
        <w:rPr>
          <w:rFonts w:ascii="Times New Roman" w:hAnsi="Times New Roman" w:cs="Times New Roman"/>
          <w:sz w:val="24"/>
        </w:rPr>
        <w:t>Despite this, Unilever faces several strategic challenges, including rising raw material costs, increasing ESG regulatory requirements and intensifying competition from private-label brands, alongside growing pressure for sustainable packaging solutions (Hu and Zeng, 2024). This report evaluates Unilever’s strategic position through external and internal analysis and proposes sustainable strategic recommendations.</w:t>
      </w:r>
    </w:p>
    <w:p w14:paraId="4B4C2786">
      <w:pPr>
        <w:spacing w:line="360" w:lineRule="auto"/>
        <w:outlineLvl w:val="0"/>
        <w:rPr>
          <w:rFonts w:ascii="Times New Roman" w:hAnsi="Times New Roman" w:cs="Times New Roman"/>
          <w:b/>
          <w:sz w:val="28"/>
        </w:rPr>
      </w:pPr>
      <w:bookmarkStart w:id="2" w:name="_Toc224878330"/>
      <w:r>
        <w:rPr>
          <w:rFonts w:ascii="Times New Roman" w:hAnsi="Times New Roman" w:cs="Times New Roman"/>
          <w:b/>
          <w:sz w:val="28"/>
        </w:rPr>
        <w:t>2.0 External Analysis</w:t>
      </w:r>
      <w:bookmarkEnd w:id="2"/>
    </w:p>
    <w:p w14:paraId="0FD5A998">
      <w:pPr>
        <w:spacing w:before="240" w:after="240" w:line="360" w:lineRule="auto"/>
        <w:outlineLvl w:val="1"/>
        <w:rPr>
          <w:rFonts w:ascii="Times New Roman" w:hAnsi="Times New Roman" w:eastAsia="Times New Roman" w:cs="Times New Roman"/>
          <w:sz w:val="24"/>
        </w:rPr>
      </w:pPr>
      <w:bookmarkStart w:id="3" w:name="_Toc224878331"/>
      <w:r>
        <w:rPr>
          <w:rFonts w:ascii="Times New Roman" w:hAnsi="Times New Roman" w:eastAsia="Times New Roman" w:cs="Times New Roman"/>
          <w:sz w:val="24"/>
        </w:rPr>
        <w:t>2.1 PESTEL Analysis</w:t>
      </w:r>
      <w:bookmarkEnd w:id="3"/>
    </w:p>
    <w:p w14:paraId="32F9A90E">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The Unilever’s operating environment is highly regulated, fast-changing macro-environment which influences the strategy of the company. Politically, governments tighten up their environmental regulation—for instance, with the UK Climate Change Act’s mandate for net-zero emissions in 2050, backed up with legally binding carbon budgets for reductions of 78% by 2037. The EU similarly plans to reduce emissions 55% by 2030, achieving climate neutrality in 2050 (Inkwood Research, 2023). Such measures force Unilever to invest in low carbon operations, as well as developing greener supply chains.</w:t>
      </w:r>
    </w:p>
    <w:p w14:paraId="3EF43867">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Inflation and elevated input prices are macroeconomic issues. Fluctuating global commodity prices, as well as logistics disruptions, have increased the cost of farm commodities for feed</w:t>
      </w:r>
      <w:r>
        <w:rPr>
          <w:rFonts w:ascii="Times New Roman" w:hAnsi="Times New Roman" w:cs="Times New Roman"/>
          <w:sz w:val="24"/>
        </w:rPr>
        <w:t xml:space="preserve"> </w:t>
      </w:r>
      <w:r>
        <w:rPr>
          <w:rFonts w:ascii="Times New Roman" w:hAnsi="Times New Roman" w:eastAsia="Times New Roman" w:cs="Times New Roman"/>
          <w:sz w:val="24"/>
        </w:rPr>
        <w:t>stocks or packaging, increasing margin pressure for FMCG companies or cost of living pressure in countries such as the UK that forces customers away from higher priced P/L brands, further limiting profitability (Hu and Zeng, 2024).</w:t>
      </w:r>
    </w:p>
    <w:p w14:paraId="12C1081C">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In terms of the social dimension, consumers’ preference is shifting towards sustainability. Research indicates that ethics and environmental consciousness raise the willingness to pay in environmentally friendly goods (Sun and Yoon, 2022). This movement is also in line with the effort that Unilever made to build a sustainable brand and responsible sourcing.</w:t>
      </w:r>
    </w:p>
    <w:p w14:paraId="0FC9CB5D">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The technological advancements especially the use of Artificial intelligence for supply chain optimization will increase productivity and sustainability through improved demand planning as well as minimization of wastages (Abaku et al., 2024). Sustainable packaging innovation may help enable legislation and brand differentiation among competitors too. From an environmental standpoint, climate change is still an important issue as the world has warmed up by about 1.1</w:t>
      </w:r>
      <w:r>
        <w:rPr>
          <w:rFonts w:ascii="Times New Roman" w:hAnsi="Times New Roman" w:cs="Times New Roman"/>
          <w:sz w:val="24"/>
        </w:rPr>
        <w:t>°C</w:t>
      </w:r>
      <w:r>
        <w:rPr>
          <w:rFonts w:ascii="Times New Roman" w:hAnsi="Times New Roman" w:eastAsia="Times New Roman" w:cs="Times New Roman"/>
          <w:sz w:val="24"/>
        </w:rPr>
        <w:t xml:space="preserve"> over the pre-industrial period (Inkwood Research, 2023). This increases the incentive for Unilever to reduce emissions and reduce the environmental impact at every step along its value chain. Legally speaking, tighter regulation around ESG disclosure, as well as transparency across supply chains is increasing the regulatory burden: forcing firms to incorporate sustainability in the company’s boardroom and reporting policy (Hu and Zeng, 2024).</w:t>
      </w:r>
    </w:p>
    <w:p w14:paraId="1944187B">
      <w:pPr>
        <w:spacing w:before="240" w:after="240" w:line="360" w:lineRule="auto"/>
        <w:outlineLvl w:val="1"/>
        <w:rPr>
          <w:rFonts w:ascii="Times New Roman" w:hAnsi="Times New Roman" w:eastAsia="Times New Roman" w:cs="Times New Roman"/>
          <w:sz w:val="24"/>
        </w:rPr>
      </w:pPr>
      <w:bookmarkStart w:id="4" w:name="_Toc224878332"/>
      <w:r>
        <w:rPr>
          <w:rFonts w:ascii="Times New Roman" w:hAnsi="Times New Roman" w:eastAsia="Times New Roman" w:cs="Times New Roman"/>
          <w:sz w:val="24"/>
        </w:rPr>
        <w:t>2.2 Porter’s Five Forces</w:t>
      </w:r>
      <w:bookmarkEnd w:id="4"/>
    </w:p>
    <w:p w14:paraId="61D524FE">
      <w:pPr>
        <w:spacing w:before="240" w:after="240" w:line="360" w:lineRule="auto"/>
        <w:ind w:firstLine="200"/>
        <w:rPr>
          <w:rFonts w:ascii="Times New Roman" w:hAnsi="Times New Roman" w:eastAsia="Times New Roman" w:cs="Times New Roman"/>
          <w:sz w:val="24"/>
        </w:rPr>
      </w:pPr>
      <w:r>
        <w:rPr>
          <w:rFonts w:ascii="Times New Roman" w:hAnsi="Times New Roman" w:cs="Times New Roman"/>
          <w:sz w:val="24"/>
        </w:rPr>
        <w:t>T</w:t>
      </w:r>
      <w:r>
        <w:rPr>
          <w:rFonts w:ascii="Times New Roman" w:hAnsi="Times New Roman" w:eastAsia="Times New Roman" w:cs="Times New Roman"/>
          <w:sz w:val="24"/>
        </w:rPr>
        <w:t>he danger posed by potential competitors is small because of high barriers like brand loyalty, size and global distribution systems, that are difficult for new firms to duplicate. Supplier power is medium to strong because Unilever depends heavily on agricultural raw materials like palm oil, tea and dairy. Price volatility and sourcing sustainability criteria heighten reliance on compliant suppliers, restricts the bargaining power (Hu and Zeng, 2024).</w:t>
      </w:r>
    </w:p>
    <w:p w14:paraId="64155A2D">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Buyer power is strong, especially because of the dominance by big retailers like supermarkets over shelf space and prices. The growth in private-label offerings have also bolstered retail influence, increasing price competition. Substitutes is a significant threat because buyers may readily switch to less expensive store brands, particularly when pressured economically.</w:t>
      </w:r>
    </w:p>
    <w:p w14:paraId="77E876B3">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The competitive environment is highly competitive. The main international competitors are Nestlé, Procter &amp; Gamble and Danone who compete on pricing, innovation and sustainability. Thus, Unilever needs to continue investing in differentiating brands as well as sustainably innovative products to remain competitive.</w:t>
      </w:r>
    </w:p>
    <w:p w14:paraId="00F8FE27">
      <w:pPr>
        <w:spacing w:line="360" w:lineRule="auto"/>
        <w:outlineLvl w:val="0"/>
        <w:rPr>
          <w:rFonts w:ascii="Times New Roman" w:hAnsi="Times New Roman" w:cs="Times New Roman"/>
          <w:b/>
          <w:sz w:val="28"/>
        </w:rPr>
      </w:pPr>
      <w:bookmarkStart w:id="5" w:name="_Toc224878333"/>
      <w:r>
        <w:rPr>
          <w:rFonts w:ascii="Times New Roman" w:hAnsi="Times New Roman" w:cs="Times New Roman"/>
          <w:b/>
          <w:sz w:val="28"/>
        </w:rPr>
        <w:t>3.0 Internal Analysis</w:t>
      </w:r>
      <w:bookmarkEnd w:id="5"/>
    </w:p>
    <w:p w14:paraId="57BBE943">
      <w:pPr>
        <w:spacing w:before="240" w:after="240" w:line="360" w:lineRule="auto"/>
        <w:outlineLvl w:val="1"/>
        <w:rPr>
          <w:rFonts w:ascii="Times New Roman" w:hAnsi="Times New Roman" w:eastAsia="Times New Roman" w:cs="Times New Roman"/>
          <w:sz w:val="24"/>
        </w:rPr>
      </w:pPr>
      <w:bookmarkStart w:id="6" w:name="_Toc224878334"/>
      <w:r>
        <w:rPr>
          <w:rFonts w:ascii="Times New Roman" w:hAnsi="Times New Roman" w:eastAsia="Times New Roman" w:cs="Times New Roman"/>
          <w:sz w:val="24"/>
        </w:rPr>
        <w:t>3.1 Resource-Based View (RBV)</w:t>
      </w:r>
      <w:bookmarkEnd w:id="6"/>
    </w:p>
    <w:p w14:paraId="4B1935F6">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Unilever’s competitive position is determined by an array of strategically valuable, but unevenly sustainable VRIO attributes. Its brand portfolio, including Dove and Ben &amp; Jerry’s, is an extremely valuable and scarce resource that has been built on substantial levels of brand equity and worldwide awareness. They are hard to replicate because of the long</w:t>
      </w:r>
      <w:r>
        <w:rPr>
          <w:rFonts w:ascii="Times New Roman" w:hAnsi="Times New Roman" w:cs="Times New Roman"/>
          <w:sz w:val="24"/>
        </w:rPr>
        <w:t>-</w:t>
      </w:r>
      <w:r>
        <w:rPr>
          <w:rFonts w:ascii="Times New Roman" w:hAnsi="Times New Roman" w:eastAsia="Times New Roman" w:cs="Times New Roman"/>
          <w:sz w:val="24"/>
        </w:rPr>
        <w:t>term investments on branding and social positioning,</w:t>
      </w:r>
      <w:r>
        <w:rPr>
          <w:rFonts w:ascii="Times New Roman" w:hAnsi="Times New Roman" w:cs="Times New Roman"/>
          <w:sz w:val="24"/>
        </w:rPr>
        <w:t xml:space="preserve"> </w:t>
      </w:r>
      <w:r>
        <w:rPr>
          <w:rFonts w:ascii="Times New Roman" w:hAnsi="Times New Roman" w:eastAsia="Times New Roman" w:cs="Times New Roman"/>
          <w:sz w:val="24"/>
        </w:rPr>
        <w:t>that increase customer loyalty and propensity to pay premium price (Sun and Yoon, 2022), making the brand equity a sustained competitive advantage.</w:t>
      </w:r>
    </w:p>
    <w:p w14:paraId="4ABED889">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Unilever’s global supply chains enable mass scale distribution and operations. The company has millions of transactions, and highly sophisticated logistics networks, that are key for remaining competitive in the market place (Hu and Zeng, 2024). However, they have the very same skills as all their big rivals such as Nestle or Procter &amp; Gamble.</w:t>
      </w:r>
    </w:p>
    <w:p w14:paraId="69C3C763">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In contrast, Unilever’s sustainability capability reflects a more active resource. The company has evolved through phases of “carbon maturity” in the last decade and integrated sustainability into strategic decisions (Narikiyo et al., 2025).Although such a capability improves the image and operation of its users, if an increased rate is observed for the whole industry then we can say that it only gives a short-term advantage over others</w:t>
      </w:r>
      <w:r>
        <w:rPr>
          <w:rFonts w:ascii="Times New Roman" w:hAnsi="Times New Roman" w:cs="Times New Roman"/>
          <w:sz w:val="24"/>
        </w:rPr>
        <w:t>.</w:t>
      </w:r>
    </w:p>
    <w:p w14:paraId="588A47C1">
      <w:pPr>
        <w:spacing w:before="240" w:after="240" w:line="360" w:lineRule="auto"/>
        <w:outlineLvl w:val="1"/>
        <w:rPr>
          <w:rFonts w:ascii="Times New Roman" w:hAnsi="Times New Roman" w:eastAsia="Times New Roman" w:cs="Times New Roman"/>
          <w:sz w:val="24"/>
        </w:rPr>
      </w:pPr>
      <w:bookmarkStart w:id="7" w:name="_Toc224878335"/>
      <w:r>
        <w:rPr>
          <w:rFonts w:ascii="Times New Roman" w:hAnsi="Times New Roman" w:eastAsia="Times New Roman" w:cs="Times New Roman"/>
          <w:sz w:val="24"/>
        </w:rPr>
        <w:t>3.2 Value Chain Analysis</w:t>
      </w:r>
      <w:bookmarkEnd w:id="7"/>
    </w:p>
    <w:p w14:paraId="210779CE">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The example of Unilever’s value chain illustrates the integration of sustainability in operating as well as in strategic activities: for primary activities, sustainable procurement in particular because the relevant agricultural raw materials such as palm oil or tea become more and more sensitive regarding ecological and ethical requirements (Hu and Zeng,2024). Energy-efficiency and waste-reduction in manufacturing process is optimized to achieve the global target of carbon reduction. Logistics infrastructure supports distribution networks that allow companies to compete on a worldwide basis at competitive prices.</w:t>
      </w:r>
    </w:p>
    <w:p w14:paraId="22DDAEA5">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Sustainability is being told as a story more often because of increased market demands for sustainability in products</w:t>
      </w:r>
      <w:r>
        <w:rPr>
          <w:rFonts w:ascii="Times New Roman" w:hAnsi="Times New Roman" w:cs="Times New Roman"/>
          <w:sz w:val="24"/>
        </w:rPr>
        <w:t xml:space="preserve"> or </w:t>
      </w:r>
      <w:r>
        <w:rPr>
          <w:rFonts w:ascii="Times New Roman" w:hAnsi="Times New Roman" w:eastAsia="Times New Roman" w:cs="Times New Roman"/>
          <w:sz w:val="24"/>
        </w:rPr>
        <w:t>services, and</w:t>
      </w:r>
      <w:r>
        <w:rPr>
          <w:rFonts w:ascii="Times New Roman" w:hAnsi="Times New Roman" w:cs="Times New Roman"/>
          <w:sz w:val="24"/>
        </w:rPr>
        <w:t xml:space="preserve"> </w:t>
      </w:r>
      <w:r>
        <w:rPr>
          <w:rFonts w:ascii="Times New Roman" w:hAnsi="Times New Roman" w:eastAsia="Times New Roman" w:cs="Times New Roman"/>
          <w:sz w:val="24"/>
        </w:rPr>
        <w:t>which is proved as influencing purchase behavior in a positive way (Sun and Yoon, 2022).</w:t>
      </w:r>
    </w:p>
    <w:p w14:paraId="1078A43A">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In the category of supporting activity, R&amp;D and investment into technologies are important for future-oriented innovation like packaging or product design; while AI</w:t>
      </w:r>
      <w:r>
        <w:rPr>
          <w:rFonts w:ascii="Times New Roman" w:hAnsi="Times New Roman" w:cs="Times New Roman"/>
          <w:sz w:val="24"/>
        </w:rPr>
        <w:t>-</w:t>
      </w:r>
      <w:r>
        <w:rPr>
          <w:rFonts w:ascii="Times New Roman" w:hAnsi="Times New Roman" w:eastAsia="Times New Roman" w:cs="Times New Roman"/>
          <w:sz w:val="24"/>
        </w:rPr>
        <w:t>based supply chain tool could enhance prediction ability and increase resilience (Abaku et al., 2024). Sustainability efforts in general permeate the entire value chain at Unilever for greater efficiency as well as differentiation.</w:t>
      </w:r>
    </w:p>
    <w:p w14:paraId="264FDC93">
      <w:pPr>
        <w:spacing w:before="240" w:after="240" w:line="360" w:lineRule="auto"/>
        <w:outlineLvl w:val="1"/>
        <w:rPr>
          <w:rFonts w:ascii="Times New Roman" w:hAnsi="Times New Roman" w:eastAsia="Times New Roman" w:cs="Times New Roman"/>
          <w:sz w:val="24"/>
        </w:rPr>
      </w:pPr>
      <w:bookmarkStart w:id="8" w:name="_Toc224878336"/>
      <w:r>
        <w:rPr>
          <w:rFonts w:ascii="Times New Roman" w:hAnsi="Times New Roman" w:eastAsia="Times New Roman" w:cs="Times New Roman"/>
          <w:sz w:val="24"/>
        </w:rPr>
        <w:t>3.3 SWOT Analysis</w:t>
      </w:r>
      <w:bookmarkEnd w:id="8"/>
    </w:p>
    <w:p w14:paraId="25A1A237">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Strengths of Unilever are the brand name, which is known worldwide, sales channels, as well as leading role on sustainable development. The company has been working for years to reduce emissions and use environmentally friendly materials that will improve their image and position in the market (Narikiyo et al., 2025).</w:t>
      </w:r>
    </w:p>
    <w:p w14:paraId="0757351D">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But all these strengths come with limitations such as high cost for operations related to sustainability investment or complex management of international supply chains that are further exacerbated by monetary and organizational barriers in achieving sustainable change (Hu and Zeng, 2024).</w:t>
      </w:r>
    </w:p>
    <w:p w14:paraId="67A777FA">
      <w:pPr>
        <w:spacing w:before="240" w:after="240" w:line="360" w:lineRule="auto"/>
        <w:ind w:firstLine="200"/>
        <w:rPr>
          <w:rFonts w:ascii="Times New Roman" w:hAnsi="Times New Roman" w:eastAsia="Times New Roman" w:cs="Times New Roman"/>
          <w:sz w:val="24"/>
        </w:rPr>
      </w:pPr>
      <w:r>
        <w:rPr>
          <w:rFonts w:ascii="Times New Roman" w:hAnsi="Times New Roman" w:cs="Times New Roman"/>
          <w:sz w:val="24"/>
        </w:rPr>
        <w:t>The company</w:t>
      </w:r>
      <w:r>
        <w:rPr>
          <w:rFonts w:ascii="Times New Roman" w:hAnsi="Times New Roman" w:eastAsia="Times New Roman" w:cs="Times New Roman"/>
          <w:sz w:val="24"/>
        </w:rPr>
        <w:t xml:space="preserve"> has obvious opportunities in the increasing market of eco-friendly products with people ready to buy green stuff at higher prices (Sun and Yoon, 2022). It can grow also by entering a new market.</w:t>
      </w:r>
    </w:p>
    <w:p w14:paraId="352E215F">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Meanwhile, risks involve fluctuating input costs and growing competition with multinationals and house brands: in particular, when pressured economically. Matching internal strengths against external opportunities implies that Unilever could use sustainability-driven innovation as a way of strengthening its competitive position in the face of cost- and competitiveness-related pressures.</w:t>
      </w:r>
    </w:p>
    <w:p w14:paraId="64BC0196">
      <w:pPr>
        <w:spacing w:line="360" w:lineRule="auto"/>
        <w:outlineLvl w:val="0"/>
        <w:rPr>
          <w:rFonts w:ascii="Times New Roman" w:hAnsi="Times New Roman" w:cs="Times New Roman"/>
          <w:b/>
          <w:sz w:val="28"/>
        </w:rPr>
      </w:pPr>
      <w:bookmarkStart w:id="9" w:name="_Toc224878337"/>
      <w:r>
        <w:rPr>
          <w:rFonts w:ascii="Times New Roman" w:hAnsi="Times New Roman" w:cs="Times New Roman"/>
          <w:b/>
          <w:sz w:val="28"/>
        </w:rPr>
        <w:t>4.0 Strategy Formulation and Competitive Positioning</w:t>
      </w:r>
      <w:bookmarkEnd w:id="9"/>
    </w:p>
    <w:p w14:paraId="7FE28D50">
      <w:pPr>
        <w:spacing w:before="240" w:after="240" w:line="360" w:lineRule="auto"/>
        <w:outlineLvl w:val="1"/>
        <w:rPr>
          <w:rFonts w:ascii="Times New Roman" w:hAnsi="Times New Roman" w:eastAsia="Times New Roman" w:cs="Times New Roman"/>
          <w:sz w:val="24"/>
        </w:rPr>
      </w:pPr>
      <w:bookmarkStart w:id="10" w:name="_Toc224878338"/>
      <w:r>
        <w:rPr>
          <w:rFonts w:ascii="Times New Roman" w:hAnsi="Times New Roman" w:eastAsia="Times New Roman" w:cs="Times New Roman"/>
          <w:sz w:val="24"/>
        </w:rPr>
        <w:t>4.1 Porter’s Generic Strategy</w:t>
      </w:r>
      <w:bookmarkEnd w:id="10"/>
    </w:p>
    <w:p w14:paraId="4C76380A">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For Unilever, the main approach is differentiation based on sustainability, brand purpose, and product innovation as justification for its premium positioning. In contrast with its cost-oriented competitors, the company embeds environmental/social values in their brand identity, e.g., Dove’s “Real Beauty” campaign goes beyond the marketing message to include sustainability in terms of sourcing and production ethics, strengthening brand trust and emotional engagement (Unilever, 2023).</w:t>
      </w:r>
    </w:p>
    <w:p w14:paraId="5A8EE947">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This strategy seems also backed up by the increasing consumers’ willingness to pay for sustainable products. In fact, it has been empirically proven how ethical consumption consciousness and perceived CSR can strongly influence customers’ willingness-to-pay a higher price (Sun and Yoon, 2022). Therefore, the sustainability-driven differentiation of Unilever is not only reputational, but also connected to revenue creation.</w:t>
      </w:r>
    </w:p>
    <w:p w14:paraId="68013F07">
      <w:pPr>
        <w:spacing w:before="240" w:after="240" w:line="360" w:lineRule="auto"/>
        <w:outlineLvl w:val="1"/>
        <w:rPr>
          <w:rFonts w:ascii="Times New Roman" w:hAnsi="Times New Roman" w:eastAsia="Times New Roman" w:cs="Times New Roman"/>
          <w:sz w:val="24"/>
        </w:rPr>
      </w:pPr>
      <w:bookmarkStart w:id="11" w:name="_Toc224878339"/>
      <w:r>
        <w:rPr>
          <w:rFonts w:ascii="Times New Roman" w:hAnsi="Times New Roman" w:eastAsia="Times New Roman" w:cs="Times New Roman"/>
          <w:sz w:val="24"/>
        </w:rPr>
        <w:t>4.2 Ansoff Matrix</w:t>
      </w:r>
      <w:bookmarkEnd w:id="11"/>
    </w:p>
    <w:p w14:paraId="0E5ECD35">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Unilever’s strategy fits into both quadrant one, expanding sales of its current products in existing markets; it is building brand equity using sustainable marketing and reformulating product formulations to be more environmentally-friendly and quadrant two, which involves entering new market segments for existing products through sustainability branding, especially among developed European markets with a strong ESG consciousness.</w:t>
      </w:r>
    </w:p>
    <w:p w14:paraId="4E1FB1B3">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The product dimension is reflected by sustainable packaging or recycling strategies, such as the EU’s regulatory push for all plastic packaging to be reusable or recyclable by 2030 has accelerated innovation in sustainable materials (European Commission, 2019; Knoblauch &amp; Mederake, 2021).</w:t>
      </w:r>
    </w:p>
    <w:p w14:paraId="23E0DB38">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This report target the development of markets in emerging countries such as Asia or Africa where there is an increasing consumption of FMCG products with rising incomes and urbanization. However, these markets have also raised regulatory and infrastructure issues, particularly regarding waste management).</w:t>
      </w:r>
    </w:p>
    <w:p w14:paraId="7F4BB8B8">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Finally, diversification can be observed by Unilever’s expansion in the field of vegetarian food products driven by worldwide sustainable trends and changing dietary habits (Inkwood Research, 2024). The result is less dependence upon old product classifications and the capture of fresh avenues for expansion.</w:t>
      </w:r>
    </w:p>
    <w:p w14:paraId="41DFAB69">
      <w:pPr>
        <w:spacing w:before="240" w:after="240" w:line="360" w:lineRule="auto"/>
        <w:outlineLvl w:val="1"/>
        <w:rPr>
          <w:rFonts w:ascii="Times New Roman" w:hAnsi="Times New Roman" w:eastAsia="Times New Roman" w:cs="Times New Roman"/>
          <w:sz w:val="24"/>
        </w:rPr>
      </w:pPr>
      <w:bookmarkStart w:id="12" w:name="_Toc224878340"/>
      <w:r>
        <w:rPr>
          <w:rFonts w:ascii="Times New Roman" w:hAnsi="Times New Roman" w:eastAsia="Times New Roman" w:cs="Times New Roman"/>
          <w:sz w:val="24"/>
        </w:rPr>
        <w:t>4.3 Mergers and Acquisitions</w:t>
      </w:r>
      <w:bookmarkEnd w:id="12"/>
    </w:p>
    <w:p w14:paraId="7609A486">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M&amp;A is also leveraged strategically as a tool to enhance Unilever’s digital footprint and business capabilities. For example in 2016, Unilever paid approximately $1 billion for Dollar Shave Club – arguably one of the largest e-commerce related CPG M&amp;As ever executed (CB Insights, 2016), which allowed Unilever to enter DTC market with less dependency of retailers as an intermediary between brand owner and consumers while getting more insights about customers.</w:t>
      </w:r>
    </w:p>
    <w:p w14:paraId="200AB585">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It is also strategic in that it reflects an emphasis on digitalization and subscriptions so that Unilever can better respond to shifting customer buying patterns and the growing intensity of competition from online retailers.</w:t>
      </w:r>
    </w:p>
    <w:p w14:paraId="54394B34">
      <w:pPr>
        <w:spacing w:line="360" w:lineRule="auto"/>
        <w:outlineLvl w:val="0"/>
        <w:rPr>
          <w:rFonts w:ascii="Times New Roman" w:hAnsi="Times New Roman" w:cs="Times New Roman"/>
          <w:b/>
          <w:sz w:val="28"/>
        </w:rPr>
      </w:pPr>
      <w:bookmarkStart w:id="13" w:name="_Toc224878341"/>
      <w:r>
        <w:rPr>
          <w:rFonts w:ascii="Times New Roman" w:hAnsi="Times New Roman" w:cs="Times New Roman"/>
          <w:b/>
          <w:sz w:val="28"/>
        </w:rPr>
        <w:t>5.0 Sustainability and Strategic Recommendations</w:t>
      </w:r>
      <w:bookmarkEnd w:id="13"/>
    </w:p>
    <w:p w14:paraId="5A0FB4E7">
      <w:pPr>
        <w:spacing w:before="240" w:after="240" w:line="360" w:lineRule="auto"/>
        <w:outlineLvl w:val="1"/>
        <w:rPr>
          <w:rFonts w:ascii="Times New Roman" w:hAnsi="Times New Roman" w:eastAsia="Times New Roman" w:cs="Times New Roman"/>
          <w:sz w:val="24"/>
        </w:rPr>
      </w:pPr>
      <w:bookmarkStart w:id="14" w:name="_Toc224878342"/>
      <w:r>
        <w:rPr>
          <w:rFonts w:ascii="Times New Roman" w:hAnsi="Times New Roman" w:eastAsia="Times New Roman" w:cs="Times New Roman"/>
          <w:sz w:val="24"/>
        </w:rPr>
        <w:t>5.1 Sustainability Evaluation</w:t>
      </w:r>
      <w:bookmarkEnd w:id="14"/>
    </w:p>
    <w:p w14:paraId="41E436B3">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In doing so through pledges and other forms of publicly declared commitments such as its commitment to reach net zero emissions in 2050, Unilever is placing itself at the forefront of corporate sustainability: reduced plastic usage, and used more environmentally friendly sources for some of its products. These actions have raised their ESG scorecard rating and increased investor confidence with regard to it, which adds up to the brand’s long term worth (Narikiyo et al., 2025). The sustainability transformation comes with its own set of challenges though. The high cost of implementing new technology, especially for sustainable materials and low carbon technology puts pressure on the margin (Hu and Zeng, 2024). Furthermore, coordination in global supply chain activities and compliance with different environment legislations adds up to the difficulties of implementation since sustainability is not perceived as exclusive to companies anymore but rather a common practice for all sectors, keeping ahead of the curve .</w:t>
      </w:r>
    </w:p>
    <w:p w14:paraId="4FA637DC">
      <w:pPr>
        <w:spacing w:before="240" w:after="240" w:line="360" w:lineRule="auto"/>
        <w:outlineLvl w:val="1"/>
        <w:rPr>
          <w:rFonts w:ascii="Times New Roman" w:hAnsi="Times New Roman" w:eastAsia="Times New Roman" w:cs="Times New Roman"/>
          <w:sz w:val="24"/>
        </w:rPr>
      </w:pPr>
      <w:bookmarkStart w:id="15" w:name="_Toc224878343"/>
      <w:r>
        <w:rPr>
          <w:rFonts w:ascii="Times New Roman" w:hAnsi="Times New Roman" w:eastAsia="Times New Roman" w:cs="Times New Roman"/>
          <w:sz w:val="24"/>
        </w:rPr>
        <w:t>5.2 Strategic Recommendations</w:t>
      </w:r>
      <w:bookmarkEnd w:id="15"/>
    </w:p>
    <w:p w14:paraId="1B931FC9">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Unilever can take a number of steps to improve its competitive standing. First, Unilever could increase investment into developing new types of circular packaging, especially for scalable recyclable and reusable materials, that is also aligned with an increase of regulation and addressing growing concern over plastic waste (Knoblauch and Mederake, 2021).</w:t>
      </w:r>
    </w:p>
    <w:p w14:paraId="024D731C">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Secondly, Unilever needs to broaden its application of artificial intelligence (AI) based on supply chain optimization to increase productivity while reducing costs. Artificial intelligence could be used for improving demand planning, minimize waste and increase resilience in complex global supply networks (Abaku et al., 2024).</w:t>
      </w:r>
    </w:p>
    <w:p w14:paraId="11EA92F0">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Third, the firm should expand its sustainable products line in developing countries since there is an increasing demand of cheap but sustainable products and thus Unilever can capture some growth opportunity at the same time as enhancing its position on sustainability (Inkwood Research, 2024).</w:t>
      </w:r>
    </w:p>
    <w:p w14:paraId="5EF9561A">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Lastly, Unilever needs better collaboration with its suppliers in order to further sustainable sourcing. Crossvalue chain cooperation could increase transparency, ensure that it meets the applicable requirements for the environment, and minimize future risk.</w:t>
      </w:r>
    </w:p>
    <w:p w14:paraId="1ED0210E">
      <w:pPr>
        <w:spacing w:line="360" w:lineRule="auto"/>
        <w:outlineLvl w:val="0"/>
        <w:rPr>
          <w:rFonts w:ascii="Times New Roman" w:hAnsi="Times New Roman" w:cs="Times New Roman"/>
          <w:b/>
          <w:sz w:val="28"/>
        </w:rPr>
      </w:pPr>
      <w:bookmarkStart w:id="16" w:name="_Toc224878344"/>
      <w:r>
        <w:rPr>
          <w:rFonts w:ascii="Times New Roman" w:hAnsi="Times New Roman" w:cs="Times New Roman"/>
          <w:b/>
          <w:sz w:val="28"/>
        </w:rPr>
        <w:t>6.0 Conclusion</w:t>
      </w:r>
      <w:bookmarkEnd w:id="16"/>
    </w:p>
    <w:p w14:paraId="78B24E8C">
      <w:pPr>
        <w:spacing w:before="240" w:after="240" w:line="360" w:lineRule="auto"/>
        <w:ind w:firstLine="200"/>
        <w:rPr>
          <w:rFonts w:ascii="Times New Roman" w:hAnsi="Times New Roman" w:eastAsia="Times New Roman" w:cs="Times New Roman"/>
          <w:sz w:val="24"/>
        </w:rPr>
      </w:pPr>
      <w:r>
        <w:rPr>
          <w:rFonts w:ascii="Times New Roman" w:hAnsi="Times New Roman" w:cs="Times New Roman"/>
          <w:sz w:val="24"/>
        </w:rPr>
        <w:t xml:space="preserve">The </w:t>
      </w:r>
      <w:r>
        <w:rPr>
          <w:rFonts w:ascii="Times New Roman" w:hAnsi="Times New Roman" w:eastAsia="Times New Roman" w:cs="Times New Roman"/>
          <w:sz w:val="24"/>
        </w:rPr>
        <w:t>report</w:t>
      </w:r>
      <w:r>
        <w:rPr>
          <w:rFonts w:ascii="Times New Roman" w:hAnsi="Times New Roman" w:cs="Times New Roman"/>
          <w:sz w:val="24"/>
        </w:rPr>
        <w:t xml:space="preserve"> </w:t>
      </w:r>
      <w:r>
        <w:rPr>
          <w:rFonts w:ascii="Times New Roman" w:hAnsi="Times New Roman" w:eastAsia="Times New Roman" w:cs="Times New Roman"/>
          <w:sz w:val="24"/>
        </w:rPr>
        <w:t>analyse</w:t>
      </w:r>
      <w:r>
        <w:rPr>
          <w:rFonts w:ascii="Times New Roman" w:hAnsi="Times New Roman" w:cs="Times New Roman"/>
          <w:sz w:val="24"/>
        </w:rPr>
        <w:t>s</w:t>
      </w:r>
      <w:r>
        <w:rPr>
          <w:rFonts w:ascii="Times New Roman" w:hAnsi="Times New Roman" w:eastAsia="Times New Roman" w:cs="Times New Roman"/>
          <w:sz w:val="24"/>
        </w:rPr>
        <w:t xml:space="preserve"> the strategic position of Unilever’s in terms of external and internal forces which has showed that Unilever is operating in a very complicated place with economic uncertainty and growing international competition. Environmental regulations in particular, higher energy prices, and a shift by consumers toward environmentally friendly products are affecting competitiveness.</w:t>
      </w:r>
    </w:p>
    <w:p w14:paraId="050BD290">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The study shows how the concept of sustainability moved out of the realm of regulatory compliance to become one of the sources for competitiveness. Unilever’s differentiation strategy, which is backed up with high brand value as well as early commitment on environmental issues, allows for keeping a high price position while responding to consumers’ demand shifts. This edge however isn’t a fixed state with competition catching up rapidly and the continued challenges of cost pressure and complexity impeding its adoption.</w:t>
      </w:r>
    </w:p>
    <w:p w14:paraId="65AA7F6A">
      <w:pPr>
        <w:spacing w:before="240" w:after="240" w:line="360" w:lineRule="auto"/>
        <w:ind w:firstLine="200"/>
        <w:rPr>
          <w:rFonts w:ascii="Times New Roman" w:hAnsi="Times New Roman" w:eastAsia="Times New Roman" w:cs="Times New Roman"/>
          <w:sz w:val="24"/>
        </w:rPr>
      </w:pPr>
      <w:r>
        <w:rPr>
          <w:rFonts w:ascii="Times New Roman" w:hAnsi="Times New Roman" w:eastAsia="Times New Roman" w:cs="Times New Roman"/>
          <w:sz w:val="24"/>
        </w:rPr>
        <w:t>Smart innovation will be vital for competitiveness going forward. Investment in circular packaging, digital supply chain optimization and expansion into new markets will become necessary in order to reconcile sustainable objectives with costs. Finally, the question is if it can meet its obligations to the environment and society while still turning a profit in this transition to a more sustainable world.</w:t>
      </w:r>
    </w:p>
    <w:p w14:paraId="2828384C">
      <w:pPr>
        <w:widowControl/>
        <w:jc w:val="left"/>
        <w:rPr>
          <w:rFonts w:ascii="Times New Roman" w:hAnsi="Times New Roman" w:cs="Times New Roman"/>
          <w:b/>
          <w:sz w:val="28"/>
        </w:rPr>
      </w:pPr>
      <w:r>
        <w:rPr>
          <w:rFonts w:ascii="Times New Roman" w:hAnsi="Times New Roman" w:cs="Times New Roman"/>
          <w:b/>
          <w:sz w:val="28"/>
        </w:rPr>
        <w:br w:type="page"/>
      </w:r>
    </w:p>
    <w:p w14:paraId="77FCE880">
      <w:pPr>
        <w:spacing w:line="360" w:lineRule="auto"/>
        <w:outlineLvl w:val="0"/>
        <w:rPr>
          <w:rFonts w:ascii="Times New Roman" w:hAnsi="Times New Roman" w:cs="Times New Roman"/>
          <w:b/>
          <w:sz w:val="28"/>
        </w:rPr>
      </w:pPr>
      <w:bookmarkStart w:id="17" w:name="_Toc224878345"/>
      <w:r>
        <w:rPr>
          <w:rFonts w:ascii="Times New Roman" w:hAnsi="Times New Roman" w:cs="Times New Roman"/>
          <w:b/>
          <w:sz w:val="28"/>
        </w:rPr>
        <w:t>7.0 Reference</w:t>
      </w:r>
      <w:bookmarkEnd w:id="17"/>
    </w:p>
    <w:p w14:paraId="61CA3AA5">
      <w:pPr>
        <w:spacing w:line="360" w:lineRule="auto"/>
        <w:rPr>
          <w:rFonts w:ascii="Times New Roman" w:hAnsi="Times New Roman" w:cs="Times New Roman"/>
          <w:b/>
          <w:sz w:val="24"/>
        </w:rPr>
      </w:pPr>
      <w:r>
        <w:rPr>
          <w:rFonts w:ascii="Times New Roman" w:hAnsi="Times New Roman" w:cs="Times New Roman"/>
          <w:b/>
          <w:sz w:val="24"/>
        </w:rPr>
        <w:t>Academic Journal Articles &amp; Books</w:t>
      </w:r>
    </w:p>
    <w:p w14:paraId="1CD47ED5">
      <w:pPr>
        <w:spacing w:line="360" w:lineRule="auto"/>
        <w:ind w:firstLine="200"/>
        <w:rPr>
          <w:rFonts w:ascii="Times New Roman" w:hAnsi="Times New Roman" w:cs="Times New Roman"/>
          <w:sz w:val="24"/>
        </w:rPr>
      </w:pPr>
      <w:r>
        <w:rPr>
          <w:rFonts w:ascii="Times New Roman" w:hAnsi="Times New Roman" w:cs="Times New Roman"/>
          <w:sz w:val="24"/>
        </w:rPr>
        <w:t xml:space="preserve">Abaku, E. A., Edunjobi, T. E. and Odimarha, A. C. (2024) ‘Theoretical approaches to AI in supply chain optimization: Pathways to efficiency and resilience’, </w:t>
      </w:r>
      <w:r>
        <w:rPr>
          <w:rFonts w:ascii="Times New Roman" w:hAnsi="Times New Roman" w:cs="Times New Roman"/>
          <w:i/>
          <w:sz w:val="24"/>
        </w:rPr>
        <w:t>International Journal of Science and Technology Research Archive</w:t>
      </w:r>
      <w:r>
        <w:rPr>
          <w:rFonts w:ascii="Times New Roman" w:hAnsi="Times New Roman" w:cs="Times New Roman"/>
          <w:sz w:val="24"/>
        </w:rPr>
        <w:t>, 6(1), pp. 92–107.</w:t>
      </w:r>
    </w:p>
    <w:p w14:paraId="7FA12927">
      <w:pPr>
        <w:spacing w:line="360" w:lineRule="auto"/>
        <w:ind w:firstLine="200"/>
        <w:rPr>
          <w:rFonts w:ascii="Times New Roman" w:hAnsi="Times New Roman" w:cs="Times New Roman"/>
          <w:sz w:val="24"/>
        </w:rPr>
      </w:pPr>
      <w:r>
        <w:rPr>
          <w:rFonts w:ascii="Times New Roman" w:hAnsi="Times New Roman" w:cs="Times New Roman"/>
          <w:sz w:val="24"/>
        </w:rPr>
        <w:t xml:space="preserve">Anaya Alarcón, J. W., Asprilla Manyoma, J., Botero Prada, J. B., Rojas, R. and Sánchez, M. (n.d.) </w:t>
      </w:r>
      <w:r>
        <w:rPr>
          <w:rFonts w:ascii="Times New Roman" w:hAnsi="Times New Roman" w:cs="Times New Roman"/>
          <w:i/>
          <w:sz w:val="24"/>
        </w:rPr>
        <w:t>Propuesta de Supply Chain Management y Logística para la empresa Unilever Ltda</w:t>
      </w:r>
      <w:r>
        <w:rPr>
          <w:rFonts w:ascii="Times New Roman" w:hAnsi="Times New Roman" w:cs="Times New Roman"/>
          <w:sz w:val="24"/>
        </w:rPr>
        <w:t>.</w:t>
      </w:r>
    </w:p>
    <w:p w14:paraId="2C7476BD">
      <w:pPr>
        <w:spacing w:line="360" w:lineRule="auto"/>
        <w:ind w:firstLine="200"/>
        <w:rPr>
          <w:rFonts w:ascii="Times New Roman" w:hAnsi="Times New Roman" w:cs="Times New Roman"/>
          <w:sz w:val="24"/>
        </w:rPr>
      </w:pPr>
      <w:r>
        <w:rPr>
          <w:rFonts w:ascii="Times New Roman" w:hAnsi="Times New Roman" w:cs="Times New Roman"/>
          <w:sz w:val="24"/>
        </w:rPr>
        <w:t>Baragiola, G. and Mauri, M. (2021) ‘SDGs and the private sector: Unilever and P&amp;G case studies’.</w:t>
      </w:r>
    </w:p>
    <w:p w14:paraId="5C674BB0">
      <w:pPr>
        <w:spacing w:line="360" w:lineRule="auto"/>
        <w:ind w:firstLine="200"/>
        <w:rPr>
          <w:rFonts w:ascii="Times New Roman" w:hAnsi="Times New Roman" w:cs="Times New Roman"/>
          <w:sz w:val="24"/>
        </w:rPr>
      </w:pPr>
      <w:r>
        <w:rPr>
          <w:rFonts w:ascii="Times New Roman" w:hAnsi="Times New Roman" w:cs="Times New Roman"/>
          <w:sz w:val="24"/>
        </w:rPr>
        <w:t xml:space="preserve">Daramola, O. M., Apeh, C. E., Basiru, J. O., Onukwulu, E. C. and Paul, P. O. (2025) ‘Sustainable packaging operations: Balancing cost, functionality, and environmental concerns’, </w:t>
      </w:r>
      <w:r>
        <w:rPr>
          <w:rFonts w:ascii="Times New Roman" w:hAnsi="Times New Roman" w:cs="Times New Roman"/>
          <w:i/>
          <w:sz w:val="24"/>
        </w:rPr>
        <w:t>International Journal of Social Science Exceptional Research</w:t>
      </w:r>
      <w:r>
        <w:rPr>
          <w:rFonts w:ascii="Times New Roman" w:hAnsi="Times New Roman" w:cs="Times New Roman"/>
          <w:sz w:val="24"/>
        </w:rPr>
        <w:t>, 4(1), pp. 79–97.</w:t>
      </w:r>
    </w:p>
    <w:p w14:paraId="55B30182">
      <w:pPr>
        <w:spacing w:line="360" w:lineRule="auto"/>
        <w:ind w:firstLine="200"/>
        <w:rPr>
          <w:rFonts w:ascii="Times New Roman" w:hAnsi="Times New Roman" w:cs="Times New Roman"/>
          <w:sz w:val="24"/>
        </w:rPr>
      </w:pPr>
      <w:r>
        <w:rPr>
          <w:rFonts w:ascii="Times New Roman" w:hAnsi="Times New Roman" w:cs="Times New Roman"/>
          <w:sz w:val="24"/>
        </w:rPr>
        <w:t xml:space="preserve">Dhongde, A. (2024) ‘Sustainable procurement strategies in FMCG: Impact on supply chain efficiency and cost reduction’, </w:t>
      </w:r>
      <w:r>
        <w:rPr>
          <w:rFonts w:ascii="Times New Roman" w:hAnsi="Times New Roman" w:cs="Times New Roman"/>
          <w:i/>
          <w:sz w:val="24"/>
        </w:rPr>
        <w:t>Journal of Economics and Business Management</w:t>
      </w:r>
      <w:r>
        <w:rPr>
          <w:rFonts w:ascii="Times New Roman" w:hAnsi="Times New Roman" w:cs="Times New Roman"/>
          <w:sz w:val="24"/>
        </w:rPr>
        <w:t>, 3(12), pp. 7–14.</w:t>
      </w:r>
    </w:p>
    <w:p w14:paraId="03ADC25B">
      <w:pPr>
        <w:spacing w:line="360" w:lineRule="auto"/>
        <w:ind w:firstLine="200"/>
        <w:rPr>
          <w:rFonts w:ascii="Times New Roman" w:hAnsi="Times New Roman" w:cs="Times New Roman"/>
          <w:sz w:val="24"/>
        </w:rPr>
      </w:pPr>
      <w:r>
        <w:rPr>
          <w:rFonts w:ascii="Times New Roman" w:hAnsi="Times New Roman" w:cs="Times New Roman"/>
          <w:sz w:val="24"/>
        </w:rPr>
        <w:t xml:space="preserve">Dorling, D. (2025) ‘Visualising the 2020s UK cost-of-living crisis’, </w:t>
      </w:r>
      <w:r>
        <w:rPr>
          <w:rFonts w:ascii="Times New Roman" w:hAnsi="Times New Roman" w:cs="Times New Roman"/>
          <w:i/>
          <w:sz w:val="24"/>
        </w:rPr>
        <w:t>Social Policy &amp; Administration</w:t>
      </w:r>
      <w:r>
        <w:rPr>
          <w:rFonts w:ascii="Times New Roman" w:hAnsi="Times New Roman" w:cs="Times New Roman"/>
          <w:sz w:val="24"/>
        </w:rPr>
        <w:t>, 59(2), pp. 197–220.</w:t>
      </w:r>
    </w:p>
    <w:p w14:paraId="091BB847">
      <w:pPr>
        <w:spacing w:line="360" w:lineRule="auto"/>
        <w:ind w:firstLine="200"/>
        <w:rPr>
          <w:rFonts w:ascii="Times New Roman" w:hAnsi="Times New Roman" w:cs="Times New Roman"/>
          <w:sz w:val="24"/>
        </w:rPr>
      </w:pPr>
      <w:r>
        <w:rPr>
          <w:rFonts w:ascii="Times New Roman" w:hAnsi="Times New Roman" w:cs="Times New Roman"/>
          <w:sz w:val="24"/>
        </w:rPr>
        <w:t xml:space="preserve">Hiller, A. and Goworek, H. (2023) Ethical consumption: </w:t>
      </w:r>
      <w:r>
        <w:rPr>
          <w:rFonts w:ascii="Times New Roman" w:hAnsi="Times New Roman" w:cs="Times New Roman"/>
          <w:i/>
          <w:sz w:val="24"/>
        </w:rPr>
        <w:t>A research overview</w:t>
      </w:r>
      <w:r>
        <w:rPr>
          <w:rFonts w:ascii="Times New Roman" w:hAnsi="Times New Roman" w:cs="Times New Roman"/>
          <w:sz w:val="24"/>
        </w:rPr>
        <w:t>. London: Routledge.</w:t>
      </w:r>
    </w:p>
    <w:p w14:paraId="131BB5BC">
      <w:pPr>
        <w:spacing w:line="360" w:lineRule="auto"/>
        <w:ind w:firstLine="200"/>
        <w:rPr>
          <w:rFonts w:ascii="Times New Roman" w:hAnsi="Times New Roman" w:cs="Times New Roman"/>
          <w:sz w:val="24"/>
        </w:rPr>
      </w:pPr>
      <w:r>
        <w:rPr>
          <w:rFonts w:ascii="Times New Roman" w:hAnsi="Times New Roman" w:cs="Times New Roman"/>
          <w:sz w:val="24"/>
        </w:rPr>
        <w:t xml:space="preserve">Hu, Q. (2023) ‘Unilever’s practice on AI-based recruitment’, </w:t>
      </w:r>
      <w:r>
        <w:rPr>
          <w:rFonts w:ascii="Times New Roman" w:hAnsi="Times New Roman" w:cs="Times New Roman"/>
          <w:i/>
          <w:sz w:val="24"/>
        </w:rPr>
        <w:t>Highlights in Business</w:t>
      </w:r>
      <w:r>
        <w:rPr>
          <w:rFonts w:ascii="Times New Roman" w:hAnsi="Times New Roman" w:cs="Times New Roman"/>
          <w:sz w:val="24"/>
        </w:rPr>
        <w:t>, Economics and Management, 16, pp. 256–263. https://doi.org/10.54097/hbem.v16i.10565</w:t>
      </w:r>
    </w:p>
    <w:p w14:paraId="530AD8C3">
      <w:pPr>
        <w:spacing w:line="360" w:lineRule="auto"/>
        <w:ind w:firstLine="200"/>
        <w:rPr>
          <w:rFonts w:ascii="Times New Roman" w:hAnsi="Times New Roman" w:cs="Times New Roman"/>
          <w:sz w:val="24"/>
        </w:rPr>
      </w:pPr>
      <w:r>
        <w:rPr>
          <w:rFonts w:ascii="Times New Roman" w:hAnsi="Times New Roman" w:cs="Times New Roman"/>
          <w:sz w:val="24"/>
        </w:rPr>
        <w:t xml:space="preserve">Hu, Y. and Zeng, Y. (2024) ‘Achieving sustainable operations: Challenges, countermeasures, and the case of Unilever’, </w:t>
      </w:r>
      <w:r>
        <w:rPr>
          <w:rFonts w:ascii="Times New Roman" w:hAnsi="Times New Roman" w:cs="Times New Roman"/>
          <w:i/>
          <w:sz w:val="24"/>
        </w:rPr>
        <w:t>SHS Web of Conferences</w:t>
      </w:r>
      <w:r>
        <w:rPr>
          <w:rFonts w:ascii="Times New Roman" w:hAnsi="Times New Roman" w:cs="Times New Roman"/>
          <w:sz w:val="24"/>
        </w:rPr>
        <w:t>, 181, 01036. https://doi.org/10.1051/shsconf/202418101036</w:t>
      </w:r>
    </w:p>
    <w:p w14:paraId="1C988C45">
      <w:pPr>
        <w:spacing w:line="360" w:lineRule="auto"/>
        <w:ind w:firstLine="200"/>
        <w:rPr>
          <w:rFonts w:ascii="Times New Roman" w:hAnsi="Times New Roman" w:cs="Times New Roman"/>
          <w:sz w:val="24"/>
        </w:rPr>
      </w:pPr>
      <w:r>
        <w:rPr>
          <w:rFonts w:ascii="Times New Roman" w:hAnsi="Times New Roman" w:cs="Times New Roman"/>
          <w:sz w:val="24"/>
        </w:rPr>
        <w:t xml:space="preserve">Narikiyo, C., Harris, E. and Elmassri, M. (2025) ‘Strategies for carbon reduction maturity: A longitudinal case study of Unilever PLC’, </w:t>
      </w:r>
      <w:r>
        <w:rPr>
          <w:rFonts w:ascii="Times New Roman" w:hAnsi="Times New Roman" w:cs="Times New Roman"/>
          <w:i/>
          <w:sz w:val="24"/>
        </w:rPr>
        <w:t>Business Strategy and the Environment</w:t>
      </w:r>
      <w:r>
        <w:rPr>
          <w:rFonts w:ascii="Times New Roman" w:hAnsi="Times New Roman" w:cs="Times New Roman"/>
          <w:sz w:val="24"/>
        </w:rPr>
        <w:t>, 34(5), pp. 5419–5434.</w:t>
      </w:r>
    </w:p>
    <w:p w14:paraId="20553FE6">
      <w:pPr>
        <w:spacing w:line="360" w:lineRule="auto"/>
        <w:ind w:firstLine="200"/>
        <w:rPr>
          <w:rFonts w:ascii="Times New Roman" w:hAnsi="Times New Roman" w:cs="Times New Roman"/>
          <w:sz w:val="24"/>
        </w:rPr>
      </w:pPr>
      <w:r>
        <w:rPr>
          <w:rFonts w:ascii="Times New Roman" w:hAnsi="Times New Roman" w:cs="Times New Roman"/>
          <w:sz w:val="24"/>
        </w:rPr>
        <w:t>Oliver Yébenes, M. (2024) ‘Climate change, ESG criteria and recent regulation: Challenges and opportunities’,</w:t>
      </w:r>
      <w:r>
        <w:rPr>
          <w:rFonts w:ascii="Times New Roman" w:hAnsi="Times New Roman" w:cs="Times New Roman"/>
          <w:i/>
          <w:sz w:val="24"/>
        </w:rPr>
        <w:t xml:space="preserve"> Eurasian Economic Review</w:t>
      </w:r>
      <w:r>
        <w:rPr>
          <w:rFonts w:ascii="Times New Roman" w:hAnsi="Times New Roman" w:cs="Times New Roman"/>
          <w:sz w:val="24"/>
        </w:rPr>
        <w:t>, 14(1), pp. 87–120.</w:t>
      </w:r>
    </w:p>
    <w:p w14:paraId="0DB71A7F">
      <w:pPr>
        <w:spacing w:line="360" w:lineRule="auto"/>
        <w:ind w:firstLine="200"/>
        <w:rPr>
          <w:rFonts w:ascii="Times New Roman" w:hAnsi="Times New Roman" w:cs="Times New Roman"/>
          <w:sz w:val="24"/>
        </w:rPr>
      </w:pPr>
      <w:r>
        <w:rPr>
          <w:rFonts w:ascii="Times New Roman" w:hAnsi="Times New Roman" w:cs="Times New Roman"/>
          <w:sz w:val="24"/>
        </w:rPr>
        <w:t xml:space="preserve">Reza, M. H. (2020) ‘Marketing strategy and sustainable plan of Unilever’, </w:t>
      </w:r>
      <w:r>
        <w:rPr>
          <w:rFonts w:ascii="Times New Roman" w:hAnsi="Times New Roman" w:cs="Times New Roman"/>
          <w:i/>
          <w:sz w:val="24"/>
        </w:rPr>
        <w:t>International Journal of Scientific Research and Engineering Development</w:t>
      </w:r>
      <w:r>
        <w:rPr>
          <w:rFonts w:ascii="Times New Roman" w:hAnsi="Times New Roman" w:cs="Times New Roman"/>
          <w:sz w:val="24"/>
        </w:rPr>
        <w:t>, 3(4).</w:t>
      </w:r>
    </w:p>
    <w:p w14:paraId="18B4BB3E">
      <w:pPr>
        <w:spacing w:line="360" w:lineRule="auto"/>
        <w:ind w:firstLine="200"/>
        <w:rPr>
          <w:rFonts w:ascii="Times New Roman" w:hAnsi="Times New Roman" w:cs="Times New Roman"/>
          <w:sz w:val="24"/>
        </w:rPr>
      </w:pPr>
      <w:r>
        <w:rPr>
          <w:rFonts w:ascii="Times New Roman" w:hAnsi="Times New Roman" w:cs="Times New Roman"/>
          <w:sz w:val="24"/>
        </w:rPr>
        <w:t xml:space="preserve">Sun, Z. Q. and Yoon, S. J. (2022) ‘What makes people pay premium price for eco-friendly products? The effects of ethical consumption consciousness, CSR, and product quality’, </w:t>
      </w:r>
      <w:r>
        <w:rPr>
          <w:rFonts w:ascii="Times New Roman" w:hAnsi="Times New Roman" w:cs="Times New Roman"/>
          <w:i/>
          <w:sz w:val="24"/>
        </w:rPr>
        <w:t>Sustainability</w:t>
      </w:r>
      <w:r>
        <w:rPr>
          <w:rFonts w:ascii="Times New Roman" w:hAnsi="Times New Roman" w:cs="Times New Roman"/>
          <w:sz w:val="24"/>
        </w:rPr>
        <w:t>, 14(23), 15513. https://doi.org/10.3390/su142315513</w:t>
      </w:r>
    </w:p>
    <w:p w14:paraId="2785FFAA">
      <w:pPr>
        <w:spacing w:line="360" w:lineRule="auto"/>
        <w:rPr>
          <w:rFonts w:ascii="Times New Roman" w:hAnsi="Times New Roman" w:cs="Times New Roman"/>
          <w:b/>
          <w:sz w:val="24"/>
        </w:rPr>
      </w:pPr>
      <w:r>
        <w:rPr>
          <w:rFonts w:ascii="Times New Roman" w:hAnsi="Times New Roman" w:cs="Times New Roman"/>
          <w:b/>
          <w:sz w:val="24"/>
        </w:rPr>
        <w:t>Reports &amp; Policy Documents</w:t>
      </w:r>
    </w:p>
    <w:p w14:paraId="7962217D">
      <w:pPr>
        <w:spacing w:line="360" w:lineRule="auto"/>
        <w:ind w:firstLine="200"/>
        <w:rPr>
          <w:rFonts w:ascii="Times New Roman" w:hAnsi="Times New Roman" w:cs="Times New Roman"/>
          <w:sz w:val="24"/>
        </w:rPr>
      </w:pPr>
      <w:r>
        <w:rPr>
          <w:rFonts w:ascii="Times New Roman" w:hAnsi="Times New Roman" w:cs="Times New Roman"/>
          <w:sz w:val="24"/>
        </w:rPr>
        <w:t xml:space="preserve">Shishlov, I., Censkowsky, P., Lemming, A. and Shorthouse, R. (2022) </w:t>
      </w:r>
      <w:r>
        <w:rPr>
          <w:rFonts w:ascii="Times New Roman" w:hAnsi="Times New Roman" w:cs="Times New Roman"/>
          <w:i/>
          <w:sz w:val="24"/>
        </w:rPr>
        <w:t>Greening UK Export Finance</w:t>
      </w:r>
      <w:r>
        <w:rPr>
          <w:rFonts w:ascii="Times New Roman" w:hAnsi="Times New Roman" w:cs="Times New Roman"/>
          <w:sz w:val="24"/>
        </w:rPr>
        <w:t>. London: Bright Blue. Available at: http://www.brightblue.org.uk/portfolio/greening-uk-export-finance/</w:t>
      </w:r>
    </w:p>
    <w:p w14:paraId="1AEBF9B1">
      <w:pPr>
        <w:spacing w:line="360" w:lineRule="auto"/>
        <w:ind w:firstLine="200"/>
        <w:rPr>
          <w:rFonts w:ascii="Times New Roman" w:hAnsi="Times New Roman" w:cs="Times New Roman"/>
          <w:sz w:val="24"/>
        </w:rPr>
      </w:pPr>
      <w:r>
        <w:rPr>
          <w:rFonts w:ascii="Times New Roman" w:hAnsi="Times New Roman" w:cs="Times New Roman"/>
          <w:sz w:val="24"/>
        </w:rPr>
        <w:t xml:space="preserve">UK Government (2023) </w:t>
      </w:r>
      <w:r>
        <w:rPr>
          <w:rFonts w:ascii="Times New Roman" w:hAnsi="Times New Roman" w:cs="Times New Roman"/>
          <w:i/>
          <w:sz w:val="24"/>
        </w:rPr>
        <w:t>Environmental principles policy statement</w:t>
      </w:r>
      <w:r>
        <w:rPr>
          <w:rFonts w:ascii="Times New Roman" w:hAnsi="Times New Roman" w:cs="Times New Roman"/>
          <w:sz w:val="24"/>
        </w:rPr>
        <w:t>. Available at: https://www.gov.uk/government/publications/environmental-principles-policy-statement/environmental-principles-policy-statement</w:t>
      </w:r>
    </w:p>
    <w:p w14:paraId="3561A03B">
      <w:pPr>
        <w:spacing w:line="360" w:lineRule="auto"/>
        <w:ind w:firstLine="200"/>
        <w:rPr>
          <w:rFonts w:ascii="Times New Roman" w:hAnsi="Times New Roman" w:cs="Times New Roman"/>
          <w:sz w:val="24"/>
        </w:rPr>
      </w:pPr>
      <w:r>
        <w:rPr>
          <w:rFonts w:ascii="Times New Roman" w:hAnsi="Times New Roman" w:cs="Times New Roman"/>
          <w:sz w:val="24"/>
        </w:rPr>
        <w:t xml:space="preserve">Climate Change Committee (CCC) (2023) </w:t>
      </w:r>
      <w:r>
        <w:rPr>
          <w:rFonts w:ascii="Times New Roman" w:hAnsi="Times New Roman" w:cs="Times New Roman"/>
          <w:i/>
          <w:sz w:val="24"/>
        </w:rPr>
        <w:t>Climate action</w:t>
      </w:r>
      <w:r>
        <w:rPr>
          <w:rFonts w:ascii="Times New Roman" w:hAnsi="Times New Roman" w:cs="Times New Roman"/>
          <w:sz w:val="24"/>
        </w:rPr>
        <w:t>. Available at: https://www.theccc.org.uk/climate-action/</w:t>
      </w:r>
    </w:p>
    <w:p w14:paraId="1F72C09F">
      <w:pPr>
        <w:spacing w:line="360" w:lineRule="auto"/>
        <w:ind w:firstLine="200"/>
        <w:rPr>
          <w:rFonts w:ascii="Times New Roman" w:hAnsi="Times New Roman" w:cs="Times New Roman"/>
          <w:sz w:val="24"/>
        </w:rPr>
      </w:pPr>
      <w:r>
        <w:rPr>
          <w:rFonts w:ascii="Times New Roman" w:hAnsi="Times New Roman" w:cs="Times New Roman"/>
          <w:sz w:val="24"/>
        </w:rPr>
        <w:t>European Commission (2019)</w:t>
      </w:r>
      <w:r>
        <w:rPr>
          <w:rFonts w:ascii="Times New Roman" w:hAnsi="Times New Roman" w:cs="Times New Roman"/>
          <w:i/>
          <w:sz w:val="24"/>
        </w:rPr>
        <w:t xml:space="preserve"> European Green Deal</w:t>
      </w:r>
      <w:r>
        <w:rPr>
          <w:rFonts w:ascii="Times New Roman" w:hAnsi="Times New Roman" w:cs="Times New Roman"/>
          <w:sz w:val="24"/>
        </w:rPr>
        <w:t>.</w:t>
      </w:r>
    </w:p>
    <w:p w14:paraId="482CA421">
      <w:pPr>
        <w:spacing w:line="360" w:lineRule="auto"/>
        <w:ind w:firstLine="200"/>
        <w:rPr>
          <w:rFonts w:ascii="Times New Roman" w:hAnsi="Times New Roman" w:cs="Times New Roman"/>
          <w:sz w:val="24"/>
        </w:rPr>
      </w:pPr>
      <w:r>
        <w:rPr>
          <w:rFonts w:ascii="Times New Roman" w:hAnsi="Times New Roman" w:cs="Times New Roman"/>
          <w:sz w:val="24"/>
        </w:rPr>
        <w:t xml:space="preserve">United Nations (2015) </w:t>
      </w:r>
      <w:r>
        <w:rPr>
          <w:rFonts w:ascii="Times New Roman" w:hAnsi="Times New Roman" w:cs="Times New Roman"/>
          <w:i/>
          <w:sz w:val="24"/>
        </w:rPr>
        <w:t>Sustainable Development Goals</w:t>
      </w:r>
      <w:r>
        <w:rPr>
          <w:rFonts w:ascii="Times New Roman" w:hAnsi="Times New Roman" w:cs="Times New Roman"/>
          <w:sz w:val="24"/>
        </w:rPr>
        <w:t xml:space="preserve"> (SDGs).</w:t>
      </w:r>
    </w:p>
    <w:p w14:paraId="0A407B9D">
      <w:pPr>
        <w:spacing w:line="360" w:lineRule="auto"/>
        <w:rPr>
          <w:rFonts w:ascii="Times New Roman" w:hAnsi="Times New Roman" w:cs="Times New Roman"/>
          <w:b/>
          <w:sz w:val="24"/>
        </w:rPr>
      </w:pPr>
      <w:r>
        <w:rPr>
          <w:rFonts w:ascii="Times New Roman" w:hAnsi="Times New Roman" w:cs="Times New Roman"/>
          <w:b/>
          <w:sz w:val="24"/>
        </w:rPr>
        <w:t>Industry &amp; Web Sources</w:t>
      </w:r>
    </w:p>
    <w:p w14:paraId="1F1D4E6F">
      <w:pPr>
        <w:spacing w:line="360" w:lineRule="auto"/>
        <w:ind w:firstLine="200"/>
        <w:rPr>
          <w:rFonts w:ascii="Times New Roman" w:hAnsi="Times New Roman" w:cs="Times New Roman"/>
          <w:sz w:val="24"/>
        </w:rPr>
      </w:pPr>
      <w:r>
        <w:rPr>
          <w:rFonts w:ascii="Times New Roman" w:hAnsi="Times New Roman" w:cs="Times New Roman"/>
          <w:sz w:val="24"/>
        </w:rPr>
        <w:t xml:space="preserve">CB Insights (2016) </w:t>
      </w:r>
      <w:r>
        <w:rPr>
          <w:rFonts w:ascii="Times New Roman" w:hAnsi="Times New Roman" w:cs="Times New Roman"/>
          <w:i/>
          <w:sz w:val="24"/>
        </w:rPr>
        <w:t>Dollar Shave Club acquisition: Where does it stack up against past e-commerce M&amp;A?</w:t>
      </w:r>
      <w:r>
        <w:rPr>
          <w:rFonts w:ascii="Times New Roman" w:hAnsi="Times New Roman" w:cs="Times New Roman"/>
          <w:sz w:val="24"/>
        </w:rPr>
        <w:t xml:space="preserve"> Available at: https://www.cbinsights.com/research/top-e-commerce-startup-acquisitions-dollar-shave-club/</w:t>
      </w:r>
    </w:p>
    <w:p w14:paraId="7AC6D7D2">
      <w:pPr>
        <w:spacing w:line="360" w:lineRule="auto"/>
        <w:ind w:firstLine="200"/>
        <w:rPr>
          <w:rFonts w:ascii="Times New Roman" w:hAnsi="Times New Roman" w:cs="Times New Roman"/>
          <w:sz w:val="24"/>
        </w:rPr>
      </w:pPr>
      <w:r>
        <w:rPr>
          <w:rFonts w:ascii="Times New Roman" w:hAnsi="Times New Roman" w:cs="Times New Roman"/>
          <w:sz w:val="24"/>
        </w:rPr>
        <w:t xml:space="preserve">Inkwood Research (2024) </w:t>
      </w:r>
      <w:r>
        <w:rPr>
          <w:rFonts w:ascii="Times New Roman" w:hAnsi="Times New Roman" w:cs="Times New Roman"/>
          <w:i/>
          <w:sz w:val="24"/>
        </w:rPr>
        <w:t>Global environmental policies: A comprehensive overview</w:t>
      </w:r>
      <w:r>
        <w:rPr>
          <w:rFonts w:ascii="Times New Roman" w:hAnsi="Times New Roman" w:cs="Times New Roman"/>
          <w:sz w:val="24"/>
        </w:rPr>
        <w:t>. Available at: https://www.inkwoodresearch.com/global-environmental-policies-a-comprehensive-overview/</w:t>
      </w:r>
    </w:p>
    <w:p w14:paraId="58E218C9">
      <w:pPr>
        <w:spacing w:line="360" w:lineRule="auto"/>
        <w:ind w:firstLine="200"/>
        <w:rPr>
          <w:rFonts w:ascii="Times New Roman" w:hAnsi="Times New Roman" w:cs="Times New Roman"/>
          <w:sz w:val="24"/>
        </w:rPr>
      </w:pPr>
      <w:r>
        <w:rPr>
          <w:rFonts w:ascii="Times New Roman" w:hAnsi="Times New Roman" w:cs="Times New Roman"/>
          <w:sz w:val="24"/>
        </w:rPr>
        <w:t xml:space="preserve">Unilever (2024) </w:t>
      </w:r>
      <w:r>
        <w:rPr>
          <w:rFonts w:ascii="Times New Roman" w:hAnsi="Times New Roman" w:cs="Times New Roman"/>
          <w:i/>
          <w:sz w:val="24"/>
        </w:rPr>
        <w:t>Our company</w:t>
      </w:r>
      <w:r>
        <w:rPr>
          <w:rFonts w:ascii="Times New Roman" w:hAnsi="Times New Roman" w:cs="Times New Roman"/>
          <w:sz w:val="24"/>
        </w:rPr>
        <w:t>. Available at: https://www.unilever.com/</w:t>
      </w:r>
    </w:p>
    <w:p w14:paraId="0003E914">
      <w:pPr>
        <w:spacing w:line="360" w:lineRule="auto"/>
        <w:ind w:firstLine="200"/>
        <w:rPr>
          <w:rFonts w:hint="eastAsia" w:ascii="Times New Roman" w:hAnsi="Times New Roman" w:cs="Times New Roman"/>
          <w:sz w:val="24"/>
        </w:rPr>
      </w:pPr>
      <w:r>
        <w:rPr>
          <w:rFonts w:ascii="Times New Roman" w:hAnsi="Times New Roman" w:cs="Times New Roman"/>
          <w:sz w:val="24"/>
        </w:rPr>
        <w:t xml:space="preserve">Unilever (2023) </w:t>
      </w:r>
      <w:r>
        <w:rPr>
          <w:rFonts w:ascii="Times New Roman" w:hAnsi="Times New Roman" w:cs="Times New Roman"/>
          <w:i/>
          <w:sz w:val="24"/>
        </w:rPr>
        <w:t>Dove brand overview</w:t>
      </w:r>
      <w:r>
        <w:rPr>
          <w:rFonts w:ascii="Times New Roman" w:hAnsi="Times New Roman" w:cs="Times New Roman"/>
          <w:sz w:val="24"/>
        </w:rPr>
        <w:t>. Available at: https://www.unilever.com/brands/beauty-and-personal-care/dove/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Times New Roman Regular">
    <w:panose1 w:val="02020503050405090304"/>
    <w:charset w:val="00"/>
    <w:family w:val="auto"/>
    <w:pitch w:val="default"/>
    <w:sig w:usb0="E0000AFF" w:usb1="00007843" w:usb2="00000001" w:usb3="00000000" w:csb0="400001BF" w:csb1="DFF70000"/>
  </w:font>
  <w:font w:name="Songti SC">
    <w:panose1 w:val="02010800040101010101"/>
    <w:charset w:val="86"/>
    <w:family w:val="auto"/>
    <w:pitch w:val="default"/>
    <w:sig w:usb0="00000001" w:usb1="080F0000" w:usb2="00000000" w:usb3="00000000" w:csb0="00040000" w:csb1="00000000"/>
  </w:font>
  <w:font w:name="Times New Roman Bold">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EF7E04"/>
    <w:rsid w:val="003957C7"/>
    <w:rsid w:val="0049535C"/>
    <w:rsid w:val="005A31DD"/>
    <w:rsid w:val="005D525C"/>
    <w:rsid w:val="007B1323"/>
    <w:rsid w:val="007D23AF"/>
    <w:rsid w:val="00A5791B"/>
    <w:rsid w:val="00DF2C83"/>
    <w:rsid w:val="1F4A97CD"/>
    <w:rsid w:val="3DEF7E04"/>
    <w:rsid w:val="4E774784"/>
    <w:rsid w:val="4EF72BE7"/>
    <w:rsid w:val="66BFD4AF"/>
    <w:rsid w:val="6F3F65C7"/>
    <w:rsid w:val="6FD73ADF"/>
    <w:rsid w:val="77F2E467"/>
    <w:rsid w:val="799F1035"/>
    <w:rsid w:val="7DED4228"/>
    <w:rsid w:val="A3FE5DC6"/>
    <w:rsid w:val="D679B101"/>
    <w:rsid w:val="FBF22794"/>
    <w:rsid w:val="FDBDF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8"/>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toc 1"/>
    <w:basedOn w:val="1"/>
    <w:next w:val="1"/>
    <w:autoRedefine/>
    <w:uiPriority w:val="39"/>
  </w:style>
  <w:style w:type="paragraph" w:styleId="4">
    <w:name w:val="toc 2"/>
    <w:basedOn w:val="1"/>
    <w:next w:val="1"/>
    <w:autoRedefine/>
    <w:uiPriority w:val="39"/>
    <w:pPr>
      <w:ind w:left="420" w:leftChars="200"/>
    </w:pPr>
  </w:style>
  <w:style w:type="character" w:styleId="7">
    <w:name w:val="Hyperlink"/>
    <w:basedOn w:val="6"/>
    <w:unhideWhenUsed/>
    <w:uiPriority w:val="99"/>
    <w:rPr>
      <w:color w:val="0026E5" w:themeColor="hyperlink"/>
      <w:u w:val="single"/>
      <w14:textFill>
        <w14:solidFill>
          <w14:schemeClr w14:val="hlink"/>
        </w14:solidFill>
      </w14:textFill>
    </w:rPr>
  </w:style>
  <w:style w:type="character" w:customStyle="1" w:styleId="8">
    <w:name w:val="标题 1 Char"/>
    <w:basedOn w:val="6"/>
    <w:link w:val="2"/>
    <w:uiPriority w:val="0"/>
    <w:rPr>
      <w:b/>
      <w:bCs/>
      <w:kern w:val="44"/>
      <w:sz w:val="44"/>
      <w:szCs w:val="44"/>
    </w:rPr>
  </w:style>
  <w:style w:type="paragraph" w:customStyle="1" w:styleId="9">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54A1" w:themeColor="accent1" w:themeShade="BF"/>
      <w:kern w:val="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1A4BAFA9-3924-4289-B59A-813EA0390A7A}">
  <ds:schemaRefs/>
</ds:datastoreItem>
</file>

<file path=docProps/app.xml><?xml version="1.0" encoding="utf-8"?>
<Properties xmlns="http://schemas.openxmlformats.org/officeDocument/2006/extended-properties" xmlns:vt="http://schemas.openxmlformats.org/officeDocument/2006/docPropsVTypes">
  <Template>Normal</Template>
  <Pages>15</Pages>
  <Words>3317</Words>
  <Characters>18913</Characters>
  <Lines>157</Lines>
  <Paragraphs>44</Paragraphs>
  <TotalTime>32</TotalTime>
  <ScaleCrop>false</ScaleCrop>
  <LinksUpToDate>false</LinksUpToDate>
  <CharactersWithSpaces>22186</CharactersWithSpaces>
  <Application>WPS Office_7.2.2.8955_F1E327BC-269C-435d-A152-05C5408002CA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2026-03-15T17:52:00Z</dcterms:created>
  <dc:creator>Emwins</dc:creator>
  <cp:lastModifiedBy>Emwins</cp:lastModifiedBy>
  <dcterms:modified xsi:type="dcterms:W3CDTF">2026-03-19T22:02:23Z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2052-7.2.2.8955</vt:lpwstr>
  </property>
  <property fmtid="{D5CDD505-2E9C-101B-9397-08002B2CF9AE}" pid="3" name="ICV">
    <vt:lpwstr>5402D278476D001A92B9B66913E23B57_41</vt:lpwstr>
  </property>
</Properties>
</file>