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3A793" w14:textId="45DAF64B" w:rsidR="002B2C8D" w:rsidRDefault="002B2C8D" w:rsidP="005E4823">
      <w:pPr>
        <w:spacing w:line="360" w:lineRule="auto"/>
        <w:ind w:left="567"/>
      </w:pPr>
      <w:r>
        <w:t>Student name / ID   Nasreen Akhtar 2132945</w:t>
      </w:r>
    </w:p>
    <w:p w14:paraId="12A688F1" w14:textId="2F1EABDC" w:rsidR="002B2C8D" w:rsidRDefault="002B2C8D" w:rsidP="005E4823">
      <w:pPr>
        <w:spacing w:line="360" w:lineRule="auto"/>
        <w:ind w:left="567"/>
      </w:pPr>
      <w:r>
        <w:t xml:space="preserve">Programme     BSc Health and Social Care </w:t>
      </w:r>
    </w:p>
    <w:p w14:paraId="7D50FB3A" w14:textId="3250D84F" w:rsidR="002B2C8D" w:rsidRDefault="002B2C8D" w:rsidP="005E4823">
      <w:pPr>
        <w:spacing w:line="360" w:lineRule="auto"/>
        <w:ind w:left="567"/>
      </w:pPr>
      <w:r>
        <w:t>Module:  Mental Disorders and Psychopathology</w:t>
      </w:r>
    </w:p>
    <w:p w14:paraId="555321D5" w14:textId="0544FED3" w:rsidR="002B2C8D" w:rsidRDefault="002B2C8D" w:rsidP="005E4823">
      <w:pPr>
        <w:spacing w:line="360" w:lineRule="auto"/>
        <w:ind w:left="567"/>
      </w:pPr>
      <w:r>
        <w:t xml:space="preserve">Module Code:   </w:t>
      </w:r>
      <w:r>
        <w:t>BMHP6006</w:t>
      </w:r>
      <w:r>
        <w:t xml:space="preserve"> </w:t>
      </w:r>
    </w:p>
    <w:p w14:paraId="74E076AD" w14:textId="670A0F4A" w:rsidR="002B2C8D" w:rsidRDefault="002B2C8D" w:rsidP="005E4823">
      <w:pPr>
        <w:spacing w:line="360" w:lineRule="auto"/>
        <w:ind w:left="567"/>
      </w:pPr>
      <w:r>
        <w:t xml:space="preserve">Lecturer; Dr Josphine Chen Wilson </w:t>
      </w:r>
    </w:p>
    <w:p w14:paraId="07BDE780" w14:textId="0CC788A4" w:rsidR="002B2C8D" w:rsidRDefault="002B2C8D" w:rsidP="005E4823">
      <w:pPr>
        <w:spacing w:line="360" w:lineRule="auto"/>
        <w:ind w:left="567"/>
      </w:pPr>
      <w:r>
        <w:t xml:space="preserve">Assignment Title: Component 2 – Written Report </w:t>
      </w:r>
    </w:p>
    <w:p w14:paraId="10BE6AFE" w14:textId="77777777" w:rsidR="004F3693" w:rsidRPr="004F3693" w:rsidRDefault="004F3693" w:rsidP="00377368">
      <w:pPr>
        <w:spacing w:before="100" w:beforeAutospacing="1" w:after="100" w:afterAutospacing="1" w:line="360" w:lineRule="auto"/>
        <w:ind w:left="567" w:hanging="567"/>
        <w:outlineLvl w:val="0"/>
        <w:rPr>
          <w:rFonts w:ascii="Arial" w:eastAsia="Times New Roman" w:hAnsi="Arial" w:cs="Arial"/>
          <w:b/>
          <w:bCs/>
          <w:kern w:val="36"/>
          <w:sz w:val="22"/>
          <w:szCs w:val="22"/>
          <w:lang w:eastAsia="en-GB"/>
          <w14:ligatures w14:val="none"/>
        </w:rPr>
      </w:pPr>
      <w:r w:rsidRPr="004F3693">
        <w:rPr>
          <w:rFonts w:ascii="Arial" w:eastAsia="Times New Roman" w:hAnsi="Arial" w:cs="Arial"/>
          <w:b/>
          <w:bCs/>
          <w:kern w:val="36"/>
          <w:sz w:val="22"/>
          <w:szCs w:val="22"/>
          <w:lang w:eastAsia="en-GB"/>
          <w14:ligatures w14:val="none"/>
        </w:rPr>
        <w:t>Report on ICD-10 Chapter 5: Classification, Diagnosis, and Treatment of Schizophrenia and Obsessive-Compulsive Disorder (OCD)</w:t>
      </w:r>
    </w:p>
    <w:p w14:paraId="741B5242" w14:textId="77777777" w:rsidR="004F3693" w:rsidRPr="004F3693" w:rsidRDefault="004F3693" w:rsidP="00CE4CA3">
      <w:pPr>
        <w:spacing w:before="100" w:beforeAutospacing="1" w:after="100" w:afterAutospacing="1" w:line="360" w:lineRule="auto"/>
        <w:ind w:left="567" w:hanging="567"/>
        <w:outlineLvl w:val="1"/>
        <w:rPr>
          <w:rFonts w:ascii="Arial" w:eastAsia="Times New Roman" w:hAnsi="Arial" w:cs="Arial"/>
          <w:b/>
          <w:bCs/>
          <w:kern w:val="0"/>
          <w:sz w:val="22"/>
          <w:szCs w:val="22"/>
          <w:lang w:eastAsia="en-GB"/>
          <w14:ligatures w14:val="none"/>
        </w:rPr>
      </w:pPr>
      <w:r w:rsidRPr="004F3693">
        <w:rPr>
          <w:rFonts w:ascii="Arial" w:eastAsia="Times New Roman" w:hAnsi="Arial" w:cs="Arial"/>
          <w:b/>
          <w:bCs/>
          <w:kern w:val="0"/>
          <w:sz w:val="22"/>
          <w:szCs w:val="22"/>
          <w:lang w:eastAsia="en-GB"/>
          <w14:ligatures w14:val="none"/>
        </w:rPr>
        <w:t>Contents</w:t>
      </w:r>
    </w:p>
    <w:p w14:paraId="572FB2D3" w14:textId="77777777" w:rsidR="004F3693" w:rsidRPr="004F3693" w:rsidRDefault="004F3693" w:rsidP="00CE4CA3">
      <w:pPr>
        <w:numPr>
          <w:ilvl w:val="0"/>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Introduction</w:t>
      </w:r>
    </w:p>
    <w:p w14:paraId="5BEC2470"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1.1 Purpose of the Report</w:t>
      </w:r>
    </w:p>
    <w:p w14:paraId="0D3ECA16"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1.2 Overview of ICD-10 Chapter 5</w:t>
      </w:r>
    </w:p>
    <w:p w14:paraId="3CDB68F6" w14:textId="77777777" w:rsidR="004F3693" w:rsidRPr="004F3693" w:rsidRDefault="004F3693" w:rsidP="00CE4CA3">
      <w:pPr>
        <w:numPr>
          <w:ilvl w:val="0"/>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Schizophrenia</w:t>
      </w:r>
    </w:p>
    <w:p w14:paraId="48567D55"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2.1 Classification of Schizophrenia</w:t>
      </w:r>
    </w:p>
    <w:p w14:paraId="39130929"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2.2 Diagnosis of Schizophrenia</w:t>
      </w:r>
    </w:p>
    <w:p w14:paraId="2A533739"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2.3 Treatment and Rehabilitation of Schizophrenia</w:t>
      </w:r>
    </w:p>
    <w:p w14:paraId="557A4A91"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2.4 Recommendations for Improvement</w:t>
      </w:r>
    </w:p>
    <w:p w14:paraId="4F8B73BE" w14:textId="77777777" w:rsidR="004F3693" w:rsidRPr="004F3693" w:rsidRDefault="004F3693" w:rsidP="00CE4CA3">
      <w:pPr>
        <w:numPr>
          <w:ilvl w:val="0"/>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Historical and Contemporary Support and Provision for Schizophrenia and OCD</w:t>
      </w:r>
    </w:p>
    <w:p w14:paraId="33E41C69"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3.1 Schizophrenia</w:t>
      </w:r>
    </w:p>
    <w:p w14:paraId="5122C08F" w14:textId="6ADAFF5B"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 xml:space="preserve">3.2 </w:t>
      </w:r>
      <w:r w:rsidR="002527F5" w:rsidRPr="00CE4CA3">
        <w:rPr>
          <w:rFonts w:ascii="Arial" w:eastAsia="Times New Roman" w:hAnsi="Arial" w:cs="Arial"/>
          <w:kern w:val="0"/>
          <w:sz w:val="22"/>
          <w:szCs w:val="22"/>
          <w:lang w:eastAsia="en-GB"/>
          <w14:ligatures w14:val="none"/>
        </w:rPr>
        <w:t>obsessive-compulsive disorder</w:t>
      </w:r>
      <w:r w:rsidRPr="004F3693">
        <w:rPr>
          <w:rFonts w:ascii="Arial" w:eastAsia="Times New Roman" w:hAnsi="Arial" w:cs="Arial"/>
          <w:kern w:val="0"/>
          <w:sz w:val="22"/>
          <w:szCs w:val="22"/>
          <w:lang w:eastAsia="en-GB"/>
          <w14:ligatures w14:val="none"/>
        </w:rPr>
        <w:t xml:space="preserve"> (OCD)</w:t>
      </w:r>
    </w:p>
    <w:p w14:paraId="3D4214AD" w14:textId="77777777" w:rsidR="004F3693" w:rsidRPr="004F3693" w:rsidRDefault="004F3693" w:rsidP="00CE4CA3">
      <w:pPr>
        <w:numPr>
          <w:ilvl w:val="0"/>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Obsessive-Compulsive Disorder (OCD)</w:t>
      </w:r>
    </w:p>
    <w:p w14:paraId="2B200BD0"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4.1 Classification of OCD</w:t>
      </w:r>
    </w:p>
    <w:p w14:paraId="0771F1AC"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4.2 Diagnosis of OCD</w:t>
      </w:r>
    </w:p>
    <w:p w14:paraId="3951156C"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4.3 Treatment and Rehabilitation of OCD</w:t>
      </w:r>
    </w:p>
    <w:p w14:paraId="76AFA413" w14:textId="77777777" w:rsidR="004F3693" w:rsidRPr="004F3693" w:rsidRDefault="004F3693" w:rsidP="00CE4CA3">
      <w:pPr>
        <w:numPr>
          <w:ilvl w:val="1"/>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4.4 Recommendations for Improvement</w:t>
      </w:r>
    </w:p>
    <w:p w14:paraId="4B3676EB" w14:textId="77777777" w:rsidR="004F3693" w:rsidRPr="004F3693" w:rsidRDefault="004F3693" w:rsidP="00CE4CA3">
      <w:pPr>
        <w:numPr>
          <w:ilvl w:val="0"/>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Conclusion</w:t>
      </w:r>
    </w:p>
    <w:p w14:paraId="037D05B1" w14:textId="77777777" w:rsidR="004F3693" w:rsidRPr="004F3693" w:rsidRDefault="004F3693" w:rsidP="00CE4CA3">
      <w:pPr>
        <w:numPr>
          <w:ilvl w:val="0"/>
          <w:numId w:val="38"/>
        </w:num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References</w:t>
      </w:r>
    </w:p>
    <w:p w14:paraId="258A0F25" w14:textId="163BCDDB" w:rsidR="00643371" w:rsidRPr="00CE4CA3" w:rsidRDefault="004F3693" w:rsidP="00CE4CA3">
      <w:pPr>
        <w:pStyle w:val="Heading3"/>
        <w:spacing w:line="360" w:lineRule="auto"/>
        <w:ind w:left="567"/>
        <w:rPr>
          <w:rFonts w:ascii="Arial" w:eastAsia="Times New Roman" w:hAnsi="Arial" w:cs="Arial"/>
          <w:b/>
          <w:bCs/>
          <w:color w:val="auto"/>
          <w:kern w:val="0"/>
          <w:sz w:val="22"/>
          <w:szCs w:val="22"/>
          <w:lang w:eastAsia="en-GB"/>
          <w14:ligatures w14:val="none"/>
        </w:rPr>
      </w:pPr>
      <w:r w:rsidRPr="004F3693">
        <w:rPr>
          <w:rFonts w:ascii="Arial" w:eastAsia="Times New Roman" w:hAnsi="Arial" w:cs="Arial"/>
          <w:b/>
          <w:bCs/>
          <w:kern w:val="0"/>
          <w:sz w:val="22"/>
          <w:szCs w:val="22"/>
          <w:lang w:eastAsia="en-GB"/>
          <w14:ligatures w14:val="none"/>
        </w:rPr>
        <w:t>1</w:t>
      </w:r>
      <w:r w:rsidR="00CE4CA3">
        <w:rPr>
          <w:rFonts w:ascii="Arial" w:eastAsia="Times New Roman" w:hAnsi="Arial" w:cs="Arial"/>
          <w:b/>
          <w:bCs/>
          <w:kern w:val="0"/>
          <w:sz w:val="22"/>
          <w:szCs w:val="22"/>
          <w:lang w:eastAsia="en-GB"/>
          <w14:ligatures w14:val="none"/>
        </w:rPr>
        <w:t xml:space="preserve"> </w:t>
      </w:r>
      <w:r w:rsidR="00643371" w:rsidRPr="00CE4CA3">
        <w:rPr>
          <w:rFonts w:ascii="Arial" w:eastAsia="Times New Roman" w:hAnsi="Arial" w:cs="Arial"/>
          <w:b/>
          <w:bCs/>
          <w:color w:val="auto"/>
          <w:kern w:val="0"/>
          <w:sz w:val="22"/>
          <w:szCs w:val="22"/>
          <w:lang w:eastAsia="en-GB"/>
          <w14:ligatures w14:val="none"/>
        </w:rPr>
        <w:t>Introduction</w:t>
      </w:r>
    </w:p>
    <w:p w14:paraId="3C73D270" w14:textId="77777777" w:rsidR="00643371" w:rsidRPr="00643371" w:rsidRDefault="00643371" w:rsidP="00CE4CA3">
      <w:pPr>
        <w:spacing w:before="100" w:beforeAutospacing="1" w:after="100" w:afterAutospacing="1" w:line="360" w:lineRule="auto"/>
        <w:ind w:left="567"/>
        <w:outlineLvl w:val="3"/>
        <w:rPr>
          <w:rFonts w:ascii="Arial" w:eastAsia="Times New Roman" w:hAnsi="Arial" w:cs="Arial"/>
          <w:b/>
          <w:bCs/>
          <w:kern w:val="0"/>
          <w:sz w:val="22"/>
          <w:szCs w:val="22"/>
          <w:lang w:eastAsia="en-GB"/>
          <w14:ligatures w14:val="none"/>
        </w:rPr>
      </w:pPr>
      <w:r w:rsidRPr="00643371">
        <w:rPr>
          <w:rFonts w:ascii="Arial" w:eastAsia="Times New Roman" w:hAnsi="Arial" w:cs="Arial"/>
          <w:b/>
          <w:bCs/>
          <w:kern w:val="0"/>
          <w:sz w:val="22"/>
          <w:szCs w:val="22"/>
          <w:lang w:eastAsia="en-GB"/>
          <w14:ligatures w14:val="none"/>
        </w:rPr>
        <w:t>1.1 Purpose of the Report</w:t>
      </w:r>
    </w:p>
    <w:p w14:paraId="425CDDEA" w14:textId="77777777" w:rsidR="00643371" w:rsidRPr="00643371" w:rsidRDefault="00643371" w:rsidP="00CE4CA3">
      <w:pPr>
        <w:spacing w:before="100" w:beforeAutospacing="1" w:after="100" w:afterAutospacing="1" w:line="360" w:lineRule="auto"/>
        <w:ind w:left="567"/>
        <w:rPr>
          <w:rFonts w:ascii="Arial" w:eastAsia="Times New Roman" w:hAnsi="Arial" w:cs="Arial"/>
          <w:kern w:val="0"/>
          <w:sz w:val="22"/>
          <w:szCs w:val="22"/>
          <w:lang w:eastAsia="en-GB"/>
          <w14:ligatures w14:val="none"/>
        </w:rPr>
      </w:pPr>
      <w:r w:rsidRPr="00643371">
        <w:rPr>
          <w:rFonts w:ascii="Arial" w:eastAsia="Times New Roman" w:hAnsi="Arial" w:cs="Arial"/>
          <w:kern w:val="0"/>
          <w:sz w:val="22"/>
          <w:szCs w:val="22"/>
          <w:lang w:eastAsia="en-GB"/>
          <w14:ligatures w14:val="none"/>
        </w:rPr>
        <w:t xml:space="preserve">This report examines and evaluates how schizophrenia and obsessive-compulsive disorder (OCD) </w:t>
      </w:r>
      <w:proofErr w:type="gramStart"/>
      <w:r w:rsidRPr="00643371">
        <w:rPr>
          <w:rFonts w:ascii="Arial" w:eastAsia="Times New Roman" w:hAnsi="Arial" w:cs="Arial"/>
          <w:kern w:val="0"/>
          <w:sz w:val="22"/>
          <w:szCs w:val="22"/>
          <w:lang w:eastAsia="en-GB"/>
          <w14:ligatures w14:val="none"/>
        </w:rPr>
        <w:t>are classified</w:t>
      </w:r>
      <w:proofErr w:type="gramEnd"/>
      <w:r w:rsidRPr="00643371">
        <w:rPr>
          <w:rFonts w:ascii="Arial" w:eastAsia="Times New Roman" w:hAnsi="Arial" w:cs="Arial"/>
          <w:kern w:val="0"/>
          <w:sz w:val="22"/>
          <w:szCs w:val="22"/>
          <w:lang w:eastAsia="en-GB"/>
          <w14:ligatures w14:val="none"/>
        </w:rPr>
        <w:t>, diagnosed, and treated according to the guidelines in the International Classification of Diseases, 10th Revision (ICD-10) Chapter 5. These disorders have a significant impact on the lives of those affected, their families, and society. Understanding them within the framework of the ICD-10 is crucial for effective management and support.</w:t>
      </w:r>
    </w:p>
    <w:p w14:paraId="7FBA41EE" w14:textId="77777777" w:rsidR="00643371" w:rsidRPr="00643371" w:rsidRDefault="00643371" w:rsidP="00CE4CA3">
      <w:pPr>
        <w:spacing w:before="100" w:beforeAutospacing="1" w:after="100" w:afterAutospacing="1" w:line="360" w:lineRule="auto"/>
        <w:ind w:left="567"/>
        <w:rPr>
          <w:rFonts w:ascii="Arial" w:eastAsia="Times New Roman" w:hAnsi="Arial" w:cs="Arial"/>
          <w:kern w:val="0"/>
          <w:sz w:val="22"/>
          <w:szCs w:val="22"/>
          <w:lang w:eastAsia="en-GB"/>
          <w14:ligatures w14:val="none"/>
        </w:rPr>
      </w:pPr>
      <w:r w:rsidRPr="00643371">
        <w:rPr>
          <w:rFonts w:ascii="Arial" w:eastAsia="Times New Roman" w:hAnsi="Arial" w:cs="Arial"/>
          <w:kern w:val="0"/>
          <w:sz w:val="22"/>
          <w:szCs w:val="22"/>
          <w:lang w:eastAsia="en-GB"/>
          <w14:ligatures w14:val="none"/>
        </w:rPr>
        <w:t>Schizophrenia, categorized as F20 in the ICD-10, includes subtypes like paranoid, hebephrenic, catatonic, and undifferentiated schizophrenia, each with its own symptoms and outcomes (Tandon, Nasrallah, &amp; Keshavan, 2013; Marengo &amp; Harrow, 1997). It involves hallucinations, delusions, disorganized thinking, and negative symptoms such as lack of emotions or social withdrawal (American Psychiatric Association, 2013). Managing schizophrenia requires a comprehensive approach, combining medication, therapy, and rehabilitation to reduce symptoms and improve daily life (Leucht et al., 2013; Bond &amp; Drake, 2014).</w:t>
      </w:r>
    </w:p>
    <w:p w14:paraId="27804531" w14:textId="63AB7E8F" w:rsidR="00643371" w:rsidRPr="00643371" w:rsidRDefault="00643371" w:rsidP="00CE4CA3">
      <w:pPr>
        <w:spacing w:before="100" w:beforeAutospacing="1" w:after="100" w:afterAutospacing="1" w:line="360" w:lineRule="auto"/>
        <w:ind w:left="567"/>
        <w:rPr>
          <w:rFonts w:ascii="Arial" w:eastAsia="Times New Roman" w:hAnsi="Arial" w:cs="Arial"/>
          <w:kern w:val="0"/>
          <w:sz w:val="22"/>
          <w:szCs w:val="22"/>
          <w:lang w:eastAsia="en-GB"/>
          <w14:ligatures w14:val="none"/>
        </w:rPr>
      </w:pPr>
      <w:r w:rsidRPr="00643371">
        <w:rPr>
          <w:rFonts w:ascii="Arial" w:eastAsia="Times New Roman" w:hAnsi="Arial" w:cs="Arial"/>
          <w:kern w:val="0"/>
          <w:sz w:val="22"/>
          <w:szCs w:val="22"/>
          <w:lang w:eastAsia="en-GB"/>
          <w14:ligatures w14:val="none"/>
        </w:rPr>
        <w:t xml:space="preserve">Similarly, OCD, </w:t>
      </w:r>
      <w:r w:rsidR="002527F5" w:rsidRPr="00CE4CA3">
        <w:rPr>
          <w:rFonts w:ascii="Arial" w:eastAsia="Times New Roman" w:hAnsi="Arial" w:cs="Arial"/>
          <w:kern w:val="0"/>
          <w:sz w:val="22"/>
          <w:szCs w:val="22"/>
          <w:lang w:eastAsia="en-GB"/>
          <w14:ligatures w14:val="none"/>
        </w:rPr>
        <w:t>labelled</w:t>
      </w:r>
      <w:r w:rsidRPr="00643371">
        <w:rPr>
          <w:rFonts w:ascii="Arial" w:eastAsia="Times New Roman" w:hAnsi="Arial" w:cs="Arial"/>
          <w:kern w:val="0"/>
          <w:sz w:val="22"/>
          <w:szCs w:val="22"/>
          <w:lang w:eastAsia="en-GB"/>
          <w14:ligatures w14:val="none"/>
        </w:rPr>
        <w:t xml:space="preserve"> as F42 in the ICD-10, </w:t>
      </w:r>
      <w:r w:rsidR="002527F5" w:rsidRPr="00CE4CA3">
        <w:rPr>
          <w:rFonts w:ascii="Arial" w:eastAsia="Times New Roman" w:hAnsi="Arial" w:cs="Arial"/>
          <w:kern w:val="0"/>
          <w:sz w:val="22"/>
          <w:szCs w:val="22"/>
          <w:lang w:eastAsia="en-GB"/>
          <w14:ligatures w14:val="none"/>
        </w:rPr>
        <w:t>centres</w:t>
      </w:r>
      <w:r w:rsidRPr="00643371">
        <w:rPr>
          <w:rFonts w:ascii="Arial" w:eastAsia="Times New Roman" w:hAnsi="Arial" w:cs="Arial"/>
          <w:kern w:val="0"/>
          <w:sz w:val="22"/>
          <w:szCs w:val="22"/>
          <w:lang w:eastAsia="en-GB"/>
          <w14:ligatures w14:val="none"/>
        </w:rPr>
        <w:t xml:space="preserve"> on obsessions—persistent thoughts causing distress—and compulsions—rituals aimed at easing anxiety (Stein et al., 2016). It disrupts daily activities and social interactions, often leading to significant difficulties if untreated (Fineberg et al., 2015). Effective treatment includes medications like SSRIs and therapy such as cognitive-</w:t>
      </w:r>
      <w:r w:rsidR="002527F5" w:rsidRPr="00CE4CA3">
        <w:rPr>
          <w:rFonts w:ascii="Arial" w:eastAsia="Times New Roman" w:hAnsi="Arial" w:cs="Arial"/>
          <w:kern w:val="0"/>
          <w:sz w:val="22"/>
          <w:szCs w:val="22"/>
          <w:lang w:eastAsia="en-GB"/>
          <w14:ligatures w14:val="none"/>
        </w:rPr>
        <w:t>behavioural</w:t>
      </w:r>
      <w:r w:rsidRPr="00643371">
        <w:rPr>
          <w:rFonts w:ascii="Arial" w:eastAsia="Times New Roman" w:hAnsi="Arial" w:cs="Arial"/>
          <w:kern w:val="0"/>
          <w:sz w:val="22"/>
          <w:szCs w:val="22"/>
          <w:lang w:eastAsia="en-GB"/>
          <w14:ligatures w14:val="none"/>
        </w:rPr>
        <w:t xml:space="preserve"> therapy (CBT), specifically exposure and response prevention (ERP), which is highly effective in lessening symptoms (Franklin &amp; </w:t>
      </w:r>
      <w:proofErr w:type="spellStart"/>
      <w:r w:rsidRPr="00643371">
        <w:rPr>
          <w:rFonts w:ascii="Arial" w:eastAsia="Times New Roman" w:hAnsi="Arial" w:cs="Arial"/>
          <w:kern w:val="0"/>
          <w:sz w:val="22"/>
          <w:szCs w:val="22"/>
          <w:lang w:eastAsia="en-GB"/>
          <w14:ligatures w14:val="none"/>
        </w:rPr>
        <w:t>Foa</w:t>
      </w:r>
      <w:proofErr w:type="spellEnd"/>
      <w:r w:rsidRPr="00643371">
        <w:rPr>
          <w:rFonts w:ascii="Arial" w:eastAsia="Times New Roman" w:hAnsi="Arial" w:cs="Arial"/>
          <w:kern w:val="0"/>
          <w:sz w:val="22"/>
          <w:szCs w:val="22"/>
          <w:lang w:eastAsia="en-GB"/>
          <w14:ligatures w14:val="none"/>
        </w:rPr>
        <w:t>, 2011).</w:t>
      </w:r>
    </w:p>
    <w:p w14:paraId="2BBE2572" w14:textId="77777777" w:rsidR="00AA636A" w:rsidRPr="00CE4CA3" w:rsidRDefault="00643371" w:rsidP="00CE4CA3">
      <w:pPr>
        <w:spacing w:before="100" w:beforeAutospacing="1" w:after="100" w:afterAutospacing="1" w:line="360" w:lineRule="auto"/>
        <w:ind w:left="567"/>
        <w:rPr>
          <w:rFonts w:ascii="Arial" w:eastAsia="Times New Roman" w:hAnsi="Arial" w:cs="Arial"/>
          <w:kern w:val="0"/>
          <w:sz w:val="22"/>
          <w:szCs w:val="22"/>
          <w:lang w:eastAsia="en-GB"/>
          <w14:ligatures w14:val="none"/>
        </w:rPr>
      </w:pPr>
      <w:r w:rsidRPr="00643371">
        <w:rPr>
          <w:rFonts w:ascii="Arial" w:eastAsia="Times New Roman" w:hAnsi="Arial" w:cs="Arial"/>
          <w:kern w:val="0"/>
          <w:sz w:val="22"/>
          <w:szCs w:val="22"/>
          <w:lang w:eastAsia="en-GB"/>
          <w14:ligatures w14:val="none"/>
        </w:rPr>
        <w:t xml:space="preserve">The main goal of this report is to thoroughly </w:t>
      </w:r>
      <w:r w:rsidR="002527F5" w:rsidRPr="00CE4CA3">
        <w:rPr>
          <w:rFonts w:ascii="Arial" w:eastAsia="Times New Roman" w:hAnsi="Arial" w:cs="Arial"/>
          <w:kern w:val="0"/>
          <w:sz w:val="22"/>
          <w:szCs w:val="22"/>
          <w:lang w:eastAsia="en-GB"/>
          <w14:ligatures w14:val="none"/>
        </w:rPr>
        <w:t>analyse</w:t>
      </w:r>
      <w:r w:rsidRPr="00643371">
        <w:rPr>
          <w:rFonts w:ascii="Arial" w:eastAsia="Times New Roman" w:hAnsi="Arial" w:cs="Arial"/>
          <w:kern w:val="0"/>
          <w:sz w:val="22"/>
          <w:szCs w:val="22"/>
          <w:lang w:eastAsia="en-GB"/>
          <w14:ligatures w14:val="none"/>
        </w:rPr>
        <w:t xml:space="preserve"> these disorders, pinpoint current challenges, and suggest ways to improve their classification, diagnosis, and treatment. By doing so, the report aims to enhance understanding among healthcare professionals and support systems. This will </w:t>
      </w:r>
      <w:proofErr w:type="gramStart"/>
      <w:r w:rsidRPr="00643371">
        <w:rPr>
          <w:rFonts w:ascii="Arial" w:eastAsia="Times New Roman" w:hAnsi="Arial" w:cs="Arial"/>
          <w:kern w:val="0"/>
          <w:sz w:val="22"/>
          <w:szCs w:val="22"/>
          <w:lang w:eastAsia="en-GB"/>
          <w14:ligatures w14:val="none"/>
        </w:rPr>
        <w:t>ultimately improve</w:t>
      </w:r>
      <w:proofErr w:type="gramEnd"/>
      <w:r w:rsidRPr="00643371">
        <w:rPr>
          <w:rFonts w:ascii="Arial" w:eastAsia="Times New Roman" w:hAnsi="Arial" w:cs="Arial"/>
          <w:kern w:val="0"/>
          <w:sz w:val="22"/>
          <w:szCs w:val="22"/>
          <w:lang w:eastAsia="en-GB"/>
          <w14:ligatures w14:val="none"/>
        </w:rPr>
        <w:t xml:space="preserve"> care for individuals with schizophrenia and OCD, as well as provide better support for their families and caregivers. By integrating medical, psychological, and social interventions, we can work towards better outcomes and a higher quality of life for those affected by these challenging disorders.</w:t>
      </w:r>
    </w:p>
    <w:p w14:paraId="13D1965B" w14:textId="03D01F35" w:rsidR="004F3693" w:rsidRPr="00CE4CA3" w:rsidRDefault="004F3693" w:rsidP="00CE4CA3">
      <w:pPr>
        <w:spacing w:before="100" w:beforeAutospacing="1" w:after="100" w:afterAutospacing="1" w:line="360" w:lineRule="auto"/>
        <w:ind w:left="567"/>
        <w:rPr>
          <w:rFonts w:ascii="Arial" w:eastAsia="Times New Roman" w:hAnsi="Arial" w:cs="Arial"/>
          <w:b/>
          <w:bCs/>
          <w:kern w:val="0"/>
          <w:sz w:val="22"/>
          <w:szCs w:val="22"/>
          <w:lang w:eastAsia="en-GB"/>
          <w14:ligatures w14:val="none"/>
        </w:rPr>
      </w:pPr>
      <w:r w:rsidRPr="004F3693">
        <w:rPr>
          <w:rFonts w:ascii="Arial" w:eastAsia="Times New Roman" w:hAnsi="Arial" w:cs="Arial"/>
          <w:b/>
          <w:bCs/>
          <w:kern w:val="0"/>
          <w:sz w:val="22"/>
          <w:szCs w:val="22"/>
          <w:lang w:eastAsia="en-GB"/>
          <w14:ligatures w14:val="none"/>
        </w:rPr>
        <w:t>1.2 Overview of ICD-10 Chapter 5</w:t>
      </w:r>
      <w:r w:rsidR="008D1C2C" w:rsidRPr="00CE4CA3">
        <w:rPr>
          <w:rFonts w:ascii="Arial" w:eastAsia="Times New Roman" w:hAnsi="Arial" w:cs="Arial"/>
          <w:b/>
          <w:bCs/>
          <w:kern w:val="0"/>
          <w:sz w:val="22"/>
          <w:szCs w:val="22"/>
          <w:lang w:eastAsia="en-GB"/>
          <w14:ligatures w14:val="none"/>
        </w:rPr>
        <w:t xml:space="preserve"> </w:t>
      </w:r>
    </w:p>
    <w:p w14:paraId="5379250F" w14:textId="77777777" w:rsidR="008D1C2C" w:rsidRPr="00CE4CA3" w:rsidRDefault="008D1C2C"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ICD-10 Chapter 5: Mental and Behavioural Disorders</w:t>
      </w:r>
    </w:p>
    <w:p w14:paraId="698F89C3" w14:textId="77777777" w:rsidR="008D1C2C" w:rsidRPr="00CE4CA3" w:rsidRDefault="008D1C2C" w:rsidP="00CE4CA3">
      <w:pPr>
        <w:pStyle w:val="NormalWeb"/>
        <w:spacing w:line="360" w:lineRule="auto"/>
        <w:ind w:left="567"/>
        <w:rPr>
          <w:rFonts w:ascii="Arial" w:hAnsi="Arial" w:cs="Arial"/>
          <w:sz w:val="22"/>
          <w:szCs w:val="22"/>
        </w:rPr>
      </w:pPr>
      <w:r w:rsidRPr="00CE4CA3">
        <w:rPr>
          <w:rFonts w:ascii="Arial" w:hAnsi="Arial" w:cs="Arial"/>
          <w:sz w:val="22"/>
          <w:szCs w:val="22"/>
        </w:rPr>
        <w:t>ICD-10 Chapter 5, titled "Mental and behavioural disorders," stands as a cornerstone in the field of psychiatry and mental health. Developed and meticulously maintained by the World Health Organization (WHO), this classification system serves a fundamental role in standardizing the diagnosis and treatment of a wide spectrum of psychiatric conditions worldwide. By providing a structured framework, it ensures uniformity in identifying and managing mental disorders across diverse healthcare settings (WHO, 2010).</w:t>
      </w:r>
    </w:p>
    <w:p w14:paraId="42A4EB76" w14:textId="77777777" w:rsidR="008D1C2C" w:rsidRPr="00CE4CA3" w:rsidRDefault="008D1C2C"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Purpose and Structure</w:t>
      </w:r>
    </w:p>
    <w:p w14:paraId="4BE9DDBE" w14:textId="77777777" w:rsidR="008D1C2C" w:rsidRPr="00CE4CA3" w:rsidRDefault="008D1C2C" w:rsidP="00CE4CA3">
      <w:pPr>
        <w:pStyle w:val="NormalWeb"/>
        <w:spacing w:line="360" w:lineRule="auto"/>
        <w:ind w:left="567"/>
        <w:rPr>
          <w:rFonts w:ascii="Arial" w:hAnsi="Arial" w:cs="Arial"/>
          <w:sz w:val="22"/>
          <w:szCs w:val="22"/>
        </w:rPr>
      </w:pPr>
      <w:r w:rsidRPr="00CE4CA3">
        <w:rPr>
          <w:rFonts w:ascii="Arial" w:hAnsi="Arial" w:cs="Arial"/>
          <w:sz w:val="22"/>
          <w:szCs w:val="22"/>
        </w:rPr>
        <w:t>The primary objective of ICD-10 Chapter 5 is to classify mental disorders based on their clinical features, symptoms, and course of illness. This systematic categorization aids healthcare professionals in accurately diagnosing patients, enabling effective communication among clinicians, researchers, and policymakers globally. By establishing clear diagnostic criteria and terminology, it supports consistency in clinical practice and enhances the reliability of epidemiological data (WHO, 2010).</w:t>
      </w:r>
    </w:p>
    <w:p w14:paraId="65EC8DA0" w14:textId="77777777" w:rsidR="008D1C2C" w:rsidRPr="00CE4CA3" w:rsidRDefault="008D1C2C"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Comprehensive Coverage</w:t>
      </w:r>
    </w:p>
    <w:p w14:paraId="3F021787" w14:textId="77777777" w:rsidR="008D1C2C" w:rsidRPr="00CE4CA3" w:rsidRDefault="008D1C2C" w:rsidP="00CE4CA3">
      <w:pPr>
        <w:pStyle w:val="NormalWeb"/>
        <w:spacing w:line="360" w:lineRule="auto"/>
        <w:ind w:left="567"/>
        <w:rPr>
          <w:rFonts w:ascii="Arial" w:hAnsi="Arial" w:cs="Arial"/>
          <w:sz w:val="22"/>
          <w:szCs w:val="22"/>
        </w:rPr>
      </w:pPr>
      <w:r w:rsidRPr="00CE4CA3">
        <w:rPr>
          <w:rFonts w:ascii="Arial" w:hAnsi="Arial" w:cs="Arial"/>
          <w:sz w:val="22"/>
          <w:szCs w:val="22"/>
        </w:rPr>
        <w:t>ICD-10 Chapter 5 encompasses a comprehensive array of mental and behavioural disorders, ensuring inclusive coverage across various diagnostic categories. This includes schizophrenia and other psychotic disorders, such as schizoaffective disorder and delusional disorders, each delineated by distinct clinical presentations and symptomatology (Tandon, Nasrallah, &amp; Keshavan, 2013). Additionally, it encompasses mood disorders, anxiety disorders, personality disorders, and other conditions characterized by significant deviations in behaviour, cognition, and emotional regulation (American Psychiatric Association, 2013; Stein et al., 2016; WHO, 2010).</w:t>
      </w:r>
    </w:p>
    <w:p w14:paraId="4E4D7F2B" w14:textId="77777777" w:rsidR="008D1C2C" w:rsidRPr="00CE4CA3" w:rsidRDefault="008D1C2C"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Utility in Clinical Settings</w:t>
      </w:r>
    </w:p>
    <w:p w14:paraId="0E146865" w14:textId="77777777" w:rsidR="008D1C2C" w:rsidRPr="00CE4CA3" w:rsidRDefault="008D1C2C" w:rsidP="00CE4CA3">
      <w:pPr>
        <w:pStyle w:val="NormalWeb"/>
        <w:spacing w:line="360" w:lineRule="auto"/>
        <w:ind w:left="567"/>
        <w:rPr>
          <w:rFonts w:ascii="Arial" w:hAnsi="Arial" w:cs="Arial"/>
          <w:sz w:val="22"/>
          <w:szCs w:val="22"/>
        </w:rPr>
      </w:pPr>
      <w:r w:rsidRPr="00CE4CA3">
        <w:rPr>
          <w:rFonts w:ascii="Arial" w:hAnsi="Arial" w:cs="Arial"/>
          <w:sz w:val="22"/>
          <w:szCs w:val="22"/>
        </w:rPr>
        <w:t>The adoption of ICD-10 Chapter 5 in clinical settings fosters a common language and structured approach to diagnosing mental health conditions. By promoting uniformity in diagnostic practices and treatment strategies, it facilitates effective patient care and enhances the comparability of research outcomes and epidemiological studies globally. This standardization is crucial for advancing evidence-based practices and improving outcomes for individuals affected by mental disorders (WHO, 2010).</w:t>
      </w:r>
    </w:p>
    <w:p w14:paraId="3FF5A104" w14:textId="77777777" w:rsidR="008D1C2C" w:rsidRPr="00CE4CA3" w:rsidRDefault="008D1C2C"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Evolving Landscape and Updates</w:t>
      </w:r>
    </w:p>
    <w:p w14:paraId="4D2EE461" w14:textId="77777777" w:rsidR="008D1C2C" w:rsidRPr="00CE4CA3" w:rsidRDefault="008D1C2C" w:rsidP="00CE4CA3">
      <w:pPr>
        <w:pStyle w:val="NormalWeb"/>
        <w:spacing w:line="360" w:lineRule="auto"/>
        <w:ind w:left="567"/>
        <w:rPr>
          <w:rFonts w:ascii="Arial" w:hAnsi="Arial" w:cs="Arial"/>
          <w:sz w:val="22"/>
          <w:szCs w:val="22"/>
        </w:rPr>
      </w:pPr>
      <w:r w:rsidRPr="00CE4CA3">
        <w:rPr>
          <w:rFonts w:ascii="Arial" w:hAnsi="Arial" w:cs="Arial"/>
          <w:sz w:val="22"/>
          <w:szCs w:val="22"/>
        </w:rPr>
        <w:t>Since its inception, ICD-10 Chapter 5 has evolved through periodic updates and revisions to reflect advancements in psychiatric research and changes in diagnostic methodologies. These updates are essential for ensuring the currency and accuracy of the classification system, accommodating new diagnostic insights and scientific discoveries in the field of mental health. By adapting to evolving knowledge, the system remains relevant and responsive to the dynamic landscape of psychiatric disorders, thereby supporting ongoing improvements in clinical care and treatment outcomes (WHO, 2010).</w:t>
      </w:r>
    </w:p>
    <w:p w14:paraId="1AFC337C" w14:textId="77777777" w:rsidR="008D1C2C" w:rsidRPr="00CE4CA3" w:rsidRDefault="008D1C2C" w:rsidP="00CE4CA3">
      <w:pPr>
        <w:pStyle w:val="NormalWeb"/>
        <w:spacing w:line="360" w:lineRule="auto"/>
        <w:ind w:left="567"/>
        <w:rPr>
          <w:rFonts w:ascii="Arial" w:hAnsi="Arial" w:cs="Arial"/>
          <w:sz w:val="22"/>
          <w:szCs w:val="22"/>
        </w:rPr>
      </w:pPr>
      <w:r w:rsidRPr="00CE4CA3">
        <w:rPr>
          <w:rFonts w:ascii="Arial" w:hAnsi="Arial" w:cs="Arial"/>
          <w:sz w:val="22"/>
          <w:szCs w:val="22"/>
        </w:rPr>
        <w:t>In conclusion, ICD-10 Chapter 5 serves as a vital tool for clinicians, researchers, and policymakers alike, providing a structured framework for understanding and addressing the complexities of mental and behavioural disorders. Through its comprehensive coverage, standardization of diagnostic criteria, and adaptability to new scientific findings, this classification system continues to play a pivotal role in advancing global mental health initiatives and improving the lives of individuals affected by psychiatric conditions.</w:t>
      </w:r>
    </w:p>
    <w:p w14:paraId="485A21F5" w14:textId="77777777" w:rsidR="008D1C2C" w:rsidRPr="004F3693" w:rsidRDefault="008D1C2C" w:rsidP="00CE4CA3">
      <w:pPr>
        <w:spacing w:before="100" w:beforeAutospacing="1" w:after="100" w:afterAutospacing="1" w:line="360" w:lineRule="auto"/>
        <w:ind w:left="567"/>
        <w:rPr>
          <w:rFonts w:ascii="Arial" w:eastAsia="Times New Roman" w:hAnsi="Arial" w:cs="Arial"/>
          <w:kern w:val="0"/>
          <w:sz w:val="22"/>
          <w:szCs w:val="22"/>
          <w:lang w:eastAsia="en-GB"/>
          <w14:ligatures w14:val="none"/>
        </w:rPr>
      </w:pPr>
    </w:p>
    <w:p w14:paraId="6BEEFA15" w14:textId="77777777" w:rsidR="00AA272E" w:rsidRPr="00AA272E" w:rsidRDefault="00AA272E" w:rsidP="00CE4CA3">
      <w:pPr>
        <w:spacing w:before="100" w:beforeAutospacing="1" w:after="100" w:afterAutospacing="1" w:line="360" w:lineRule="auto"/>
        <w:ind w:left="567" w:hanging="567"/>
        <w:outlineLvl w:val="2"/>
        <w:rPr>
          <w:rFonts w:ascii="Arial" w:eastAsia="Times New Roman" w:hAnsi="Arial" w:cs="Arial"/>
          <w:b/>
          <w:bCs/>
          <w:kern w:val="0"/>
          <w:sz w:val="22"/>
          <w:szCs w:val="22"/>
          <w:lang w:eastAsia="en-GB"/>
          <w14:ligatures w14:val="none"/>
        </w:rPr>
      </w:pPr>
      <w:r w:rsidRPr="00AA272E">
        <w:rPr>
          <w:rFonts w:ascii="Arial" w:eastAsia="Times New Roman" w:hAnsi="Arial" w:cs="Arial"/>
          <w:b/>
          <w:bCs/>
          <w:kern w:val="0"/>
          <w:sz w:val="22"/>
          <w:szCs w:val="22"/>
          <w:lang w:eastAsia="en-GB"/>
          <w14:ligatures w14:val="none"/>
        </w:rPr>
        <w:t>Schizophrenia</w:t>
      </w:r>
    </w:p>
    <w:p w14:paraId="49FCD55D" w14:textId="77777777" w:rsidR="00AA272E" w:rsidRPr="00AA272E" w:rsidRDefault="00AA272E" w:rsidP="00CE4CA3">
      <w:pPr>
        <w:spacing w:before="100" w:beforeAutospacing="1" w:after="100" w:afterAutospacing="1" w:line="360" w:lineRule="auto"/>
        <w:ind w:left="567" w:hanging="567"/>
        <w:outlineLvl w:val="3"/>
        <w:rPr>
          <w:rFonts w:ascii="Arial" w:eastAsia="Times New Roman" w:hAnsi="Arial" w:cs="Arial"/>
          <w:b/>
          <w:bCs/>
          <w:kern w:val="0"/>
          <w:sz w:val="22"/>
          <w:szCs w:val="22"/>
          <w:lang w:eastAsia="en-GB"/>
          <w14:ligatures w14:val="none"/>
        </w:rPr>
      </w:pPr>
      <w:r w:rsidRPr="00AA272E">
        <w:rPr>
          <w:rFonts w:ascii="Arial" w:eastAsia="Times New Roman" w:hAnsi="Arial" w:cs="Arial"/>
          <w:b/>
          <w:bCs/>
          <w:kern w:val="0"/>
          <w:sz w:val="22"/>
          <w:szCs w:val="22"/>
          <w:lang w:eastAsia="en-GB"/>
          <w14:ligatures w14:val="none"/>
        </w:rPr>
        <w:t>2.1 Classification of Schizophrenia</w:t>
      </w:r>
    </w:p>
    <w:p w14:paraId="0392339F"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 xml:space="preserve">Schizophrenia is a complex mental disorder classified under the code F20 in the ICD-10, encompassing several distinct subtypes each with its own clinical features. Paranoid schizophrenia (F20.0) is characterised by prominent delusions and auditory hallucinations, often involving themes of persecution or grandiosity. Individuals with paranoid schizophrenia tend to retain relatively intact cognitive and affective functions early in the course of the illness (Tandon, Nasrallah, and Keshavan, 2013). Hebephrenic schizophrenia (F20.1), formerly known as disorganised schizophrenia, </w:t>
      </w:r>
      <w:proofErr w:type="gramStart"/>
      <w:r w:rsidRPr="00AA272E">
        <w:rPr>
          <w:rFonts w:ascii="Arial" w:eastAsia="Times New Roman" w:hAnsi="Arial" w:cs="Arial"/>
          <w:kern w:val="0"/>
          <w:sz w:val="22"/>
          <w:szCs w:val="22"/>
          <w:lang w:eastAsia="en-GB"/>
          <w14:ligatures w14:val="none"/>
        </w:rPr>
        <w:t>is marked</w:t>
      </w:r>
      <w:proofErr w:type="gramEnd"/>
      <w:r w:rsidRPr="00AA272E">
        <w:rPr>
          <w:rFonts w:ascii="Arial" w:eastAsia="Times New Roman" w:hAnsi="Arial" w:cs="Arial"/>
          <w:kern w:val="0"/>
          <w:sz w:val="22"/>
          <w:szCs w:val="22"/>
          <w:lang w:eastAsia="en-GB"/>
          <w14:ligatures w14:val="none"/>
        </w:rPr>
        <w:t xml:space="preserve"> by disorganised speech, affective flattening or inappropriate affect, and disorganised or catatonic behaviour. This subtype typically manifests during adolescence or early adulthood and is associated with a poorer long-term prognosis (Marengo and Harrow, 1997).</w:t>
      </w:r>
    </w:p>
    <w:p w14:paraId="1AD2FE48"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Catatonic schizophrenia (F20.2) is characterised by a range of psychomotor disturbances, including stupor, catalepsy, waxy flexibility, mutism, negativism, agitation, and stereotypies. It represents a severe form of schizophrenia with notable motor abnormalities (Fink and Taylor, 2009). Undifferentiated schizophrenia (F20.3) is used when symptoms do not clearly fit into one of the other subtypes. It involves a mixture of symptoms from different categories of schizophrenia but lacks the specific diagnostic criteria for the other subtypes (American Psychiatric Association, 2013).</w:t>
      </w:r>
    </w:p>
    <w:p w14:paraId="2B71C761" w14:textId="77777777" w:rsidR="00AA272E" w:rsidRPr="00AA272E" w:rsidRDefault="00AA272E" w:rsidP="00CE4CA3">
      <w:pPr>
        <w:spacing w:before="100" w:beforeAutospacing="1" w:after="100" w:afterAutospacing="1" w:line="360" w:lineRule="auto"/>
        <w:ind w:left="567" w:hanging="567"/>
        <w:outlineLvl w:val="3"/>
        <w:rPr>
          <w:rFonts w:ascii="Arial" w:eastAsia="Times New Roman" w:hAnsi="Arial" w:cs="Arial"/>
          <w:b/>
          <w:bCs/>
          <w:kern w:val="0"/>
          <w:sz w:val="22"/>
          <w:szCs w:val="22"/>
          <w:lang w:eastAsia="en-GB"/>
          <w14:ligatures w14:val="none"/>
        </w:rPr>
      </w:pPr>
      <w:r w:rsidRPr="00AA272E">
        <w:rPr>
          <w:rFonts w:ascii="Arial" w:eastAsia="Times New Roman" w:hAnsi="Arial" w:cs="Arial"/>
          <w:b/>
          <w:bCs/>
          <w:kern w:val="0"/>
          <w:sz w:val="22"/>
          <w:szCs w:val="22"/>
          <w:lang w:eastAsia="en-GB"/>
          <w14:ligatures w14:val="none"/>
        </w:rPr>
        <w:t>2.2 Diagnosis of Schizophrenia</w:t>
      </w:r>
    </w:p>
    <w:p w14:paraId="46FAA90F"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Diagnosing schizophrenia according to ICD-10 criteria involves identifying characteristic symptoms persisting over time. The duration criteria require symptoms such as delusions, hallucinations, disorganised speech, and grossly disorganised or catatonic behaviour to be present continuously for at least six months, with active symptoms for a minimum of one month (American Psychiatric Association, 2013; McGrath et al., 2016). Exclusionary criteria necessitate that clinicians exclude other psychiatric disorders, substance use disorders, or medical conditions that might better explain the symptoms through a thorough clinical assessment (WHO, 2010).</w:t>
      </w:r>
    </w:p>
    <w:p w14:paraId="19346F9B" w14:textId="77777777" w:rsidR="00AA272E" w:rsidRPr="00AA272E" w:rsidRDefault="00AA272E" w:rsidP="00CE4CA3">
      <w:pPr>
        <w:spacing w:before="100" w:beforeAutospacing="1" w:after="100" w:afterAutospacing="1" w:line="360" w:lineRule="auto"/>
        <w:ind w:left="567" w:hanging="567"/>
        <w:outlineLvl w:val="3"/>
        <w:rPr>
          <w:rFonts w:ascii="Arial" w:eastAsia="Times New Roman" w:hAnsi="Arial" w:cs="Arial"/>
          <w:b/>
          <w:bCs/>
          <w:kern w:val="0"/>
          <w:sz w:val="22"/>
          <w:szCs w:val="22"/>
          <w:lang w:eastAsia="en-GB"/>
          <w14:ligatures w14:val="none"/>
        </w:rPr>
      </w:pPr>
      <w:r w:rsidRPr="00AA272E">
        <w:rPr>
          <w:rFonts w:ascii="Arial" w:eastAsia="Times New Roman" w:hAnsi="Arial" w:cs="Arial"/>
          <w:b/>
          <w:bCs/>
          <w:kern w:val="0"/>
          <w:sz w:val="22"/>
          <w:szCs w:val="22"/>
          <w:lang w:eastAsia="en-GB"/>
          <w14:ligatures w14:val="none"/>
        </w:rPr>
        <w:t>2.3 Treatment and Rehabilitation of Schizophrenia</w:t>
      </w:r>
    </w:p>
    <w:p w14:paraId="0BAA47E8"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Effective management of schizophrenia integrates pharmacological and psychosocial interventions. Pharmacological treatment primarily involves antipsychotic medications, which remain the cornerstone of treatment. Typical antipsychotics like haloperidol and chlorpromazine effectively manage positive symptoms but often come with significant side effects such as extrapyramidal symptoms. Atypical antipsychotics such as risperidone, olanzapine, and clozapine are preferred for their better tolerability and effectiveness in managing both positive and negative symptoms (Leucht et al., 2013).</w:t>
      </w:r>
    </w:p>
    <w:p w14:paraId="1E954468"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Psychosocial interventions play a crucial role in the comprehensive treatment of schizophrenia. Cognitive-behavioural therapy (CBT) helps individuals manage symptoms by challenging and modifying negative thought patterns, reducing distress, and improving coping strategies (Wykes et al., 2011). Family therapy is vital in providing support, enhancing communication, and reducing family burden (Dixon, Perkins, and Calmes, 2010). Social skills training focuses on improving interpersonal interactions and daily functioning (Kurtz and Mueser, 2008).</w:t>
      </w:r>
    </w:p>
    <w:p w14:paraId="5F6E1B4D"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Rehabilitation programmes aim to improve the quality of life by enhancing functional abilities and social integration. Vocational training and supported employment initiatives assist individuals in acquiring and maintaining employment, promoting independence and community engagement (Bond and Drake, 2014). In addition to these interventions, early intervention programmes for individuals at high risk of developing psychosis, such as cognitive-behavioural therapy, have shown promise in delaying or preventing the onset of full-blown schizophrenia (van der Gaag et al., 2013).</w:t>
      </w:r>
    </w:p>
    <w:p w14:paraId="1E1A4ACB"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Long-term management of schizophrenia also involves addressing comorbid conditions, such as anxiety, depression, and substance use disorders, which can complicate treatment and recovery. Integrated treatment approaches that simultaneously address these comorbidities are essential for improving overall outcomes. Regular monitoring and follow-up are critical to managing medication adherence, side effects, and the evolving needs of individuals with schizophrenia.</w:t>
      </w:r>
    </w:p>
    <w:p w14:paraId="71B3FDD9" w14:textId="77777777" w:rsidR="00AA272E" w:rsidRPr="00AA272E" w:rsidRDefault="00AA272E" w:rsidP="00CE4CA3">
      <w:pPr>
        <w:spacing w:before="100" w:beforeAutospacing="1" w:after="100" w:afterAutospacing="1" w:line="360" w:lineRule="auto"/>
        <w:ind w:left="567" w:hanging="567"/>
        <w:rPr>
          <w:rFonts w:ascii="Arial" w:eastAsia="Times New Roman" w:hAnsi="Arial" w:cs="Arial"/>
          <w:kern w:val="0"/>
          <w:sz w:val="22"/>
          <w:szCs w:val="22"/>
          <w:lang w:eastAsia="en-GB"/>
          <w14:ligatures w14:val="none"/>
        </w:rPr>
      </w:pPr>
      <w:r w:rsidRPr="00AA272E">
        <w:rPr>
          <w:rFonts w:ascii="Arial" w:eastAsia="Times New Roman" w:hAnsi="Arial" w:cs="Arial"/>
          <w:kern w:val="0"/>
          <w:sz w:val="22"/>
          <w:szCs w:val="22"/>
          <w:lang w:eastAsia="en-GB"/>
          <w14:ligatures w14:val="none"/>
        </w:rPr>
        <w:t>Overall, a holistic approach that combines pharmacological, psychosocial, and rehabilitative strategies, tailored to the individual’s specific needs and circumstances, is necessary for the effective management of schizophrenia.</w:t>
      </w:r>
    </w:p>
    <w:p w14:paraId="4F37ACFB" w14:textId="77777777" w:rsidR="004F3693" w:rsidRPr="004F3693" w:rsidRDefault="004F3693" w:rsidP="00CE4CA3">
      <w:pPr>
        <w:spacing w:before="100" w:beforeAutospacing="1" w:after="100" w:afterAutospacing="1" w:line="360" w:lineRule="auto"/>
        <w:ind w:left="567" w:hanging="976"/>
        <w:outlineLvl w:val="2"/>
        <w:rPr>
          <w:rFonts w:ascii="Arial" w:eastAsia="Times New Roman" w:hAnsi="Arial" w:cs="Arial"/>
          <w:b/>
          <w:bCs/>
          <w:kern w:val="0"/>
          <w:sz w:val="22"/>
          <w:szCs w:val="22"/>
          <w:lang w:eastAsia="en-GB"/>
          <w14:ligatures w14:val="none"/>
        </w:rPr>
      </w:pPr>
      <w:r w:rsidRPr="004F3693">
        <w:rPr>
          <w:rFonts w:ascii="Arial" w:eastAsia="Times New Roman" w:hAnsi="Arial" w:cs="Arial"/>
          <w:b/>
          <w:bCs/>
          <w:kern w:val="0"/>
          <w:sz w:val="22"/>
          <w:szCs w:val="22"/>
          <w:lang w:eastAsia="en-GB"/>
          <w14:ligatures w14:val="none"/>
        </w:rPr>
        <w:t>2.4 Recommendations for Improvement</w:t>
      </w:r>
    </w:p>
    <w:p w14:paraId="25F3F9FE" w14:textId="77777777" w:rsidR="004F3693" w:rsidRPr="004F3693" w:rsidRDefault="004F3693" w:rsidP="00CE4CA3">
      <w:pPr>
        <w:spacing w:before="100" w:beforeAutospacing="1" w:after="100" w:afterAutospacing="1" w:line="360" w:lineRule="auto"/>
        <w:ind w:left="567" w:hanging="976"/>
        <w:rPr>
          <w:rFonts w:ascii="Arial" w:eastAsia="Times New Roman" w:hAnsi="Arial" w:cs="Arial"/>
          <w:kern w:val="0"/>
          <w:sz w:val="22"/>
          <w:szCs w:val="22"/>
          <w:lang w:eastAsia="en-GB"/>
          <w14:ligatures w14:val="none"/>
        </w:rPr>
      </w:pPr>
      <w:r w:rsidRPr="004F3693">
        <w:rPr>
          <w:rFonts w:ascii="Arial" w:eastAsia="Times New Roman" w:hAnsi="Arial" w:cs="Arial"/>
          <w:kern w:val="0"/>
          <w:sz w:val="22"/>
          <w:szCs w:val="22"/>
          <w:lang w:eastAsia="en-GB"/>
          <w14:ligatures w14:val="none"/>
        </w:rPr>
        <w:t>To enhance schizophrenia treatment and care:</w:t>
      </w:r>
    </w:p>
    <w:p w14:paraId="1BCA52D4" w14:textId="77777777" w:rsidR="004F3693" w:rsidRPr="004F3693" w:rsidRDefault="004F3693" w:rsidP="00CE4CA3">
      <w:pPr>
        <w:numPr>
          <w:ilvl w:val="0"/>
          <w:numId w:val="43"/>
        </w:numPr>
        <w:spacing w:before="100" w:beforeAutospacing="1" w:after="100" w:afterAutospacing="1" w:line="360" w:lineRule="auto"/>
        <w:ind w:left="567" w:hanging="976"/>
        <w:rPr>
          <w:rFonts w:ascii="Arial" w:eastAsia="Times New Roman" w:hAnsi="Arial" w:cs="Arial"/>
          <w:kern w:val="0"/>
          <w:sz w:val="22"/>
          <w:szCs w:val="22"/>
          <w:lang w:eastAsia="en-GB"/>
          <w14:ligatures w14:val="none"/>
        </w:rPr>
      </w:pPr>
      <w:r w:rsidRPr="004F3693">
        <w:rPr>
          <w:rFonts w:ascii="Arial" w:eastAsia="Times New Roman" w:hAnsi="Arial" w:cs="Arial"/>
          <w:b/>
          <w:bCs/>
          <w:kern w:val="0"/>
          <w:sz w:val="22"/>
          <w:szCs w:val="22"/>
          <w:lang w:eastAsia="en-GB"/>
          <w14:ligatures w14:val="none"/>
        </w:rPr>
        <w:t>Personalised Medicine:</w:t>
      </w:r>
      <w:r w:rsidRPr="004F3693">
        <w:rPr>
          <w:rFonts w:ascii="Arial" w:eastAsia="Times New Roman" w:hAnsi="Arial" w:cs="Arial"/>
          <w:kern w:val="0"/>
          <w:sz w:val="22"/>
          <w:szCs w:val="22"/>
          <w:lang w:eastAsia="en-GB"/>
          <w14:ligatures w14:val="none"/>
        </w:rPr>
        <w:t xml:space="preserve"> Implement personalised medicine approaches through genetic studies and biomarker research to tailor treatment plans to individual patient profiles. This could involve identifying genetic markers associated with treatment response or susceptibility to side effects, thereby optimising medication selection and dosage (Collins and Varmus, 2015).</w:t>
      </w:r>
    </w:p>
    <w:p w14:paraId="3BD8426B" w14:textId="77777777" w:rsidR="004F3693" w:rsidRPr="00CE4CA3" w:rsidRDefault="004F3693" w:rsidP="00CE4CA3">
      <w:pPr>
        <w:numPr>
          <w:ilvl w:val="0"/>
          <w:numId w:val="43"/>
        </w:numPr>
        <w:spacing w:before="100" w:beforeAutospacing="1" w:after="100" w:afterAutospacing="1" w:line="360" w:lineRule="auto"/>
        <w:ind w:left="567" w:hanging="976"/>
        <w:rPr>
          <w:rFonts w:ascii="Arial" w:eastAsia="Times New Roman" w:hAnsi="Arial" w:cs="Arial"/>
          <w:kern w:val="0"/>
          <w:sz w:val="22"/>
          <w:szCs w:val="22"/>
          <w:lang w:eastAsia="en-GB"/>
          <w14:ligatures w14:val="none"/>
        </w:rPr>
      </w:pPr>
      <w:r w:rsidRPr="004F3693">
        <w:rPr>
          <w:rFonts w:ascii="Arial" w:eastAsia="Times New Roman" w:hAnsi="Arial" w:cs="Arial"/>
          <w:b/>
          <w:bCs/>
          <w:kern w:val="0"/>
          <w:sz w:val="22"/>
          <w:szCs w:val="22"/>
          <w:lang w:eastAsia="en-GB"/>
          <w14:ligatures w14:val="none"/>
        </w:rPr>
        <w:t>Early Intervention:</w:t>
      </w:r>
      <w:r w:rsidRPr="004F3693">
        <w:rPr>
          <w:rFonts w:ascii="Arial" w:eastAsia="Times New Roman" w:hAnsi="Arial" w:cs="Arial"/>
          <w:kern w:val="0"/>
          <w:sz w:val="22"/>
          <w:szCs w:val="22"/>
          <w:lang w:eastAsia="en-GB"/>
          <w14:ligatures w14:val="none"/>
        </w:rPr>
        <w:t xml:space="preserve"> Expand early psychosis intervention programmes to reduce the duration of untreated psychosis, which correlates with better long-term outcomes. Early detection and intervention can mitigate symptom severity, improve functional recovery, and reduce relapse rates (van der Gaag et al., 2013).</w:t>
      </w:r>
    </w:p>
    <w:p w14:paraId="7BEBBB98" w14:textId="77777777"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3. Historical and Contemporary Support and Provision for Schizophrenia and OCD</w:t>
      </w:r>
    </w:p>
    <w:p w14:paraId="1D88A770" w14:textId="77777777"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3.1 Schizophrenia</w:t>
      </w:r>
    </w:p>
    <w:p w14:paraId="1E8C38D9" w14:textId="77777777"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Historical Support and Provision</w:t>
      </w:r>
    </w:p>
    <w:p w14:paraId="046DA96A"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Schizophrenia has a long historical record dating back to ancient times, where descriptions resembling its symptoms can be found in early texts. However, it wasn't until the 17th to the 19th centuries that individuals with schizophrenia were often confined to asylums under poor conditions and with limited understanding of their condition. Treatments during this period were primitive and sometimes harmful, including practices such as bloodletting and purging. Later, in the early 20th century, treatments like electroconvulsive therapy (ECT) and insulin coma therapy were introduced, albeit with mixed effectiveness and significant risks (WHO, 2010).</w:t>
      </w:r>
    </w:p>
    <w:p w14:paraId="7E08ED0B"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A pivotal moment in the history of schizophrenia came in the 1950s with the discovery of chlorpromazine, the first effective antipsychotic medication. This breakthrough led to the deinstitutionalisation movement, where many long-term patients were discharged from asylums into community settings. While this shift aimed to integrate patients into society, it also brought challenges due to inadequate community-based support services at the time (Leucht et al., 2013).</w:t>
      </w:r>
    </w:p>
    <w:p w14:paraId="377ABF46" w14:textId="77777777"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Contemporary Support and Provision</w:t>
      </w:r>
    </w:p>
    <w:p w14:paraId="7B08B911"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Modern care for schizophrenia emphasizes community-based services aimed at providing holistic care encompassing medical, psychological, and social needs. Outpatient clinics, supported housing, and crisis intervention teams play crucial roles in this approach, ensuring ongoing support and treatment adherence for individuals living with schizophrenia (Bond &amp; Drake, 2014).</w:t>
      </w:r>
    </w:p>
    <w:p w14:paraId="18B0BCCF"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Integrated treatment approaches are now standard practice, combining pharmacological interventions with psychosocial therapies. Assertive community treatment (ACT) teams deliver personalised care, focusing on managing symptoms, supporting functional recovery, and promoting community integration (Wykes et al., 2011). Psychosocial interventions such as cognitive-behavioural therapy (CBT) for psychosis and family interventions are integral components, aiding in coping skill development and enhancing social functioning (Franklin &amp; Foa, 2011).</w:t>
      </w:r>
    </w:p>
    <w:p w14:paraId="4F481FF3"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Despite these advancements, challenges persist, including stigma, disparities in access to care, and fragmented services across different regions. Efforts to address these issues involve advocating for increased mental health funding, public education campaigns to reduce stigma, and the expansion of telehealth services to improve accessibility to specialised care (Dixon, Perkins, &amp; Calmes, 2010).</w:t>
      </w:r>
    </w:p>
    <w:p w14:paraId="1CFE8373" w14:textId="0912EBC1"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 xml:space="preserve">3.2 </w:t>
      </w:r>
      <w:r w:rsidR="00B352CC" w:rsidRPr="00CE4CA3">
        <w:rPr>
          <w:rStyle w:val="Strong"/>
          <w:rFonts w:ascii="Arial" w:eastAsiaTheme="majorEastAsia" w:hAnsi="Arial" w:cs="Arial"/>
          <w:sz w:val="22"/>
          <w:szCs w:val="22"/>
        </w:rPr>
        <w:t>obsessive-compulsive disorder</w:t>
      </w:r>
      <w:r w:rsidRPr="00CE4CA3">
        <w:rPr>
          <w:rStyle w:val="Strong"/>
          <w:rFonts w:ascii="Arial" w:eastAsiaTheme="majorEastAsia" w:hAnsi="Arial" w:cs="Arial"/>
          <w:sz w:val="22"/>
          <w:szCs w:val="22"/>
        </w:rPr>
        <w:t xml:space="preserve"> (OCD)</w:t>
      </w:r>
    </w:p>
    <w:p w14:paraId="6B0581E8" w14:textId="77777777"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Historical Support and Provision</w:t>
      </w:r>
    </w:p>
    <w:p w14:paraId="4D5584C9" w14:textId="15663F50"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 xml:space="preserve">Historically, OCD was poorly understood and often perceived through religious or moral lenses. Early treatments were </w:t>
      </w:r>
      <w:r w:rsidR="00B352CC" w:rsidRPr="00CE4CA3">
        <w:rPr>
          <w:rFonts w:ascii="Arial" w:hAnsi="Arial" w:cs="Arial"/>
          <w:sz w:val="22"/>
          <w:szCs w:val="22"/>
        </w:rPr>
        <w:t>ineffective</w:t>
      </w:r>
      <w:r w:rsidRPr="00CE4CA3">
        <w:rPr>
          <w:rFonts w:ascii="Arial" w:hAnsi="Arial" w:cs="Arial"/>
          <w:sz w:val="22"/>
          <w:szCs w:val="22"/>
        </w:rPr>
        <w:t>, relying on psychoanalytic approaches that focused on unconscious conflicts and childhood experiences rather than empirical evidence (Stein et al., 2016).</w:t>
      </w:r>
    </w:p>
    <w:p w14:paraId="64D3F540"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The development of behavioural therapies in the 1960s and 1970s marked a turning point for OCD treatment. Specifically, exposure and response prevention (ERP), a form of cognitive-behavioural therapy (CBT), emerged as a highly effective intervention. ERP involves systematically exposing individuals to anxiety-provoking stimuli while preventing them from engaging in compulsive behaviours, thereby reducing symptoms over time (Fineberg et al., 2015).</w:t>
      </w:r>
    </w:p>
    <w:p w14:paraId="3274771C" w14:textId="77777777" w:rsidR="006B6D78" w:rsidRPr="00CE4CA3" w:rsidRDefault="006B6D78"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Contemporary Support and Provision</w:t>
      </w:r>
    </w:p>
    <w:p w14:paraId="390A455D"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 xml:space="preserve">Modern treatment for OCD integrates pharmacotherapy and evidence-based psychological interventions. Selective serotonin reuptake inhibitors (SSRIs), such as fluoxetine and sertraline, are commonly prescribed due to their effectiveness in alleviating symptoms. Clomipramine, a tricyclic antidepressant, </w:t>
      </w:r>
      <w:proofErr w:type="gramStart"/>
      <w:r w:rsidRPr="00CE4CA3">
        <w:rPr>
          <w:rFonts w:ascii="Arial" w:hAnsi="Arial" w:cs="Arial"/>
          <w:sz w:val="22"/>
          <w:szCs w:val="22"/>
        </w:rPr>
        <w:t>is also used</w:t>
      </w:r>
      <w:proofErr w:type="gramEnd"/>
      <w:r w:rsidRPr="00CE4CA3">
        <w:rPr>
          <w:rFonts w:ascii="Arial" w:hAnsi="Arial" w:cs="Arial"/>
          <w:sz w:val="22"/>
          <w:szCs w:val="22"/>
        </w:rPr>
        <w:t xml:space="preserve"> for its proven efficacy, particularly in treatment-resistant cases (Abramowitz, Taylor, &amp; McKay, 2009).</w:t>
      </w:r>
    </w:p>
    <w:p w14:paraId="5A13D29B" w14:textId="77777777" w:rsidR="006B6D78" w:rsidRPr="00CE4CA3" w:rsidRDefault="006B6D78" w:rsidP="00CE4CA3">
      <w:pPr>
        <w:pStyle w:val="NormalWeb"/>
        <w:spacing w:line="360" w:lineRule="auto"/>
        <w:ind w:left="567"/>
        <w:rPr>
          <w:rFonts w:ascii="Arial" w:hAnsi="Arial" w:cs="Arial"/>
          <w:sz w:val="22"/>
          <w:szCs w:val="22"/>
        </w:rPr>
      </w:pPr>
      <w:proofErr w:type="gramStart"/>
      <w:r w:rsidRPr="00CE4CA3">
        <w:rPr>
          <w:rFonts w:ascii="Arial" w:hAnsi="Arial" w:cs="Arial"/>
          <w:sz w:val="22"/>
          <w:szCs w:val="22"/>
        </w:rPr>
        <w:t>Many</w:t>
      </w:r>
      <w:proofErr w:type="gramEnd"/>
      <w:r w:rsidRPr="00CE4CA3">
        <w:rPr>
          <w:rFonts w:ascii="Arial" w:hAnsi="Arial" w:cs="Arial"/>
          <w:sz w:val="22"/>
          <w:szCs w:val="22"/>
        </w:rPr>
        <w:t xml:space="preserve"> regions now host specialised OCD clinics that offer comprehensive assessments and evidence-based treatment programmes. These clinics provide individualised care plans, including intensive therapy sessions and multidisciplinary support to address the complex nature of OCD (Fineberg et al., 2015).</w:t>
      </w:r>
    </w:p>
    <w:p w14:paraId="45836BA2" w14:textId="77777777" w:rsidR="006B6D78" w:rsidRPr="00CE4CA3" w:rsidRDefault="006B6D78" w:rsidP="00CE4CA3">
      <w:pPr>
        <w:pStyle w:val="NormalWeb"/>
        <w:spacing w:line="360" w:lineRule="auto"/>
        <w:ind w:left="567"/>
        <w:rPr>
          <w:rFonts w:ascii="Arial" w:hAnsi="Arial" w:cs="Arial"/>
          <w:sz w:val="22"/>
          <w:szCs w:val="22"/>
        </w:rPr>
      </w:pPr>
      <w:r w:rsidRPr="00CE4CA3">
        <w:rPr>
          <w:rFonts w:ascii="Arial" w:hAnsi="Arial" w:cs="Arial"/>
          <w:sz w:val="22"/>
          <w:szCs w:val="22"/>
        </w:rPr>
        <w:t>Despite advancements in treatment options, challenges remain, such as delays in diagnosis, limited access to specialised care, and varying degrees of treatment resistance among patients. Addressing these challenges requires increased awareness among healthcare providers, enhanced training in evidence-based therapies, and ongoing research into innovative treatment approaches for refractory cases (Fineberg et al., 2015).</w:t>
      </w:r>
    </w:p>
    <w:p w14:paraId="5DC51232" w14:textId="75734D5D" w:rsidR="006B6D78" w:rsidRPr="00CE4CA3" w:rsidRDefault="00F40F0F" w:rsidP="00CE4CA3">
      <w:pPr>
        <w:pStyle w:val="NormalWeb"/>
        <w:spacing w:line="360" w:lineRule="auto"/>
        <w:ind w:left="567"/>
        <w:rPr>
          <w:rFonts w:ascii="Arial" w:hAnsi="Arial" w:cs="Arial"/>
          <w:sz w:val="22"/>
          <w:szCs w:val="22"/>
        </w:rPr>
      </w:pPr>
      <w:r w:rsidRPr="00CE4CA3">
        <w:rPr>
          <w:rFonts w:ascii="Arial" w:hAnsi="Arial" w:cs="Arial"/>
          <w:sz w:val="22"/>
          <w:szCs w:val="22"/>
        </w:rPr>
        <w:t>W</w:t>
      </w:r>
      <w:r w:rsidR="006B6D78" w:rsidRPr="00CE4CA3">
        <w:rPr>
          <w:rFonts w:ascii="Arial" w:hAnsi="Arial" w:cs="Arial"/>
          <w:sz w:val="22"/>
          <w:szCs w:val="22"/>
        </w:rPr>
        <w:t>hile both schizophrenia and OCD have witnessed significant advancements in their treatment and support frameworks, ongoing efforts are essential to overcome persisting challenges and improve outcomes for individuals affected by these complex mental health disorders. Integrating evidence-based practices, enhancing access to care, and reducing stigma are pivotal steps towards achieving comprehensive and effective mental health support globally.</w:t>
      </w:r>
    </w:p>
    <w:p w14:paraId="22E682D0" w14:textId="77777777" w:rsidR="004067C7" w:rsidRPr="00CE4CA3" w:rsidRDefault="004067C7" w:rsidP="00CE4CA3">
      <w:pPr>
        <w:numPr>
          <w:ilvl w:val="0"/>
          <w:numId w:val="43"/>
        </w:numPr>
        <w:spacing w:before="100" w:beforeAutospacing="1" w:after="100" w:afterAutospacing="1" w:line="360" w:lineRule="auto"/>
        <w:ind w:left="567" w:hanging="976"/>
        <w:rPr>
          <w:rFonts w:ascii="Arial" w:eastAsia="Times New Roman" w:hAnsi="Arial" w:cs="Arial"/>
          <w:kern w:val="0"/>
          <w:sz w:val="22"/>
          <w:szCs w:val="22"/>
          <w:lang w:eastAsia="en-GB"/>
          <w14:ligatures w14:val="none"/>
        </w:rPr>
      </w:pPr>
      <w:r w:rsidRPr="00CE4CA3">
        <w:rPr>
          <w:rFonts w:ascii="Arial" w:hAnsi="Arial" w:cs="Arial"/>
          <w:b/>
          <w:bCs/>
          <w:sz w:val="22"/>
          <w:szCs w:val="22"/>
        </w:rPr>
        <w:t>Obsessive-Compulsive Disorder (OCD)</w:t>
      </w:r>
    </w:p>
    <w:p w14:paraId="00351BF7" w14:textId="77777777" w:rsidR="004067C7" w:rsidRPr="00CE4CA3" w:rsidRDefault="004067C7" w:rsidP="00CE4CA3">
      <w:pPr>
        <w:pStyle w:val="Heading4"/>
        <w:spacing w:line="360" w:lineRule="auto"/>
        <w:ind w:left="567"/>
        <w:rPr>
          <w:rFonts w:ascii="Arial" w:hAnsi="Arial" w:cs="Arial"/>
          <w:b/>
          <w:bCs/>
          <w:sz w:val="22"/>
          <w:szCs w:val="22"/>
        </w:rPr>
      </w:pPr>
      <w:r w:rsidRPr="00CE4CA3">
        <w:rPr>
          <w:rFonts w:ascii="Arial" w:hAnsi="Arial" w:cs="Arial"/>
          <w:b/>
          <w:bCs/>
          <w:sz w:val="22"/>
          <w:szCs w:val="22"/>
        </w:rPr>
        <w:t>4.1 Classification of OCD</w:t>
      </w:r>
    </w:p>
    <w:p w14:paraId="107E8144" w14:textId="37384848" w:rsidR="004067C7" w:rsidRPr="00CE4CA3" w:rsidRDefault="004067C7" w:rsidP="00CE4CA3">
      <w:pPr>
        <w:pStyle w:val="NormalWeb"/>
        <w:spacing w:line="360" w:lineRule="auto"/>
        <w:ind w:left="567"/>
        <w:rPr>
          <w:rFonts w:ascii="Arial" w:hAnsi="Arial" w:cs="Arial"/>
          <w:sz w:val="22"/>
          <w:szCs w:val="22"/>
        </w:rPr>
      </w:pPr>
      <w:r w:rsidRPr="00CE4CA3">
        <w:rPr>
          <w:rFonts w:ascii="Arial" w:hAnsi="Arial" w:cs="Arial"/>
          <w:sz w:val="22"/>
          <w:szCs w:val="22"/>
        </w:rPr>
        <w:t xml:space="preserve">Obsessive-compulsive disorder (OCD) is classified under the code F42 in the ICD-10. It is characterised by two main components: obsessions and compulsions. Obsessions are recurrent and persistent thoughts, urges, or images that intrude into the individual’s consciousness and cause significant anxiety or distress. These thoughts </w:t>
      </w:r>
      <w:r w:rsidR="009D59FE" w:rsidRPr="00CE4CA3">
        <w:rPr>
          <w:rFonts w:ascii="Arial" w:hAnsi="Arial" w:cs="Arial"/>
          <w:sz w:val="22"/>
          <w:szCs w:val="22"/>
        </w:rPr>
        <w:t xml:space="preserve">are </w:t>
      </w:r>
      <w:r w:rsidR="009D59FE">
        <w:rPr>
          <w:rFonts w:ascii="Arial" w:hAnsi="Arial" w:cs="Arial"/>
          <w:sz w:val="22"/>
          <w:szCs w:val="22"/>
        </w:rPr>
        <w:t>often</w:t>
      </w:r>
      <w:r w:rsidRPr="00CE4CA3">
        <w:rPr>
          <w:rFonts w:ascii="Arial" w:hAnsi="Arial" w:cs="Arial"/>
          <w:sz w:val="22"/>
          <w:szCs w:val="22"/>
        </w:rPr>
        <w:t xml:space="preserve"> perceived as intrusive and unwanted, yet they persist despite efforts to ignore or suppress them. Compulsions, on the other hand, are repetitive behaviours or mental acts that individuals feel driven to perform in response to obsessions or according to rigid rules. These actions </w:t>
      </w:r>
      <w:proofErr w:type="gramStart"/>
      <w:r w:rsidRPr="00CE4CA3">
        <w:rPr>
          <w:rFonts w:ascii="Arial" w:hAnsi="Arial" w:cs="Arial"/>
          <w:sz w:val="22"/>
          <w:szCs w:val="22"/>
        </w:rPr>
        <w:t>are aimed</w:t>
      </w:r>
      <w:proofErr w:type="gramEnd"/>
      <w:r w:rsidRPr="00CE4CA3">
        <w:rPr>
          <w:rFonts w:ascii="Arial" w:hAnsi="Arial" w:cs="Arial"/>
          <w:sz w:val="22"/>
          <w:szCs w:val="22"/>
        </w:rPr>
        <w:t xml:space="preserve"> at reducing anxiety or preventing a feared event, but they are not realistically connected to the outcomes they are intended to prevent.</w:t>
      </w:r>
    </w:p>
    <w:p w14:paraId="6031B976" w14:textId="77777777" w:rsidR="004067C7" w:rsidRPr="00CE4CA3" w:rsidRDefault="004067C7" w:rsidP="00CE4CA3">
      <w:pPr>
        <w:pStyle w:val="Heading4"/>
        <w:spacing w:line="360" w:lineRule="auto"/>
        <w:ind w:left="567"/>
        <w:rPr>
          <w:rFonts w:ascii="Arial" w:hAnsi="Arial" w:cs="Arial"/>
          <w:b/>
          <w:bCs/>
          <w:sz w:val="22"/>
          <w:szCs w:val="22"/>
        </w:rPr>
      </w:pPr>
      <w:r w:rsidRPr="00CE4CA3">
        <w:rPr>
          <w:rFonts w:ascii="Arial" w:hAnsi="Arial" w:cs="Arial"/>
          <w:b/>
          <w:bCs/>
          <w:sz w:val="22"/>
          <w:szCs w:val="22"/>
        </w:rPr>
        <w:t>4.2 Diagnosis of OCD</w:t>
      </w:r>
    </w:p>
    <w:p w14:paraId="6EA4CF11" w14:textId="77777777" w:rsidR="004067C7" w:rsidRPr="00CE4CA3" w:rsidRDefault="004067C7" w:rsidP="00CE4CA3">
      <w:pPr>
        <w:pStyle w:val="NormalWeb"/>
        <w:spacing w:line="360" w:lineRule="auto"/>
        <w:ind w:left="567"/>
        <w:rPr>
          <w:rFonts w:ascii="Arial" w:hAnsi="Arial" w:cs="Arial"/>
          <w:sz w:val="22"/>
          <w:szCs w:val="22"/>
        </w:rPr>
      </w:pPr>
      <w:r w:rsidRPr="00CE4CA3">
        <w:rPr>
          <w:rFonts w:ascii="Arial" w:hAnsi="Arial" w:cs="Arial"/>
          <w:sz w:val="22"/>
          <w:szCs w:val="22"/>
        </w:rPr>
        <w:t>Diagnosing OCD involves identifying the presence of obsessions and/or compulsions that significantly impair the individual’s daily functioning. According to ICD-10 criteria, the diagnosis requires that these symptoms cause marked distress, are time-consuming (taking more than one hour per day), or significantly interfere with the individual’s work, social activities, or relationships (Stein et al., 2016). Clinicians must also exclude other psychiatric disorders, medical conditions, or substance use that could better explain the symptoms through a thorough clinical assessment (WHO, 2010).</w:t>
      </w:r>
    </w:p>
    <w:p w14:paraId="43A8C479" w14:textId="77777777" w:rsidR="004067C7" w:rsidRPr="00CE4CA3" w:rsidRDefault="004067C7" w:rsidP="00CE4CA3">
      <w:pPr>
        <w:pStyle w:val="Heading4"/>
        <w:spacing w:line="360" w:lineRule="auto"/>
        <w:ind w:left="567"/>
        <w:rPr>
          <w:rFonts w:ascii="Arial" w:hAnsi="Arial" w:cs="Arial"/>
          <w:b/>
          <w:bCs/>
          <w:sz w:val="22"/>
          <w:szCs w:val="22"/>
        </w:rPr>
      </w:pPr>
      <w:r w:rsidRPr="00CE4CA3">
        <w:rPr>
          <w:rFonts w:ascii="Arial" w:hAnsi="Arial" w:cs="Arial"/>
          <w:b/>
          <w:bCs/>
          <w:sz w:val="22"/>
          <w:szCs w:val="22"/>
        </w:rPr>
        <w:t>4.3 Treatment and Rehabilitation of OCD</w:t>
      </w:r>
    </w:p>
    <w:p w14:paraId="3C863531" w14:textId="6267818D" w:rsidR="004067C7" w:rsidRPr="00CE4CA3" w:rsidRDefault="004067C7" w:rsidP="00CE4CA3">
      <w:pPr>
        <w:pStyle w:val="NormalWeb"/>
        <w:spacing w:line="360" w:lineRule="auto"/>
        <w:ind w:left="567"/>
        <w:rPr>
          <w:rFonts w:ascii="Arial" w:hAnsi="Arial" w:cs="Arial"/>
          <w:sz w:val="22"/>
          <w:szCs w:val="22"/>
        </w:rPr>
      </w:pPr>
      <w:r w:rsidRPr="00CE4CA3">
        <w:rPr>
          <w:rFonts w:ascii="Arial" w:hAnsi="Arial" w:cs="Arial"/>
          <w:sz w:val="22"/>
          <w:szCs w:val="22"/>
        </w:rPr>
        <w:t xml:space="preserve">Effective management of OCD typically involves a combination of pharmacological and psychological interventions tailored to the severity and specific symptoms of the disorder. Pharmacologically, selective serotonin reuptake inhibitors (SSRIs) such as fluoxetine, fluvoxamine, and sertraline </w:t>
      </w:r>
      <w:proofErr w:type="gramStart"/>
      <w:r w:rsidRPr="00CE4CA3">
        <w:rPr>
          <w:rFonts w:ascii="Arial" w:hAnsi="Arial" w:cs="Arial"/>
          <w:sz w:val="22"/>
          <w:szCs w:val="22"/>
        </w:rPr>
        <w:t>are considered</w:t>
      </w:r>
      <w:proofErr w:type="gramEnd"/>
      <w:r w:rsidRPr="00CE4CA3">
        <w:rPr>
          <w:rFonts w:ascii="Arial" w:hAnsi="Arial" w:cs="Arial"/>
          <w:sz w:val="22"/>
          <w:szCs w:val="22"/>
        </w:rPr>
        <w:t xml:space="preserve"> first-line treatments due to their efficacy in reducing symptoms and </w:t>
      </w:r>
      <w:r w:rsidR="00B352CC" w:rsidRPr="00CE4CA3">
        <w:rPr>
          <w:rFonts w:ascii="Arial" w:hAnsi="Arial" w:cs="Arial"/>
          <w:sz w:val="22"/>
          <w:szCs w:val="22"/>
        </w:rPr>
        <w:t>mild</w:t>
      </w:r>
      <w:r w:rsidRPr="00CE4CA3">
        <w:rPr>
          <w:rFonts w:ascii="Arial" w:hAnsi="Arial" w:cs="Arial"/>
          <w:sz w:val="22"/>
          <w:szCs w:val="22"/>
        </w:rPr>
        <w:t xml:space="preserve"> side effect profiles compared to older antidepressants (Fineberg et al., 2015). Clomipramine, a tricyclic antidepressant, is also effective but is </w:t>
      </w:r>
      <w:r w:rsidR="00B352CC" w:rsidRPr="00CE4CA3">
        <w:rPr>
          <w:rFonts w:ascii="Arial" w:hAnsi="Arial" w:cs="Arial"/>
          <w:sz w:val="22"/>
          <w:szCs w:val="22"/>
        </w:rPr>
        <w:t>reserved</w:t>
      </w:r>
      <w:r w:rsidRPr="00CE4CA3">
        <w:rPr>
          <w:rFonts w:ascii="Arial" w:hAnsi="Arial" w:cs="Arial"/>
          <w:sz w:val="22"/>
          <w:szCs w:val="22"/>
        </w:rPr>
        <w:t xml:space="preserve"> for cases where SSRIs have been ineffective or poorly tolerated.</w:t>
      </w:r>
    </w:p>
    <w:p w14:paraId="03B36D79" w14:textId="77777777" w:rsidR="004067C7" w:rsidRPr="00CE4CA3" w:rsidRDefault="004067C7" w:rsidP="00CE4CA3">
      <w:pPr>
        <w:pStyle w:val="NormalWeb"/>
        <w:spacing w:line="360" w:lineRule="auto"/>
        <w:ind w:left="567"/>
        <w:rPr>
          <w:rFonts w:ascii="Arial" w:hAnsi="Arial" w:cs="Arial"/>
          <w:sz w:val="22"/>
          <w:szCs w:val="22"/>
        </w:rPr>
      </w:pPr>
      <w:r w:rsidRPr="00CE4CA3">
        <w:rPr>
          <w:rFonts w:ascii="Arial" w:hAnsi="Arial" w:cs="Arial"/>
          <w:sz w:val="22"/>
          <w:szCs w:val="22"/>
        </w:rPr>
        <w:t xml:space="preserve">Psychological treatments, particularly cognitive-behavioural therapy (CBT), are crucial in managing OCD symptoms. CBT, specifically exposure and response prevention (ERP), is widely recognized as the most effective form of psychotherapy for OCD. ERP involves systematically exposing individuals to situations, thoughts, or images that trigger their obsessions while refraining from engaging in the associated compulsive behaviours. Through repeated exposures, individuals learn that their anxiety diminishes over time without performing the compulsions, thereby breaking the cycle of obsession and compulsion (Franklin and </w:t>
      </w:r>
      <w:proofErr w:type="spellStart"/>
      <w:r w:rsidRPr="00CE4CA3">
        <w:rPr>
          <w:rFonts w:ascii="Arial" w:hAnsi="Arial" w:cs="Arial"/>
          <w:sz w:val="22"/>
          <w:szCs w:val="22"/>
        </w:rPr>
        <w:t>Foa</w:t>
      </w:r>
      <w:proofErr w:type="spellEnd"/>
      <w:r w:rsidRPr="00CE4CA3">
        <w:rPr>
          <w:rFonts w:ascii="Arial" w:hAnsi="Arial" w:cs="Arial"/>
          <w:sz w:val="22"/>
          <w:szCs w:val="22"/>
        </w:rPr>
        <w:t>, 2011).</w:t>
      </w:r>
    </w:p>
    <w:p w14:paraId="157B782D" w14:textId="77777777" w:rsidR="004067C7" w:rsidRPr="00CE4CA3" w:rsidRDefault="004067C7" w:rsidP="00CE4CA3">
      <w:pPr>
        <w:pStyle w:val="NormalWeb"/>
        <w:spacing w:line="360" w:lineRule="auto"/>
        <w:ind w:left="567"/>
        <w:rPr>
          <w:rFonts w:ascii="Arial" w:hAnsi="Arial" w:cs="Arial"/>
          <w:sz w:val="22"/>
          <w:szCs w:val="22"/>
        </w:rPr>
      </w:pPr>
      <w:r w:rsidRPr="00CE4CA3">
        <w:rPr>
          <w:rFonts w:ascii="Arial" w:hAnsi="Arial" w:cs="Arial"/>
          <w:sz w:val="22"/>
          <w:szCs w:val="22"/>
        </w:rPr>
        <w:t>Rehabilitation efforts for OCD focus on helping individuals regain and enhance their functional abilities and quality of life. This includes vocational training to assist in maintaining employment or returning to work, social skills training to improve interpersonal interactions, and support in daily living activities. Group therapy and support groups provide opportunities for individuals with OCD to connect with others who share similar experiences, offering valuable social support and reducing feelings of isolation (Abramowitz, Taylor, and McKay, 2009).</w:t>
      </w:r>
    </w:p>
    <w:p w14:paraId="467E3EE8" w14:textId="77777777" w:rsidR="00CE4CA3" w:rsidRPr="00CE4CA3" w:rsidRDefault="00CE4CA3" w:rsidP="00CE4CA3">
      <w:pPr>
        <w:pStyle w:val="NormalWeb"/>
        <w:spacing w:line="360" w:lineRule="auto"/>
        <w:ind w:left="567"/>
        <w:rPr>
          <w:rFonts w:ascii="Arial" w:hAnsi="Arial" w:cs="Arial"/>
          <w:sz w:val="22"/>
          <w:szCs w:val="22"/>
        </w:rPr>
      </w:pPr>
      <w:r w:rsidRPr="00CE4CA3">
        <w:rPr>
          <w:rStyle w:val="Strong"/>
          <w:rFonts w:ascii="Arial" w:eastAsiaTheme="majorEastAsia" w:hAnsi="Arial" w:cs="Arial"/>
          <w:sz w:val="22"/>
          <w:szCs w:val="22"/>
        </w:rPr>
        <w:t>4.4 Recommendations for Improvement</w:t>
      </w:r>
    </w:p>
    <w:p w14:paraId="74402F35" w14:textId="77777777" w:rsidR="00CE4CA3" w:rsidRPr="00CE4CA3" w:rsidRDefault="00CE4CA3" w:rsidP="00CE4CA3">
      <w:pPr>
        <w:pStyle w:val="NormalWeb"/>
        <w:spacing w:line="360" w:lineRule="auto"/>
        <w:ind w:left="567"/>
        <w:rPr>
          <w:rFonts w:ascii="Arial" w:hAnsi="Arial" w:cs="Arial"/>
          <w:sz w:val="22"/>
          <w:szCs w:val="22"/>
        </w:rPr>
      </w:pPr>
      <w:r w:rsidRPr="00CE4CA3">
        <w:rPr>
          <w:rFonts w:ascii="Arial" w:hAnsi="Arial" w:cs="Arial"/>
          <w:sz w:val="22"/>
          <w:szCs w:val="22"/>
        </w:rPr>
        <w:t>To further enhance OCD treatment and care, several key recommendations can be considered:</w:t>
      </w:r>
    </w:p>
    <w:p w14:paraId="5D5FF7CB" w14:textId="5C58823E" w:rsidR="00CE4CA3" w:rsidRPr="00CE4CA3" w:rsidRDefault="00CE4CA3" w:rsidP="00CE4CA3">
      <w:pPr>
        <w:pStyle w:val="NormalWeb"/>
        <w:numPr>
          <w:ilvl w:val="0"/>
          <w:numId w:val="53"/>
        </w:numPr>
        <w:spacing w:line="360" w:lineRule="auto"/>
        <w:ind w:left="567"/>
        <w:rPr>
          <w:rFonts w:ascii="Arial" w:hAnsi="Arial" w:cs="Arial"/>
          <w:sz w:val="22"/>
          <w:szCs w:val="22"/>
        </w:rPr>
      </w:pPr>
      <w:r w:rsidRPr="00CE4CA3">
        <w:rPr>
          <w:rStyle w:val="Strong"/>
          <w:rFonts w:ascii="Arial" w:eastAsiaTheme="majorEastAsia" w:hAnsi="Arial" w:cs="Arial"/>
          <w:sz w:val="22"/>
          <w:szCs w:val="22"/>
        </w:rPr>
        <w:t>Enhanced Training and Resources:</w:t>
      </w:r>
      <w:r w:rsidRPr="00CE4CA3">
        <w:rPr>
          <w:rFonts w:ascii="Arial" w:hAnsi="Arial" w:cs="Arial"/>
          <w:sz w:val="22"/>
          <w:szCs w:val="22"/>
        </w:rPr>
        <w:t xml:space="preserve"> There is a critical need to expand training opportunities for healthcare providers in evidence-based treatments such as exposure and response prevention (ERP) for OCD. ERP has consistently shown efficacy in reducing symptoms by exposing patients to anxiety-provoking situations while preventing their usual compulsive responses (Fineberg et al., 2015). By ensuring that clinicians across different settings are proficient in delivering ERP, treatment outcomes can </w:t>
      </w:r>
      <w:proofErr w:type="gramStart"/>
      <w:r w:rsidRPr="00CE4CA3">
        <w:rPr>
          <w:rFonts w:ascii="Arial" w:hAnsi="Arial" w:cs="Arial"/>
          <w:sz w:val="22"/>
          <w:szCs w:val="22"/>
        </w:rPr>
        <w:t>be optimi</w:t>
      </w:r>
      <w:r w:rsidR="009D59FE">
        <w:rPr>
          <w:rFonts w:ascii="Arial" w:hAnsi="Arial" w:cs="Arial"/>
          <w:sz w:val="22"/>
          <w:szCs w:val="22"/>
        </w:rPr>
        <w:t>s</w:t>
      </w:r>
      <w:r w:rsidRPr="00CE4CA3">
        <w:rPr>
          <w:rFonts w:ascii="Arial" w:hAnsi="Arial" w:cs="Arial"/>
          <w:sz w:val="22"/>
          <w:szCs w:val="22"/>
        </w:rPr>
        <w:t>ed</w:t>
      </w:r>
      <w:proofErr w:type="gramEnd"/>
      <w:r w:rsidRPr="00CE4CA3">
        <w:rPr>
          <w:rFonts w:ascii="Arial" w:hAnsi="Arial" w:cs="Arial"/>
          <w:sz w:val="22"/>
          <w:szCs w:val="22"/>
        </w:rPr>
        <w:t>.</w:t>
      </w:r>
    </w:p>
    <w:p w14:paraId="45B2042F" w14:textId="77777777" w:rsidR="00CE4CA3" w:rsidRPr="00CE4CA3" w:rsidRDefault="00CE4CA3" w:rsidP="00CE4CA3">
      <w:pPr>
        <w:pStyle w:val="NormalWeb"/>
        <w:spacing w:line="360" w:lineRule="auto"/>
        <w:ind w:left="567"/>
        <w:rPr>
          <w:rFonts w:ascii="Arial" w:hAnsi="Arial" w:cs="Arial"/>
          <w:sz w:val="22"/>
          <w:szCs w:val="22"/>
        </w:rPr>
      </w:pPr>
      <w:r w:rsidRPr="00CE4CA3">
        <w:rPr>
          <w:rFonts w:ascii="Arial" w:hAnsi="Arial" w:cs="Arial"/>
          <w:sz w:val="22"/>
          <w:szCs w:val="22"/>
        </w:rPr>
        <w:t>Additionally, it is essential to allocate adequate resources to support specialised OCD treatment centres. These centres play a crucial role in providing comprehensive assessments, personalised treatment plans, and multidisciplinary care to individuals with severe OCD (Fineberg et al., 2015).</w:t>
      </w:r>
    </w:p>
    <w:p w14:paraId="595745F5" w14:textId="77777777" w:rsidR="00CE4CA3" w:rsidRPr="00CE4CA3" w:rsidRDefault="00CE4CA3" w:rsidP="00CE4CA3">
      <w:pPr>
        <w:pStyle w:val="NormalWeb"/>
        <w:numPr>
          <w:ilvl w:val="0"/>
          <w:numId w:val="53"/>
        </w:numPr>
        <w:spacing w:line="360" w:lineRule="auto"/>
        <w:ind w:left="567"/>
        <w:rPr>
          <w:rFonts w:ascii="Arial" w:hAnsi="Arial" w:cs="Arial"/>
          <w:sz w:val="22"/>
          <w:szCs w:val="22"/>
        </w:rPr>
      </w:pPr>
      <w:r w:rsidRPr="00CE4CA3">
        <w:rPr>
          <w:rStyle w:val="Strong"/>
          <w:rFonts w:ascii="Arial" w:eastAsiaTheme="majorEastAsia" w:hAnsi="Arial" w:cs="Arial"/>
          <w:sz w:val="22"/>
          <w:szCs w:val="22"/>
        </w:rPr>
        <w:t>Innovative Therapies:</w:t>
      </w:r>
      <w:r w:rsidRPr="00CE4CA3">
        <w:rPr>
          <w:rFonts w:ascii="Arial" w:hAnsi="Arial" w:cs="Arial"/>
          <w:sz w:val="22"/>
          <w:szCs w:val="22"/>
        </w:rPr>
        <w:t xml:space="preserve"> Developing and implementing new therapeutic approaches is crucial for addressing treatment-resistant OCD cases. One promising avenue is deep brain stimulation (DBS), which involves implanting electrodes into specific brain regions to modulate neural activity. DBS has shown promising results in alleviating symptoms in severe, refractory OCD cases where other treatments have been ineffective (Fineberg et al., 2015).</w:t>
      </w:r>
    </w:p>
    <w:p w14:paraId="04239B67" w14:textId="77777777" w:rsidR="00CE4CA3" w:rsidRPr="00CE4CA3" w:rsidRDefault="00CE4CA3" w:rsidP="00CE4CA3">
      <w:pPr>
        <w:pStyle w:val="NormalWeb"/>
        <w:spacing w:line="360" w:lineRule="auto"/>
        <w:ind w:left="567"/>
        <w:rPr>
          <w:rFonts w:ascii="Arial" w:hAnsi="Arial" w:cs="Arial"/>
          <w:sz w:val="22"/>
          <w:szCs w:val="22"/>
        </w:rPr>
      </w:pPr>
      <w:r w:rsidRPr="00CE4CA3">
        <w:rPr>
          <w:rFonts w:ascii="Arial" w:hAnsi="Arial" w:cs="Arial"/>
          <w:sz w:val="22"/>
          <w:szCs w:val="22"/>
        </w:rPr>
        <w:t>Furthermore, exploring the potential of digital and online interventions can significantly enhance access to OCD care. Digital platforms can provide therapeutic support, symptom monitoring, and psychoeducation remotely, thereby reaching individuals who may face barriers to accessing traditional face-to-face therapy (Fineberg et al., 2015).</w:t>
      </w:r>
    </w:p>
    <w:p w14:paraId="650D7843" w14:textId="77777777" w:rsidR="00CE4CA3" w:rsidRPr="00CE4CA3" w:rsidRDefault="00CE4CA3" w:rsidP="00CE4CA3">
      <w:pPr>
        <w:pStyle w:val="NormalWeb"/>
        <w:numPr>
          <w:ilvl w:val="0"/>
          <w:numId w:val="53"/>
        </w:numPr>
        <w:spacing w:line="360" w:lineRule="auto"/>
        <w:ind w:left="567"/>
        <w:rPr>
          <w:rFonts w:ascii="Arial" w:hAnsi="Arial" w:cs="Arial"/>
          <w:sz w:val="22"/>
          <w:szCs w:val="22"/>
        </w:rPr>
      </w:pPr>
      <w:r w:rsidRPr="00CE4CA3">
        <w:rPr>
          <w:rStyle w:val="Strong"/>
          <w:rFonts w:ascii="Arial" w:eastAsiaTheme="majorEastAsia" w:hAnsi="Arial" w:cs="Arial"/>
          <w:sz w:val="22"/>
          <w:szCs w:val="22"/>
        </w:rPr>
        <w:t>Integrated Care Models:</w:t>
      </w:r>
      <w:r w:rsidRPr="00CE4CA3">
        <w:rPr>
          <w:rFonts w:ascii="Arial" w:hAnsi="Arial" w:cs="Arial"/>
          <w:sz w:val="22"/>
          <w:szCs w:val="22"/>
        </w:rPr>
        <w:t xml:space="preserve"> Promoting integrated care models that foster collaboration between primary care providers, mental health specialists, and community support services is essential. Integrated care ensures continuity of care, facilitates early intervention, and addresses the complex needs of individuals with OCD. This approach includes seamless referrals, shared treatment planning, and coordinated support across different healthcare settings (Fineberg et al., 2015).</w:t>
      </w:r>
    </w:p>
    <w:p w14:paraId="50CB84DF" w14:textId="77777777" w:rsidR="00CE4CA3" w:rsidRPr="00CE4CA3" w:rsidRDefault="00CE4CA3" w:rsidP="00CE4CA3">
      <w:pPr>
        <w:pStyle w:val="NormalWeb"/>
        <w:numPr>
          <w:ilvl w:val="0"/>
          <w:numId w:val="53"/>
        </w:numPr>
        <w:spacing w:line="360" w:lineRule="auto"/>
        <w:ind w:left="567"/>
        <w:rPr>
          <w:rFonts w:ascii="Arial" w:hAnsi="Arial" w:cs="Arial"/>
          <w:sz w:val="22"/>
          <w:szCs w:val="22"/>
        </w:rPr>
      </w:pPr>
      <w:r w:rsidRPr="00CE4CA3">
        <w:rPr>
          <w:rStyle w:val="Strong"/>
          <w:rFonts w:ascii="Arial" w:eastAsiaTheme="majorEastAsia" w:hAnsi="Arial" w:cs="Arial"/>
          <w:sz w:val="22"/>
          <w:szCs w:val="22"/>
        </w:rPr>
        <w:t>Research and Innovation:</w:t>
      </w:r>
      <w:r w:rsidRPr="00CE4CA3">
        <w:rPr>
          <w:rFonts w:ascii="Arial" w:hAnsi="Arial" w:cs="Arial"/>
          <w:sz w:val="22"/>
          <w:szCs w:val="22"/>
        </w:rPr>
        <w:t xml:space="preserve"> Continued investment in research is vital for advancing our understanding of OCD and developing novel treatment modalities. Funding initiatives should support studies investigating the underlying neurobiological mechanisms of OCD, evaluating treatment outcomes, and identifying predictors of treatment response. By fostering innovation and scientific inquiry, we can expand our treatment arsenal and improve outcomes for individuals living with OCD (Fineberg et al., 2015).</w:t>
      </w:r>
    </w:p>
    <w:p w14:paraId="3A25AAEA" w14:textId="77777777" w:rsidR="00CE4CA3" w:rsidRPr="00CE4CA3" w:rsidRDefault="00CE4CA3" w:rsidP="00CE4CA3">
      <w:pPr>
        <w:pStyle w:val="NormalWeb"/>
        <w:spacing w:line="360" w:lineRule="auto"/>
        <w:ind w:left="567"/>
        <w:rPr>
          <w:rFonts w:ascii="Arial" w:hAnsi="Arial" w:cs="Arial"/>
          <w:sz w:val="22"/>
          <w:szCs w:val="22"/>
        </w:rPr>
      </w:pPr>
    </w:p>
    <w:p w14:paraId="49BEC7D0" w14:textId="77777777" w:rsidR="00681571" w:rsidRPr="00CE4CA3" w:rsidRDefault="00681571" w:rsidP="00CE4CA3">
      <w:pPr>
        <w:pStyle w:val="Heading3"/>
        <w:numPr>
          <w:ilvl w:val="0"/>
          <w:numId w:val="51"/>
        </w:numPr>
        <w:spacing w:line="360" w:lineRule="auto"/>
        <w:ind w:left="567"/>
        <w:rPr>
          <w:rFonts w:ascii="Arial" w:hAnsi="Arial" w:cs="Arial"/>
          <w:b/>
          <w:bCs/>
          <w:sz w:val="22"/>
          <w:szCs w:val="22"/>
        </w:rPr>
      </w:pPr>
      <w:r w:rsidRPr="00CE4CA3">
        <w:rPr>
          <w:rFonts w:ascii="Arial" w:hAnsi="Arial" w:cs="Arial"/>
          <w:b/>
          <w:bCs/>
          <w:sz w:val="22"/>
          <w:szCs w:val="22"/>
        </w:rPr>
        <w:t>Conclusion</w:t>
      </w:r>
    </w:p>
    <w:p w14:paraId="370456C5" w14:textId="77777777" w:rsidR="00681571" w:rsidRPr="00CE4CA3" w:rsidRDefault="00681571" w:rsidP="00CE4CA3">
      <w:pPr>
        <w:pStyle w:val="NormalWeb"/>
        <w:numPr>
          <w:ilvl w:val="0"/>
          <w:numId w:val="51"/>
        </w:numPr>
        <w:spacing w:line="360" w:lineRule="auto"/>
        <w:ind w:left="567"/>
        <w:rPr>
          <w:rFonts w:ascii="Arial" w:hAnsi="Arial" w:cs="Arial"/>
          <w:sz w:val="22"/>
          <w:szCs w:val="22"/>
        </w:rPr>
      </w:pPr>
      <w:r w:rsidRPr="00CE4CA3">
        <w:rPr>
          <w:rFonts w:ascii="Arial" w:hAnsi="Arial" w:cs="Arial"/>
          <w:sz w:val="22"/>
          <w:szCs w:val="22"/>
        </w:rPr>
        <w:t>This report underscores the pivotal role of the ICD-10 Chapter 5 classification system in guiding the diagnosis and treatment of schizophrenia and obsessive-compulsive disorder (OCD). These disorders pose substantial challenges due to their complex symptoms and varying clinical presentations, necessitating a comprehensive approach for effective management.</w:t>
      </w:r>
    </w:p>
    <w:p w14:paraId="3C81A619" w14:textId="6CCF4512" w:rsidR="00681571" w:rsidRPr="00CE4CA3" w:rsidRDefault="00681571" w:rsidP="00CE4CA3">
      <w:pPr>
        <w:pStyle w:val="NormalWeb"/>
        <w:numPr>
          <w:ilvl w:val="0"/>
          <w:numId w:val="51"/>
        </w:numPr>
        <w:spacing w:line="360" w:lineRule="auto"/>
        <w:ind w:left="567"/>
        <w:rPr>
          <w:rFonts w:ascii="Arial" w:hAnsi="Arial" w:cs="Arial"/>
          <w:sz w:val="22"/>
          <w:szCs w:val="22"/>
        </w:rPr>
      </w:pPr>
      <w:r w:rsidRPr="00CE4CA3">
        <w:rPr>
          <w:rFonts w:ascii="Arial" w:hAnsi="Arial" w:cs="Arial"/>
          <w:sz w:val="22"/>
          <w:szCs w:val="22"/>
        </w:rPr>
        <w:t xml:space="preserve">Schizophrenia, encompassing subtypes like paranoid, hebephrenic, catatonic, and undifferentiated schizophrenia, presents with a spectrum of symptoms ranging from hallucinations and delusions to disorganized thinking and negative symptoms (Tandon, Nasrallah, &amp; Keshavan, 2013; Marengo &amp; Harrow, 1997). The classification system aids clinicians in accurately identifying these symptoms and tailoring </w:t>
      </w:r>
      <w:r w:rsidR="00EF1049" w:rsidRPr="00CE4CA3">
        <w:rPr>
          <w:rFonts w:ascii="Arial" w:hAnsi="Arial" w:cs="Arial"/>
          <w:sz w:val="22"/>
          <w:szCs w:val="22"/>
        </w:rPr>
        <w:t>interventions,</w:t>
      </w:r>
      <w:r w:rsidRPr="00CE4CA3">
        <w:rPr>
          <w:rFonts w:ascii="Arial" w:hAnsi="Arial" w:cs="Arial"/>
          <w:sz w:val="22"/>
          <w:szCs w:val="22"/>
        </w:rPr>
        <w:t xml:space="preserve"> accordingly, ensuring individuals receive appropriate treatment to mitigate their impact (American Psychiatric Association, 2013).</w:t>
      </w:r>
    </w:p>
    <w:p w14:paraId="54CDE173" w14:textId="05F9C713" w:rsidR="00681571" w:rsidRPr="00CE4CA3" w:rsidRDefault="00681571" w:rsidP="00CE4CA3">
      <w:pPr>
        <w:pStyle w:val="NormalWeb"/>
        <w:numPr>
          <w:ilvl w:val="0"/>
          <w:numId w:val="51"/>
        </w:numPr>
        <w:spacing w:line="360" w:lineRule="auto"/>
        <w:ind w:left="567"/>
        <w:rPr>
          <w:rFonts w:ascii="Arial" w:hAnsi="Arial" w:cs="Arial"/>
          <w:sz w:val="22"/>
          <w:szCs w:val="22"/>
        </w:rPr>
      </w:pPr>
      <w:r w:rsidRPr="00CE4CA3">
        <w:rPr>
          <w:rFonts w:ascii="Arial" w:hAnsi="Arial" w:cs="Arial"/>
          <w:sz w:val="22"/>
          <w:szCs w:val="22"/>
        </w:rPr>
        <w:t xml:space="preserve">Similarly, OCD, characterized by intrusive obsessions and compulsive </w:t>
      </w:r>
      <w:r w:rsidR="00EF1049" w:rsidRPr="00CE4CA3">
        <w:rPr>
          <w:rFonts w:ascii="Arial" w:hAnsi="Arial" w:cs="Arial"/>
          <w:sz w:val="22"/>
          <w:szCs w:val="22"/>
        </w:rPr>
        <w:t>behaviours</w:t>
      </w:r>
      <w:r w:rsidRPr="00CE4CA3">
        <w:rPr>
          <w:rFonts w:ascii="Arial" w:hAnsi="Arial" w:cs="Arial"/>
          <w:sz w:val="22"/>
          <w:szCs w:val="22"/>
        </w:rPr>
        <w:t>, significantly disrupts daily life and social functioning (Stein et al., 2016; Fineberg et al., 2015). The ICD-10 classification (F42) provides a framework for diagnosing OCD based on the distress and impairment caused by these symptoms, guiding the use of therapies like selective serotonin reuptake inhibitors (SSRIs) and cognitive-</w:t>
      </w:r>
      <w:r w:rsidR="00EF1049" w:rsidRPr="00CE4CA3">
        <w:rPr>
          <w:rFonts w:ascii="Arial" w:hAnsi="Arial" w:cs="Arial"/>
          <w:sz w:val="22"/>
          <w:szCs w:val="22"/>
        </w:rPr>
        <w:t>behavioural</w:t>
      </w:r>
      <w:r w:rsidRPr="00CE4CA3">
        <w:rPr>
          <w:rFonts w:ascii="Arial" w:hAnsi="Arial" w:cs="Arial"/>
          <w:sz w:val="22"/>
          <w:szCs w:val="22"/>
        </w:rPr>
        <w:t xml:space="preserve"> therapy (CBT) to alleviate symptoms and improve overall well-being (Franklin &amp; </w:t>
      </w:r>
      <w:proofErr w:type="spellStart"/>
      <w:r w:rsidRPr="00CE4CA3">
        <w:rPr>
          <w:rFonts w:ascii="Arial" w:hAnsi="Arial" w:cs="Arial"/>
          <w:sz w:val="22"/>
          <w:szCs w:val="22"/>
        </w:rPr>
        <w:t>Foa</w:t>
      </w:r>
      <w:proofErr w:type="spellEnd"/>
      <w:r w:rsidRPr="00CE4CA3">
        <w:rPr>
          <w:rFonts w:ascii="Arial" w:hAnsi="Arial" w:cs="Arial"/>
          <w:sz w:val="22"/>
          <w:szCs w:val="22"/>
        </w:rPr>
        <w:t>, 2011).</w:t>
      </w:r>
    </w:p>
    <w:p w14:paraId="794EE6D8" w14:textId="77777777" w:rsidR="00681571" w:rsidRPr="00CE4CA3" w:rsidRDefault="00681571" w:rsidP="00CE4CA3">
      <w:pPr>
        <w:pStyle w:val="NormalWeb"/>
        <w:numPr>
          <w:ilvl w:val="0"/>
          <w:numId w:val="51"/>
        </w:numPr>
        <w:spacing w:line="360" w:lineRule="auto"/>
        <w:ind w:left="567"/>
        <w:rPr>
          <w:rFonts w:ascii="Arial" w:hAnsi="Arial" w:cs="Arial"/>
          <w:sz w:val="22"/>
          <w:szCs w:val="22"/>
        </w:rPr>
      </w:pPr>
      <w:r w:rsidRPr="00CE4CA3">
        <w:rPr>
          <w:rFonts w:ascii="Arial" w:hAnsi="Arial" w:cs="Arial"/>
          <w:sz w:val="22"/>
          <w:szCs w:val="22"/>
        </w:rPr>
        <w:t xml:space="preserve">While substantial progress has </w:t>
      </w:r>
      <w:proofErr w:type="gramStart"/>
      <w:r w:rsidRPr="00CE4CA3">
        <w:rPr>
          <w:rFonts w:ascii="Arial" w:hAnsi="Arial" w:cs="Arial"/>
          <w:sz w:val="22"/>
          <w:szCs w:val="22"/>
        </w:rPr>
        <w:t>been achieved</w:t>
      </w:r>
      <w:proofErr w:type="gramEnd"/>
      <w:r w:rsidRPr="00CE4CA3">
        <w:rPr>
          <w:rFonts w:ascii="Arial" w:hAnsi="Arial" w:cs="Arial"/>
          <w:sz w:val="22"/>
          <w:szCs w:val="22"/>
        </w:rPr>
        <w:t xml:space="preserve"> in the understanding and treatment of these disorders, several challenges persist. These include the need for personalized medicine approaches tailored to individual symptom profiles, early intervention strategies to prevent long-term disability, and ongoing research into innovative therapies that can complement existing treatments (Collins &amp; Varmus, 2015; McGrath et al., 2016).</w:t>
      </w:r>
    </w:p>
    <w:p w14:paraId="019940B1" w14:textId="77777777" w:rsidR="00EF1049" w:rsidRPr="00CE4CA3" w:rsidRDefault="00EF1049" w:rsidP="00CE4CA3">
      <w:pPr>
        <w:numPr>
          <w:ilvl w:val="0"/>
          <w:numId w:val="51"/>
        </w:numPr>
        <w:spacing w:before="100" w:beforeAutospacing="1" w:after="100" w:afterAutospacing="1" w:line="360" w:lineRule="auto"/>
        <w:ind w:left="567" w:hanging="976"/>
        <w:rPr>
          <w:rFonts w:ascii="Arial" w:eastAsia="Times New Roman" w:hAnsi="Arial" w:cs="Arial"/>
          <w:kern w:val="0"/>
          <w:sz w:val="22"/>
          <w:szCs w:val="22"/>
          <w:lang w:eastAsia="en-GB"/>
          <w14:ligatures w14:val="none"/>
        </w:rPr>
      </w:pPr>
    </w:p>
    <w:p w14:paraId="386B14ED" w14:textId="648947ED" w:rsidR="004F3693" w:rsidRPr="004F3693" w:rsidRDefault="004F3693" w:rsidP="00CE4CA3">
      <w:pPr>
        <w:spacing w:before="100" w:beforeAutospacing="1" w:after="100" w:afterAutospacing="1" w:line="360" w:lineRule="auto"/>
        <w:ind w:left="567"/>
        <w:rPr>
          <w:rFonts w:ascii="Arial" w:eastAsia="Times New Roman" w:hAnsi="Arial" w:cs="Arial"/>
          <w:kern w:val="0"/>
          <w:sz w:val="22"/>
          <w:szCs w:val="22"/>
          <w:lang w:eastAsia="en-GB"/>
          <w14:ligatures w14:val="none"/>
        </w:rPr>
      </w:pPr>
      <w:r w:rsidRPr="004F3693">
        <w:rPr>
          <w:rFonts w:ascii="Arial" w:eastAsia="Times New Roman" w:hAnsi="Arial" w:cs="Arial"/>
          <w:b/>
          <w:bCs/>
          <w:kern w:val="0"/>
          <w:sz w:val="22"/>
          <w:szCs w:val="22"/>
          <w:lang w:eastAsia="en-GB"/>
          <w14:ligatures w14:val="none"/>
        </w:rPr>
        <w:t>6. References</w:t>
      </w:r>
    </w:p>
    <w:p w14:paraId="62CC28B0" w14:textId="178AB2B2"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Abramowitz, J.S., Taylor, S. and McKay, D. (2009) '</w:t>
      </w:r>
      <w:r w:rsidR="009D59FE" w:rsidRPr="00CE4CA3">
        <w:rPr>
          <w:rFonts w:ascii="Arial" w:hAnsi="Arial" w:cs="Arial"/>
          <w:sz w:val="22"/>
          <w:szCs w:val="22"/>
        </w:rPr>
        <w:t>obsessive-compulsive disorder</w:t>
      </w:r>
      <w:r w:rsidRPr="00CE4CA3">
        <w:rPr>
          <w:rFonts w:ascii="Arial" w:hAnsi="Arial" w:cs="Arial"/>
          <w:sz w:val="22"/>
          <w:szCs w:val="22"/>
        </w:rPr>
        <w:t xml:space="preserve">', </w:t>
      </w:r>
      <w:r w:rsidRPr="00CE4CA3">
        <w:rPr>
          <w:rStyle w:val="Emphasis"/>
          <w:rFonts w:ascii="Arial" w:eastAsiaTheme="majorEastAsia" w:hAnsi="Arial" w:cs="Arial"/>
          <w:sz w:val="22"/>
          <w:szCs w:val="22"/>
        </w:rPr>
        <w:t>Lancet</w:t>
      </w:r>
      <w:r w:rsidRPr="00CE4CA3">
        <w:rPr>
          <w:rFonts w:ascii="Arial" w:hAnsi="Arial" w:cs="Arial"/>
          <w:sz w:val="22"/>
          <w:szCs w:val="22"/>
        </w:rPr>
        <w:t>, 374(9688), pp. 491-499.</w:t>
      </w:r>
    </w:p>
    <w:p w14:paraId="4D41DDB9"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American Psychiatric Association (2013) </w:t>
      </w:r>
      <w:r w:rsidRPr="00CE4CA3">
        <w:rPr>
          <w:rStyle w:val="Emphasis"/>
          <w:rFonts w:ascii="Arial" w:eastAsiaTheme="majorEastAsia" w:hAnsi="Arial" w:cs="Arial"/>
          <w:sz w:val="22"/>
          <w:szCs w:val="22"/>
        </w:rPr>
        <w:t>Diagnostic and Statistical Manual of Mental Disorders</w:t>
      </w:r>
      <w:r w:rsidRPr="00CE4CA3">
        <w:rPr>
          <w:rFonts w:ascii="Arial" w:hAnsi="Arial" w:cs="Arial"/>
          <w:sz w:val="22"/>
          <w:szCs w:val="22"/>
        </w:rPr>
        <w:t xml:space="preserve">. 5th </w:t>
      </w:r>
      <w:proofErr w:type="spellStart"/>
      <w:r w:rsidRPr="00CE4CA3">
        <w:rPr>
          <w:rFonts w:ascii="Arial" w:hAnsi="Arial" w:cs="Arial"/>
          <w:sz w:val="22"/>
          <w:szCs w:val="22"/>
        </w:rPr>
        <w:t>edn</w:t>
      </w:r>
      <w:proofErr w:type="spellEnd"/>
      <w:r w:rsidRPr="00CE4CA3">
        <w:rPr>
          <w:rFonts w:ascii="Arial" w:hAnsi="Arial" w:cs="Arial"/>
          <w:sz w:val="22"/>
          <w:szCs w:val="22"/>
        </w:rPr>
        <w:t>.</w:t>
      </w:r>
    </w:p>
    <w:p w14:paraId="72E3F0B9"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Bond, G.R. and Drake, R.E. (2014) 'Making the Case for IPS Supported Employment', </w:t>
      </w:r>
      <w:r w:rsidRPr="00CE4CA3">
        <w:rPr>
          <w:rStyle w:val="Emphasis"/>
          <w:rFonts w:ascii="Arial" w:eastAsiaTheme="majorEastAsia" w:hAnsi="Arial" w:cs="Arial"/>
          <w:sz w:val="22"/>
          <w:szCs w:val="22"/>
        </w:rPr>
        <w:t>Administration and Policy in Mental Health and Mental Health Services Research</w:t>
      </w:r>
      <w:r w:rsidRPr="00CE4CA3">
        <w:rPr>
          <w:rFonts w:ascii="Arial" w:hAnsi="Arial" w:cs="Arial"/>
          <w:sz w:val="22"/>
          <w:szCs w:val="22"/>
        </w:rPr>
        <w:t>, 41, pp. 69-73.</w:t>
      </w:r>
    </w:p>
    <w:p w14:paraId="2D96E657"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Collins, F.S. and Varmus, H. (2015) 'A New Initiative on Precision Medicine', </w:t>
      </w:r>
      <w:r w:rsidRPr="00CE4CA3">
        <w:rPr>
          <w:rStyle w:val="Emphasis"/>
          <w:rFonts w:ascii="Arial" w:eastAsiaTheme="majorEastAsia" w:hAnsi="Arial" w:cs="Arial"/>
          <w:sz w:val="22"/>
          <w:szCs w:val="22"/>
        </w:rPr>
        <w:t>New England Journal of Medicine</w:t>
      </w:r>
      <w:r w:rsidRPr="00CE4CA3">
        <w:rPr>
          <w:rFonts w:ascii="Arial" w:hAnsi="Arial" w:cs="Arial"/>
          <w:sz w:val="22"/>
          <w:szCs w:val="22"/>
        </w:rPr>
        <w:t>, 372(9), pp. 793-795.</w:t>
      </w:r>
    </w:p>
    <w:p w14:paraId="110F5846"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Dixon, L.B., Perkins, D.O. and Calmes, C. (2010) 'Guideline Watch (September 2009): Practice Guideline for the Treatment of Patients with Schizophrenia', </w:t>
      </w:r>
      <w:r w:rsidRPr="00CE4CA3">
        <w:rPr>
          <w:rStyle w:val="Emphasis"/>
          <w:rFonts w:ascii="Arial" w:eastAsiaTheme="majorEastAsia" w:hAnsi="Arial" w:cs="Arial"/>
          <w:sz w:val="22"/>
          <w:szCs w:val="22"/>
        </w:rPr>
        <w:t>American Psychiatric Association</w:t>
      </w:r>
      <w:r w:rsidRPr="00CE4CA3">
        <w:rPr>
          <w:rFonts w:ascii="Arial" w:hAnsi="Arial" w:cs="Arial"/>
          <w:sz w:val="22"/>
          <w:szCs w:val="22"/>
        </w:rPr>
        <w:t>.</w:t>
      </w:r>
    </w:p>
    <w:p w14:paraId="14BA1F8B"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Fineberg, N.A. et al. (2015) '</w:t>
      </w:r>
      <w:proofErr w:type="gramStart"/>
      <w:r w:rsidRPr="00CE4CA3">
        <w:rPr>
          <w:rFonts w:ascii="Arial" w:hAnsi="Arial" w:cs="Arial"/>
          <w:sz w:val="22"/>
          <w:szCs w:val="22"/>
        </w:rPr>
        <w:t>Obsessive-Compulsive Disorder</w:t>
      </w:r>
      <w:proofErr w:type="gramEnd"/>
      <w:r w:rsidRPr="00CE4CA3">
        <w:rPr>
          <w:rFonts w:ascii="Arial" w:hAnsi="Arial" w:cs="Arial"/>
          <w:sz w:val="22"/>
          <w:szCs w:val="22"/>
        </w:rPr>
        <w:t xml:space="preserve"> (OCD): Practical Strategies for Pharmacological and Somatic Treatment in Adults', </w:t>
      </w:r>
      <w:r w:rsidRPr="00CE4CA3">
        <w:rPr>
          <w:rStyle w:val="Emphasis"/>
          <w:rFonts w:ascii="Arial" w:eastAsiaTheme="majorEastAsia" w:hAnsi="Arial" w:cs="Arial"/>
          <w:sz w:val="22"/>
          <w:szCs w:val="22"/>
        </w:rPr>
        <w:t>Psychiatry Research</w:t>
      </w:r>
      <w:r w:rsidRPr="00CE4CA3">
        <w:rPr>
          <w:rFonts w:ascii="Arial" w:hAnsi="Arial" w:cs="Arial"/>
          <w:sz w:val="22"/>
          <w:szCs w:val="22"/>
        </w:rPr>
        <w:t>, 227(1), pp. 114-125.</w:t>
      </w:r>
    </w:p>
    <w:p w14:paraId="4358CE1E"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Fink, M. and Taylor, M.A. (2009) 'The Catatonia Syndrome: Forgotten but Not Gone', </w:t>
      </w:r>
      <w:r w:rsidRPr="00CE4CA3">
        <w:rPr>
          <w:rStyle w:val="Emphasis"/>
          <w:rFonts w:ascii="Arial" w:eastAsiaTheme="majorEastAsia" w:hAnsi="Arial" w:cs="Arial"/>
          <w:sz w:val="22"/>
          <w:szCs w:val="22"/>
        </w:rPr>
        <w:t>Archives of General Psychiatry</w:t>
      </w:r>
      <w:r w:rsidRPr="00CE4CA3">
        <w:rPr>
          <w:rFonts w:ascii="Arial" w:hAnsi="Arial" w:cs="Arial"/>
          <w:sz w:val="22"/>
          <w:szCs w:val="22"/>
        </w:rPr>
        <w:t>, 66(11), pp. 1173-1177.</w:t>
      </w:r>
    </w:p>
    <w:p w14:paraId="40E83EB3"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Franklin, M.E. and </w:t>
      </w:r>
      <w:proofErr w:type="spellStart"/>
      <w:r w:rsidRPr="00CE4CA3">
        <w:rPr>
          <w:rFonts w:ascii="Arial" w:hAnsi="Arial" w:cs="Arial"/>
          <w:sz w:val="22"/>
          <w:szCs w:val="22"/>
        </w:rPr>
        <w:t>Foa</w:t>
      </w:r>
      <w:proofErr w:type="spellEnd"/>
      <w:r w:rsidRPr="00CE4CA3">
        <w:rPr>
          <w:rFonts w:ascii="Arial" w:hAnsi="Arial" w:cs="Arial"/>
          <w:sz w:val="22"/>
          <w:szCs w:val="22"/>
        </w:rPr>
        <w:t xml:space="preserve">, E.B. (2011) 'Treatment of Obsessive-Compulsive Disorder', </w:t>
      </w:r>
      <w:r w:rsidRPr="00CE4CA3">
        <w:rPr>
          <w:rStyle w:val="Emphasis"/>
          <w:rFonts w:ascii="Arial" w:eastAsiaTheme="majorEastAsia" w:hAnsi="Arial" w:cs="Arial"/>
          <w:sz w:val="22"/>
          <w:szCs w:val="22"/>
        </w:rPr>
        <w:t>Annual Review of Clinical Psychology</w:t>
      </w:r>
      <w:r w:rsidRPr="00CE4CA3">
        <w:rPr>
          <w:rFonts w:ascii="Arial" w:hAnsi="Arial" w:cs="Arial"/>
          <w:sz w:val="22"/>
          <w:szCs w:val="22"/>
        </w:rPr>
        <w:t>, 7, pp. 229-243.</w:t>
      </w:r>
    </w:p>
    <w:p w14:paraId="28BA1ECA"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Kurtz, M.M. and </w:t>
      </w:r>
      <w:proofErr w:type="spellStart"/>
      <w:r w:rsidRPr="00CE4CA3">
        <w:rPr>
          <w:rFonts w:ascii="Arial" w:hAnsi="Arial" w:cs="Arial"/>
          <w:sz w:val="22"/>
          <w:szCs w:val="22"/>
        </w:rPr>
        <w:t>Mueser</w:t>
      </w:r>
      <w:proofErr w:type="spellEnd"/>
      <w:r w:rsidRPr="00CE4CA3">
        <w:rPr>
          <w:rFonts w:ascii="Arial" w:hAnsi="Arial" w:cs="Arial"/>
          <w:sz w:val="22"/>
          <w:szCs w:val="22"/>
        </w:rPr>
        <w:t xml:space="preserve">, K.T. (2008) 'A Meta-Analysis of Controlled Research on Social Skills Training for Schizophrenia', </w:t>
      </w:r>
      <w:r w:rsidRPr="00CE4CA3">
        <w:rPr>
          <w:rStyle w:val="Emphasis"/>
          <w:rFonts w:ascii="Arial" w:eastAsiaTheme="majorEastAsia" w:hAnsi="Arial" w:cs="Arial"/>
          <w:sz w:val="22"/>
          <w:szCs w:val="22"/>
        </w:rPr>
        <w:t>Journal of Consulting and Clinical Psychology</w:t>
      </w:r>
      <w:r w:rsidRPr="00CE4CA3">
        <w:rPr>
          <w:rFonts w:ascii="Arial" w:hAnsi="Arial" w:cs="Arial"/>
          <w:sz w:val="22"/>
          <w:szCs w:val="22"/>
        </w:rPr>
        <w:t>, 76(3), pp. 491-504.</w:t>
      </w:r>
    </w:p>
    <w:p w14:paraId="073BE2FC"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Leucht, S. et al. (2013) 'Comparative Efficacy and Tolerability of 15 Antipsychotic Drugs in Schizophrenia: A Multiple-Treatments Meta-Analysis', </w:t>
      </w:r>
      <w:r w:rsidRPr="00CE4CA3">
        <w:rPr>
          <w:rStyle w:val="Emphasis"/>
          <w:rFonts w:ascii="Arial" w:eastAsiaTheme="majorEastAsia" w:hAnsi="Arial" w:cs="Arial"/>
          <w:sz w:val="22"/>
          <w:szCs w:val="22"/>
        </w:rPr>
        <w:t>Lancet</w:t>
      </w:r>
      <w:r w:rsidRPr="00CE4CA3">
        <w:rPr>
          <w:rFonts w:ascii="Arial" w:hAnsi="Arial" w:cs="Arial"/>
          <w:sz w:val="22"/>
          <w:szCs w:val="22"/>
        </w:rPr>
        <w:t>, 382(9896), pp. 951-962.</w:t>
      </w:r>
    </w:p>
    <w:p w14:paraId="1F7F887C"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Marengo, J.T. and Harrow, M. (1997) 'Longitudinal Courses of Thought Disorder in Schizophrenia and Schizoaffective Disorder', </w:t>
      </w:r>
      <w:r w:rsidRPr="00CE4CA3">
        <w:rPr>
          <w:rStyle w:val="Emphasis"/>
          <w:rFonts w:ascii="Arial" w:eastAsiaTheme="majorEastAsia" w:hAnsi="Arial" w:cs="Arial"/>
          <w:sz w:val="22"/>
          <w:szCs w:val="22"/>
        </w:rPr>
        <w:t>Schizophrenia Bulletin</w:t>
      </w:r>
      <w:r w:rsidRPr="00CE4CA3">
        <w:rPr>
          <w:rFonts w:ascii="Arial" w:hAnsi="Arial" w:cs="Arial"/>
          <w:sz w:val="22"/>
          <w:szCs w:val="22"/>
        </w:rPr>
        <w:t>, 23(2), pp. 273-285.</w:t>
      </w:r>
    </w:p>
    <w:p w14:paraId="7AA3B397"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McGrath, J.J. et al. (2016) 'Psychotic Experiences in the General Population: A Cross-National Analysis Based on 31,261 Respondents from 18 Countries', </w:t>
      </w:r>
      <w:r w:rsidRPr="00CE4CA3">
        <w:rPr>
          <w:rStyle w:val="Emphasis"/>
          <w:rFonts w:ascii="Arial" w:eastAsiaTheme="majorEastAsia" w:hAnsi="Arial" w:cs="Arial"/>
          <w:sz w:val="22"/>
          <w:szCs w:val="22"/>
        </w:rPr>
        <w:t>JAMA Psychiatry</w:t>
      </w:r>
      <w:r w:rsidRPr="00CE4CA3">
        <w:rPr>
          <w:rFonts w:ascii="Arial" w:hAnsi="Arial" w:cs="Arial"/>
          <w:sz w:val="22"/>
          <w:szCs w:val="22"/>
        </w:rPr>
        <w:t>, 73(7), pp. 677-685.</w:t>
      </w:r>
    </w:p>
    <w:p w14:paraId="752DB10C" w14:textId="00DB8E26"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Stein, D.J. et al. (2016) '</w:t>
      </w:r>
      <w:r w:rsidR="009D59FE" w:rsidRPr="00CE4CA3">
        <w:rPr>
          <w:rFonts w:ascii="Arial" w:hAnsi="Arial" w:cs="Arial"/>
          <w:sz w:val="22"/>
          <w:szCs w:val="22"/>
        </w:rPr>
        <w:t>obsessive-compulsive disorder</w:t>
      </w:r>
      <w:r w:rsidRPr="00CE4CA3">
        <w:rPr>
          <w:rFonts w:ascii="Arial" w:hAnsi="Arial" w:cs="Arial"/>
          <w:sz w:val="22"/>
          <w:szCs w:val="22"/>
        </w:rPr>
        <w:t xml:space="preserve"> and Related Disorders in the DSM-5', </w:t>
      </w:r>
      <w:r w:rsidRPr="00CE4CA3">
        <w:rPr>
          <w:rStyle w:val="Emphasis"/>
          <w:rFonts w:ascii="Arial" w:eastAsiaTheme="majorEastAsia" w:hAnsi="Arial" w:cs="Arial"/>
          <w:sz w:val="22"/>
          <w:szCs w:val="22"/>
        </w:rPr>
        <w:t>CNS Spectrums</w:t>
      </w:r>
      <w:r w:rsidRPr="00CE4CA3">
        <w:rPr>
          <w:rFonts w:ascii="Arial" w:hAnsi="Arial" w:cs="Arial"/>
          <w:sz w:val="22"/>
          <w:szCs w:val="22"/>
        </w:rPr>
        <w:t>, 21(4), pp. 334-338.</w:t>
      </w:r>
    </w:p>
    <w:p w14:paraId="74EE09AD"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Tandon, R., Nasrallah, H.A. and Keshavan, M.S. (2013) 'Schizophrenia, "Just the Facts" 5. Treatment and Prevention Past, Present, and Future', </w:t>
      </w:r>
      <w:r w:rsidRPr="00CE4CA3">
        <w:rPr>
          <w:rStyle w:val="Emphasis"/>
          <w:rFonts w:ascii="Arial" w:eastAsiaTheme="majorEastAsia" w:hAnsi="Arial" w:cs="Arial"/>
          <w:sz w:val="22"/>
          <w:szCs w:val="22"/>
        </w:rPr>
        <w:t>Schizophrenia Research</w:t>
      </w:r>
      <w:r w:rsidRPr="00CE4CA3">
        <w:rPr>
          <w:rFonts w:ascii="Arial" w:hAnsi="Arial" w:cs="Arial"/>
          <w:sz w:val="22"/>
          <w:szCs w:val="22"/>
        </w:rPr>
        <w:t>, 149(1-3), pp. 1-20.</w:t>
      </w:r>
    </w:p>
    <w:p w14:paraId="6AF61679"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van der Gaag, M. et al. (2013) 'Cognitive-Behavioural Therapy for Subjects at Ultra-High Risk for Developing Psychosis: A Randomized Controlled Clinical Trial', </w:t>
      </w:r>
      <w:r w:rsidRPr="00CE4CA3">
        <w:rPr>
          <w:rStyle w:val="Emphasis"/>
          <w:rFonts w:ascii="Arial" w:eastAsiaTheme="majorEastAsia" w:hAnsi="Arial" w:cs="Arial"/>
          <w:sz w:val="22"/>
          <w:szCs w:val="22"/>
        </w:rPr>
        <w:t>Schizophrenia Bulletin</w:t>
      </w:r>
      <w:r w:rsidRPr="00CE4CA3">
        <w:rPr>
          <w:rFonts w:ascii="Arial" w:hAnsi="Arial" w:cs="Arial"/>
          <w:sz w:val="22"/>
          <w:szCs w:val="22"/>
        </w:rPr>
        <w:t>, 38(6), pp. 1180-1188.</w:t>
      </w:r>
    </w:p>
    <w:p w14:paraId="7DC91E0F" w14:textId="77777777" w:rsidR="00E56C77" w:rsidRPr="00CE4CA3" w:rsidRDefault="00E56C77" w:rsidP="00CE4CA3">
      <w:pPr>
        <w:pStyle w:val="NormalWeb"/>
        <w:spacing w:line="360" w:lineRule="auto"/>
        <w:ind w:left="567" w:hanging="567"/>
        <w:rPr>
          <w:rFonts w:ascii="Arial" w:hAnsi="Arial" w:cs="Arial"/>
          <w:sz w:val="22"/>
          <w:szCs w:val="22"/>
        </w:rPr>
      </w:pPr>
      <w:r w:rsidRPr="00CE4CA3">
        <w:rPr>
          <w:rFonts w:ascii="Arial" w:hAnsi="Arial" w:cs="Arial"/>
          <w:sz w:val="22"/>
          <w:szCs w:val="22"/>
        </w:rPr>
        <w:t xml:space="preserve">WHO (2010) </w:t>
      </w:r>
      <w:r w:rsidRPr="00CE4CA3">
        <w:rPr>
          <w:rStyle w:val="Emphasis"/>
          <w:rFonts w:ascii="Arial" w:eastAsiaTheme="majorEastAsia" w:hAnsi="Arial" w:cs="Arial"/>
          <w:sz w:val="22"/>
          <w:szCs w:val="22"/>
        </w:rPr>
        <w:t>International Statistical Classification of Diseases and Related Health Problems 10th Revision</w:t>
      </w:r>
      <w:r w:rsidRPr="00CE4CA3">
        <w:rPr>
          <w:rFonts w:ascii="Arial" w:hAnsi="Arial" w:cs="Arial"/>
          <w:sz w:val="22"/>
          <w:szCs w:val="22"/>
        </w:rPr>
        <w:t>.</w:t>
      </w:r>
    </w:p>
    <w:p w14:paraId="79F6A6D5" w14:textId="6EDA1CF8" w:rsidR="004F3693" w:rsidRPr="004F3693" w:rsidRDefault="004F3693" w:rsidP="005E4823">
      <w:pPr>
        <w:spacing w:after="0" w:line="240" w:lineRule="auto"/>
        <w:ind w:left="567"/>
        <w:rPr>
          <w:rFonts w:ascii="Times New Roman" w:eastAsia="Times New Roman" w:hAnsi="Times New Roman" w:cs="Times New Roman"/>
          <w:kern w:val="0"/>
          <w:lang w:eastAsia="en-GB"/>
          <w14:ligatures w14:val="none"/>
        </w:rPr>
      </w:pPr>
    </w:p>
    <w:p w14:paraId="46AB0CF6" w14:textId="3EA30F4D" w:rsidR="00484E47" w:rsidRDefault="00484E47" w:rsidP="005E4823">
      <w:pPr>
        <w:pStyle w:val="Heading1"/>
        <w:ind w:left="567"/>
        <w:rPr>
          <w:rFonts w:ascii="Arial" w:eastAsia="Times New Roman" w:hAnsi="Arial" w:cs="Arial"/>
          <w:b/>
          <w:bCs/>
          <w:kern w:val="0"/>
          <w:sz w:val="22"/>
          <w:szCs w:val="22"/>
          <w:lang w:eastAsia="en-GB"/>
          <w14:ligatures w14:val="none"/>
        </w:rPr>
      </w:pPr>
    </w:p>
    <w:p w14:paraId="0153D76D" w14:textId="5C6D5BA2" w:rsidR="006D5981" w:rsidRPr="006D5981" w:rsidRDefault="00A1416A" w:rsidP="005E4823">
      <w:pPr>
        <w:pStyle w:val="Heading1"/>
        <w:ind w:left="567"/>
        <w:rPr>
          <w:rFonts w:ascii="Arial" w:eastAsia="Times New Roman" w:hAnsi="Arial" w:cs="Arial"/>
          <w:kern w:val="0"/>
          <w:sz w:val="22"/>
          <w:szCs w:val="22"/>
          <w:lang w:eastAsia="en-GB"/>
          <w14:ligatures w14:val="none"/>
        </w:rPr>
      </w:pPr>
      <w:r w:rsidRPr="00A1416A">
        <w:rPr>
          <w:rFonts w:ascii="Times New Roman" w:eastAsia="Times New Roman" w:hAnsi="Times New Roman" w:cs="Times New Roman"/>
          <w:b/>
          <w:bCs/>
          <w:color w:val="auto"/>
          <w:kern w:val="36"/>
          <w:sz w:val="48"/>
          <w:szCs w:val="48"/>
          <w:lang w:eastAsia="en-GB"/>
          <w14:ligatures w14:val="none"/>
        </w:rPr>
        <w:t xml:space="preserve"> </w:t>
      </w:r>
    </w:p>
    <w:p w14:paraId="55F4A3B4" w14:textId="32E561AD" w:rsidR="00DD6BBD" w:rsidRPr="00E05303" w:rsidRDefault="00DD6BBD" w:rsidP="005E4823">
      <w:pPr>
        <w:spacing w:line="360" w:lineRule="auto"/>
        <w:ind w:left="567" w:hanging="567"/>
        <w:rPr>
          <w:rFonts w:ascii="Arial" w:hAnsi="Arial" w:cs="Arial"/>
          <w:sz w:val="22"/>
          <w:szCs w:val="22"/>
        </w:rPr>
      </w:pPr>
    </w:p>
    <w:sectPr w:rsidR="00DD6BBD" w:rsidRPr="00E053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26AEE"/>
    <w:multiLevelType w:val="multilevel"/>
    <w:tmpl w:val="E0B2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538BA"/>
    <w:multiLevelType w:val="multilevel"/>
    <w:tmpl w:val="10A0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43C31"/>
    <w:multiLevelType w:val="multilevel"/>
    <w:tmpl w:val="D644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53CD0"/>
    <w:multiLevelType w:val="multilevel"/>
    <w:tmpl w:val="8542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A5507"/>
    <w:multiLevelType w:val="multilevel"/>
    <w:tmpl w:val="753A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45603"/>
    <w:multiLevelType w:val="hybridMultilevel"/>
    <w:tmpl w:val="118A5416"/>
    <w:lvl w:ilvl="0" w:tplc="7BB444B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93D25B5"/>
    <w:multiLevelType w:val="multilevel"/>
    <w:tmpl w:val="79EE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3F4071"/>
    <w:multiLevelType w:val="multilevel"/>
    <w:tmpl w:val="C822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1A5D92"/>
    <w:multiLevelType w:val="multilevel"/>
    <w:tmpl w:val="FCA4D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B35DCF"/>
    <w:multiLevelType w:val="multilevel"/>
    <w:tmpl w:val="29340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D27752"/>
    <w:multiLevelType w:val="multilevel"/>
    <w:tmpl w:val="9F16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EA52FA"/>
    <w:multiLevelType w:val="multilevel"/>
    <w:tmpl w:val="25F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813E6A"/>
    <w:multiLevelType w:val="multilevel"/>
    <w:tmpl w:val="5B0E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CD76BC"/>
    <w:multiLevelType w:val="multilevel"/>
    <w:tmpl w:val="9F0E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A387E"/>
    <w:multiLevelType w:val="multilevel"/>
    <w:tmpl w:val="FA2A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7C7BEC"/>
    <w:multiLevelType w:val="multilevel"/>
    <w:tmpl w:val="B2B2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CE243B"/>
    <w:multiLevelType w:val="multilevel"/>
    <w:tmpl w:val="5614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687C11"/>
    <w:multiLevelType w:val="multilevel"/>
    <w:tmpl w:val="CDBE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BB4827"/>
    <w:multiLevelType w:val="multilevel"/>
    <w:tmpl w:val="9564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9328DD"/>
    <w:multiLevelType w:val="multilevel"/>
    <w:tmpl w:val="AAB4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617EF2"/>
    <w:multiLevelType w:val="multilevel"/>
    <w:tmpl w:val="CC5A2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DD0678"/>
    <w:multiLevelType w:val="multilevel"/>
    <w:tmpl w:val="C38A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9E71CF"/>
    <w:multiLevelType w:val="multilevel"/>
    <w:tmpl w:val="B7A4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8949F7"/>
    <w:multiLevelType w:val="multilevel"/>
    <w:tmpl w:val="AA34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E564D7"/>
    <w:multiLevelType w:val="multilevel"/>
    <w:tmpl w:val="C1EC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A42D5A"/>
    <w:multiLevelType w:val="multilevel"/>
    <w:tmpl w:val="18CC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D57F60"/>
    <w:multiLevelType w:val="multilevel"/>
    <w:tmpl w:val="B100D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1F782E"/>
    <w:multiLevelType w:val="multilevel"/>
    <w:tmpl w:val="C3229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9E42E6"/>
    <w:multiLevelType w:val="multilevel"/>
    <w:tmpl w:val="54B4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1166DB"/>
    <w:multiLevelType w:val="multilevel"/>
    <w:tmpl w:val="3500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BD287F"/>
    <w:multiLevelType w:val="multilevel"/>
    <w:tmpl w:val="730AC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C15027"/>
    <w:multiLevelType w:val="multilevel"/>
    <w:tmpl w:val="4B9C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C00F36"/>
    <w:multiLevelType w:val="multilevel"/>
    <w:tmpl w:val="8FBC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1D7632"/>
    <w:multiLevelType w:val="multilevel"/>
    <w:tmpl w:val="448A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4601CC"/>
    <w:multiLevelType w:val="multilevel"/>
    <w:tmpl w:val="5C04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C320F9"/>
    <w:multiLevelType w:val="multilevel"/>
    <w:tmpl w:val="38FC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611E90"/>
    <w:multiLevelType w:val="multilevel"/>
    <w:tmpl w:val="83C0E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5AD054E"/>
    <w:multiLevelType w:val="multilevel"/>
    <w:tmpl w:val="68C23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460D54"/>
    <w:multiLevelType w:val="multilevel"/>
    <w:tmpl w:val="05C6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511414"/>
    <w:multiLevelType w:val="multilevel"/>
    <w:tmpl w:val="D7AA47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E0033B"/>
    <w:multiLevelType w:val="multilevel"/>
    <w:tmpl w:val="1646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340C28"/>
    <w:multiLevelType w:val="multilevel"/>
    <w:tmpl w:val="2CDC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3D158A"/>
    <w:multiLevelType w:val="multilevel"/>
    <w:tmpl w:val="2598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B01D8C"/>
    <w:multiLevelType w:val="multilevel"/>
    <w:tmpl w:val="6564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546185"/>
    <w:multiLevelType w:val="multilevel"/>
    <w:tmpl w:val="0852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4916985"/>
    <w:multiLevelType w:val="multilevel"/>
    <w:tmpl w:val="D3CC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FB2075"/>
    <w:multiLevelType w:val="multilevel"/>
    <w:tmpl w:val="9E32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6B7B24"/>
    <w:multiLevelType w:val="multilevel"/>
    <w:tmpl w:val="BAE4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0763725"/>
    <w:multiLevelType w:val="multilevel"/>
    <w:tmpl w:val="86A86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3B24819"/>
    <w:multiLevelType w:val="multilevel"/>
    <w:tmpl w:val="6760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6113F5A"/>
    <w:multiLevelType w:val="multilevel"/>
    <w:tmpl w:val="4B60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65B5D60"/>
    <w:multiLevelType w:val="multilevel"/>
    <w:tmpl w:val="FCE464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F6F09FD"/>
    <w:multiLevelType w:val="multilevel"/>
    <w:tmpl w:val="BB26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2451071">
    <w:abstractNumId w:val="39"/>
  </w:num>
  <w:num w:numId="2" w16cid:durableId="125051656">
    <w:abstractNumId w:val="26"/>
  </w:num>
  <w:num w:numId="3" w16cid:durableId="1401827713">
    <w:abstractNumId w:val="36"/>
  </w:num>
  <w:num w:numId="4" w16cid:durableId="1759204679">
    <w:abstractNumId w:val="37"/>
  </w:num>
  <w:num w:numId="5" w16cid:durableId="994601099">
    <w:abstractNumId w:val="45"/>
  </w:num>
  <w:num w:numId="6" w16cid:durableId="300622664">
    <w:abstractNumId w:val="47"/>
  </w:num>
  <w:num w:numId="7" w16cid:durableId="1536038806">
    <w:abstractNumId w:val="11"/>
  </w:num>
  <w:num w:numId="8" w16cid:durableId="139733884">
    <w:abstractNumId w:val="14"/>
  </w:num>
  <w:num w:numId="9" w16cid:durableId="414939505">
    <w:abstractNumId w:val="48"/>
  </w:num>
  <w:num w:numId="10" w16cid:durableId="1897886514">
    <w:abstractNumId w:val="18"/>
  </w:num>
  <w:num w:numId="11" w16cid:durableId="1044986749">
    <w:abstractNumId w:val="35"/>
  </w:num>
  <w:num w:numId="12" w16cid:durableId="962080615">
    <w:abstractNumId w:val="5"/>
  </w:num>
  <w:num w:numId="13" w16cid:durableId="1700816395">
    <w:abstractNumId w:val="24"/>
  </w:num>
  <w:num w:numId="14" w16cid:durableId="345637205">
    <w:abstractNumId w:val="1"/>
  </w:num>
  <w:num w:numId="15" w16cid:durableId="1391876969">
    <w:abstractNumId w:val="28"/>
  </w:num>
  <w:num w:numId="16" w16cid:durableId="2012902986">
    <w:abstractNumId w:val="9"/>
  </w:num>
  <w:num w:numId="17" w16cid:durableId="381682489">
    <w:abstractNumId w:val="30"/>
  </w:num>
  <w:num w:numId="18" w16cid:durableId="880897152">
    <w:abstractNumId w:val="41"/>
  </w:num>
  <w:num w:numId="19" w16cid:durableId="1025908272">
    <w:abstractNumId w:val="29"/>
  </w:num>
  <w:num w:numId="20" w16cid:durableId="1642616079">
    <w:abstractNumId w:val="34"/>
  </w:num>
  <w:num w:numId="21" w16cid:durableId="2070567274">
    <w:abstractNumId w:val="44"/>
  </w:num>
  <w:num w:numId="22" w16cid:durableId="1124932792">
    <w:abstractNumId w:val="3"/>
  </w:num>
  <w:num w:numId="23" w16cid:durableId="215245572">
    <w:abstractNumId w:val="50"/>
  </w:num>
  <w:num w:numId="24" w16cid:durableId="633406363">
    <w:abstractNumId w:val="38"/>
  </w:num>
  <w:num w:numId="25" w16cid:durableId="1800877890">
    <w:abstractNumId w:val="6"/>
  </w:num>
  <w:num w:numId="26" w16cid:durableId="1668482782">
    <w:abstractNumId w:val="12"/>
  </w:num>
  <w:num w:numId="27" w16cid:durableId="1363172719">
    <w:abstractNumId w:val="17"/>
  </w:num>
  <w:num w:numId="28" w16cid:durableId="2104036359">
    <w:abstractNumId w:val="22"/>
  </w:num>
  <w:num w:numId="29" w16cid:durableId="783115994">
    <w:abstractNumId w:val="10"/>
  </w:num>
  <w:num w:numId="30" w16cid:durableId="272827733">
    <w:abstractNumId w:val="52"/>
  </w:num>
  <w:num w:numId="31" w16cid:durableId="1716736101">
    <w:abstractNumId w:val="20"/>
  </w:num>
  <w:num w:numId="32" w16cid:durableId="1467548973">
    <w:abstractNumId w:val="0"/>
  </w:num>
  <w:num w:numId="33" w16cid:durableId="1415980535">
    <w:abstractNumId w:val="21"/>
  </w:num>
  <w:num w:numId="34" w16cid:durableId="300774979">
    <w:abstractNumId w:val="25"/>
  </w:num>
  <w:num w:numId="35" w16cid:durableId="912543552">
    <w:abstractNumId w:val="23"/>
  </w:num>
  <w:num w:numId="36" w16cid:durableId="1446654143">
    <w:abstractNumId w:val="4"/>
  </w:num>
  <w:num w:numId="37" w16cid:durableId="244995114">
    <w:abstractNumId w:val="27"/>
  </w:num>
  <w:num w:numId="38" w16cid:durableId="1011878767">
    <w:abstractNumId w:val="51"/>
  </w:num>
  <w:num w:numId="39" w16cid:durableId="1212962321">
    <w:abstractNumId w:val="43"/>
  </w:num>
  <w:num w:numId="40" w16cid:durableId="786857076">
    <w:abstractNumId w:val="15"/>
  </w:num>
  <w:num w:numId="41" w16cid:durableId="1935742070">
    <w:abstractNumId w:val="32"/>
  </w:num>
  <w:num w:numId="42" w16cid:durableId="595792589">
    <w:abstractNumId w:val="19"/>
  </w:num>
  <w:num w:numId="43" w16cid:durableId="368067318">
    <w:abstractNumId w:val="2"/>
  </w:num>
  <w:num w:numId="44" w16cid:durableId="138543924">
    <w:abstractNumId w:val="16"/>
  </w:num>
  <w:num w:numId="45" w16cid:durableId="1279534090">
    <w:abstractNumId w:val="13"/>
  </w:num>
  <w:num w:numId="46" w16cid:durableId="468595150">
    <w:abstractNumId w:val="33"/>
  </w:num>
  <w:num w:numId="47" w16cid:durableId="543450937">
    <w:abstractNumId w:val="46"/>
  </w:num>
  <w:num w:numId="48" w16cid:durableId="1676953013">
    <w:abstractNumId w:val="31"/>
  </w:num>
  <w:num w:numId="49" w16cid:durableId="1586261833">
    <w:abstractNumId w:val="49"/>
  </w:num>
  <w:num w:numId="50" w16cid:durableId="1717847069">
    <w:abstractNumId w:val="7"/>
  </w:num>
  <w:num w:numId="51" w16cid:durableId="644892552">
    <w:abstractNumId w:val="40"/>
  </w:num>
  <w:num w:numId="52" w16cid:durableId="1214461017">
    <w:abstractNumId w:val="42"/>
  </w:num>
  <w:num w:numId="53" w16cid:durableId="730882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C8D"/>
    <w:rsid w:val="00043E80"/>
    <w:rsid w:val="00061F6D"/>
    <w:rsid w:val="000A23BD"/>
    <w:rsid w:val="000A3877"/>
    <w:rsid w:val="000A55C6"/>
    <w:rsid w:val="000F3CA0"/>
    <w:rsid w:val="00143A22"/>
    <w:rsid w:val="001529DE"/>
    <w:rsid w:val="0020050C"/>
    <w:rsid w:val="002378B2"/>
    <w:rsid w:val="00240A83"/>
    <w:rsid w:val="002527F5"/>
    <w:rsid w:val="00291B62"/>
    <w:rsid w:val="002B2C8D"/>
    <w:rsid w:val="002F1EF6"/>
    <w:rsid w:val="00300584"/>
    <w:rsid w:val="0036578D"/>
    <w:rsid w:val="00377368"/>
    <w:rsid w:val="00377926"/>
    <w:rsid w:val="003A7B14"/>
    <w:rsid w:val="003D3602"/>
    <w:rsid w:val="004067C7"/>
    <w:rsid w:val="00417931"/>
    <w:rsid w:val="00441677"/>
    <w:rsid w:val="00484E47"/>
    <w:rsid w:val="00490BB8"/>
    <w:rsid w:val="004B4379"/>
    <w:rsid w:val="004F3693"/>
    <w:rsid w:val="00557541"/>
    <w:rsid w:val="005655D1"/>
    <w:rsid w:val="005C04FF"/>
    <w:rsid w:val="005E4823"/>
    <w:rsid w:val="00643371"/>
    <w:rsid w:val="00681571"/>
    <w:rsid w:val="006B6D78"/>
    <w:rsid w:val="006C2131"/>
    <w:rsid w:val="006D5981"/>
    <w:rsid w:val="006E0796"/>
    <w:rsid w:val="006E4F10"/>
    <w:rsid w:val="00724D63"/>
    <w:rsid w:val="007824A9"/>
    <w:rsid w:val="007D7F11"/>
    <w:rsid w:val="007F11B7"/>
    <w:rsid w:val="008105C2"/>
    <w:rsid w:val="00880001"/>
    <w:rsid w:val="008801F6"/>
    <w:rsid w:val="00884331"/>
    <w:rsid w:val="008A7446"/>
    <w:rsid w:val="008A7EFC"/>
    <w:rsid w:val="008C4C06"/>
    <w:rsid w:val="008C5E47"/>
    <w:rsid w:val="008D1C2C"/>
    <w:rsid w:val="008D1C8B"/>
    <w:rsid w:val="008D25C1"/>
    <w:rsid w:val="00913D98"/>
    <w:rsid w:val="0093359B"/>
    <w:rsid w:val="00940307"/>
    <w:rsid w:val="00962CE5"/>
    <w:rsid w:val="00996F46"/>
    <w:rsid w:val="009B1CC4"/>
    <w:rsid w:val="009D59FE"/>
    <w:rsid w:val="009E41BB"/>
    <w:rsid w:val="009F0D18"/>
    <w:rsid w:val="00A1416A"/>
    <w:rsid w:val="00A84A3F"/>
    <w:rsid w:val="00A84E07"/>
    <w:rsid w:val="00AA272E"/>
    <w:rsid w:val="00AA636A"/>
    <w:rsid w:val="00AC1773"/>
    <w:rsid w:val="00B04EDC"/>
    <w:rsid w:val="00B22683"/>
    <w:rsid w:val="00B352CC"/>
    <w:rsid w:val="00B55216"/>
    <w:rsid w:val="00BE34F7"/>
    <w:rsid w:val="00C243B7"/>
    <w:rsid w:val="00C24C5F"/>
    <w:rsid w:val="00C31A45"/>
    <w:rsid w:val="00C723B7"/>
    <w:rsid w:val="00C74A9B"/>
    <w:rsid w:val="00C8718C"/>
    <w:rsid w:val="00C95F30"/>
    <w:rsid w:val="00CE4CA3"/>
    <w:rsid w:val="00CF1DD9"/>
    <w:rsid w:val="00D140BA"/>
    <w:rsid w:val="00D22BC4"/>
    <w:rsid w:val="00D37349"/>
    <w:rsid w:val="00D95D4D"/>
    <w:rsid w:val="00DA5875"/>
    <w:rsid w:val="00DB53F6"/>
    <w:rsid w:val="00DD6BBD"/>
    <w:rsid w:val="00DF2D4A"/>
    <w:rsid w:val="00E0215E"/>
    <w:rsid w:val="00E05303"/>
    <w:rsid w:val="00E56C77"/>
    <w:rsid w:val="00E9553C"/>
    <w:rsid w:val="00E978FC"/>
    <w:rsid w:val="00EE3D1B"/>
    <w:rsid w:val="00EF1049"/>
    <w:rsid w:val="00F40F0F"/>
    <w:rsid w:val="00F45E6D"/>
    <w:rsid w:val="00F704EB"/>
    <w:rsid w:val="00F930BC"/>
    <w:rsid w:val="00F93D83"/>
    <w:rsid w:val="00F94DAA"/>
    <w:rsid w:val="00FA60B1"/>
    <w:rsid w:val="00FC1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B429A3"/>
  <w15:chartTrackingRefBased/>
  <w15:docId w15:val="{8970C777-FF63-4C57-87D2-116C63D2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C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C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C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C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C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C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C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C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C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C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C8D"/>
    <w:rPr>
      <w:rFonts w:eastAsiaTheme="majorEastAsia" w:cstheme="majorBidi"/>
      <w:color w:val="272727" w:themeColor="text1" w:themeTint="D8"/>
    </w:rPr>
  </w:style>
  <w:style w:type="paragraph" w:styleId="Title">
    <w:name w:val="Title"/>
    <w:basedOn w:val="Normal"/>
    <w:next w:val="Normal"/>
    <w:link w:val="TitleChar"/>
    <w:uiPriority w:val="10"/>
    <w:qFormat/>
    <w:rsid w:val="002B2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C8D"/>
    <w:pPr>
      <w:spacing w:before="160"/>
      <w:jc w:val="center"/>
    </w:pPr>
    <w:rPr>
      <w:i/>
      <w:iCs/>
      <w:color w:val="404040" w:themeColor="text1" w:themeTint="BF"/>
    </w:rPr>
  </w:style>
  <w:style w:type="character" w:customStyle="1" w:styleId="QuoteChar">
    <w:name w:val="Quote Char"/>
    <w:basedOn w:val="DefaultParagraphFont"/>
    <w:link w:val="Quote"/>
    <w:uiPriority w:val="29"/>
    <w:rsid w:val="002B2C8D"/>
    <w:rPr>
      <w:i/>
      <w:iCs/>
      <w:color w:val="404040" w:themeColor="text1" w:themeTint="BF"/>
    </w:rPr>
  </w:style>
  <w:style w:type="paragraph" w:styleId="ListParagraph">
    <w:name w:val="List Paragraph"/>
    <w:basedOn w:val="Normal"/>
    <w:uiPriority w:val="34"/>
    <w:qFormat/>
    <w:rsid w:val="002B2C8D"/>
    <w:pPr>
      <w:ind w:left="720"/>
      <w:contextualSpacing/>
    </w:pPr>
  </w:style>
  <w:style w:type="character" w:styleId="IntenseEmphasis">
    <w:name w:val="Intense Emphasis"/>
    <w:basedOn w:val="DefaultParagraphFont"/>
    <w:uiPriority w:val="21"/>
    <w:qFormat/>
    <w:rsid w:val="002B2C8D"/>
    <w:rPr>
      <w:i/>
      <w:iCs/>
      <w:color w:val="0F4761" w:themeColor="accent1" w:themeShade="BF"/>
    </w:rPr>
  </w:style>
  <w:style w:type="paragraph" w:styleId="IntenseQuote">
    <w:name w:val="Intense Quote"/>
    <w:basedOn w:val="Normal"/>
    <w:next w:val="Normal"/>
    <w:link w:val="IntenseQuoteChar"/>
    <w:uiPriority w:val="30"/>
    <w:qFormat/>
    <w:rsid w:val="002B2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C8D"/>
    <w:rPr>
      <w:i/>
      <w:iCs/>
      <w:color w:val="0F4761" w:themeColor="accent1" w:themeShade="BF"/>
    </w:rPr>
  </w:style>
  <w:style w:type="character" w:styleId="IntenseReference">
    <w:name w:val="Intense Reference"/>
    <w:basedOn w:val="DefaultParagraphFont"/>
    <w:uiPriority w:val="32"/>
    <w:qFormat/>
    <w:rsid w:val="002B2C8D"/>
    <w:rPr>
      <w:b/>
      <w:bCs/>
      <w:smallCaps/>
      <w:color w:val="0F4761" w:themeColor="accent1" w:themeShade="BF"/>
      <w:spacing w:val="5"/>
    </w:rPr>
  </w:style>
  <w:style w:type="paragraph" w:styleId="NormalWeb">
    <w:name w:val="Normal (Web)"/>
    <w:basedOn w:val="Normal"/>
    <w:uiPriority w:val="99"/>
    <w:semiHidden/>
    <w:unhideWhenUsed/>
    <w:rsid w:val="00BE34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56C77"/>
    <w:rPr>
      <w:i/>
      <w:iCs/>
    </w:rPr>
  </w:style>
  <w:style w:type="character" w:styleId="Strong">
    <w:name w:val="Strong"/>
    <w:basedOn w:val="DefaultParagraphFont"/>
    <w:uiPriority w:val="22"/>
    <w:qFormat/>
    <w:rsid w:val="008D1C2C"/>
    <w:rPr>
      <w:b/>
      <w:bCs/>
    </w:rPr>
  </w:style>
  <w:style w:type="paragraph" w:styleId="Revision">
    <w:name w:val="Revision"/>
    <w:hidden/>
    <w:uiPriority w:val="99"/>
    <w:semiHidden/>
    <w:rsid w:val="003005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783471">
      <w:bodyDiv w:val="1"/>
      <w:marLeft w:val="0"/>
      <w:marRight w:val="0"/>
      <w:marTop w:val="0"/>
      <w:marBottom w:val="0"/>
      <w:divBdr>
        <w:top w:val="none" w:sz="0" w:space="0" w:color="auto"/>
        <w:left w:val="none" w:sz="0" w:space="0" w:color="auto"/>
        <w:bottom w:val="none" w:sz="0" w:space="0" w:color="auto"/>
        <w:right w:val="none" w:sz="0" w:space="0" w:color="auto"/>
      </w:divBdr>
    </w:div>
    <w:div w:id="230891316">
      <w:bodyDiv w:val="1"/>
      <w:marLeft w:val="0"/>
      <w:marRight w:val="0"/>
      <w:marTop w:val="0"/>
      <w:marBottom w:val="0"/>
      <w:divBdr>
        <w:top w:val="none" w:sz="0" w:space="0" w:color="auto"/>
        <w:left w:val="none" w:sz="0" w:space="0" w:color="auto"/>
        <w:bottom w:val="none" w:sz="0" w:space="0" w:color="auto"/>
        <w:right w:val="none" w:sz="0" w:space="0" w:color="auto"/>
      </w:divBdr>
    </w:div>
    <w:div w:id="254246846">
      <w:bodyDiv w:val="1"/>
      <w:marLeft w:val="0"/>
      <w:marRight w:val="0"/>
      <w:marTop w:val="0"/>
      <w:marBottom w:val="0"/>
      <w:divBdr>
        <w:top w:val="none" w:sz="0" w:space="0" w:color="auto"/>
        <w:left w:val="none" w:sz="0" w:space="0" w:color="auto"/>
        <w:bottom w:val="none" w:sz="0" w:space="0" w:color="auto"/>
        <w:right w:val="none" w:sz="0" w:space="0" w:color="auto"/>
      </w:divBdr>
    </w:div>
    <w:div w:id="305667038">
      <w:bodyDiv w:val="1"/>
      <w:marLeft w:val="0"/>
      <w:marRight w:val="0"/>
      <w:marTop w:val="0"/>
      <w:marBottom w:val="0"/>
      <w:divBdr>
        <w:top w:val="none" w:sz="0" w:space="0" w:color="auto"/>
        <w:left w:val="none" w:sz="0" w:space="0" w:color="auto"/>
        <w:bottom w:val="none" w:sz="0" w:space="0" w:color="auto"/>
        <w:right w:val="none" w:sz="0" w:space="0" w:color="auto"/>
      </w:divBdr>
      <w:divsChild>
        <w:div w:id="1665089633">
          <w:marLeft w:val="0"/>
          <w:marRight w:val="0"/>
          <w:marTop w:val="0"/>
          <w:marBottom w:val="0"/>
          <w:divBdr>
            <w:top w:val="none" w:sz="0" w:space="0" w:color="auto"/>
            <w:left w:val="none" w:sz="0" w:space="0" w:color="auto"/>
            <w:bottom w:val="none" w:sz="0" w:space="0" w:color="auto"/>
            <w:right w:val="none" w:sz="0" w:space="0" w:color="auto"/>
          </w:divBdr>
          <w:divsChild>
            <w:div w:id="420374448">
              <w:marLeft w:val="0"/>
              <w:marRight w:val="0"/>
              <w:marTop w:val="0"/>
              <w:marBottom w:val="0"/>
              <w:divBdr>
                <w:top w:val="none" w:sz="0" w:space="0" w:color="auto"/>
                <w:left w:val="none" w:sz="0" w:space="0" w:color="auto"/>
                <w:bottom w:val="none" w:sz="0" w:space="0" w:color="auto"/>
                <w:right w:val="none" w:sz="0" w:space="0" w:color="auto"/>
              </w:divBdr>
              <w:divsChild>
                <w:div w:id="1091439197">
                  <w:marLeft w:val="0"/>
                  <w:marRight w:val="0"/>
                  <w:marTop w:val="0"/>
                  <w:marBottom w:val="0"/>
                  <w:divBdr>
                    <w:top w:val="none" w:sz="0" w:space="0" w:color="auto"/>
                    <w:left w:val="none" w:sz="0" w:space="0" w:color="auto"/>
                    <w:bottom w:val="none" w:sz="0" w:space="0" w:color="auto"/>
                    <w:right w:val="none" w:sz="0" w:space="0" w:color="auto"/>
                  </w:divBdr>
                  <w:divsChild>
                    <w:div w:id="212114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723649">
          <w:marLeft w:val="0"/>
          <w:marRight w:val="0"/>
          <w:marTop w:val="0"/>
          <w:marBottom w:val="0"/>
          <w:divBdr>
            <w:top w:val="none" w:sz="0" w:space="0" w:color="auto"/>
            <w:left w:val="none" w:sz="0" w:space="0" w:color="auto"/>
            <w:bottom w:val="none" w:sz="0" w:space="0" w:color="auto"/>
            <w:right w:val="none" w:sz="0" w:space="0" w:color="auto"/>
          </w:divBdr>
          <w:divsChild>
            <w:div w:id="75518138">
              <w:marLeft w:val="0"/>
              <w:marRight w:val="0"/>
              <w:marTop w:val="0"/>
              <w:marBottom w:val="0"/>
              <w:divBdr>
                <w:top w:val="none" w:sz="0" w:space="0" w:color="auto"/>
                <w:left w:val="none" w:sz="0" w:space="0" w:color="auto"/>
                <w:bottom w:val="none" w:sz="0" w:space="0" w:color="auto"/>
                <w:right w:val="none" w:sz="0" w:space="0" w:color="auto"/>
              </w:divBdr>
              <w:divsChild>
                <w:div w:id="678965885">
                  <w:marLeft w:val="0"/>
                  <w:marRight w:val="0"/>
                  <w:marTop w:val="0"/>
                  <w:marBottom w:val="0"/>
                  <w:divBdr>
                    <w:top w:val="none" w:sz="0" w:space="0" w:color="auto"/>
                    <w:left w:val="none" w:sz="0" w:space="0" w:color="auto"/>
                    <w:bottom w:val="none" w:sz="0" w:space="0" w:color="auto"/>
                    <w:right w:val="none" w:sz="0" w:space="0" w:color="auto"/>
                  </w:divBdr>
                  <w:divsChild>
                    <w:div w:id="20025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961073">
      <w:bodyDiv w:val="1"/>
      <w:marLeft w:val="0"/>
      <w:marRight w:val="0"/>
      <w:marTop w:val="0"/>
      <w:marBottom w:val="0"/>
      <w:divBdr>
        <w:top w:val="none" w:sz="0" w:space="0" w:color="auto"/>
        <w:left w:val="none" w:sz="0" w:space="0" w:color="auto"/>
        <w:bottom w:val="none" w:sz="0" w:space="0" w:color="auto"/>
        <w:right w:val="none" w:sz="0" w:space="0" w:color="auto"/>
      </w:divBdr>
    </w:div>
    <w:div w:id="669719179">
      <w:bodyDiv w:val="1"/>
      <w:marLeft w:val="0"/>
      <w:marRight w:val="0"/>
      <w:marTop w:val="0"/>
      <w:marBottom w:val="0"/>
      <w:divBdr>
        <w:top w:val="none" w:sz="0" w:space="0" w:color="auto"/>
        <w:left w:val="none" w:sz="0" w:space="0" w:color="auto"/>
        <w:bottom w:val="none" w:sz="0" w:space="0" w:color="auto"/>
        <w:right w:val="none" w:sz="0" w:space="0" w:color="auto"/>
      </w:divBdr>
    </w:div>
    <w:div w:id="788596796">
      <w:bodyDiv w:val="1"/>
      <w:marLeft w:val="0"/>
      <w:marRight w:val="0"/>
      <w:marTop w:val="0"/>
      <w:marBottom w:val="0"/>
      <w:divBdr>
        <w:top w:val="none" w:sz="0" w:space="0" w:color="auto"/>
        <w:left w:val="none" w:sz="0" w:space="0" w:color="auto"/>
        <w:bottom w:val="none" w:sz="0" w:space="0" w:color="auto"/>
        <w:right w:val="none" w:sz="0" w:space="0" w:color="auto"/>
      </w:divBdr>
      <w:divsChild>
        <w:div w:id="701515815">
          <w:marLeft w:val="0"/>
          <w:marRight w:val="0"/>
          <w:marTop w:val="0"/>
          <w:marBottom w:val="0"/>
          <w:divBdr>
            <w:top w:val="none" w:sz="0" w:space="0" w:color="auto"/>
            <w:left w:val="none" w:sz="0" w:space="0" w:color="auto"/>
            <w:bottom w:val="none" w:sz="0" w:space="0" w:color="auto"/>
            <w:right w:val="none" w:sz="0" w:space="0" w:color="auto"/>
          </w:divBdr>
          <w:divsChild>
            <w:div w:id="271790638">
              <w:marLeft w:val="0"/>
              <w:marRight w:val="0"/>
              <w:marTop w:val="0"/>
              <w:marBottom w:val="0"/>
              <w:divBdr>
                <w:top w:val="none" w:sz="0" w:space="0" w:color="auto"/>
                <w:left w:val="none" w:sz="0" w:space="0" w:color="auto"/>
                <w:bottom w:val="none" w:sz="0" w:space="0" w:color="auto"/>
                <w:right w:val="none" w:sz="0" w:space="0" w:color="auto"/>
              </w:divBdr>
              <w:divsChild>
                <w:div w:id="1671983516">
                  <w:marLeft w:val="0"/>
                  <w:marRight w:val="0"/>
                  <w:marTop w:val="0"/>
                  <w:marBottom w:val="0"/>
                  <w:divBdr>
                    <w:top w:val="none" w:sz="0" w:space="0" w:color="auto"/>
                    <w:left w:val="none" w:sz="0" w:space="0" w:color="auto"/>
                    <w:bottom w:val="none" w:sz="0" w:space="0" w:color="auto"/>
                    <w:right w:val="none" w:sz="0" w:space="0" w:color="auto"/>
                  </w:divBdr>
                  <w:divsChild>
                    <w:div w:id="2057195268">
                      <w:marLeft w:val="0"/>
                      <w:marRight w:val="0"/>
                      <w:marTop w:val="0"/>
                      <w:marBottom w:val="0"/>
                      <w:divBdr>
                        <w:top w:val="none" w:sz="0" w:space="0" w:color="auto"/>
                        <w:left w:val="none" w:sz="0" w:space="0" w:color="auto"/>
                        <w:bottom w:val="none" w:sz="0" w:space="0" w:color="auto"/>
                        <w:right w:val="none" w:sz="0" w:space="0" w:color="auto"/>
                      </w:divBdr>
                      <w:divsChild>
                        <w:div w:id="1025059332">
                          <w:marLeft w:val="0"/>
                          <w:marRight w:val="0"/>
                          <w:marTop w:val="0"/>
                          <w:marBottom w:val="0"/>
                          <w:divBdr>
                            <w:top w:val="none" w:sz="0" w:space="0" w:color="auto"/>
                            <w:left w:val="none" w:sz="0" w:space="0" w:color="auto"/>
                            <w:bottom w:val="none" w:sz="0" w:space="0" w:color="auto"/>
                            <w:right w:val="none" w:sz="0" w:space="0" w:color="auto"/>
                          </w:divBdr>
                          <w:divsChild>
                            <w:div w:id="6222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3811313">
      <w:bodyDiv w:val="1"/>
      <w:marLeft w:val="0"/>
      <w:marRight w:val="0"/>
      <w:marTop w:val="0"/>
      <w:marBottom w:val="0"/>
      <w:divBdr>
        <w:top w:val="none" w:sz="0" w:space="0" w:color="auto"/>
        <w:left w:val="none" w:sz="0" w:space="0" w:color="auto"/>
        <w:bottom w:val="none" w:sz="0" w:space="0" w:color="auto"/>
        <w:right w:val="none" w:sz="0" w:space="0" w:color="auto"/>
      </w:divBdr>
    </w:div>
    <w:div w:id="941031700">
      <w:bodyDiv w:val="1"/>
      <w:marLeft w:val="0"/>
      <w:marRight w:val="0"/>
      <w:marTop w:val="0"/>
      <w:marBottom w:val="0"/>
      <w:divBdr>
        <w:top w:val="none" w:sz="0" w:space="0" w:color="auto"/>
        <w:left w:val="none" w:sz="0" w:space="0" w:color="auto"/>
        <w:bottom w:val="none" w:sz="0" w:space="0" w:color="auto"/>
        <w:right w:val="none" w:sz="0" w:space="0" w:color="auto"/>
      </w:divBdr>
    </w:div>
    <w:div w:id="989290078">
      <w:bodyDiv w:val="1"/>
      <w:marLeft w:val="0"/>
      <w:marRight w:val="0"/>
      <w:marTop w:val="0"/>
      <w:marBottom w:val="0"/>
      <w:divBdr>
        <w:top w:val="none" w:sz="0" w:space="0" w:color="auto"/>
        <w:left w:val="none" w:sz="0" w:space="0" w:color="auto"/>
        <w:bottom w:val="none" w:sz="0" w:space="0" w:color="auto"/>
        <w:right w:val="none" w:sz="0" w:space="0" w:color="auto"/>
      </w:divBdr>
      <w:divsChild>
        <w:div w:id="1702515356">
          <w:marLeft w:val="0"/>
          <w:marRight w:val="0"/>
          <w:marTop w:val="0"/>
          <w:marBottom w:val="0"/>
          <w:divBdr>
            <w:top w:val="none" w:sz="0" w:space="0" w:color="auto"/>
            <w:left w:val="none" w:sz="0" w:space="0" w:color="auto"/>
            <w:bottom w:val="none" w:sz="0" w:space="0" w:color="auto"/>
            <w:right w:val="none" w:sz="0" w:space="0" w:color="auto"/>
          </w:divBdr>
          <w:divsChild>
            <w:div w:id="874266891">
              <w:marLeft w:val="0"/>
              <w:marRight w:val="0"/>
              <w:marTop w:val="0"/>
              <w:marBottom w:val="0"/>
              <w:divBdr>
                <w:top w:val="none" w:sz="0" w:space="0" w:color="auto"/>
                <w:left w:val="none" w:sz="0" w:space="0" w:color="auto"/>
                <w:bottom w:val="none" w:sz="0" w:space="0" w:color="auto"/>
                <w:right w:val="none" w:sz="0" w:space="0" w:color="auto"/>
              </w:divBdr>
              <w:divsChild>
                <w:div w:id="1275671533">
                  <w:marLeft w:val="0"/>
                  <w:marRight w:val="0"/>
                  <w:marTop w:val="0"/>
                  <w:marBottom w:val="0"/>
                  <w:divBdr>
                    <w:top w:val="none" w:sz="0" w:space="0" w:color="auto"/>
                    <w:left w:val="none" w:sz="0" w:space="0" w:color="auto"/>
                    <w:bottom w:val="none" w:sz="0" w:space="0" w:color="auto"/>
                    <w:right w:val="none" w:sz="0" w:space="0" w:color="auto"/>
                  </w:divBdr>
                  <w:divsChild>
                    <w:div w:id="1992707176">
                      <w:marLeft w:val="0"/>
                      <w:marRight w:val="0"/>
                      <w:marTop w:val="0"/>
                      <w:marBottom w:val="0"/>
                      <w:divBdr>
                        <w:top w:val="none" w:sz="0" w:space="0" w:color="auto"/>
                        <w:left w:val="none" w:sz="0" w:space="0" w:color="auto"/>
                        <w:bottom w:val="none" w:sz="0" w:space="0" w:color="auto"/>
                        <w:right w:val="none" w:sz="0" w:space="0" w:color="auto"/>
                      </w:divBdr>
                      <w:divsChild>
                        <w:div w:id="846601218">
                          <w:marLeft w:val="0"/>
                          <w:marRight w:val="0"/>
                          <w:marTop w:val="0"/>
                          <w:marBottom w:val="0"/>
                          <w:divBdr>
                            <w:top w:val="none" w:sz="0" w:space="0" w:color="auto"/>
                            <w:left w:val="none" w:sz="0" w:space="0" w:color="auto"/>
                            <w:bottom w:val="none" w:sz="0" w:space="0" w:color="auto"/>
                            <w:right w:val="none" w:sz="0" w:space="0" w:color="auto"/>
                          </w:divBdr>
                          <w:divsChild>
                            <w:div w:id="87700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4275112">
      <w:bodyDiv w:val="1"/>
      <w:marLeft w:val="0"/>
      <w:marRight w:val="0"/>
      <w:marTop w:val="0"/>
      <w:marBottom w:val="0"/>
      <w:divBdr>
        <w:top w:val="none" w:sz="0" w:space="0" w:color="auto"/>
        <w:left w:val="none" w:sz="0" w:space="0" w:color="auto"/>
        <w:bottom w:val="none" w:sz="0" w:space="0" w:color="auto"/>
        <w:right w:val="none" w:sz="0" w:space="0" w:color="auto"/>
      </w:divBdr>
    </w:div>
    <w:div w:id="1249194465">
      <w:bodyDiv w:val="1"/>
      <w:marLeft w:val="0"/>
      <w:marRight w:val="0"/>
      <w:marTop w:val="0"/>
      <w:marBottom w:val="0"/>
      <w:divBdr>
        <w:top w:val="none" w:sz="0" w:space="0" w:color="auto"/>
        <w:left w:val="none" w:sz="0" w:space="0" w:color="auto"/>
        <w:bottom w:val="none" w:sz="0" w:space="0" w:color="auto"/>
        <w:right w:val="none" w:sz="0" w:space="0" w:color="auto"/>
      </w:divBdr>
      <w:divsChild>
        <w:div w:id="975255711">
          <w:marLeft w:val="0"/>
          <w:marRight w:val="0"/>
          <w:marTop w:val="0"/>
          <w:marBottom w:val="0"/>
          <w:divBdr>
            <w:top w:val="none" w:sz="0" w:space="0" w:color="auto"/>
            <w:left w:val="none" w:sz="0" w:space="0" w:color="auto"/>
            <w:bottom w:val="none" w:sz="0" w:space="0" w:color="auto"/>
            <w:right w:val="none" w:sz="0" w:space="0" w:color="auto"/>
          </w:divBdr>
          <w:divsChild>
            <w:div w:id="1346980360">
              <w:marLeft w:val="0"/>
              <w:marRight w:val="0"/>
              <w:marTop w:val="0"/>
              <w:marBottom w:val="0"/>
              <w:divBdr>
                <w:top w:val="none" w:sz="0" w:space="0" w:color="auto"/>
                <w:left w:val="none" w:sz="0" w:space="0" w:color="auto"/>
                <w:bottom w:val="none" w:sz="0" w:space="0" w:color="auto"/>
                <w:right w:val="none" w:sz="0" w:space="0" w:color="auto"/>
              </w:divBdr>
              <w:divsChild>
                <w:div w:id="106852082">
                  <w:marLeft w:val="0"/>
                  <w:marRight w:val="0"/>
                  <w:marTop w:val="0"/>
                  <w:marBottom w:val="0"/>
                  <w:divBdr>
                    <w:top w:val="none" w:sz="0" w:space="0" w:color="auto"/>
                    <w:left w:val="none" w:sz="0" w:space="0" w:color="auto"/>
                    <w:bottom w:val="none" w:sz="0" w:space="0" w:color="auto"/>
                    <w:right w:val="none" w:sz="0" w:space="0" w:color="auto"/>
                  </w:divBdr>
                  <w:divsChild>
                    <w:div w:id="1437142304">
                      <w:marLeft w:val="0"/>
                      <w:marRight w:val="0"/>
                      <w:marTop w:val="0"/>
                      <w:marBottom w:val="0"/>
                      <w:divBdr>
                        <w:top w:val="none" w:sz="0" w:space="0" w:color="auto"/>
                        <w:left w:val="none" w:sz="0" w:space="0" w:color="auto"/>
                        <w:bottom w:val="none" w:sz="0" w:space="0" w:color="auto"/>
                        <w:right w:val="none" w:sz="0" w:space="0" w:color="auto"/>
                      </w:divBdr>
                      <w:divsChild>
                        <w:div w:id="453133913">
                          <w:marLeft w:val="0"/>
                          <w:marRight w:val="0"/>
                          <w:marTop w:val="0"/>
                          <w:marBottom w:val="0"/>
                          <w:divBdr>
                            <w:top w:val="none" w:sz="0" w:space="0" w:color="auto"/>
                            <w:left w:val="none" w:sz="0" w:space="0" w:color="auto"/>
                            <w:bottom w:val="none" w:sz="0" w:space="0" w:color="auto"/>
                            <w:right w:val="none" w:sz="0" w:space="0" w:color="auto"/>
                          </w:divBdr>
                          <w:divsChild>
                            <w:div w:id="73578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773533">
      <w:bodyDiv w:val="1"/>
      <w:marLeft w:val="0"/>
      <w:marRight w:val="0"/>
      <w:marTop w:val="0"/>
      <w:marBottom w:val="0"/>
      <w:divBdr>
        <w:top w:val="none" w:sz="0" w:space="0" w:color="auto"/>
        <w:left w:val="none" w:sz="0" w:space="0" w:color="auto"/>
        <w:bottom w:val="none" w:sz="0" w:space="0" w:color="auto"/>
        <w:right w:val="none" w:sz="0" w:space="0" w:color="auto"/>
      </w:divBdr>
    </w:div>
    <w:div w:id="1474563814">
      <w:bodyDiv w:val="1"/>
      <w:marLeft w:val="0"/>
      <w:marRight w:val="0"/>
      <w:marTop w:val="0"/>
      <w:marBottom w:val="0"/>
      <w:divBdr>
        <w:top w:val="none" w:sz="0" w:space="0" w:color="auto"/>
        <w:left w:val="none" w:sz="0" w:space="0" w:color="auto"/>
        <w:bottom w:val="none" w:sz="0" w:space="0" w:color="auto"/>
        <w:right w:val="none" w:sz="0" w:space="0" w:color="auto"/>
      </w:divBdr>
    </w:div>
    <w:div w:id="1534422825">
      <w:bodyDiv w:val="1"/>
      <w:marLeft w:val="0"/>
      <w:marRight w:val="0"/>
      <w:marTop w:val="0"/>
      <w:marBottom w:val="0"/>
      <w:divBdr>
        <w:top w:val="none" w:sz="0" w:space="0" w:color="auto"/>
        <w:left w:val="none" w:sz="0" w:space="0" w:color="auto"/>
        <w:bottom w:val="none" w:sz="0" w:space="0" w:color="auto"/>
        <w:right w:val="none" w:sz="0" w:space="0" w:color="auto"/>
      </w:divBdr>
      <w:divsChild>
        <w:div w:id="1480228715">
          <w:marLeft w:val="0"/>
          <w:marRight w:val="0"/>
          <w:marTop w:val="0"/>
          <w:marBottom w:val="0"/>
          <w:divBdr>
            <w:top w:val="none" w:sz="0" w:space="0" w:color="auto"/>
            <w:left w:val="none" w:sz="0" w:space="0" w:color="auto"/>
            <w:bottom w:val="none" w:sz="0" w:space="0" w:color="auto"/>
            <w:right w:val="none" w:sz="0" w:space="0" w:color="auto"/>
          </w:divBdr>
          <w:divsChild>
            <w:div w:id="1141922881">
              <w:marLeft w:val="0"/>
              <w:marRight w:val="0"/>
              <w:marTop w:val="0"/>
              <w:marBottom w:val="0"/>
              <w:divBdr>
                <w:top w:val="none" w:sz="0" w:space="0" w:color="auto"/>
                <w:left w:val="none" w:sz="0" w:space="0" w:color="auto"/>
                <w:bottom w:val="none" w:sz="0" w:space="0" w:color="auto"/>
                <w:right w:val="none" w:sz="0" w:space="0" w:color="auto"/>
              </w:divBdr>
              <w:divsChild>
                <w:div w:id="1038244138">
                  <w:marLeft w:val="0"/>
                  <w:marRight w:val="0"/>
                  <w:marTop w:val="0"/>
                  <w:marBottom w:val="0"/>
                  <w:divBdr>
                    <w:top w:val="none" w:sz="0" w:space="0" w:color="auto"/>
                    <w:left w:val="none" w:sz="0" w:space="0" w:color="auto"/>
                    <w:bottom w:val="none" w:sz="0" w:space="0" w:color="auto"/>
                    <w:right w:val="none" w:sz="0" w:space="0" w:color="auto"/>
                  </w:divBdr>
                  <w:divsChild>
                    <w:div w:id="869102748">
                      <w:marLeft w:val="0"/>
                      <w:marRight w:val="0"/>
                      <w:marTop w:val="0"/>
                      <w:marBottom w:val="0"/>
                      <w:divBdr>
                        <w:top w:val="none" w:sz="0" w:space="0" w:color="auto"/>
                        <w:left w:val="none" w:sz="0" w:space="0" w:color="auto"/>
                        <w:bottom w:val="none" w:sz="0" w:space="0" w:color="auto"/>
                        <w:right w:val="none" w:sz="0" w:space="0" w:color="auto"/>
                      </w:divBdr>
                      <w:divsChild>
                        <w:div w:id="1665550172">
                          <w:marLeft w:val="0"/>
                          <w:marRight w:val="0"/>
                          <w:marTop w:val="0"/>
                          <w:marBottom w:val="0"/>
                          <w:divBdr>
                            <w:top w:val="none" w:sz="0" w:space="0" w:color="auto"/>
                            <w:left w:val="none" w:sz="0" w:space="0" w:color="auto"/>
                            <w:bottom w:val="none" w:sz="0" w:space="0" w:color="auto"/>
                            <w:right w:val="none" w:sz="0" w:space="0" w:color="auto"/>
                          </w:divBdr>
                          <w:divsChild>
                            <w:div w:id="212225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48109">
      <w:bodyDiv w:val="1"/>
      <w:marLeft w:val="0"/>
      <w:marRight w:val="0"/>
      <w:marTop w:val="0"/>
      <w:marBottom w:val="0"/>
      <w:divBdr>
        <w:top w:val="none" w:sz="0" w:space="0" w:color="auto"/>
        <w:left w:val="none" w:sz="0" w:space="0" w:color="auto"/>
        <w:bottom w:val="none" w:sz="0" w:space="0" w:color="auto"/>
        <w:right w:val="none" w:sz="0" w:space="0" w:color="auto"/>
      </w:divBdr>
    </w:div>
    <w:div w:id="1726417837">
      <w:bodyDiv w:val="1"/>
      <w:marLeft w:val="0"/>
      <w:marRight w:val="0"/>
      <w:marTop w:val="0"/>
      <w:marBottom w:val="0"/>
      <w:divBdr>
        <w:top w:val="none" w:sz="0" w:space="0" w:color="auto"/>
        <w:left w:val="none" w:sz="0" w:space="0" w:color="auto"/>
        <w:bottom w:val="none" w:sz="0" w:space="0" w:color="auto"/>
        <w:right w:val="none" w:sz="0" w:space="0" w:color="auto"/>
      </w:divBdr>
    </w:div>
    <w:div w:id="1810777914">
      <w:bodyDiv w:val="1"/>
      <w:marLeft w:val="0"/>
      <w:marRight w:val="0"/>
      <w:marTop w:val="0"/>
      <w:marBottom w:val="0"/>
      <w:divBdr>
        <w:top w:val="none" w:sz="0" w:space="0" w:color="auto"/>
        <w:left w:val="none" w:sz="0" w:space="0" w:color="auto"/>
        <w:bottom w:val="none" w:sz="0" w:space="0" w:color="auto"/>
        <w:right w:val="none" w:sz="0" w:space="0" w:color="auto"/>
      </w:divBdr>
    </w:div>
    <w:div w:id="1928146887">
      <w:bodyDiv w:val="1"/>
      <w:marLeft w:val="0"/>
      <w:marRight w:val="0"/>
      <w:marTop w:val="0"/>
      <w:marBottom w:val="0"/>
      <w:divBdr>
        <w:top w:val="none" w:sz="0" w:space="0" w:color="auto"/>
        <w:left w:val="none" w:sz="0" w:space="0" w:color="auto"/>
        <w:bottom w:val="none" w:sz="0" w:space="0" w:color="auto"/>
        <w:right w:val="none" w:sz="0" w:space="0" w:color="auto"/>
      </w:divBdr>
      <w:divsChild>
        <w:div w:id="925531077">
          <w:marLeft w:val="0"/>
          <w:marRight w:val="0"/>
          <w:marTop w:val="0"/>
          <w:marBottom w:val="0"/>
          <w:divBdr>
            <w:top w:val="none" w:sz="0" w:space="0" w:color="auto"/>
            <w:left w:val="none" w:sz="0" w:space="0" w:color="auto"/>
            <w:bottom w:val="none" w:sz="0" w:space="0" w:color="auto"/>
            <w:right w:val="none" w:sz="0" w:space="0" w:color="auto"/>
          </w:divBdr>
          <w:divsChild>
            <w:div w:id="96601987">
              <w:marLeft w:val="0"/>
              <w:marRight w:val="0"/>
              <w:marTop w:val="0"/>
              <w:marBottom w:val="0"/>
              <w:divBdr>
                <w:top w:val="none" w:sz="0" w:space="0" w:color="auto"/>
                <w:left w:val="none" w:sz="0" w:space="0" w:color="auto"/>
                <w:bottom w:val="none" w:sz="0" w:space="0" w:color="auto"/>
                <w:right w:val="none" w:sz="0" w:space="0" w:color="auto"/>
              </w:divBdr>
              <w:divsChild>
                <w:div w:id="1867016576">
                  <w:marLeft w:val="0"/>
                  <w:marRight w:val="0"/>
                  <w:marTop w:val="0"/>
                  <w:marBottom w:val="0"/>
                  <w:divBdr>
                    <w:top w:val="none" w:sz="0" w:space="0" w:color="auto"/>
                    <w:left w:val="none" w:sz="0" w:space="0" w:color="auto"/>
                    <w:bottom w:val="none" w:sz="0" w:space="0" w:color="auto"/>
                    <w:right w:val="none" w:sz="0" w:space="0" w:color="auto"/>
                  </w:divBdr>
                  <w:divsChild>
                    <w:div w:id="996881524">
                      <w:marLeft w:val="0"/>
                      <w:marRight w:val="0"/>
                      <w:marTop w:val="0"/>
                      <w:marBottom w:val="0"/>
                      <w:divBdr>
                        <w:top w:val="none" w:sz="0" w:space="0" w:color="auto"/>
                        <w:left w:val="none" w:sz="0" w:space="0" w:color="auto"/>
                        <w:bottom w:val="none" w:sz="0" w:space="0" w:color="auto"/>
                        <w:right w:val="none" w:sz="0" w:space="0" w:color="auto"/>
                      </w:divBdr>
                      <w:divsChild>
                        <w:div w:id="820733080">
                          <w:marLeft w:val="0"/>
                          <w:marRight w:val="0"/>
                          <w:marTop w:val="0"/>
                          <w:marBottom w:val="0"/>
                          <w:divBdr>
                            <w:top w:val="none" w:sz="0" w:space="0" w:color="auto"/>
                            <w:left w:val="none" w:sz="0" w:space="0" w:color="auto"/>
                            <w:bottom w:val="none" w:sz="0" w:space="0" w:color="auto"/>
                            <w:right w:val="none" w:sz="0" w:space="0" w:color="auto"/>
                          </w:divBdr>
                          <w:divsChild>
                            <w:div w:id="10296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199205">
      <w:bodyDiv w:val="1"/>
      <w:marLeft w:val="0"/>
      <w:marRight w:val="0"/>
      <w:marTop w:val="0"/>
      <w:marBottom w:val="0"/>
      <w:divBdr>
        <w:top w:val="none" w:sz="0" w:space="0" w:color="auto"/>
        <w:left w:val="none" w:sz="0" w:space="0" w:color="auto"/>
        <w:bottom w:val="none" w:sz="0" w:space="0" w:color="auto"/>
        <w:right w:val="none" w:sz="0" w:space="0" w:color="auto"/>
      </w:divBdr>
      <w:divsChild>
        <w:div w:id="1159078814">
          <w:marLeft w:val="0"/>
          <w:marRight w:val="0"/>
          <w:marTop w:val="0"/>
          <w:marBottom w:val="0"/>
          <w:divBdr>
            <w:top w:val="none" w:sz="0" w:space="0" w:color="auto"/>
            <w:left w:val="none" w:sz="0" w:space="0" w:color="auto"/>
            <w:bottom w:val="none" w:sz="0" w:space="0" w:color="auto"/>
            <w:right w:val="none" w:sz="0" w:space="0" w:color="auto"/>
          </w:divBdr>
          <w:divsChild>
            <w:div w:id="1220433764">
              <w:marLeft w:val="0"/>
              <w:marRight w:val="0"/>
              <w:marTop w:val="0"/>
              <w:marBottom w:val="0"/>
              <w:divBdr>
                <w:top w:val="none" w:sz="0" w:space="0" w:color="auto"/>
                <w:left w:val="none" w:sz="0" w:space="0" w:color="auto"/>
                <w:bottom w:val="none" w:sz="0" w:space="0" w:color="auto"/>
                <w:right w:val="none" w:sz="0" w:space="0" w:color="auto"/>
              </w:divBdr>
              <w:divsChild>
                <w:div w:id="428618827">
                  <w:marLeft w:val="0"/>
                  <w:marRight w:val="0"/>
                  <w:marTop w:val="0"/>
                  <w:marBottom w:val="0"/>
                  <w:divBdr>
                    <w:top w:val="none" w:sz="0" w:space="0" w:color="auto"/>
                    <w:left w:val="none" w:sz="0" w:space="0" w:color="auto"/>
                    <w:bottom w:val="none" w:sz="0" w:space="0" w:color="auto"/>
                    <w:right w:val="none" w:sz="0" w:space="0" w:color="auto"/>
                  </w:divBdr>
                  <w:divsChild>
                    <w:div w:id="256670773">
                      <w:marLeft w:val="0"/>
                      <w:marRight w:val="0"/>
                      <w:marTop w:val="0"/>
                      <w:marBottom w:val="0"/>
                      <w:divBdr>
                        <w:top w:val="none" w:sz="0" w:space="0" w:color="auto"/>
                        <w:left w:val="none" w:sz="0" w:space="0" w:color="auto"/>
                        <w:bottom w:val="none" w:sz="0" w:space="0" w:color="auto"/>
                        <w:right w:val="none" w:sz="0" w:space="0" w:color="auto"/>
                      </w:divBdr>
                      <w:divsChild>
                        <w:div w:id="563370314">
                          <w:marLeft w:val="0"/>
                          <w:marRight w:val="0"/>
                          <w:marTop w:val="0"/>
                          <w:marBottom w:val="0"/>
                          <w:divBdr>
                            <w:top w:val="none" w:sz="0" w:space="0" w:color="auto"/>
                            <w:left w:val="none" w:sz="0" w:space="0" w:color="auto"/>
                            <w:bottom w:val="none" w:sz="0" w:space="0" w:color="auto"/>
                            <w:right w:val="none" w:sz="0" w:space="0" w:color="auto"/>
                          </w:divBdr>
                          <w:divsChild>
                            <w:div w:id="180396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02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3643</Words>
  <Characters>23829</Characters>
  <Application>Microsoft Office Word</Application>
  <DocSecurity>0</DocSecurity>
  <Lines>418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 no1</dc:creator>
  <cp:keywords/>
  <dc:description/>
  <cp:lastModifiedBy>nas no1</cp:lastModifiedBy>
  <cp:revision>2</cp:revision>
  <dcterms:created xsi:type="dcterms:W3CDTF">2024-07-15T20:06:00Z</dcterms:created>
  <dcterms:modified xsi:type="dcterms:W3CDTF">2024-07-15T20:06:00Z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ea70d2e4-a96f-47e9-bcb7-2fc235fb270f</vt:lpwstr>
  </property>
</Properties>
</file>