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5851C" w14:textId="77777777" w:rsidR="00983D8C" w:rsidRDefault="00983D8C">
      <w:pPr>
        <w:spacing w:after="1200"/>
      </w:pPr>
    </w:p>
    <w:p w14:paraId="07403D05" w14:textId="77777777" w:rsidR="00983D8C" w:rsidRDefault="00F123A0" w:rsidP="00FA1B56">
      <w:pPr>
        <w:spacing w:after="2000"/>
        <w:jc w:val="center"/>
      </w:pPr>
      <w:r>
        <w:rPr>
          <w:b/>
          <w:bCs/>
          <w:sz w:val="28"/>
          <w:szCs w:val="28"/>
        </w:rPr>
        <w:t>University of Wales Trinity Saint David</w:t>
      </w:r>
    </w:p>
    <w:p w14:paraId="4671A4FC" w14:textId="344CA0EC" w:rsidR="00983D8C" w:rsidRDefault="00FA1B56" w:rsidP="00FA1B56">
      <w:pPr>
        <w:spacing w:after="200" w:line="360" w:lineRule="auto"/>
        <w:jc w:val="center"/>
      </w:pPr>
      <w:r>
        <w:t xml:space="preserve">Name: </w:t>
      </w:r>
      <w:r w:rsidR="009E67A2">
        <w:t>Nighat Suleman</w:t>
      </w:r>
    </w:p>
    <w:p w14:paraId="10D32BEB" w14:textId="2FEDE723" w:rsidR="00983D8C" w:rsidRDefault="00F123A0" w:rsidP="00FA1B56">
      <w:pPr>
        <w:spacing w:after="200" w:line="360" w:lineRule="auto"/>
        <w:jc w:val="center"/>
      </w:pPr>
      <w:r>
        <w:t xml:space="preserve">Student ID: </w:t>
      </w:r>
      <w:r w:rsidR="009E67A2">
        <w:t>2010940</w:t>
      </w:r>
    </w:p>
    <w:p w14:paraId="10489E15" w14:textId="77777777" w:rsidR="00983D8C" w:rsidRDefault="00F123A0" w:rsidP="00FA1B56">
      <w:pPr>
        <w:spacing w:after="200" w:line="360" w:lineRule="auto"/>
        <w:jc w:val="center"/>
      </w:pPr>
      <w:r>
        <w:t>Module Code: LCHS4001</w:t>
      </w:r>
    </w:p>
    <w:p w14:paraId="4CE53896" w14:textId="00AAA629" w:rsidR="00983D8C" w:rsidRDefault="00FA1B56" w:rsidP="00FA1B56">
      <w:pPr>
        <w:spacing w:after="200" w:line="360" w:lineRule="auto"/>
        <w:jc w:val="center"/>
      </w:pPr>
      <w:r>
        <w:t xml:space="preserve">Module: </w:t>
      </w:r>
      <w:r w:rsidR="009E67A2">
        <w:t>Academic</w:t>
      </w:r>
      <w:r w:rsidR="00393252">
        <w:t xml:space="preserve"> </w:t>
      </w:r>
      <w:r w:rsidR="00EC0DEE">
        <w:t>and Employability Skills</w:t>
      </w:r>
    </w:p>
    <w:p w14:paraId="10B8ABBC" w14:textId="5C25A147" w:rsidR="00983D8C" w:rsidRDefault="00F123A0" w:rsidP="00FA1B56">
      <w:pPr>
        <w:spacing w:after="200" w:line="360" w:lineRule="auto"/>
        <w:jc w:val="center"/>
      </w:pPr>
      <w:r>
        <w:t xml:space="preserve">Lecturer: </w:t>
      </w:r>
      <w:r w:rsidR="00EC0DEE">
        <w:t xml:space="preserve">Abdulla </w:t>
      </w:r>
      <w:r w:rsidR="00AF07C6">
        <w:t>Sodiq</w:t>
      </w:r>
    </w:p>
    <w:p w14:paraId="17A10B97" w14:textId="77777777" w:rsidR="00983D8C" w:rsidRDefault="00983D8C">
      <w:pPr>
        <w:spacing w:after="1600"/>
      </w:pPr>
    </w:p>
    <w:p w14:paraId="18464D7D" w14:textId="13A65A0D" w:rsidR="00983D8C" w:rsidRDefault="00F123A0" w:rsidP="00FA1B56">
      <w:pPr>
        <w:spacing w:after="200" w:line="360" w:lineRule="auto"/>
        <w:jc w:val="center"/>
      </w:pPr>
      <w:r>
        <w:t>Submitted on:</w:t>
      </w:r>
      <w:r w:rsidR="00C0444B">
        <w:t>26/7/2026</w:t>
      </w:r>
      <w:r>
        <w:t xml:space="preserve"> </w:t>
      </w:r>
    </w:p>
    <w:p w14:paraId="5C177FA3" w14:textId="77777777" w:rsidR="00983D8C" w:rsidRDefault="00983D8C">
      <w:pPr>
        <w:sectPr w:rsidR="00983D8C">
          <w:pgSz w:w="11906" w:h="16838"/>
          <w:pgMar w:top="1440" w:right="1440" w:bottom="1440" w:left="1440" w:header="708" w:footer="708" w:gutter="0"/>
          <w:cols w:space="720"/>
          <w:docGrid w:linePitch="360"/>
        </w:sectPr>
      </w:pPr>
    </w:p>
    <w:p w14:paraId="0C887825" w14:textId="77777777" w:rsidR="00983D8C" w:rsidRDefault="00F123A0">
      <w:pPr>
        <w:pStyle w:val="Heading1"/>
      </w:pPr>
      <w:bookmarkStart w:id="0" w:name="_Toc235344045"/>
      <w:r>
        <w:lastRenderedPageBreak/>
        <w:t>Contents</w:t>
      </w:r>
      <w:bookmarkEnd w:id="0"/>
    </w:p>
    <w:sdt>
      <w:sdtPr>
        <w:alias w:val="Contents"/>
        <w:id w:val="-365673961"/>
      </w:sdtPr>
      <w:sdtContent>
        <w:p w14:paraId="6A75D471" w14:textId="77777777" w:rsidR="00FA1B56" w:rsidRDefault="00F123A0">
          <w:pPr>
            <w:pStyle w:val="TOC1"/>
            <w:tabs>
              <w:tab w:val="right" w:leader="dot" w:pos="9016"/>
            </w:tabs>
            <w:rPr>
              <w:noProof/>
            </w:rPr>
          </w:pPr>
          <w:r>
            <w:fldChar w:fldCharType="begin"/>
          </w:r>
          <w:r>
            <w:instrText>TOC \h \o "1-2"</w:instrText>
          </w:r>
          <w:r>
            <w:fldChar w:fldCharType="separate"/>
          </w:r>
          <w:hyperlink w:anchor="_Toc235344045" w:history="1">
            <w:r>
              <w:rPr>
                <w:rStyle w:val="Hyperlink"/>
                <w:noProof/>
              </w:rPr>
              <w:t>Contents</w:t>
            </w:r>
            <w:r>
              <w:rPr>
                <w:noProof/>
              </w:rPr>
              <w:tab/>
            </w:r>
            <w:r>
              <w:rPr>
                <w:noProof/>
              </w:rPr>
              <w:fldChar w:fldCharType="begin"/>
            </w:r>
            <w:r>
              <w:rPr>
                <w:noProof/>
              </w:rPr>
              <w:instrText xml:space="preserve"> PAGEREF _Toc235344045 \h </w:instrText>
            </w:r>
            <w:r>
              <w:rPr>
                <w:noProof/>
              </w:rPr>
            </w:r>
            <w:r>
              <w:rPr>
                <w:noProof/>
              </w:rPr>
              <w:fldChar w:fldCharType="separate"/>
            </w:r>
            <w:r>
              <w:rPr>
                <w:noProof/>
              </w:rPr>
              <w:t>2</w:t>
            </w:r>
            <w:r>
              <w:rPr>
                <w:noProof/>
              </w:rPr>
              <w:fldChar w:fldCharType="end"/>
            </w:r>
          </w:hyperlink>
        </w:p>
        <w:p w14:paraId="4563EB50" w14:textId="77777777" w:rsidR="00FA1B56" w:rsidRDefault="00FA1B56">
          <w:pPr>
            <w:pStyle w:val="TOC1"/>
            <w:tabs>
              <w:tab w:val="right" w:leader="dot" w:pos="9016"/>
            </w:tabs>
            <w:rPr>
              <w:noProof/>
            </w:rPr>
          </w:pPr>
          <w:hyperlink w:anchor="_Toc235344046" w:history="1">
            <w:r>
              <w:rPr>
                <w:rStyle w:val="Hyperlink"/>
                <w:noProof/>
              </w:rPr>
              <w:t>1: Written Report</w:t>
            </w:r>
            <w:r>
              <w:rPr>
                <w:noProof/>
              </w:rPr>
              <w:tab/>
            </w:r>
            <w:r>
              <w:rPr>
                <w:noProof/>
              </w:rPr>
              <w:fldChar w:fldCharType="begin"/>
            </w:r>
            <w:r>
              <w:rPr>
                <w:noProof/>
              </w:rPr>
              <w:instrText xml:space="preserve"> PAGEREF _Toc235344046 \h </w:instrText>
            </w:r>
            <w:r>
              <w:rPr>
                <w:noProof/>
              </w:rPr>
            </w:r>
            <w:r>
              <w:rPr>
                <w:noProof/>
              </w:rPr>
              <w:fldChar w:fldCharType="separate"/>
            </w:r>
            <w:r>
              <w:rPr>
                <w:noProof/>
              </w:rPr>
              <w:t>1</w:t>
            </w:r>
            <w:r>
              <w:rPr>
                <w:noProof/>
              </w:rPr>
              <w:fldChar w:fldCharType="end"/>
            </w:r>
          </w:hyperlink>
        </w:p>
        <w:p w14:paraId="254723FF" w14:textId="77777777" w:rsidR="00FA1B56" w:rsidRDefault="00FA1B56">
          <w:pPr>
            <w:pStyle w:val="TOC2"/>
            <w:tabs>
              <w:tab w:val="right" w:leader="dot" w:pos="9016"/>
            </w:tabs>
            <w:rPr>
              <w:noProof/>
            </w:rPr>
          </w:pPr>
          <w:hyperlink w:anchor="_Toc235344047" w:history="1">
            <w:r>
              <w:rPr>
                <w:rStyle w:val="Hyperlink"/>
                <w:noProof/>
              </w:rPr>
              <w:t>1.1 Introduction</w:t>
            </w:r>
            <w:r>
              <w:rPr>
                <w:noProof/>
              </w:rPr>
              <w:tab/>
            </w:r>
            <w:r>
              <w:rPr>
                <w:noProof/>
              </w:rPr>
              <w:fldChar w:fldCharType="begin"/>
            </w:r>
            <w:r>
              <w:rPr>
                <w:noProof/>
              </w:rPr>
              <w:instrText xml:space="preserve"> PAGEREF _Toc235344047 \h </w:instrText>
            </w:r>
            <w:r>
              <w:rPr>
                <w:noProof/>
              </w:rPr>
            </w:r>
            <w:r>
              <w:rPr>
                <w:noProof/>
              </w:rPr>
              <w:fldChar w:fldCharType="separate"/>
            </w:r>
            <w:r>
              <w:rPr>
                <w:noProof/>
              </w:rPr>
              <w:t>1</w:t>
            </w:r>
            <w:r>
              <w:rPr>
                <w:noProof/>
              </w:rPr>
              <w:fldChar w:fldCharType="end"/>
            </w:r>
          </w:hyperlink>
        </w:p>
        <w:p w14:paraId="353CAF80" w14:textId="77777777" w:rsidR="00FA1B56" w:rsidRDefault="00FA1B56">
          <w:pPr>
            <w:pStyle w:val="TOC2"/>
            <w:tabs>
              <w:tab w:val="right" w:leader="dot" w:pos="9016"/>
            </w:tabs>
            <w:rPr>
              <w:noProof/>
            </w:rPr>
          </w:pPr>
          <w:hyperlink w:anchor="_Toc235344048" w:history="1">
            <w:r>
              <w:rPr>
                <w:rStyle w:val="Hyperlink"/>
                <w:noProof/>
              </w:rPr>
              <w:t>1.2 Description of, and background to, Health Trainer in healthcare</w:t>
            </w:r>
            <w:r>
              <w:rPr>
                <w:noProof/>
              </w:rPr>
              <w:tab/>
            </w:r>
            <w:r>
              <w:rPr>
                <w:noProof/>
              </w:rPr>
              <w:fldChar w:fldCharType="begin"/>
            </w:r>
            <w:r>
              <w:rPr>
                <w:noProof/>
              </w:rPr>
              <w:instrText xml:space="preserve"> PAGEREF _Toc235344048 \h </w:instrText>
            </w:r>
            <w:r>
              <w:rPr>
                <w:noProof/>
              </w:rPr>
            </w:r>
            <w:r>
              <w:rPr>
                <w:noProof/>
              </w:rPr>
              <w:fldChar w:fldCharType="separate"/>
            </w:r>
            <w:r>
              <w:rPr>
                <w:noProof/>
              </w:rPr>
              <w:t>1</w:t>
            </w:r>
            <w:r>
              <w:rPr>
                <w:noProof/>
              </w:rPr>
              <w:fldChar w:fldCharType="end"/>
            </w:r>
          </w:hyperlink>
        </w:p>
        <w:p w14:paraId="74258E60" w14:textId="77777777" w:rsidR="00FA1B56" w:rsidRDefault="00FA1B56">
          <w:pPr>
            <w:pStyle w:val="TOC2"/>
            <w:tabs>
              <w:tab w:val="right" w:leader="dot" w:pos="9016"/>
            </w:tabs>
            <w:rPr>
              <w:noProof/>
            </w:rPr>
          </w:pPr>
          <w:hyperlink w:anchor="_Toc235344049" w:history="1">
            <w:r>
              <w:rPr>
                <w:rStyle w:val="Hyperlink"/>
                <w:noProof/>
              </w:rPr>
              <w:t>1.3 Evaluation of the skills needed for Health Trainer in healthcare</w:t>
            </w:r>
            <w:r>
              <w:rPr>
                <w:noProof/>
              </w:rPr>
              <w:tab/>
            </w:r>
            <w:r>
              <w:rPr>
                <w:noProof/>
              </w:rPr>
              <w:fldChar w:fldCharType="begin"/>
            </w:r>
            <w:r>
              <w:rPr>
                <w:noProof/>
              </w:rPr>
              <w:instrText xml:space="preserve"> PAGEREF _Toc235344049 \h </w:instrText>
            </w:r>
            <w:r>
              <w:rPr>
                <w:noProof/>
              </w:rPr>
            </w:r>
            <w:r>
              <w:rPr>
                <w:noProof/>
              </w:rPr>
              <w:fldChar w:fldCharType="separate"/>
            </w:r>
            <w:r>
              <w:rPr>
                <w:noProof/>
              </w:rPr>
              <w:t>1</w:t>
            </w:r>
            <w:r>
              <w:rPr>
                <w:noProof/>
              </w:rPr>
              <w:fldChar w:fldCharType="end"/>
            </w:r>
          </w:hyperlink>
        </w:p>
        <w:p w14:paraId="5FD3E0A6" w14:textId="77777777" w:rsidR="00FA1B56" w:rsidRDefault="00FA1B56">
          <w:pPr>
            <w:pStyle w:val="TOC2"/>
            <w:tabs>
              <w:tab w:val="right" w:leader="dot" w:pos="9016"/>
            </w:tabs>
            <w:rPr>
              <w:noProof/>
            </w:rPr>
          </w:pPr>
          <w:hyperlink w:anchor="_Toc235344050" w:history="1">
            <w:r>
              <w:rPr>
                <w:rStyle w:val="Hyperlink"/>
                <w:noProof/>
              </w:rPr>
              <w:t>1.4 Strategies to improve the skills for Health Trainer</w:t>
            </w:r>
            <w:r>
              <w:rPr>
                <w:noProof/>
              </w:rPr>
              <w:tab/>
            </w:r>
            <w:r>
              <w:rPr>
                <w:noProof/>
              </w:rPr>
              <w:fldChar w:fldCharType="begin"/>
            </w:r>
            <w:r>
              <w:rPr>
                <w:noProof/>
              </w:rPr>
              <w:instrText xml:space="preserve"> PAGEREF _Toc235344050 \h </w:instrText>
            </w:r>
            <w:r>
              <w:rPr>
                <w:noProof/>
              </w:rPr>
            </w:r>
            <w:r>
              <w:rPr>
                <w:noProof/>
              </w:rPr>
              <w:fldChar w:fldCharType="separate"/>
            </w:r>
            <w:r>
              <w:rPr>
                <w:noProof/>
              </w:rPr>
              <w:t>3</w:t>
            </w:r>
            <w:r>
              <w:rPr>
                <w:noProof/>
              </w:rPr>
              <w:fldChar w:fldCharType="end"/>
            </w:r>
          </w:hyperlink>
        </w:p>
        <w:p w14:paraId="5E5E302C" w14:textId="77777777" w:rsidR="00FA1B56" w:rsidRDefault="00FA1B56">
          <w:pPr>
            <w:pStyle w:val="TOC2"/>
            <w:tabs>
              <w:tab w:val="right" w:leader="dot" w:pos="9016"/>
            </w:tabs>
            <w:rPr>
              <w:noProof/>
            </w:rPr>
          </w:pPr>
          <w:hyperlink w:anchor="_Toc235344051" w:history="1">
            <w:r>
              <w:rPr>
                <w:rStyle w:val="Hyperlink"/>
                <w:noProof/>
              </w:rPr>
              <w:t>1.5 Conclusion</w:t>
            </w:r>
            <w:r>
              <w:rPr>
                <w:noProof/>
              </w:rPr>
              <w:tab/>
            </w:r>
            <w:r>
              <w:rPr>
                <w:noProof/>
              </w:rPr>
              <w:fldChar w:fldCharType="begin"/>
            </w:r>
            <w:r>
              <w:rPr>
                <w:noProof/>
              </w:rPr>
              <w:instrText xml:space="preserve"> PAGEREF _Toc235344051 \h </w:instrText>
            </w:r>
            <w:r>
              <w:rPr>
                <w:noProof/>
              </w:rPr>
            </w:r>
            <w:r>
              <w:rPr>
                <w:noProof/>
              </w:rPr>
              <w:fldChar w:fldCharType="separate"/>
            </w:r>
            <w:r>
              <w:rPr>
                <w:noProof/>
              </w:rPr>
              <w:t>5</w:t>
            </w:r>
            <w:r>
              <w:rPr>
                <w:noProof/>
              </w:rPr>
              <w:fldChar w:fldCharType="end"/>
            </w:r>
          </w:hyperlink>
        </w:p>
        <w:p w14:paraId="5E6AE917" w14:textId="77777777" w:rsidR="00FA1B56" w:rsidRDefault="00FA1B56">
          <w:pPr>
            <w:pStyle w:val="TOC2"/>
            <w:tabs>
              <w:tab w:val="right" w:leader="dot" w:pos="9016"/>
            </w:tabs>
            <w:rPr>
              <w:noProof/>
            </w:rPr>
          </w:pPr>
          <w:hyperlink w:anchor="_Toc235344052" w:history="1">
            <w:r>
              <w:rPr>
                <w:rStyle w:val="Hyperlink"/>
                <w:noProof/>
              </w:rPr>
              <w:t>1.6 Reference List</w:t>
            </w:r>
            <w:r>
              <w:rPr>
                <w:noProof/>
              </w:rPr>
              <w:tab/>
            </w:r>
            <w:r>
              <w:rPr>
                <w:noProof/>
              </w:rPr>
              <w:fldChar w:fldCharType="begin"/>
            </w:r>
            <w:r>
              <w:rPr>
                <w:noProof/>
              </w:rPr>
              <w:instrText xml:space="preserve"> PAGEREF _Toc235344052 \h </w:instrText>
            </w:r>
            <w:r>
              <w:rPr>
                <w:noProof/>
              </w:rPr>
            </w:r>
            <w:r>
              <w:rPr>
                <w:noProof/>
              </w:rPr>
              <w:fldChar w:fldCharType="separate"/>
            </w:r>
            <w:r>
              <w:rPr>
                <w:noProof/>
              </w:rPr>
              <w:t>6</w:t>
            </w:r>
            <w:r>
              <w:rPr>
                <w:noProof/>
              </w:rPr>
              <w:fldChar w:fldCharType="end"/>
            </w:r>
          </w:hyperlink>
        </w:p>
        <w:p w14:paraId="467D00C8" w14:textId="77777777" w:rsidR="00983D8C" w:rsidRDefault="00F123A0">
          <w:r>
            <w:fldChar w:fldCharType="end"/>
          </w:r>
        </w:p>
      </w:sdtContent>
    </w:sdt>
    <w:p w14:paraId="4493C1F0" w14:textId="77777777" w:rsidR="00983D8C" w:rsidRDefault="00F123A0">
      <w:r>
        <w:br w:type="page"/>
      </w:r>
    </w:p>
    <w:p w14:paraId="7383E063" w14:textId="77777777" w:rsidR="00983D8C" w:rsidRDefault="00983D8C">
      <w:pPr>
        <w:sectPr w:rsidR="00983D8C">
          <w:pgSz w:w="11906" w:h="16838"/>
          <w:pgMar w:top="1440" w:right="1440" w:bottom="1440" w:left="1440" w:header="708" w:footer="708" w:gutter="0"/>
          <w:cols w:space="720"/>
          <w:docGrid w:linePitch="360"/>
        </w:sectPr>
      </w:pPr>
    </w:p>
    <w:p w14:paraId="25442BC1" w14:textId="77777777" w:rsidR="00983D8C" w:rsidRDefault="00F123A0">
      <w:pPr>
        <w:pStyle w:val="Heading1"/>
      </w:pPr>
      <w:bookmarkStart w:id="1" w:name="_Toc235344046"/>
      <w:r>
        <w:lastRenderedPageBreak/>
        <w:t>1: Written Report</w:t>
      </w:r>
      <w:bookmarkEnd w:id="1"/>
    </w:p>
    <w:p w14:paraId="434F5345" w14:textId="77777777" w:rsidR="00983D8C" w:rsidRDefault="00F123A0">
      <w:pPr>
        <w:pStyle w:val="Heading2"/>
      </w:pPr>
      <w:bookmarkStart w:id="2" w:name="_Toc235344047"/>
      <w:r>
        <w:t>1.1 Introduction</w:t>
      </w:r>
      <w:bookmarkEnd w:id="2"/>
    </w:p>
    <w:p w14:paraId="553A54D5" w14:textId="2285B331" w:rsidR="00FA1B56" w:rsidRDefault="00FA1B56" w:rsidP="00FA1B56">
      <w:pPr>
        <w:pStyle w:val="Heading2"/>
        <w:ind w:firstLine="720"/>
        <w:rPr>
          <w:b w:val="0"/>
          <w:bCs w:val="0"/>
          <w:color w:val="auto"/>
          <w:sz w:val="22"/>
          <w:szCs w:val="22"/>
        </w:rPr>
      </w:pPr>
      <w:bookmarkStart w:id="3" w:name="_Toc235344048"/>
      <w:r>
        <w:rPr>
          <w:b w:val="0"/>
          <w:bCs w:val="0"/>
          <w:color w:val="auto"/>
          <w:sz w:val="22"/>
          <w:szCs w:val="22"/>
        </w:rPr>
        <w:t xml:space="preserve">A health trainer helps clients to modify unhealthy behaviours and achieve their own wellbeing objectives, </w:t>
      </w:r>
      <w:r w:rsidR="000F43FD">
        <w:rPr>
          <w:b w:val="0"/>
          <w:bCs w:val="0"/>
          <w:color w:val="auto"/>
          <w:sz w:val="22"/>
          <w:szCs w:val="22"/>
        </w:rPr>
        <w:t>this</w:t>
      </w:r>
      <w:r>
        <w:rPr>
          <w:b w:val="0"/>
          <w:bCs w:val="0"/>
          <w:color w:val="auto"/>
          <w:sz w:val="22"/>
          <w:szCs w:val="22"/>
        </w:rPr>
        <w:t xml:space="preserve"> represents a non-clinical, low cost intervention at the centre of preventative, community-based care and illustrates the potential of such non-clinical interventions to produce measurable impacts on public health. This is a vital role as it </w:t>
      </w:r>
      <w:r w:rsidR="00AD3BA9">
        <w:rPr>
          <w:b w:val="0"/>
          <w:bCs w:val="0"/>
          <w:color w:val="auto"/>
          <w:sz w:val="22"/>
          <w:szCs w:val="22"/>
        </w:rPr>
        <w:t>addresses</w:t>
      </w:r>
      <w:r>
        <w:rPr>
          <w:b w:val="0"/>
          <w:bCs w:val="0"/>
          <w:color w:val="auto"/>
          <w:sz w:val="22"/>
          <w:szCs w:val="22"/>
        </w:rPr>
        <w:t xml:space="preserve"> </w:t>
      </w:r>
      <w:r w:rsidR="00AD3BA9">
        <w:rPr>
          <w:b w:val="0"/>
          <w:bCs w:val="0"/>
          <w:color w:val="auto"/>
          <w:sz w:val="22"/>
          <w:szCs w:val="22"/>
        </w:rPr>
        <w:t>lifestyle-related</w:t>
      </w:r>
      <w:r>
        <w:rPr>
          <w:b w:val="0"/>
          <w:bCs w:val="0"/>
          <w:color w:val="auto"/>
          <w:sz w:val="22"/>
          <w:szCs w:val="22"/>
        </w:rPr>
        <w:t xml:space="preserve"> risk factors at a pre-clinical stage, reducing the strain on clinical services. This report will outline the responsibilities of the health trainer, assess three critical skills needed to carry out the role, and outline three strategies for the development of these skills, and conclude with a summary of the contribution of the health trainer to safe, </w:t>
      </w:r>
      <w:r w:rsidR="00720764">
        <w:rPr>
          <w:b w:val="0"/>
          <w:bCs w:val="0"/>
          <w:color w:val="auto"/>
          <w:sz w:val="22"/>
          <w:szCs w:val="22"/>
        </w:rPr>
        <w:t>high-quality</w:t>
      </w:r>
      <w:r>
        <w:rPr>
          <w:b w:val="0"/>
          <w:bCs w:val="0"/>
          <w:color w:val="auto"/>
          <w:sz w:val="22"/>
          <w:szCs w:val="22"/>
        </w:rPr>
        <w:t xml:space="preserve"> care.</w:t>
      </w:r>
    </w:p>
    <w:p w14:paraId="39D55642" w14:textId="77777777" w:rsidR="00983D8C" w:rsidRDefault="00F123A0">
      <w:pPr>
        <w:pStyle w:val="Heading2"/>
      </w:pPr>
      <w:r>
        <w:t>1.2 Description of, and background to, Health Trainer in healthcare</w:t>
      </w:r>
      <w:bookmarkEnd w:id="3"/>
    </w:p>
    <w:p w14:paraId="485AE483" w14:textId="77777777" w:rsidR="00FA1B56" w:rsidRPr="00FA1B56" w:rsidRDefault="00FA1B56" w:rsidP="00FA1B56">
      <w:pPr>
        <w:pStyle w:val="Heading2"/>
        <w:ind w:firstLine="720"/>
        <w:rPr>
          <w:b w:val="0"/>
          <w:bCs w:val="0"/>
          <w:color w:val="auto"/>
          <w:sz w:val="22"/>
          <w:szCs w:val="22"/>
        </w:rPr>
      </w:pPr>
      <w:bookmarkStart w:id="4" w:name="_Toc235344049"/>
      <w:r>
        <w:rPr>
          <w:b w:val="0"/>
          <w:bCs w:val="0"/>
          <w:color w:val="auto"/>
          <w:sz w:val="22"/>
          <w:szCs w:val="22"/>
        </w:rPr>
        <w:t>Health trainers work in both the NHS and local authorities to deliver non-clinical support to their clients who want to make lifestyle changes and enhance their wellbeing (Health Careers, 2025). These support clients to understand their current lifestyle, agree personalised action plans and deliver continuous information and support to reinforce change, with a focus on one-to-one and/or group delivery, and includes clients from disadvantaged and hard to reach communities such as people living in homeless and/or substance misuse situations (Health Careers, 2025).</w:t>
      </w:r>
    </w:p>
    <w:p w14:paraId="61FD5AD1" w14:textId="77777777" w:rsidR="00FA1B56" w:rsidRDefault="00FA1B56" w:rsidP="00FA1B56">
      <w:pPr>
        <w:pStyle w:val="Heading2"/>
        <w:ind w:firstLine="720"/>
        <w:rPr>
          <w:b w:val="0"/>
          <w:bCs w:val="0"/>
          <w:color w:val="auto"/>
          <w:sz w:val="22"/>
          <w:szCs w:val="22"/>
        </w:rPr>
      </w:pPr>
      <w:r>
        <w:rPr>
          <w:b w:val="0"/>
          <w:bCs w:val="0"/>
          <w:color w:val="auto"/>
          <w:sz w:val="22"/>
          <w:szCs w:val="22"/>
        </w:rPr>
        <w:t>Perhaps most crucially, staff should support clients to identify their own goals and solutions, rather than tell them what to do: national initiatives which have embraced a person-centred approach, including Making Every Contact Count (MECC) which considers every routine client-staff interaction a chance for a health conversation (NHS England, 2016). The role of health trainers requires a range of interpersonal and behavioural skills, such as communication, building trust and client motivation towards change and confidentiality, which will be discussed in turn in the following section.</w:t>
      </w:r>
    </w:p>
    <w:p w14:paraId="4F91ECFA" w14:textId="77777777" w:rsidR="00983D8C" w:rsidRDefault="00F123A0" w:rsidP="00FA1B56">
      <w:pPr>
        <w:pStyle w:val="Heading2"/>
      </w:pPr>
      <w:r>
        <w:t>1.3 Evaluation of the skills needed for Health Trainer in healthcare</w:t>
      </w:r>
      <w:bookmarkEnd w:id="4"/>
    </w:p>
    <w:p w14:paraId="2C3CFFA0" w14:textId="77777777" w:rsidR="00FA1B56" w:rsidRPr="00FA1B56" w:rsidRDefault="00FA1B56" w:rsidP="00FA1B56">
      <w:pPr>
        <w:pStyle w:val="Heading2"/>
        <w:ind w:firstLine="720"/>
        <w:rPr>
          <w:b w:val="0"/>
          <w:bCs w:val="0"/>
          <w:color w:val="auto"/>
          <w:sz w:val="22"/>
          <w:szCs w:val="22"/>
        </w:rPr>
      </w:pPr>
      <w:bookmarkStart w:id="5" w:name="_Toc235344050"/>
      <w:r>
        <w:rPr>
          <w:b w:val="0"/>
          <w:bCs w:val="0"/>
          <w:color w:val="auto"/>
          <w:sz w:val="22"/>
          <w:szCs w:val="22"/>
        </w:rPr>
        <w:t>In addition to having a solid understanding of the health trainer's role, there are three skills that are most critical to the health trainer's job: communication, motivational interviewing, and building trust and maintaining confidentiality.</w:t>
      </w:r>
    </w:p>
    <w:p w14:paraId="3B275792" w14:textId="2203C8DA" w:rsidR="00FA1B56" w:rsidRPr="00FA1B56" w:rsidRDefault="00FA1B56" w:rsidP="00FA1B56">
      <w:pPr>
        <w:pStyle w:val="Heading2"/>
        <w:ind w:firstLine="720"/>
        <w:rPr>
          <w:b w:val="0"/>
          <w:bCs w:val="0"/>
          <w:color w:val="auto"/>
          <w:sz w:val="22"/>
          <w:szCs w:val="22"/>
        </w:rPr>
      </w:pPr>
      <w:r>
        <w:rPr>
          <w:b w:val="0"/>
          <w:bCs w:val="0"/>
          <w:color w:val="auto"/>
          <w:sz w:val="22"/>
          <w:szCs w:val="22"/>
        </w:rPr>
        <w:lastRenderedPageBreak/>
        <w:t xml:space="preserve">Communication is therefore </w:t>
      </w:r>
      <w:r w:rsidR="00554309">
        <w:rPr>
          <w:b w:val="0"/>
          <w:bCs w:val="0"/>
          <w:color w:val="auto"/>
          <w:sz w:val="22"/>
          <w:szCs w:val="22"/>
        </w:rPr>
        <w:t>very</w:t>
      </w:r>
      <w:r>
        <w:rPr>
          <w:b w:val="0"/>
          <w:bCs w:val="0"/>
          <w:color w:val="auto"/>
          <w:sz w:val="22"/>
          <w:szCs w:val="22"/>
        </w:rPr>
        <w:t xml:space="preserve"> important because all their work is done in the form of talking and their clients have to understand and act as per their instructions. (Health Careers, 2025). This is supported by some empirical evidence from Keyworth et al. (2024), who surveyed 1008 NHS healthcare professionals and found practitioner confidence in communication was one of the factors that most reliably predicted if a behaviour-change conversation had occurred or not.</w:t>
      </w:r>
    </w:p>
    <w:p w14:paraId="6F574996" w14:textId="77777777" w:rsidR="00FA1B56" w:rsidRPr="00FA1B56" w:rsidRDefault="00FA1B56" w:rsidP="00FA1B56">
      <w:pPr>
        <w:pStyle w:val="Heading2"/>
        <w:ind w:firstLine="720"/>
        <w:rPr>
          <w:b w:val="0"/>
          <w:bCs w:val="0"/>
          <w:color w:val="auto"/>
          <w:sz w:val="22"/>
          <w:szCs w:val="22"/>
        </w:rPr>
      </w:pPr>
      <w:r>
        <w:rPr>
          <w:b w:val="0"/>
          <w:bCs w:val="0"/>
          <w:color w:val="auto"/>
          <w:sz w:val="22"/>
          <w:szCs w:val="22"/>
        </w:rPr>
        <w:t>MI is a person-centred way of communicating, designed to support ambivalent clients in overcoming their own doubt about changing and is generally supported in health and social care policy. Behavioural interventions that included MI had statistically significant positive effects on increasing physical activity and reducing sedentary time, although the certainty of this evidence was rated as low to very low, the effect was shown to wane over time and there was no evidence of effect beyond 1 year of follow-up, in a review of 97 RCTs conducted in 2024 (Zhu et al., 2024). Combined, this indicates that MI is a potential and likely relevant skill for a health trainer, but as yet, one with less evidence base and limited timelines than it may seem to have in training programmes; so it is a tool to have in the toolbox, not a sure-fire way to ensure long-term behaviour change.</w:t>
      </w:r>
    </w:p>
    <w:p w14:paraId="02AEFFA0" w14:textId="7865F007" w:rsidR="00FA1B56" w:rsidRPr="00FA1B56" w:rsidRDefault="00FA1B56" w:rsidP="00FA1B56">
      <w:pPr>
        <w:pStyle w:val="Heading2"/>
        <w:ind w:firstLine="720"/>
        <w:rPr>
          <w:b w:val="0"/>
          <w:bCs w:val="0"/>
          <w:color w:val="auto"/>
          <w:sz w:val="22"/>
          <w:szCs w:val="22"/>
        </w:rPr>
      </w:pPr>
      <w:r>
        <w:rPr>
          <w:b w:val="0"/>
          <w:bCs w:val="0"/>
          <w:color w:val="auto"/>
          <w:sz w:val="22"/>
          <w:szCs w:val="22"/>
        </w:rPr>
        <w:t xml:space="preserve">Lastly, the ability to build trust and offer confidentiality differs from these two skills in that there is more of an ethical and legal obligation for this ability, rather than evidence that it will improve health outcomes. The Data Protection Act 2018 and the UK GDPR also require </w:t>
      </w:r>
      <w:r w:rsidR="002C51E8">
        <w:rPr>
          <w:b w:val="0"/>
          <w:bCs w:val="0"/>
          <w:color w:val="auto"/>
          <w:sz w:val="22"/>
          <w:szCs w:val="22"/>
        </w:rPr>
        <w:t>confidentiality,</w:t>
      </w:r>
      <w:r>
        <w:rPr>
          <w:b w:val="0"/>
          <w:bCs w:val="0"/>
          <w:color w:val="auto"/>
          <w:sz w:val="22"/>
          <w:szCs w:val="22"/>
        </w:rPr>
        <w:t xml:space="preserve"> and it is a professional duty to uphold trust required to work effectively with others (The Access Group, 2025). Failing to deal with a disclosure (e.g. heavy drinking) sensitively and discreetly can not only have a negative effect on the individual relationship, but can also risk that the practitioner contravenes statutory requirements, and face disciplinary and/or legal sanctions.</w:t>
      </w:r>
    </w:p>
    <w:p w14:paraId="0E914178" w14:textId="77777777" w:rsidR="00FA1B56" w:rsidRDefault="00FA1B56" w:rsidP="00FA1B56">
      <w:pPr>
        <w:pStyle w:val="Heading2"/>
        <w:ind w:firstLine="720"/>
        <w:rPr>
          <w:b w:val="0"/>
          <w:bCs w:val="0"/>
          <w:color w:val="auto"/>
          <w:sz w:val="22"/>
          <w:szCs w:val="22"/>
        </w:rPr>
      </w:pPr>
      <w:r>
        <w:rPr>
          <w:b w:val="0"/>
          <w:bCs w:val="0"/>
          <w:color w:val="auto"/>
          <w:sz w:val="22"/>
          <w:szCs w:val="22"/>
        </w:rPr>
        <w:t>In summary, the evidence in support of the three skills is mixed, but communication has some evidence based on a workforce survey, although in unusual circumstances; motivational interviewing has some evidence of impact with a low level of certainty and it is of short duration; and confidentiality has a degree of evidence as a legal/ethical requirement but not necessarily because of its impact on clients.</w:t>
      </w:r>
    </w:p>
    <w:p w14:paraId="75894FBE" w14:textId="77777777" w:rsidR="00983D8C" w:rsidRDefault="00F123A0" w:rsidP="00FA1B56">
      <w:pPr>
        <w:pStyle w:val="Heading2"/>
      </w:pPr>
      <w:r>
        <w:t>1.4 Strategies to improve the skills for Health Trainer</w:t>
      </w:r>
      <w:bookmarkEnd w:id="5"/>
    </w:p>
    <w:p w14:paraId="2FC510E1" w14:textId="5B6E295D" w:rsidR="00FA1B56" w:rsidRPr="00FA1B56" w:rsidRDefault="002C51E8" w:rsidP="00FA1B56">
      <w:pPr>
        <w:pStyle w:val="Heading2"/>
        <w:ind w:firstLine="720"/>
        <w:rPr>
          <w:b w:val="0"/>
          <w:bCs w:val="0"/>
          <w:color w:val="auto"/>
          <w:sz w:val="22"/>
          <w:szCs w:val="22"/>
        </w:rPr>
      </w:pPr>
      <w:bookmarkStart w:id="6" w:name="_Toc235344051"/>
      <w:r>
        <w:rPr>
          <w:b w:val="0"/>
          <w:bCs w:val="0"/>
          <w:color w:val="auto"/>
          <w:sz w:val="22"/>
          <w:szCs w:val="22"/>
        </w:rPr>
        <w:t>Structured communication training</w:t>
      </w:r>
      <w:r w:rsidR="00FA1B56">
        <w:rPr>
          <w:b w:val="0"/>
          <w:bCs w:val="0"/>
          <w:color w:val="auto"/>
          <w:sz w:val="22"/>
          <w:szCs w:val="22"/>
        </w:rPr>
        <w:t xml:space="preserve"> supervised motivational interviewing practice and reflective practice with supervision are proposed as three strategies to enhancing health trainers' skills above.</w:t>
      </w:r>
    </w:p>
    <w:p w14:paraId="36254DF2" w14:textId="77777777" w:rsidR="00FA1B56" w:rsidRPr="00FA1B56" w:rsidRDefault="00FA1B56" w:rsidP="00FA1B56">
      <w:pPr>
        <w:pStyle w:val="Heading2"/>
        <w:ind w:firstLine="720"/>
        <w:rPr>
          <w:b w:val="0"/>
          <w:bCs w:val="0"/>
          <w:color w:val="auto"/>
          <w:sz w:val="22"/>
          <w:szCs w:val="22"/>
        </w:rPr>
      </w:pPr>
      <w:r>
        <w:rPr>
          <w:b w:val="0"/>
          <w:bCs w:val="0"/>
          <w:color w:val="auto"/>
          <w:sz w:val="22"/>
          <w:szCs w:val="22"/>
        </w:rPr>
        <w:lastRenderedPageBreak/>
        <w:t>The first approach is a structured and evidence-based communication training – for example, the structured training modules for communication available across NHS organisations called Making Every Contact Count (MECC). A study of an online MECC training programme showed that staff indicated high levels of the three criteria of confidence, knowledge and perceived capability to engage in a health conversation after training (Chisholm et al., 2020). Structured training (ST) as a strategy seems to be promising for developing the initial confidence level, but for the evidence to support that this confidence correlates with more effective conversation or better client outcomes over time, more research is warranted.</w:t>
      </w:r>
    </w:p>
    <w:p w14:paraId="502C1E52" w14:textId="77777777" w:rsidR="00FA1B56" w:rsidRPr="00FA1B56" w:rsidRDefault="00FA1B56" w:rsidP="00FA1B56">
      <w:pPr>
        <w:pStyle w:val="Heading2"/>
        <w:ind w:firstLine="720"/>
        <w:rPr>
          <w:b w:val="0"/>
          <w:bCs w:val="0"/>
          <w:color w:val="auto"/>
          <w:sz w:val="22"/>
          <w:szCs w:val="22"/>
        </w:rPr>
      </w:pPr>
      <w:r>
        <w:rPr>
          <w:b w:val="0"/>
          <w:bCs w:val="0"/>
          <w:color w:val="auto"/>
          <w:sz w:val="22"/>
          <w:szCs w:val="22"/>
        </w:rPr>
        <w:t>The second approach is formal motivational interviewing training and supervised practice and structured feedback, such as role play with a recorded feedback review. Trying to have a conversation with an ambivalent client about decreasing alcohol use would permit the identification of specific habits, such as "always asking questions" and "not allowing the other person to share" to be targeted and corrected. The biggest drawback of this approach is non-evidential, namely, long-term high-quality supervision demands continued investment of time and expertise within the organisation, which may be challenging to ensure in resource-constrained services; yet, if it is not provided, the 'diminishing effect' problem identified by Zhu et al. (2024) will likely remain irrespective of initial training quality.</w:t>
      </w:r>
    </w:p>
    <w:p w14:paraId="47940EB9" w14:textId="77777777" w:rsidR="00FA1B56" w:rsidRPr="00FA1B56" w:rsidRDefault="00FA1B56" w:rsidP="00FA1B56">
      <w:pPr>
        <w:pStyle w:val="Heading2"/>
        <w:ind w:firstLine="720"/>
        <w:rPr>
          <w:b w:val="0"/>
          <w:bCs w:val="0"/>
          <w:color w:val="auto"/>
          <w:sz w:val="22"/>
          <w:szCs w:val="22"/>
        </w:rPr>
      </w:pPr>
      <w:r>
        <w:rPr>
          <w:b w:val="0"/>
          <w:bCs w:val="0"/>
          <w:color w:val="auto"/>
          <w:sz w:val="22"/>
          <w:szCs w:val="22"/>
        </w:rPr>
        <w:t>The third approach is a combination of regular reflective practice with clinical supervision. Reflection enables practitioners to reflect on the actual interactions occurring and make plans to improve them; a study of health professionals reported that reflection was used in the development of communication skills, confidence and resilience in most disciplines (Fernandez et al., 2025), which is consistent with previous studies that showed a connection between reflective practice and the teaching of communication skills (Karnieli-Miller, 2020).</w:t>
      </w:r>
    </w:p>
    <w:p w14:paraId="72FF19D9" w14:textId="77777777" w:rsidR="00983D8C" w:rsidRDefault="00F123A0" w:rsidP="00FA1B56">
      <w:pPr>
        <w:pStyle w:val="Heading2"/>
      </w:pPr>
      <w:r>
        <w:t>1.5 Conclusion</w:t>
      </w:r>
      <w:bookmarkEnd w:id="6"/>
    </w:p>
    <w:p w14:paraId="3F8F8188" w14:textId="5727FAB7" w:rsidR="00983D8C" w:rsidRDefault="00FA1B56" w:rsidP="00FA1B56">
      <w:pPr>
        <w:spacing w:line="360" w:lineRule="auto"/>
        <w:ind w:firstLine="720"/>
      </w:pPr>
      <w:r>
        <w:t xml:space="preserve">The role of health trainer in general is a valuable and important one within the field of preventative, person centred health and social care as they provide support for clients to gain confidence and knowledge to change unhealthy behaviours. Three skills that have been identified as critical to the role are; communication, motivational interviewing and maintaining trust and confidentiality, which influence directly client engagement with and maintenance of positive change. These skills can be developed further through structured training, supervised practice and reflective practice. The impact of health trainers and the influence of the wider health and social care workforce will continue to be linked to the effectiveness of </w:t>
      </w:r>
      <w:r>
        <w:lastRenderedPageBreak/>
        <w:t>the preventative approaches, which are currently being rolled out across the NHS through Making Every Contact Count.</w:t>
      </w:r>
      <w:r>
        <w:br w:type="page"/>
      </w:r>
    </w:p>
    <w:p w14:paraId="7F69273A" w14:textId="5727FAB7" w:rsidR="00983D8C" w:rsidRDefault="00F123A0">
      <w:pPr>
        <w:pStyle w:val="Heading2"/>
      </w:pPr>
      <w:bookmarkStart w:id="7" w:name="_Toc235344052"/>
      <w:r>
        <w:lastRenderedPageBreak/>
        <w:t>1.6 Reference List</w:t>
      </w:r>
      <w:bookmarkEnd w:id="7"/>
    </w:p>
    <w:p w14:paraId="0012E0B3" w14:textId="77777777" w:rsidR="00983D8C" w:rsidRDefault="00F123A0">
      <w:pPr>
        <w:spacing w:after="200" w:line="360" w:lineRule="auto"/>
      </w:pPr>
      <w:r>
        <w:t xml:space="preserve">Chisholm, A., Byrne-Davis, L., Peters, S., Beenstock, J., Gilman, S. and Hart, J. (2020) 'Online behaviour change technique training to support healthcare staff ‘Make Every Contact Count’', </w:t>
      </w:r>
      <w:r>
        <w:rPr>
          <w:i/>
          <w:iCs/>
        </w:rPr>
        <w:t>BMC Health Services Research</w:t>
      </w:r>
      <w:r>
        <w:t xml:space="preserve">, 20, article 390. Available at: </w:t>
      </w:r>
      <w:hyperlink r:id="rId7" w:history="1">
        <w:r>
          <w:rPr>
            <w:rStyle w:val="Hyperlink"/>
          </w:rPr>
          <w:t>https://bmchealthservres.biomedcentral.com/articles/10.1186/s12913-020-05264-9</w:t>
        </w:r>
      </w:hyperlink>
      <w:r>
        <w:t xml:space="preserve"> </w:t>
      </w:r>
    </w:p>
    <w:p w14:paraId="6F42D378" w14:textId="77777777" w:rsidR="00983D8C" w:rsidRDefault="00F123A0">
      <w:pPr>
        <w:spacing w:after="200" w:line="360" w:lineRule="auto"/>
      </w:pPr>
      <w:r>
        <w:t xml:space="preserve">Fernandez, N., Aloisio Alves, C., Tremblay, F., Belisle, M., Vachon, B., Kathleen, L. and Caty, M.-È. (2025) 'The role of reflection for continuing professional development of in-service health care professionals: a narrative inquiry in four health professions', </w:t>
      </w:r>
      <w:r>
        <w:rPr>
          <w:i/>
          <w:iCs/>
        </w:rPr>
        <w:t>Journal of Continuing Education in the Health Professions</w:t>
      </w:r>
      <w:r>
        <w:t xml:space="preserve">, 45(3), pp. 155–162. Available at: </w:t>
      </w:r>
      <w:hyperlink r:id="rId8" w:history="1">
        <w:r>
          <w:rPr>
            <w:rStyle w:val="Hyperlink"/>
          </w:rPr>
          <w:t>https://pubmed.ncbi.nlm.nih.gov/39819843/</w:t>
        </w:r>
      </w:hyperlink>
      <w:r>
        <w:t xml:space="preserve"> </w:t>
      </w:r>
    </w:p>
    <w:p w14:paraId="71B79562" w14:textId="77777777" w:rsidR="00983D8C" w:rsidRDefault="00F123A0">
      <w:pPr>
        <w:spacing w:after="200" w:line="360" w:lineRule="auto"/>
      </w:pPr>
      <w:r>
        <w:t xml:space="preserve">Health Careers (2025) </w:t>
      </w:r>
      <w:r>
        <w:rPr>
          <w:i/>
          <w:iCs/>
        </w:rPr>
        <w:t>Health trainer</w:t>
      </w:r>
      <w:r>
        <w:t xml:space="preserve">. NHS Health Careers. Available at: </w:t>
      </w:r>
      <w:hyperlink r:id="rId9" w:history="1">
        <w:r>
          <w:rPr>
            <w:rStyle w:val="Hyperlink"/>
          </w:rPr>
          <w:t>https://www.healthcareers.nhs.uk/explore-roles/public-health/roles-public-health/health-trainer</w:t>
        </w:r>
      </w:hyperlink>
      <w:r>
        <w:t xml:space="preserve"> </w:t>
      </w:r>
    </w:p>
    <w:p w14:paraId="2AEAC292" w14:textId="77777777" w:rsidR="00983D8C" w:rsidRDefault="00F123A0">
      <w:pPr>
        <w:spacing w:after="200" w:line="360" w:lineRule="auto"/>
      </w:pPr>
      <w:r>
        <w:t xml:space="preserve">Karnieli-Miller, O. (2020) 'Reflective practice in the teaching of communication skills', </w:t>
      </w:r>
      <w:r>
        <w:rPr>
          <w:i/>
          <w:iCs/>
        </w:rPr>
        <w:t>Patient Education and Counseling</w:t>
      </w:r>
      <w:r>
        <w:t xml:space="preserve">, 103(10), pp. 2166–2172. Available at: </w:t>
      </w:r>
      <w:hyperlink r:id="rId10" w:history="1">
        <w:r>
          <w:rPr>
            <w:rStyle w:val="Hyperlink"/>
          </w:rPr>
          <w:t>https://doi.org/10.1016/j.pec.2020.06.021</w:t>
        </w:r>
      </w:hyperlink>
      <w:r>
        <w:t xml:space="preserve"> </w:t>
      </w:r>
    </w:p>
    <w:p w14:paraId="0B371928" w14:textId="77777777" w:rsidR="00983D8C" w:rsidRDefault="00F123A0">
      <w:pPr>
        <w:spacing w:after="200" w:line="360" w:lineRule="auto"/>
      </w:pPr>
      <w:r>
        <w:t xml:space="preserve">Keyworth, C., Johnson, J., Armitage, C.J., Vogt, K.S., Epton, T. and Conner, M. (2024) 'Examining healthcare professional delivery of health behaviour change interventions during a public health emergency: a multi-professional survey among NHS healthcare professionals', </w:t>
      </w:r>
      <w:r>
        <w:rPr>
          <w:i/>
          <w:iCs/>
        </w:rPr>
        <w:t>Journal of Health Psychology</w:t>
      </w:r>
      <w:r>
        <w:t xml:space="preserve">. Available at: </w:t>
      </w:r>
      <w:hyperlink r:id="rId11" w:history="1">
        <w:r>
          <w:rPr>
            <w:rStyle w:val="Hyperlink"/>
          </w:rPr>
          <w:t>https://pmc.ncbi.nlm.nih.gov/articles/PMC12534881/</w:t>
        </w:r>
      </w:hyperlink>
      <w:r>
        <w:t xml:space="preserve"> </w:t>
      </w:r>
    </w:p>
    <w:p w14:paraId="5BCCDD42" w14:textId="77777777" w:rsidR="00983D8C" w:rsidRDefault="00F123A0">
      <w:pPr>
        <w:spacing w:after="200" w:line="360" w:lineRule="auto"/>
      </w:pPr>
      <w:r>
        <w:t xml:space="preserve">NHS England (2016) </w:t>
      </w:r>
      <w:r>
        <w:rPr>
          <w:i/>
          <w:iCs/>
        </w:rPr>
        <w:t>Making Every Contact Count (MECC): Consensus Statement</w:t>
      </w:r>
      <w:r>
        <w:t xml:space="preserve">. Available at: </w:t>
      </w:r>
      <w:hyperlink r:id="rId12" w:history="1">
        <w:r>
          <w:rPr>
            <w:rStyle w:val="Hyperlink"/>
          </w:rPr>
          <w:t>https://www.england.nhs.uk/wp-content/uploads/2016/04/making-every-contact-count.pdf</w:t>
        </w:r>
      </w:hyperlink>
      <w:r>
        <w:t xml:space="preserve"> </w:t>
      </w:r>
    </w:p>
    <w:p w14:paraId="5D5122FD" w14:textId="77777777" w:rsidR="00983D8C" w:rsidRDefault="00F123A0">
      <w:pPr>
        <w:spacing w:after="200" w:line="360" w:lineRule="auto"/>
      </w:pPr>
      <w:r>
        <w:t xml:space="preserve">The Access Group (2025) </w:t>
      </w:r>
      <w:r>
        <w:rPr>
          <w:i/>
          <w:iCs/>
        </w:rPr>
        <w:t>Confidentiality in Health and Social Care</w:t>
      </w:r>
      <w:r>
        <w:t xml:space="preserve">. Available at: </w:t>
      </w:r>
      <w:hyperlink r:id="rId13" w:history="1">
        <w:r>
          <w:rPr>
            <w:rStyle w:val="Hyperlink"/>
          </w:rPr>
          <w:t>https://www.theaccessgroup.com/en-gb/blog/hsc-confidentiality-in-health-and-social-care/</w:t>
        </w:r>
      </w:hyperlink>
      <w:r>
        <w:t xml:space="preserve"> </w:t>
      </w:r>
    </w:p>
    <w:p w14:paraId="0CB820F9" w14:textId="77777777" w:rsidR="00983D8C" w:rsidRDefault="00F123A0">
      <w:pPr>
        <w:spacing w:after="200" w:line="360" w:lineRule="auto"/>
      </w:pPr>
      <w:r>
        <w:t xml:space="preserve">World Health Organization (2021) </w:t>
      </w:r>
      <w:r>
        <w:rPr>
          <w:i/>
          <w:iCs/>
        </w:rPr>
        <w:t>Communication for Health (C4H)</w:t>
      </w:r>
      <w:r>
        <w:t xml:space="preserve">. WHO Regional Office for the Western Pacific. Available at: </w:t>
      </w:r>
      <w:hyperlink r:id="rId14" w:history="1">
        <w:r>
          <w:rPr>
            <w:rStyle w:val="Hyperlink"/>
          </w:rPr>
          <w:t>https://www.who.int/westernpacific/initiatives/Communication-for-Health-C4H</w:t>
        </w:r>
      </w:hyperlink>
      <w:r>
        <w:t xml:space="preserve"> </w:t>
      </w:r>
    </w:p>
    <w:p w14:paraId="0ED5BADD" w14:textId="77777777" w:rsidR="00983D8C" w:rsidRDefault="00F123A0">
      <w:pPr>
        <w:spacing w:after="200" w:line="360" w:lineRule="auto"/>
      </w:pPr>
      <w:r>
        <w:t xml:space="preserve">Zhu, S., Sinha, D., Kirk, M., Michalopoulou, M., Hajizadeh, A., Wren, G., Doody, P., Mackillop, L., Smith, R., Jebb, S.A. and Astbury, N.M. (2024) 'Effectiveness of behavioural interventions with motivational interviewing on physical activity outcomes in adults: </w:t>
      </w:r>
      <w:r>
        <w:lastRenderedPageBreak/>
        <w:t xml:space="preserve">systematic review and meta-analysis', </w:t>
      </w:r>
      <w:r>
        <w:rPr>
          <w:i/>
          <w:iCs/>
        </w:rPr>
        <w:t>BMJ</w:t>
      </w:r>
      <w:r>
        <w:t xml:space="preserve">, 386, e078713. Available at: </w:t>
      </w:r>
      <w:hyperlink r:id="rId15" w:history="1">
        <w:r>
          <w:rPr>
            <w:rStyle w:val="Hyperlink"/>
          </w:rPr>
          <w:t>https://doi.org/10.1136/bmj-2023-078713</w:t>
        </w:r>
      </w:hyperlink>
      <w:r>
        <w:t xml:space="preserve"> </w:t>
      </w:r>
    </w:p>
    <w:sectPr w:rsidR="00983D8C">
      <w:headerReference w:type="default" r:id="rId16"/>
      <w:footerReference w:type="default" r:id="rId17"/>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4BFD9" w14:textId="77777777" w:rsidR="005A09E9" w:rsidRDefault="005A09E9">
      <w:r>
        <w:separator/>
      </w:r>
    </w:p>
  </w:endnote>
  <w:endnote w:type="continuationSeparator" w:id="0">
    <w:p w14:paraId="5C28E6DF" w14:textId="77777777" w:rsidR="005A09E9" w:rsidRDefault="005A0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AE3D7" w14:textId="77777777" w:rsidR="00983D8C" w:rsidRDefault="00F123A0">
    <w:pPr>
      <w:jc w:val="center"/>
    </w:pPr>
    <w:r>
      <w:rPr>
        <w:sz w:val="20"/>
        <w:szCs w:val="20"/>
      </w:rPr>
      <w:fldChar w:fldCharType="begin"/>
    </w:r>
    <w:r>
      <w:rPr>
        <w:sz w:val="20"/>
        <w:szCs w:val="20"/>
      </w:rPr>
      <w:instrText>PAGE</w:instrText>
    </w:r>
    <w:r>
      <w:rPr>
        <w:sz w:val="20"/>
        <w:szCs w:val="20"/>
      </w:rPr>
      <w:fldChar w:fldCharType="separate"/>
    </w:r>
    <w:r w:rsidR="002D69CA">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CFDE2" w14:textId="77777777" w:rsidR="005A09E9" w:rsidRDefault="005A09E9">
      <w:r>
        <w:separator/>
      </w:r>
    </w:p>
  </w:footnote>
  <w:footnote w:type="continuationSeparator" w:id="0">
    <w:p w14:paraId="166F9602" w14:textId="77777777" w:rsidR="005A09E9" w:rsidRDefault="005A0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DA116" w14:textId="77777777" w:rsidR="00983D8C" w:rsidRDefault="00983D8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CB2839"/>
    <w:multiLevelType w:val="hybridMultilevel"/>
    <w:tmpl w:val="87343786"/>
    <w:lvl w:ilvl="0" w:tplc="5868E63E">
      <w:start w:val="1"/>
      <w:numFmt w:val="bullet"/>
      <w:lvlText w:val="●"/>
      <w:lvlJc w:val="left"/>
      <w:pPr>
        <w:ind w:left="720" w:hanging="360"/>
      </w:pPr>
    </w:lvl>
    <w:lvl w:ilvl="1" w:tplc="6A12AE04">
      <w:start w:val="1"/>
      <w:numFmt w:val="bullet"/>
      <w:lvlText w:val="○"/>
      <w:lvlJc w:val="left"/>
      <w:pPr>
        <w:ind w:left="1440" w:hanging="360"/>
      </w:pPr>
    </w:lvl>
    <w:lvl w:ilvl="2" w:tplc="61624DEE">
      <w:start w:val="1"/>
      <w:numFmt w:val="bullet"/>
      <w:lvlText w:val="■"/>
      <w:lvlJc w:val="left"/>
      <w:pPr>
        <w:ind w:left="2160" w:hanging="360"/>
      </w:pPr>
    </w:lvl>
    <w:lvl w:ilvl="3" w:tplc="1FDEFEE4">
      <w:start w:val="1"/>
      <w:numFmt w:val="bullet"/>
      <w:lvlText w:val="●"/>
      <w:lvlJc w:val="left"/>
      <w:pPr>
        <w:ind w:left="2880" w:hanging="360"/>
      </w:pPr>
    </w:lvl>
    <w:lvl w:ilvl="4" w:tplc="09F09B74">
      <w:start w:val="1"/>
      <w:numFmt w:val="bullet"/>
      <w:lvlText w:val="○"/>
      <w:lvlJc w:val="left"/>
      <w:pPr>
        <w:ind w:left="3600" w:hanging="360"/>
      </w:pPr>
    </w:lvl>
    <w:lvl w:ilvl="5" w:tplc="48F4469C">
      <w:start w:val="1"/>
      <w:numFmt w:val="bullet"/>
      <w:lvlText w:val="■"/>
      <w:lvlJc w:val="left"/>
      <w:pPr>
        <w:ind w:left="4320" w:hanging="360"/>
      </w:pPr>
    </w:lvl>
    <w:lvl w:ilvl="6" w:tplc="63BA5620">
      <w:start w:val="1"/>
      <w:numFmt w:val="bullet"/>
      <w:lvlText w:val="●"/>
      <w:lvlJc w:val="left"/>
      <w:pPr>
        <w:ind w:left="5040" w:hanging="360"/>
      </w:pPr>
    </w:lvl>
    <w:lvl w:ilvl="7" w:tplc="6CDCCCF2">
      <w:start w:val="1"/>
      <w:numFmt w:val="bullet"/>
      <w:lvlText w:val="●"/>
      <w:lvlJc w:val="left"/>
      <w:pPr>
        <w:ind w:left="5760" w:hanging="360"/>
      </w:pPr>
    </w:lvl>
    <w:lvl w:ilvl="8" w:tplc="044C4D54">
      <w:start w:val="1"/>
      <w:numFmt w:val="bullet"/>
      <w:lvlText w:val="●"/>
      <w:lvlJc w:val="left"/>
      <w:pPr>
        <w:ind w:left="6480" w:hanging="360"/>
      </w:pPr>
    </w:lvl>
  </w:abstractNum>
  <w:num w:numId="1" w16cid:durableId="52987456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D8C"/>
    <w:rsid w:val="000F43FD"/>
    <w:rsid w:val="00191D7B"/>
    <w:rsid w:val="002220A3"/>
    <w:rsid w:val="002B1662"/>
    <w:rsid w:val="002C51E8"/>
    <w:rsid w:val="002D69CA"/>
    <w:rsid w:val="00393252"/>
    <w:rsid w:val="00554309"/>
    <w:rsid w:val="005A09E9"/>
    <w:rsid w:val="005F785C"/>
    <w:rsid w:val="006942B9"/>
    <w:rsid w:val="00720764"/>
    <w:rsid w:val="007E4B4F"/>
    <w:rsid w:val="00983D8C"/>
    <w:rsid w:val="009E67A2"/>
    <w:rsid w:val="00AD3BA9"/>
    <w:rsid w:val="00AF07C6"/>
    <w:rsid w:val="00C0444B"/>
    <w:rsid w:val="00EC0DEE"/>
    <w:rsid w:val="00F123A0"/>
    <w:rsid w:val="00FA1B56"/>
    <w:rsid w:val="00FD5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C16E"/>
  <w15:docId w15:val="{BF54FE5C-2971-4648-B003-B1E97B407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300" w:after="200" w:line="360" w:lineRule="auto"/>
      <w:outlineLvl w:val="0"/>
    </w:pPr>
    <w:rPr>
      <w:b/>
      <w:bCs/>
      <w:color w:val="1F3864"/>
      <w:sz w:val="28"/>
      <w:szCs w:val="28"/>
    </w:rPr>
  </w:style>
  <w:style w:type="paragraph" w:styleId="Heading2">
    <w:name w:val="heading 2"/>
    <w:qFormat/>
    <w:pPr>
      <w:spacing w:before="280" w:after="160" w:line="360" w:lineRule="auto"/>
      <w:outlineLvl w:val="1"/>
    </w:pPr>
    <w:rPr>
      <w:b/>
      <w:bCs/>
      <w:color w:val="2E5395"/>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FA1B56"/>
    <w:pPr>
      <w:spacing w:after="100"/>
    </w:pPr>
  </w:style>
  <w:style w:type="paragraph" w:styleId="TOC2">
    <w:name w:val="toc 2"/>
    <w:basedOn w:val="Normal"/>
    <w:next w:val="Normal"/>
    <w:autoRedefine/>
    <w:uiPriority w:val="39"/>
    <w:unhideWhenUsed/>
    <w:rsid w:val="00FA1B5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ubmed.ncbi.nlm.nih.gov/39819843/" TargetMode="External"/><Relationship Id="rId13" Type="http://schemas.openxmlformats.org/officeDocument/2006/relationships/hyperlink" Target="https://www.theaccessgroup.com/en-gb/blog/hsc-confidentiality-in-health-and-social-ca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mchealthservres.biomedcentral.com/articles/10.1186/s12913-020-05264-9" TargetMode="External"/><Relationship Id="rId12" Type="http://schemas.openxmlformats.org/officeDocument/2006/relationships/hyperlink" Target="https://www.england.nhs.uk/wp-content/uploads/2016/04/making-every-contact-count.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12534881/" TargetMode="External"/><Relationship Id="rId5" Type="http://schemas.openxmlformats.org/officeDocument/2006/relationships/footnotes" Target="footnotes.xml"/><Relationship Id="rId15" Type="http://schemas.openxmlformats.org/officeDocument/2006/relationships/hyperlink" Target="https://doi.org/10.1136/bmj-2023-078713" TargetMode="External"/><Relationship Id="rId10" Type="http://schemas.openxmlformats.org/officeDocument/2006/relationships/hyperlink" Target="https://doi.org/10.1016/j.pec.2020.06.0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ealthcareers.nhs.uk/explore-roles/public-health/roles-public-health/health-trainer" TargetMode="External"/><Relationship Id="rId14" Type="http://schemas.openxmlformats.org/officeDocument/2006/relationships/hyperlink" Target="https://www.who.int/westernpacific/initiatives/Communication-for-Health-C4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1811</Words>
  <Characters>10326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Hashir Suleman</cp:lastModifiedBy>
  <cp:revision>13</cp:revision>
  <dcterms:created xsi:type="dcterms:W3CDTF">2026-07-23T19:15:00Z</dcterms:created>
  <dcterms:modified xsi:type="dcterms:W3CDTF">2026-07-26T10:50:00Z</dcterms:modified>
</cp:coreProperties>
</file>