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546253A" w:rsidP="2EA5F603" w:rsidRDefault="3546253A" w14:paraId="08035CAA" w14:textId="31445579">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es-ES"/>
        </w:rPr>
      </w:pPr>
      <w:r w:rsidR="3546253A">
        <w:drawing>
          <wp:inline wp14:editId="4A2945B9" wp14:anchorId="2F47C080">
            <wp:extent cx="2971800" cy="1181100"/>
            <wp:effectExtent l="0" t="0" r="0" b="0"/>
            <wp:docPr id="10795123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9512301" name=""/>
                    <pic:cNvPicPr/>
                  </pic:nvPicPr>
                  <pic:blipFill>
                    <a:blip xmlns:r="http://schemas.openxmlformats.org/officeDocument/2006/relationships" r:embed="rId259809955">
                      <a:extLst>
                        <a:ext xmlns:a="http://schemas.openxmlformats.org/drawingml/2006/main" uri="{28A0092B-C50C-407E-A947-70E740481C1C}">
                          <a14:useLocalDpi xmlns:a14="http://schemas.microsoft.com/office/drawing/2010/main" val="0"/>
                        </a:ext>
                      </a:extLst>
                    </a:blip>
                    <a:stretch>
                      <a:fillRect/>
                    </a:stretch>
                  </pic:blipFill>
                  <pic:spPr>
                    <a:xfrm>
                      <a:off x="0" y="0"/>
                      <a:ext cx="2971800" cy="1181100"/>
                    </a:xfrm>
                    <a:prstGeom prst="rect">
                      <a:avLst/>
                    </a:prstGeom>
                  </pic:spPr>
                </pic:pic>
              </a:graphicData>
            </a:graphic>
          </wp:inline>
        </w:drawing>
      </w:r>
    </w:p>
    <w:p w:rsidR="2EA5F603" w:rsidP="2EA5F603" w:rsidRDefault="2EA5F603" w14:paraId="520E5782" w14:textId="09D62724">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p>
    <w:p w:rsidR="3546253A" w:rsidP="2EA5F603" w:rsidRDefault="3546253A" w14:paraId="5F275826" w14:textId="0377AF3A">
      <w:pPr>
        <w:spacing w:before="212"/>
        <w:rPr>
          <w:rFonts w:ascii="Arial" w:hAnsi="Arial" w:eastAsia="Arial" w:cs="Arial"/>
          <w:b w:val="1"/>
          <w:bCs w:val="1"/>
          <w:i w:val="0"/>
          <w:iCs w:val="0"/>
          <w:caps w:val="0"/>
          <w:smallCaps w:val="0"/>
          <w:noProof w:val="0"/>
          <w:color w:val="000000" w:themeColor="text1" w:themeTint="FF" w:themeShade="FF"/>
          <w:sz w:val="48"/>
          <w:szCs w:val="48"/>
          <w:lang w:val="en-GB"/>
        </w:rPr>
      </w:pP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 xml:space="preserve">Module Name: </w:t>
      </w:r>
      <w:r w:rsidRPr="2EA5F603" w:rsidR="39A7445E">
        <w:rPr>
          <w:rFonts w:ascii="Arial" w:hAnsi="Arial" w:eastAsia="Arial" w:cs="Arial"/>
          <w:b w:val="1"/>
          <w:bCs w:val="1"/>
          <w:i w:val="0"/>
          <w:iCs w:val="0"/>
          <w:caps w:val="0"/>
          <w:smallCaps w:val="0"/>
          <w:noProof w:val="0"/>
          <w:color w:val="000000" w:themeColor="text1" w:themeTint="FF" w:themeShade="FF"/>
          <w:sz w:val="48"/>
          <w:szCs w:val="48"/>
          <w:lang w:val="en-GB"/>
        </w:rPr>
        <w:t>Problem Solving and Innovation</w:t>
      </w:r>
    </w:p>
    <w:p w:rsidR="3546253A" w:rsidP="2EA5F603" w:rsidRDefault="3546253A" w14:paraId="387F94A6" w14:textId="19E594A1">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2EA5F603" w:rsidR="3546253A">
        <w:rPr>
          <w:rFonts w:ascii="Arial" w:hAnsi="Arial" w:eastAsia="Arial" w:cs="Arial"/>
          <w:b w:val="0"/>
          <w:bCs w:val="0"/>
          <w:i w:val="0"/>
          <w:iCs w:val="0"/>
          <w:caps w:val="0"/>
          <w:smallCaps w:val="0"/>
          <w:noProof w:val="0"/>
          <w:color w:val="000000" w:themeColor="text1" w:themeTint="FF" w:themeShade="FF"/>
          <w:sz w:val="48"/>
          <w:szCs w:val="48"/>
          <w:lang w:val="en-GB"/>
        </w:rPr>
        <w:t>BMSW401</w:t>
      </w:r>
      <w:r w:rsidRPr="2EA5F603" w:rsidR="2A18B8D3">
        <w:rPr>
          <w:rFonts w:ascii="Arial" w:hAnsi="Arial" w:eastAsia="Arial" w:cs="Arial"/>
          <w:b w:val="0"/>
          <w:bCs w:val="0"/>
          <w:i w:val="0"/>
          <w:iCs w:val="0"/>
          <w:caps w:val="0"/>
          <w:smallCaps w:val="0"/>
          <w:noProof w:val="0"/>
          <w:color w:val="000000" w:themeColor="text1" w:themeTint="FF" w:themeShade="FF"/>
          <w:sz w:val="48"/>
          <w:szCs w:val="48"/>
          <w:lang w:val="en-GB"/>
        </w:rPr>
        <w:t>4</w:t>
      </w:r>
    </w:p>
    <w:p w:rsidR="3546253A" w:rsidP="2EA5F603" w:rsidRDefault="3546253A" w14:paraId="26075671" w14:textId="115F72E1">
      <w:pPr>
        <w:pStyle w:val="Normal"/>
        <w:spacing w:before="212"/>
        <w:rPr>
          <w:rFonts w:ascii="Arial" w:hAnsi="Arial" w:eastAsia="Arial" w:cs="Arial"/>
          <w:b w:val="1"/>
          <w:bCs w:val="1"/>
          <w:noProof w:val="0"/>
          <w:sz w:val="48"/>
          <w:szCs w:val="48"/>
          <w:lang w:val="en-GB"/>
        </w:rPr>
      </w:pP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 xml:space="preserve">Assignment Name: </w:t>
      </w:r>
      <w:r w:rsidRPr="2EA5F603" w:rsidR="1358B7EA">
        <w:rPr>
          <w:rFonts w:ascii="Arial" w:hAnsi="Arial" w:eastAsia="Arial" w:cs="Arial"/>
          <w:b w:val="1"/>
          <w:bCs w:val="1"/>
          <w:noProof w:val="0"/>
          <w:sz w:val="48"/>
          <w:szCs w:val="48"/>
          <w:lang w:val="en-GB"/>
        </w:rPr>
        <w:t>Greenwashing in the Automobile Industry</w:t>
      </w:r>
    </w:p>
    <w:p w:rsidR="3546253A" w:rsidP="2EA5F603" w:rsidRDefault="3546253A" w14:paraId="7071C338" w14:textId="20035511">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Student Name: Luis Jonatan Osegueda Aguirre</w:t>
      </w:r>
    </w:p>
    <w:p w:rsidR="3546253A" w:rsidP="2EA5F603" w:rsidRDefault="3546253A" w14:paraId="35B56FB2" w14:textId="23C42285">
      <w:pPr>
        <w:spacing w:before="3"/>
        <w:rPr>
          <w:rFonts w:ascii="Arial" w:hAnsi="Arial" w:eastAsia="Arial" w:cs="Arial"/>
          <w:b w:val="0"/>
          <w:bCs w:val="0"/>
          <w:i w:val="0"/>
          <w:iCs w:val="0"/>
          <w:caps w:val="0"/>
          <w:smallCaps w:val="0"/>
          <w:noProof w:val="0"/>
          <w:color w:val="000000" w:themeColor="text1" w:themeTint="FF" w:themeShade="FF"/>
          <w:sz w:val="48"/>
          <w:szCs w:val="48"/>
          <w:lang w:val="es-ES"/>
        </w:rPr>
      </w:pP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Student Number: 2433090</w:t>
      </w:r>
    </w:p>
    <w:p w:rsidR="3546253A" w:rsidP="2EA5F603" w:rsidRDefault="3546253A" w14:paraId="6CCB35BC" w14:textId="2A26A912">
      <w:pPr>
        <w:pStyle w:val="Normal"/>
        <w:rPr>
          <w:rFonts w:ascii="Arial" w:hAnsi="Arial" w:eastAsia="Arial" w:cs="Arial"/>
          <w:b w:val="0"/>
          <w:bCs w:val="0"/>
          <w:i w:val="0"/>
          <w:iCs w:val="0"/>
          <w:caps w:val="0"/>
          <w:smallCaps w:val="0"/>
          <w:noProof w:val="0"/>
          <w:color w:val="000000" w:themeColor="text1" w:themeTint="FF" w:themeShade="FF"/>
          <w:sz w:val="48"/>
          <w:szCs w:val="48"/>
          <w:lang w:val="en-GB"/>
        </w:rPr>
      </w:pP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 xml:space="preserve">Lecturer: </w:t>
      </w:r>
      <w:r w:rsidRPr="2EA5F603" w:rsidR="0C9C51B8">
        <w:rPr>
          <w:rFonts w:ascii="Arial" w:hAnsi="Arial" w:eastAsia="Arial" w:cs="Arial"/>
          <w:b w:val="1"/>
          <w:bCs w:val="1"/>
          <w:i w:val="0"/>
          <w:iCs w:val="0"/>
          <w:caps w:val="0"/>
          <w:smallCaps w:val="0"/>
          <w:noProof w:val="0"/>
          <w:color w:val="000000" w:themeColor="text1" w:themeTint="FF" w:themeShade="FF"/>
          <w:sz w:val="48"/>
          <w:szCs w:val="48"/>
          <w:lang w:val="en-GB"/>
        </w:rPr>
        <w:t>Arpu</w:t>
      </w:r>
      <w:r w:rsidRPr="2EA5F603" w:rsidR="0C9C51B8">
        <w:rPr>
          <w:rFonts w:ascii="Arial" w:hAnsi="Arial" w:eastAsia="Arial" w:cs="Arial"/>
          <w:b w:val="1"/>
          <w:bCs w:val="1"/>
          <w:i w:val="0"/>
          <w:iCs w:val="0"/>
          <w:caps w:val="0"/>
          <w:smallCaps w:val="0"/>
          <w:noProof w:val="0"/>
          <w:color w:val="000000" w:themeColor="text1" w:themeTint="FF" w:themeShade="FF"/>
          <w:sz w:val="48"/>
          <w:szCs w:val="48"/>
          <w:lang w:val="en-GB"/>
        </w:rPr>
        <w:t xml:space="preserve"> Kumar, </w:t>
      </w:r>
      <w:r w:rsidRPr="2EA5F603" w:rsidR="0C9C51B8">
        <w:rPr>
          <w:rFonts w:ascii="Arial" w:hAnsi="Arial" w:eastAsia="Arial" w:cs="Arial"/>
          <w:b w:val="1"/>
          <w:bCs w:val="1"/>
          <w:noProof w:val="0"/>
          <w:sz w:val="48"/>
          <w:szCs w:val="48"/>
          <w:lang w:val="en-GB"/>
        </w:rPr>
        <w:t>Jaliya de Silva</w:t>
      </w:r>
      <w:r>
        <w:br/>
      </w: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 xml:space="preserve">Deadline: </w:t>
      </w:r>
      <w:r w:rsidRPr="2EA5F603" w:rsidR="6762C500">
        <w:rPr>
          <w:rFonts w:ascii="Arial" w:hAnsi="Arial" w:eastAsia="Arial" w:cs="Arial"/>
          <w:b w:val="1"/>
          <w:bCs w:val="1"/>
          <w:i w:val="0"/>
          <w:iCs w:val="0"/>
          <w:caps w:val="0"/>
          <w:smallCaps w:val="0"/>
          <w:noProof w:val="0"/>
          <w:color w:val="000000" w:themeColor="text1" w:themeTint="FF" w:themeShade="FF"/>
          <w:sz w:val="48"/>
          <w:szCs w:val="48"/>
          <w:lang w:val="en-GB"/>
        </w:rPr>
        <w:t>Friday</w:t>
      </w:r>
      <w:r w:rsidRPr="2EA5F603" w:rsidR="3546253A">
        <w:rPr>
          <w:rFonts w:ascii="Arial" w:hAnsi="Arial" w:eastAsia="Arial" w:cs="Arial"/>
          <w:b w:val="1"/>
          <w:bCs w:val="1"/>
          <w:i w:val="0"/>
          <w:iCs w:val="0"/>
          <w:caps w:val="0"/>
          <w:smallCaps w:val="0"/>
          <w:noProof w:val="0"/>
          <w:color w:val="000000" w:themeColor="text1" w:themeTint="FF" w:themeShade="FF"/>
          <w:sz w:val="48"/>
          <w:szCs w:val="48"/>
          <w:lang w:val="en-GB"/>
        </w:rPr>
        <w:t xml:space="preserve"> </w:t>
      </w:r>
      <w:r w:rsidRPr="2EA5F603" w:rsidR="22C97557">
        <w:rPr>
          <w:rFonts w:ascii="Arial" w:hAnsi="Arial" w:eastAsia="Arial" w:cs="Arial"/>
          <w:b w:val="1"/>
          <w:bCs w:val="1"/>
          <w:i w:val="0"/>
          <w:iCs w:val="0"/>
          <w:caps w:val="0"/>
          <w:smallCaps w:val="0"/>
          <w:noProof w:val="0"/>
          <w:color w:val="000000" w:themeColor="text1" w:themeTint="FF" w:themeShade="FF"/>
          <w:sz w:val="48"/>
          <w:szCs w:val="48"/>
          <w:lang w:val="en-GB"/>
        </w:rPr>
        <w:t>14</w:t>
      </w:r>
      <w:r w:rsidRPr="2EA5F603" w:rsidR="3546253A">
        <w:rPr>
          <w:rFonts w:ascii="Arial" w:hAnsi="Arial" w:eastAsia="Arial" w:cs="Arial"/>
          <w:b w:val="0"/>
          <w:bCs w:val="0"/>
          <w:i w:val="0"/>
          <w:iCs w:val="0"/>
          <w:caps w:val="0"/>
          <w:smallCaps w:val="0"/>
          <w:noProof w:val="0"/>
          <w:color w:val="000000" w:themeColor="text1" w:themeTint="FF" w:themeShade="FF"/>
          <w:sz w:val="48"/>
          <w:szCs w:val="48"/>
          <w:vertAlign w:val="superscript"/>
          <w:lang w:val="en-GB"/>
        </w:rPr>
        <w:t>th</w:t>
      </w:r>
      <w:r w:rsidRPr="2EA5F603" w:rsidR="3546253A">
        <w:rPr>
          <w:rFonts w:ascii="Arial" w:hAnsi="Arial" w:eastAsia="Arial" w:cs="Arial"/>
          <w:b w:val="0"/>
          <w:bCs w:val="0"/>
          <w:i w:val="0"/>
          <w:iCs w:val="0"/>
          <w:caps w:val="0"/>
          <w:smallCaps w:val="0"/>
          <w:noProof w:val="0"/>
          <w:color w:val="000000" w:themeColor="text1" w:themeTint="FF" w:themeShade="FF"/>
          <w:sz w:val="48"/>
          <w:szCs w:val="48"/>
          <w:lang w:val="en-GB"/>
        </w:rPr>
        <w:t xml:space="preserve"> </w:t>
      </w:r>
      <w:r w:rsidRPr="2EA5F603" w:rsidR="1176EA01">
        <w:rPr>
          <w:rFonts w:ascii="Arial" w:hAnsi="Arial" w:eastAsia="Arial" w:cs="Arial"/>
          <w:b w:val="0"/>
          <w:bCs w:val="0"/>
          <w:i w:val="0"/>
          <w:iCs w:val="0"/>
          <w:caps w:val="0"/>
          <w:smallCaps w:val="0"/>
          <w:noProof w:val="0"/>
          <w:color w:val="000000" w:themeColor="text1" w:themeTint="FF" w:themeShade="FF"/>
          <w:sz w:val="48"/>
          <w:szCs w:val="48"/>
          <w:lang w:val="en-GB"/>
        </w:rPr>
        <w:t>November</w:t>
      </w:r>
      <w:r w:rsidRPr="2EA5F603" w:rsidR="3546253A">
        <w:rPr>
          <w:rFonts w:ascii="Arial" w:hAnsi="Arial" w:eastAsia="Arial" w:cs="Arial"/>
          <w:b w:val="0"/>
          <w:bCs w:val="0"/>
          <w:i w:val="0"/>
          <w:iCs w:val="0"/>
          <w:caps w:val="0"/>
          <w:smallCaps w:val="0"/>
          <w:noProof w:val="0"/>
          <w:color w:val="000000" w:themeColor="text1" w:themeTint="FF" w:themeShade="FF"/>
          <w:sz w:val="48"/>
          <w:szCs w:val="48"/>
          <w:lang w:val="en-GB"/>
        </w:rPr>
        <w:t xml:space="preserve"> 23.59</w:t>
      </w:r>
    </w:p>
    <w:p w:rsidR="2EA5F603" w:rsidRDefault="2EA5F603" w14:paraId="0A9D4131" w14:textId="42F54428"/>
    <w:p w:rsidR="2EA5F603" w:rsidRDefault="2EA5F603" w14:paraId="684727D2" w14:textId="03F4BC6F"/>
    <w:p w:rsidR="2EA5F603" w:rsidRDefault="2EA5F603" w14:paraId="6749EB17" w14:textId="6895684D"/>
    <w:p w:rsidR="2EA5F603" w:rsidP="2EA5F603" w:rsidRDefault="2EA5F603" w14:paraId="51F51B3C" w14:textId="452C2445">
      <w:pPr>
        <w:pStyle w:val="Normal"/>
      </w:pPr>
    </w:p>
    <w:p w:rsidR="4C3394C0" w:rsidP="2EA5F603" w:rsidRDefault="4C3394C0" w14:paraId="77DAEC4B" w14:textId="2EAEA2A9">
      <w:pPr>
        <w:pageBreakBefore w:val="1"/>
      </w:pPr>
      <w:r w:rsidR="4C3394C0">
        <w:rPr/>
        <w:t>Greenwashing</w:t>
      </w:r>
      <w:r w:rsidR="4C3394C0">
        <w:rPr/>
        <w:t xml:space="preserve"> in </w:t>
      </w:r>
      <w:r w:rsidR="4C3394C0">
        <w:rPr/>
        <w:t>the</w:t>
      </w:r>
      <w:r w:rsidR="4C3394C0">
        <w:rPr/>
        <w:t xml:space="preserve"> automotive </w:t>
      </w:r>
      <w:r w:rsidR="4C3394C0">
        <w:rPr/>
        <w:t>industry</w:t>
      </w:r>
      <w:r w:rsidR="6F0A0F06">
        <w:rPr/>
        <w:t>.</w:t>
      </w:r>
    </w:p>
    <w:p w:rsidR="4C3394C0" w:rsidP="2EA5F603" w:rsidRDefault="4C3394C0" w14:paraId="39BD666A" w14:textId="351CEA0C">
      <w:pPr>
        <w:pStyle w:val="Normal"/>
      </w:pPr>
      <w:r w:rsidRPr="2EA5F603" w:rsidR="4C3394C0">
        <w:rPr>
          <w:lang w:val="en-US"/>
        </w:rPr>
        <w:t xml:space="preserve">Growing concern about climate change and air quality has put this industry in the spotlight. Manufacturers advertise “green” solutions, proclaim investments in electric </w:t>
      </w:r>
      <w:r w:rsidRPr="2EA5F603" w:rsidR="4C3394C0">
        <w:rPr>
          <w:lang w:val="en-US"/>
        </w:rPr>
        <w:t>mobility</w:t>
      </w:r>
      <w:r w:rsidRPr="2EA5F603" w:rsidR="4C3394C0">
        <w:rPr>
          <w:lang w:val="en-US"/>
        </w:rPr>
        <w:t xml:space="preserve"> and celebrate emissions reductions; however, scandals such as the well-known </w:t>
      </w:r>
      <w:r w:rsidRPr="2EA5F603" w:rsidR="4C3394C0">
        <w:rPr>
          <w:lang w:val="en-US"/>
        </w:rPr>
        <w:t>Dieselgate</w:t>
      </w:r>
      <w:r w:rsidRPr="2EA5F603" w:rsidR="4C3394C0">
        <w:rPr>
          <w:lang w:val="en-US"/>
        </w:rPr>
        <w:t xml:space="preserve"> have highlighted the difference that sometimes exists between public discourse and actual practice. Drawing on the debates and studies of </w:t>
      </w:r>
      <w:r w:rsidRPr="2EA5F603" w:rsidR="1C43B473">
        <w:rPr>
          <w:lang w:val="en-US"/>
        </w:rPr>
        <w:t>(</w:t>
      </w:r>
      <w:r w:rsidRPr="2EA5F603" w:rsidR="4C3394C0">
        <w:rPr>
          <w:lang w:val="en-US"/>
        </w:rPr>
        <w:t>Kell</w:t>
      </w:r>
      <w:r w:rsidRPr="2EA5F603" w:rsidR="6819CC97">
        <w:rPr>
          <w:lang w:val="en-US"/>
        </w:rPr>
        <w:t>,</w:t>
      </w:r>
      <w:r w:rsidRPr="2EA5F603" w:rsidR="4C3394C0">
        <w:rPr>
          <w:lang w:val="en-US"/>
        </w:rPr>
        <w:t xml:space="preserve"> 2022),</w:t>
      </w:r>
      <w:r w:rsidRPr="2EA5F603" w:rsidR="2EEA1F43">
        <w:rPr>
          <w:lang w:val="en-US"/>
        </w:rPr>
        <w:t xml:space="preserve"> (</w:t>
      </w:r>
      <w:r w:rsidRPr="2EA5F603" w:rsidR="4C3394C0">
        <w:rPr>
          <w:lang w:val="en-US"/>
        </w:rPr>
        <w:t xml:space="preserve"> </w:t>
      </w:r>
      <w:r w:rsidRPr="2EA5F603" w:rsidR="4C3394C0">
        <w:rPr>
          <w:lang w:val="en-US"/>
        </w:rPr>
        <w:t>Boiral</w:t>
      </w:r>
      <w:r w:rsidRPr="2EA5F603" w:rsidR="4C3394C0">
        <w:rPr>
          <w:lang w:val="en-US"/>
        </w:rPr>
        <w:t xml:space="preserve"> et al. 2022), </w:t>
      </w:r>
      <w:r w:rsidRPr="2EA5F603" w:rsidR="64AEE340">
        <w:rPr>
          <w:lang w:val="en-US"/>
        </w:rPr>
        <w:t>(</w:t>
      </w:r>
      <w:r w:rsidRPr="2EA5F603" w:rsidR="4C3394C0">
        <w:rPr>
          <w:lang w:val="en-US"/>
        </w:rPr>
        <w:t xml:space="preserve">Syal 2025) and </w:t>
      </w:r>
      <w:r w:rsidRPr="2EA5F603" w:rsidR="78C32A02">
        <w:rPr>
          <w:lang w:val="en-US"/>
        </w:rPr>
        <w:t>(</w:t>
      </w:r>
      <w:r w:rsidRPr="2EA5F603" w:rsidR="4C3394C0">
        <w:rPr>
          <w:lang w:val="en-US"/>
        </w:rPr>
        <w:t>Koch and Denner 2025), this reflective essay applies root cause analysis (RCA) to understand why greenwashing persists in the sector and what measures can effectively combat it.</w:t>
      </w:r>
    </w:p>
    <w:p w:rsidR="1E9677E6" w:rsidP="2EA5F603" w:rsidRDefault="1E9677E6" w14:paraId="1F9658CC" w14:textId="3A810358">
      <w:pPr>
        <w:pStyle w:val="Normal"/>
        <w:rPr>
          <w:rFonts w:ascii="Aptos" w:hAnsi="Aptos" w:eastAsia="Aptos" w:cs="Aptos"/>
          <w:noProof w:val="0"/>
          <w:sz w:val="24"/>
          <w:szCs w:val="24"/>
          <w:lang w:val="en-US"/>
        </w:rPr>
      </w:pPr>
      <w:r w:rsidRPr="2EA5F603" w:rsidR="1E9677E6">
        <w:rPr>
          <w:rFonts w:ascii="Aptos" w:hAnsi="Aptos" w:eastAsia="Aptos" w:cs="Aptos"/>
          <w:noProof w:val="0"/>
          <w:sz w:val="24"/>
          <w:szCs w:val="24"/>
          <w:lang w:val="en-US"/>
        </w:rPr>
        <w:t>The environmental consciousness among the consumers and companies has its origin in mid 1960‟s which led to the adoption of green marketing strategies by companies worldwide. The environmental disasters such as Bhopal gas tragedy (1984), Chernobyl nuclear power-plant disaster (1986), Exxon Valdez oil spill (1989), etc. prompted the companies to practice greenwashing in an attempt to improve their distorted image. The term “Greenwashing” was coined in 1986 by the environmental activist Jay Westerveld of United States. According to a report by CBS News (2008), the eco-friendly products in US have increased approximately 65 times from 2002-2007.</w:t>
      </w:r>
      <w:r w:rsidRPr="2EA5F603" w:rsidR="6AB76367">
        <w:rPr>
          <w:rFonts w:ascii="Aptos" w:hAnsi="Aptos" w:eastAsia="Aptos" w:cs="Aptos"/>
          <w:b w:val="0"/>
          <w:bCs w:val="0"/>
          <w:i w:val="0"/>
          <w:iCs w:val="0"/>
          <w:caps w:val="0"/>
          <w:smallCaps w:val="0"/>
          <w:noProof w:val="0"/>
          <w:sz w:val="24"/>
          <w:szCs w:val="24"/>
          <w:lang w:val="en-US"/>
        </w:rPr>
        <w:t xml:space="preserve"> </w:t>
      </w:r>
      <w:r w:rsidRPr="2EA5F603" w:rsidR="64646D5D">
        <w:rPr>
          <w:rFonts w:ascii="Aptos" w:hAnsi="Aptos" w:eastAsia="Aptos" w:cs="Aptos"/>
          <w:b w:val="0"/>
          <w:bCs w:val="0"/>
          <w:i w:val="0"/>
          <w:iCs w:val="0"/>
          <w:caps w:val="0"/>
          <w:smallCaps w:val="0"/>
          <w:noProof w:val="0"/>
          <w:sz w:val="24"/>
          <w:szCs w:val="24"/>
          <w:lang w:val="en-US"/>
        </w:rPr>
        <w:t>(</w:t>
      </w:r>
      <w:r w:rsidRPr="2EA5F603" w:rsidR="6AB76367">
        <w:rPr>
          <w:rFonts w:ascii="Aptos" w:hAnsi="Aptos" w:eastAsia="Aptos" w:cs="Aptos"/>
          <w:b w:val="0"/>
          <w:bCs w:val="0"/>
          <w:i w:val="0"/>
          <w:iCs w:val="0"/>
          <w:caps w:val="0"/>
          <w:smallCaps w:val="0"/>
          <w:noProof w:val="0"/>
          <w:sz w:val="24"/>
          <w:szCs w:val="24"/>
          <w:lang w:val="en-US"/>
        </w:rPr>
        <w:t xml:space="preserve">Aggarwal, P., &amp; </w:t>
      </w:r>
      <w:r w:rsidRPr="2EA5F603" w:rsidR="6AB76367">
        <w:rPr>
          <w:rFonts w:ascii="Aptos" w:hAnsi="Aptos" w:eastAsia="Aptos" w:cs="Aptos"/>
          <w:b w:val="0"/>
          <w:bCs w:val="0"/>
          <w:i w:val="0"/>
          <w:iCs w:val="0"/>
          <w:caps w:val="0"/>
          <w:smallCaps w:val="0"/>
          <w:noProof w:val="0"/>
          <w:sz w:val="24"/>
          <w:szCs w:val="24"/>
          <w:lang w:val="en-US"/>
        </w:rPr>
        <w:t>Kadyan</w:t>
      </w:r>
      <w:r w:rsidRPr="2EA5F603" w:rsidR="6AB76367">
        <w:rPr>
          <w:rFonts w:ascii="Aptos" w:hAnsi="Aptos" w:eastAsia="Aptos" w:cs="Aptos"/>
          <w:b w:val="0"/>
          <w:bCs w:val="0"/>
          <w:i w:val="0"/>
          <w:iCs w:val="0"/>
          <w:caps w:val="0"/>
          <w:smallCaps w:val="0"/>
          <w:noProof w:val="0"/>
          <w:sz w:val="24"/>
          <w:szCs w:val="24"/>
          <w:lang w:val="en-US"/>
        </w:rPr>
        <w:t>, A. 2014).</w:t>
      </w:r>
      <w:r w:rsidRPr="2EA5F603" w:rsidR="1E9677E6">
        <w:rPr>
          <w:rFonts w:ascii="Aptos" w:hAnsi="Aptos" w:eastAsia="Aptos" w:cs="Aptos"/>
          <w:noProof w:val="0"/>
          <w:sz w:val="24"/>
          <w:szCs w:val="24"/>
          <w:lang w:val="en-US"/>
        </w:rPr>
        <w:t xml:space="preserve"> </w:t>
      </w:r>
    </w:p>
    <w:p w:rsidR="64777516" w:rsidP="2EA5F603" w:rsidRDefault="64777516" w14:paraId="78BCC810" w14:textId="2DFFA69C">
      <w:pPr>
        <w:pStyle w:val="Normal"/>
        <w:rPr>
          <w:lang w:val="en-US"/>
        </w:rPr>
      </w:pPr>
      <w:r w:rsidRPr="2EA5F603" w:rsidR="64777516">
        <w:rPr>
          <w:lang w:val="en-US"/>
        </w:rPr>
        <w:t xml:space="preserve">At its root, greenwashing is the result of a combination of misaligned incentives and external pressures. Companies today face growing expectations: regulators demand lower </w:t>
      </w:r>
      <w:r w:rsidRPr="2EA5F603" w:rsidR="1FF759C5">
        <w:rPr>
          <w:lang w:val="en-US"/>
        </w:rPr>
        <w:t>emissions;</w:t>
      </w:r>
      <w:r w:rsidRPr="2EA5F603" w:rsidR="64777516">
        <w:rPr>
          <w:lang w:val="en-US"/>
        </w:rPr>
        <w:t xml:space="preserve"> investors seek responsible portfolios, and consumers demand cleaner products. However, the technological transformation towards electrification and carbon </w:t>
      </w:r>
      <w:r w:rsidRPr="2EA5F603" w:rsidR="64777516">
        <w:rPr>
          <w:lang w:val="en-US"/>
        </w:rPr>
        <w:t>decarbonisation</w:t>
      </w:r>
      <w:r w:rsidRPr="2EA5F603" w:rsidR="64777516">
        <w:rPr>
          <w:lang w:val="en-US"/>
        </w:rPr>
        <w:t xml:space="preserve"> requires high investments and </w:t>
      </w:r>
      <w:r w:rsidRPr="2EA5F603" w:rsidR="75D764E0">
        <w:rPr>
          <w:lang w:val="en-US"/>
        </w:rPr>
        <w:t>prolonged periods</w:t>
      </w:r>
      <w:r w:rsidRPr="2EA5F603" w:rsidR="64777516">
        <w:rPr>
          <w:lang w:val="en-US"/>
        </w:rPr>
        <w:t xml:space="preserve"> to obtain returns. When </w:t>
      </w:r>
      <w:r w:rsidRPr="2EA5F603" w:rsidR="3BBFDF61">
        <w:rPr>
          <w:lang w:val="en-US"/>
        </w:rPr>
        <w:t>communicating</w:t>
      </w:r>
      <w:r w:rsidRPr="2EA5F603" w:rsidR="64777516">
        <w:rPr>
          <w:lang w:val="en-US"/>
        </w:rPr>
        <w:t xml:space="preserve"> goals exceed actual delivery capacity, some companies choose to </w:t>
      </w:r>
      <w:r w:rsidRPr="2EA5F603" w:rsidR="186F5AB8">
        <w:rPr>
          <w:lang w:val="en-US"/>
        </w:rPr>
        <w:t>emphasis</w:t>
      </w:r>
      <w:r w:rsidRPr="2EA5F603" w:rsidR="64777516">
        <w:rPr>
          <w:lang w:val="en-US"/>
        </w:rPr>
        <w:t xml:space="preserve"> partial achievements or use technical communication that hinders public understanding. The Volkswagen case </w:t>
      </w:r>
      <w:r w:rsidRPr="2EA5F603" w:rsidR="64777516">
        <w:rPr>
          <w:lang w:val="en-US"/>
        </w:rPr>
        <w:t>demonstrated</w:t>
      </w:r>
      <w:r w:rsidRPr="2EA5F603" w:rsidR="64777516">
        <w:rPr>
          <w:lang w:val="en-US"/>
        </w:rPr>
        <w:t xml:space="preserve"> the extent to which the pursuit of competitive and market advantages can lead to deliberately deceptive practices that sacrifice integrity for immediate gain.</w:t>
      </w:r>
    </w:p>
    <w:p w:rsidR="39D36686" w:rsidP="2EA5F603" w:rsidRDefault="39D36686" w14:paraId="2257AF5C" w14:textId="2061088A">
      <w:pPr>
        <w:pStyle w:val="Normal"/>
        <w:rPr>
          <w:lang w:val="en-US"/>
        </w:rPr>
      </w:pPr>
      <w:r w:rsidRPr="2EA5F603" w:rsidR="39D36686">
        <w:rPr>
          <w:lang w:val="en-US"/>
        </w:rPr>
        <w:t xml:space="preserve">A root cause analysis distinguishes between visible symptoms and structural factors. The former </w:t>
      </w:r>
      <w:r w:rsidRPr="2EA5F603" w:rsidR="64FF52E4">
        <w:rPr>
          <w:lang w:val="en-US"/>
        </w:rPr>
        <w:t>includes</w:t>
      </w:r>
      <w:r w:rsidRPr="2EA5F603" w:rsidR="39D36686">
        <w:rPr>
          <w:lang w:val="en-US"/>
        </w:rPr>
        <w:t xml:space="preserve"> exaggerated advertising, the use of opaque metrics, selective data presentation, and reliance on certifications of dubious independence. Syal documents how many claims about emissions and efficiency have been formulated in a misleading way, exploiting technical loopholes or confusing terminology. The root causes, however, are more systemic: insufficient corporate governance, executive </w:t>
      </w:r>
      <w:r w:rsidRPr="2EA5F603" w:rsidR="39D36686">
        <w:rPr>
          <w:lang w:val="en-US"/>
        </w:rPr>
        <w:t>objectives</w:t>
      </w:r>
      <w:r w:rsidRPr="2EA5F603" w:rsidR="39D36686">
        <w:rPr>
          <w:lang w:val="en-US"/>
        </w:rPr>
        <w:t xml:space="preserve"> geared towards short-term results, the absence of </w:t>
      </w:r>
      <w:r w:rsidRPr="2EA5F603" w:rsidR="4A385CF0">
        <w:rPr>
          <w:lang w:val="en-US"/>
        </w:rPr>
        <w:t>harmonized</w:t>
      </w:r>
      <w:r w:rsidRPr="2EA5F603" w:rsidR="39D36686">
        <w:rPr>
          <w:lang w:val="en-US"/>
        </w:rPr>
        <w:t xml:space="preserve"> standards, and the lack of external verification mechanisms. These conditions create an environment in which </w:t>
      </w:r>
      <w:r w:rsidRPr="2EA5F603" w:rsidR="66CBB6DF">
        <w:rPr>
          <w:lang w:val="en-US"/>
        </w:rPr>
        <w:t>communication</w:t>
      </w:r>
      <w:r w:rsidRPr="2EA5F603" w:rsidR="39D36686">
        <w:rPr>
          <w:lang w:val="en-US"/>
        </w:rPr>
        <w:t xml:space="preserve"> is less risky than transforming.</w:t>
      </w:r>
    </w:p>
    <w:p w:rsidR="39D36686" w:rsidP="2EA5F603" w:rsidRDefault="39D36686" w14:paraId="6B43EB42" w14:textId="0B6CA3EA">
      <w:pPr>
        <w:pStyle w:val="Normal"/>
        <w:pageBreakBefore w:val="1"/>
        <w:rPr>
          <w:lang w:val="en-US"/>
        </w:rPr>
      </w:pPr>
      <w:r w:rsidRPr="2EA5F603" w:rsidR="39D36686">
        <w:rPr>
          <w:lang w:val="en-US"/>
        </w:rPr>
        <w:t xml:space="preserve">The consequences of greenwashing affect reputation, the </w:t>
      </w:r>
      <w:r w:rsidRPr="2EA5F603" w:rsidR="4606E3F8">
        <w:rPr>
          <w:lang w:val="en-US"/>
        </w:rPr>
        <w:t>economy,</w:t>
      </w:r>
      <w:r w:rsidRPr="2EA5F603" w:rsidR="39D36686">
        <w:rPr>
          <w:lang w:val="en-US"/>
        </w:rPr>
        <w:t xml:space="preserve"> and public governance. Koch and Denner show that the loss of trust following the discovery of deception leads to sanctions, litigation and reputational damage that can last for years; it also increases the cost of capital and reduces the effectiveness of legitimate sustainability campaigns. Socially, the phenomenon generates </w:t>
      </w:r>
      <w:r w:rsidRPr="2EA5F603" w:rsidR="39D36686">
        <w:rPr>
          <w:lang w:val="en-US"/>
        </w:rPr>
        <w:t>scepticism</w:t>
      </w:r>
      <w:r w:rsidRPr="2EA5F603" w:rsidR="39D36686">
        <w:rPr>
          <w:lang w:val="en-US"/>
        </w:rPr>
        <w:t xml:space="preserve"> and information fatigue: consumers and policymakers may mistrust even </w:t>
      </w:r>
      <w:bookmarkStart w:name="_Int_SD7rgPc8" w:id="1501089585"/>
      <w:r w:rsidRPr="2EA5F603" w:rsidR="1B973BBB">
        <w:rPr>
          <w:lang w:val="en-US"/>
        </w:rPr>
        <w:t>hugely beneficial</w:t>
      </w:r>
      <w:bookmarkEnd w:id="1501089585"/>
      <w:r w:rsidRPr="2EA5F603" w:rsidR="39D36686">
        <w:rPr>
          <w:lang w:val="en-US"/>
        </w:rPr>
        <w:t xml:space="preserve"> innovations. Ethically, greenwashing undermines the transparency necessary for markets and regulators to function properly and can transfer environmental costs to future generations.</w:t>
      </w:r>
    </w:p>
    <w:p w:rsidR="39D36686" w:rsidP="2EA5F603" w:rsidRDefault="39D36686" w14:paraId="67D8BD75" w14:textId="6E74202C">
      <w:pPr>
        <w:pStyle w:val="Normal"/>
        <w:rPr>
          <w:lang w:val="en-US"/>
        </w:rPr>
      </w:pPr>
      <w:r w:rsidRPr="2EA5F603" w:rsidR="39D36686">
        <w:rPr>
          <w:lang w:val="en-US"/>
        </w:rPr>
        <w:t xml:space="preserve">Tackling the problem requires addressing the root causes and not limiting oneself to fines or corrective statements. First, it is essential to </w:t>
      </w:r>
      <w:r w:rsidRPr="2EA5F603" w:rsidR="39D36686">
        <w:rPr>
          <w:lang w:val="en-US"/>
        </w:rPr>
        <w:t>establish</w:t>
      </w:r>
      <w:r w:rsidRPr="2EA5F603" w:rsidR="39D36686">
        <w:rPr>
          <w:lang w:val="en-US"/>
        </w:rPr>
        <w:t xml:space="preserve"> clear, </w:t>
      </w:r>
      <w:bookmarkStart w:name="_Int_e3Rcup2S" w:id="1490661922"/>
      <w:r w:rsidRPr="2EA5F603" w:rsidR="39D36686">
        <w:rPr>
          <w:lang w:val="en-US"/>
        </w:rPr>
        <w:t>comparable</w:t>
      </w:r>
      <w:bookmarkEnd w:id="1490661922"/>
      <w:r w:rsidRPr="2EA5F603" w:rsidR="39D36686">
        <w:rPr>
          <w:lang w:val="en-US"/>
        </w:rPr>
        <w:t xml:space="preserve"> and mandatory standards for measuring environmental performance, accompanied by independent audits and public disclosure of data. Second, corporate incentives must be reconfigured: linking executive compensation and goals to verifiable long-term environmental results will align interests. Thirdly, strengthening internal reporting channels and protecting whistleblowers </w:t>
      </w:r>
      <w:r w:rsidRPr="2EA5F603" w:rsidR="39D36686">
        <w:rPr>
          <w:lang w:val="en-US"/>
        </w:rPr>
        <w:t>facilitates</w:t>
      </w:r>
      <w:r w:rsidRPr="2EA5F603" w:rsidR="39D36686">
        <w:rPr>
          <w:lang w:val="en-US"/>
        </w:rPr>
        <w:t xml:space="preserve"> </w:t>
      </w:r>
      <w:bookmarkStart w:name="_Int_ZWmiEbHC" w:id="1857127112"/>
      <w:r w:rsidRPr="2EA5F603" w:rsidR="39D36686">
        <w:rPr>
          <w:lang w:val="en-US"/>
        </w:rPr>
        <w:t>the early</w:t>
      </w:r>
      <w:bookmarkEnd w:id="1857127112"/>
      <w:r w:rsidRPr="2EA5F603" w:rsidR="39D36686">
        <w:rPr>
          <w:lang w:val="en-US"/>
        </w:rPr>
        <w:t xml:space="preserve"> detection of irregularities. Finally, civil society and consumers must demand real transparency, support reliable </w:t>
      </w:r>
      <w:bookmarkStart w:name="_Int_Wb8JWP3X" w:id="1444415020"/>
      <w:r w:rsidRPr="2EA5F603" w:rsidR="39D36686">
        <w:rPr>
          <w:lang w:val="en-US"/>
        </w:rPr>
        <w:t>labelling</w:t>
      </w:r>
      <w:bookmarkEnd w:id="1444415020"/>
      <w:r w:rsidRPr="2EA5F603" w:rsidR="39D36686">
        <w:rPr>
          <w:lang w:val="en-US"/>
        </w:rPr>
        <w:t xml:space="preserve"> and reward companies with a verifiable </w:t>
      </w:r>
      <w:r w:rsidRPr="2EA5F603" w:rsidR="29C28169">
        <w:rPr>
          <w:lang w:val="en-US"/>
        </w:rPr>
        <w:t>record of accomplishment</w:t>
      </w:r>
      <w:r w:rsidRPr="2EA5F603" w:rsidR="39D36686">
        <w:rPr>
          <w:lang w:val="en-US"/>
        </w:rPr>
        <w:t>.</w:t>
      </w:r>
    </w:p>
    <w:p w:rsidR="39D36686" w:rsidP="2EA5F603" w:rsidRDefault="39D36686" w14:paraId="628697F9" w14:textId="2694D112">
      <w:pPr>
        <w:pStyle w:val="Normal"/>
        <w:rPr>
          <w:lang w:val="en-US"/>
        </w:rPr>
      </w:pPr>
      <w:r w:rsidRPr="2EA5F603" w:rsidR="39D36686">
        <w:rPr>
          <w:lang w:val="en-US"/>
        </w:rPr>
        <w:t xml:space="preserve">Collaboration between regulators, academia, non-governmental </w:t>
      </w:r>
      <w:r w:rsidRPr="2EA5F603" w:rsidR="30021108">
        <w:rPr>
          <w:lang w:val="en-US"/>
        </w:rPr>
        <w:t>organizations,</w:t>
      </w:r>
      <w:r w:rsidRPr="2EA5F603" w:rsidR="39D36686">
        <w:rPr>
          <w:lang w:val="en-US"/>
        </w:rPr>
        <w:t xml:space="preserve"> and </w:t>
      </w:r>
      <w:r w:rsidRPr="2EA5F603" w:rsidR="1DB405B3">
        <w:rPr>
          <w:lang w:val="en-US"/>
        </w:rPr>
        <w:t>industry</w:t>
      </w:r>
      <w:r w:rsidRPr="2EA5F603" w:rsidR="39D36686">
        <w:rPr>
          <w:lang w:val="en-US"/>
        </w:rPr>
        <w:t xml:space="preserve"> itself is essential to build an ecosystem in which sustainability is measurable and enforceable. Only then can </w:t>
      </w:r>
      <w:r w:rsidRPr="2EA5F603" w:rsidR="0BD7DB5F">
        <w:rPr>
          <w:u w:val="none"/>
          <w:lang w:val="en-US"/>
        </w:rPr>
        <w:t>environmentally</w:t>
      </w:r>
      <w:r w:rsidRPr="2EA5F603" w:rsidR="39D36686">
        <w:rPr>
          <w:lang w:val="en-US"/>
        </w:rPr>
        <w:t xml:space="preserve"> </w:t>
      </w:r>
      <w:r w:rsidRPr="2EA5F603" w:rsidR="39D36686">
        <w:rPr>
          <w:lang w:val="en-US"/>
        </w:rPr>
        <w:t>impact</w:t>
      </w:r>
      <w:r w:rsidRPr="2EA5F603" w:rsidR="39D36686">
        <w:rPr>
          <w:lang w:val="en-US"/>
        </w:rPr>
        <w:t xml:space="preserve"> claims be </w:t>
      </w:r>
      <w:r w:rsidRPr="2EA5F603" w:rsidR="67207F4D">
        <w:rPr>
          <w:lang w:val="en-US"/>
        </w:rPr>
        <w:t>verified,</w:t>
      </w:r>
      <w:r w:rsidRPr="2EA5F603" w:rsidR="39D36686">
        <w:rPr>
          <w:lang w:val="en-US"/>
        </w:rPr>
        <w:t xml:space="preserve"> and rhetoric cease to be a communication escape valve.</w:t>
      </w:r>
    </w:p>
    <w:p w:rsidR="39D36686" w:rsidP="2EA5F603" w:rsidRDefault="39D36686" w14:paraId="132742E0" w14:textId="48023982">
      <w:pPr>
        <w:pStyle w:val="Normal"/>
        <w:rPr>
          <w:lang w:val="en-US"/>
        </w:rPr>
      </w:pPr>
      <w:r w:rsidRPr="2EA5F603" w:rsidR="39D36686">
        <w:rPr>
          <w:lang w:val="en-US"/>
        </w:rPr>
        <w:t xml:space="preserve">In conclusion, greenwashing in the automotive industry is a symptom of systemic failures that require structural responses. The studies and articles by </w:t>
      </w:r>
      <w:r w:rsidRPr="2EA5F603" w:rsidR="39D36686">
        <w:rPr>
          <w:lang w:val="en-US"/>
        </w:rPr>
        <w:t xml:space="preserve">Kell, </w:t>
      </w:r>
      <w:r w:rsidRPr="2EA5F603" w:rsidR="39D36686">
        <w:rPr>
          <w:lang w:val="en-US"/>
        </w:rPr>
        <w:t>Boiral</w:t>
      </w:r>
      <w:r w:rsidRPr="2EA5F603" w:rsidR="39D36686">
        <w:rPr>
          <w:lang w:val="en-US"/>
        </w:rPr>
        <w:t xml:space="preserve"> et al., Syal and Koch, and Denner</w:t>
      </w:r>
      <w:r w:rsidRPr="2EA5F603" w:rsidR="342B1B58">
        <w:rPr>
          <w:lang w:val="en-US"/>
        </w:rPr>
        <w:t xml:space="preserve"> </w:t>
      </w:r>
      <w:r w:rsidRPr="2EA5F603" w:rsidR="39D36686">
        <w:rPr>
          <w:lang w:val="en-US"/>
        </w:rPr>
        <w:t>converge on a clear lesson: consistency between discourse and action, independent verification, and the reorientation of incentives are indispensable conditions for regaining public trust and making the ecological transition a reality. It is not enough to communicate intent; it is necessary to transform it into verifiable and sustainable facts.</w:t>
      </w:r>
    </w:p>
    <w:p w:rsidR="2EA5F603" w:rsidP="2EA5F603" w:rsidRDefault="2EA5F603" w14:paraId="458F4331" w14:textId="04701F29">
      <w:pPr>
        <w:pStyle w:val="Normal"/>
        <w:rPr>
          <w:lang w:val="en-US"/>
        </w:rPr>
      </w:pPr>
    </w:p>
    <w:p w:rsidR="37BF6D95" w:rsidP="2EA5F603" w:rsidRDefault="37BF6D95" w14:paraId="4AC834CB" w14:textId="512B8546">
      <w:pPr>
        <w:pStyle w:val="Normal"/>
        <w:pageBreakBefore w:val="1"/>
      </w:pPr>
      <w:r w:rsidR="37BF6D95">
        <w:rPr/>
        <w:t xml:space="preserve">Reference </w:t>
      </w:r>
      <w:r w:rsidR="37BF6D95">
        <w:rPr/>
        <w:t>List</w:t>
      </w:r>
      <w:r w:rsidR="37BF6D95">
        <w:rPr/>
        <w:t>:</w:t>
      </w:r>
    </w:p>
    <w:p w:rsidR="4B708CAD" w:rsidP="2EA5F603" w:rsidRDefault="4B708CAD" w14:paraId="24E91D95" w14:textId="0197CDD5">
      <w:pPr>
        <w:pStyle w:val="ListParagraph"/>
        <w:numPr>
          <w:ilvl w:val="0"/>
          <w:numId w:val="1"/>
        </w:numPr>
        <w:rPr>
          <w:rFonts w:ascii="Aptos" w:hAnsi="Aptos" w:eastAsia="Aptos" w:cs="Aptos"/>
          <w:noProof w:val="0"/>
          <w:sz w:val="24"/>
          <w:szCs w:val="24"/>
          <w:lang w:val="en-US"/>
        </w:rPr>
      </w:pPr>
      <w:r w:rsidRPr="2EA5F603" w:rsidR="4B708CAD">
        <w:rPr>
          <w:rFonts w:ascii="Aptos" w:hAnsi="Aptos" w:eastAsia="Aptos" w:cs="Aptos"/>
          <w:b w:val="0"/>
          <w:bCs w:val="0"/>
          <w:i w:val="0"/>
          <w:iCs w:val="0"/>
          <w:caps w:val="0"/>
          <w:smallCaps w:val="0"/>
          <w:noProof w:val="0"/>
          <w:sz w:val="24"/>
          <w:szCs w:val="24"/>
          <w:lang w:val="en-US"/>
        </w:rPr>
        <w:t xml:space="preserve">Aggarwal, P., &amp; Kadyan, A. (2014). Greenwashing: The darker side of CSR. </w:t>
      </w:r>
      <w:r w:rsidRPr="2EA5F603" w:rsidR="4B708CAD">
        <w:rPr>
          <w:rFonts w:ascii="Aptos" w:hAnsi="Aptos" w:eastAsia="Aptos" w:cs="Aptos"/>
          <w:b w:val="0"/>
          <w:bCs w:val="0"/>
          <w:i w:val="1"/>
          <w:iCs w:val="1"/>
          <w:caps w:val="0"/>
          <w:smallCaps w:val="0"/>
          <w:noProof w:val="0"/>
          <w:sz w:val="24"/>
          <w:szCs w:val="24"/>
          <w:lang w:val="en-US"/>
        </w:rPr>
        <w:t>Indian Journal of Applied Research</w:t>
      </w:r>
      <w:r w:rsidRPr="2EA5F603" w:rsidR="4B708CAD">
        <w:rPr>
          <w:rFonts w:ascii="Aptos" w:hAnsi="Aptos" w:eastAsia="Aptos" w:cs="Aptos"/>
          <w:b w:val="0"/>
          <w:bCs w:val="0"/>
          <w:i w:val="0"/>
          <w:iCs w:val="0"/>
          <w:caps w:val="0"/>
          <w:smallCaps w:val="0"/>
          <w:noProof w:val="0"/>
          <w:sz w:val="24"/>
          <w:szCs w:val="24"/>
          <w:lang w:val="en-US"/>
        </w:rPr>
        <w:t xml:space="preserve">, </w:t>
      </w:r>
      <w:r w:rsidRPr="2EA5F603" w:rsidR="4B708CAD">
        <w:rPr>
          <w:rFonts w:ascii="Aptos" w:hAnsi="Aptos" w:eastAsia="Aptos" w:cs="Aptos"/>
          <w:b w:val="0"/>
          <w:bCs w:val="0"/>
          <w:i w:val="1"/>
          <w:iCs w:val="1"/>
          <w:caps w:val="0"/>
          <w:smallCaps w:val="0"/>
          <w:noProof w:val="0"/>
          <w:sz w:val="24"/>
          <w:szCs w:val="24"/>
          <w:lang w:val="en-US"/>
        </w:rPr>
        <w:t>4</w:t>
      </w:r>
      <w:r w:rsidRPr="2EA5F603" w:rsidR="4B708CAD">
        <w:rPr>
          <w:rFonts w:ascii="Aptos" w:hAnsi="Aptos" w:eastAsia="Aptos" w:cs="Aptos"/>
          <w:b w:val="0"/>
          <w:bCs w:val="0"/>
          <w:i w:val="0"/>
          <w:iCs w:val="0"/>
          <w:caps w:val="0"/>
          <w:smallCaps w:val="0"/>
          <w:noProof w:val="0"/>
          <w:sz w:val="24"/>
          <w:szCs w:val="24"/>
          <w:lang w:val="en-US"/>
        </w:rPr>
        <w:t>(3), 61-66.</w:t>
      </w:r>
    </w:p>
    <w:p w:rsidR="4E3A3EDB" w:rsidP="2EA5F603" w:rsidRDefault="4E3A3EDB" w14:paraId="07062DE4" w14:textId="5B092A8A">
      <w:pPr>
        <w:pStyle w:val="ListParagraph"/>
        <w:numPr>
          <w:ilvl w:val="0"/>
          <w:numId w:val="1"/>
        </w:numPr>
        <w:rPr>
          <w:rFonts w:ascii="Aptos" w:hAnsi="Aptos" w:eastAsia="Aptos" w:cs="Aptos"/>
          <w:noProof w:val="0"/>
          <w:sz w:val="24"/>
          <w:szCs w:val="24"/>
          <w:lang w:val="en-US"/>
        </w:rPr>
      </w:pPr>
      <w:r w:rsidRPr="2EA5F603" w:rsidR="4E3A3EDB">
        <w:rPr>
          <w:rFonts w:ascii="Aptos" w:hAnsi="Aptos" w:eastAsia="Aptos" w:cs="Aptos"/>
          <w:b w:val="0"/>
          <w:bCs w:val="0"/>
          <w:i w:val="0"/>
          <w:iCs w:val="0"/>
          <w:caps w:val="0"/>
          <w:smallCaps w:val="0"/>
          <w:noProof w:val="0"/>
          <w:sz w:val="24"/>
          <w:szCs w:val="24"/>
          <w:lang w:val="en-US"/>
        </w:rPr>
        <w:t xml:space="preserve">Aurand, T. W., Finley, W., Krishnan, V., Sullivan, U. Y., Abresch, J., Bowen, J., ... &amp; Willkomm, J. (2018). The VW Diesel Scandal: A Case of Corporate Commissioned Greenwashing. </w:t>
      </w:r>
      <w:r w:rsidRPr="2EA5F603" w:rsidR="4E3A3EDB">
        <w:rPr>
          <w:rFonts w:ascii="Aptos" w:hAnsi="Aptos" w:eastAsia="Aptos" w:cs="Aptos"/>
          <w:b w:val="0"/>
          <w:bCs w:val="0"/>
          <w:i w:val="1"/>
          <w:iCs w:val="1"/>
          <w:caps w:val="0"/>
          <w:smallCaps w:val="0"/>
          <w:noProof w:val="0"/>
          <w:sz w:val="24"/>
          <w:szCs w:val="24"/>
          <w:lang w:val="en-US"/>
        </w:rPr>
        <w:t>Journal of Organizational Psychology</w:t>
      </w:r>
      <w:r w:rsidRPr="2EA5F603" w:rsidR="4E3A3EDB">
        <w:rPr>
          <w:rFonts w:ascii="Aptos" w:hAnsi="Aptos" w:eastAsia="Aptos" w:cs="Aptos"/>
          <w:b w:val="0"/>
          <w:bCs w:val="0"/>
          <w:i w:val="0"/>
          <w:iCs w:val="0"/>
          <w:caps w:val="0"/>
          <w:smallCaps w:val="0"/>
          <w:noProof w:val="0"/>
          <w:sz w:val="24"/>
          <w:szCs w:val="24"/>
          <w:lang w:val="en-US"/>
        </w:rPr>
        <w:t xml:space="preserve">, </w:t>
      </w:r>
      <w:r w:rsidRPr="2EA5F603" w:rsidR="4E3A3EDB">
        <w:rPr>
          <w:rFonts w:ascii="Aptos" w:hAnsi="Aptos" w:eastAsia="Aptos" w:cs="Aptos"/>
          <w:b w:val="0"/>
          <w:bCs w:val="0"/>
          <w:i w:val="1"/>
          <w:iCs w:val="1"/>
          <w:caps w:val="0"/>
          <w:smallCaps w:val="0"/>
          <w:noProof w:val="0"/>
          <w:sz w:val="24"/>
          <w:szCs w:val="24"/>
          <w:lang w:val="en-US"/>
        </w:rPr>
        <w:t>18</w:t>
      </w:r>
      <w:r w:rsidRPr="2EA5F603" w:rsidR="4E3A3EDB">
        <w:rPr>
          <w:rFonts w:ascii="Aptos" w:hAnsi="Aptos" w:eastAsia="Aptos" w:cs="Aptos"/>
          <w:b w:val="0"/>
          <w:bCs w:val="0"/>
          <w:i w:val="0"/>
          <w:iCs w:val="0"/>
          <w:caps w:val="0"/>
          <w:smallCaps w:val="0"/>
          <w:noProof w:val="0"/>
          <w:sz w:val="24"/>
          <w:szCs w:val="24"/>
          <w:lang w:val="en-US"/>
        </w:rPr>
        <w:t>(1).</w:t>
      </w:r>
    </w:p>
    <w:p w:rsidR="37BF6D95" w:rsidP="2EA5F603" w:rsidRDefault="37BF6D95" w14:paraId="2E010BD3" w14:textId="7AF53169">
      <w:pPr>
        <w:pStyle w:val="ListParagraph"/>
        <w:numPr>
          <w:ilvl w:val="0"/>
          <w:numId w:val="1"/>
        </w:numPr>
        <w:rPr>
          <w:rFonts w:ascii="Aptos" w:hAnsi="Aptos" w:eastAsia="Aptos" w:cs="Aptos"/>
          <w:noProof w:val="0"/>
          <w:sz w:val="24"/>
          <w:szCs w:val="24"/>
          <w:lang w:val="en-US"/>
        </w:rPr>
      </w:pPr>
      <w:r w:rsidRPr="2EA5F603" w:rsidR="37BF6D95">
        <w:rPr>
          <w:rFonts w:ascii="Aptos" w:hAnsi="Aptos" w:eastAsia="Aptos" w:cs="Aptos"/>
          <w:noProof w:val="0"/>
          <w:sz w:val="24"/>
          <w:szCs w:val="24"/>
          <w:lang w:val="en-US"/>
        </w:rPr>
        <w:t>Volkswagen’s “</w:t>
      </w:r>
      <w:r w:rsidRPr="2EA5F603" w:rsidR="37BF6D95">
        <w:rPr>
          <w:rFonts w:ascii="Aptos" w:hAnsi="Aptos" w:eastAsia="Aptos" w:cs="Aptos"/>
          <w:noProof w:val="0"/>
          <w:sz w:val="24"/>
          <w:szCs w:val="24"/>
          <w:lang w:val="en-US"/>
        </w:rPr>
        <w:t>Dieselgate</w:t>
      </w:r>
      <w:r w:rsidRPr="2EA5F603" w:rsidR="37BF6D95">
        <w:rPr>
          <w:rFonts w:ascii="Aptos" w:hAnsi="Aptos" w:eastAsia="Aptos" w:cs="Aptos"/>
          <w:noProof w:val="0"/>
          <w:sz w:val="24"/>
          <w:szCs w:val="24"/>
          <w:lang w:val="en-US"/>
        </w:rPr>
        <w:t xml:space="preserve">” scandal continues to shape debates on greenwashing in the auto sector (Kell, 2022) </w:t>
      </w:r>
    </w:p>
    <w:p w:rsidR="37BF6D95" w:rsidP="2EA5F603" w:rsidRDefault="37BF6D95" w14:paraId="14B6B23C" w14:textId="40A0B1E3">
      <w:pPr>
        <w:pStyle w:val="ListParagraph"/>
        <w:numPr>
          <w:ilvl w:val="0"/>
          <w:numId w:val="1"/>
        </w:numPr>
        <w:rPr>
          <w:rFonts w:ascii="Aptos" w:hAnsi="Aptos" w:eastAsia="Aptos" w:cs="Aptos"/>
          <w:noProof w:val="0"/>
          <w:sz w:val="24"/>
          <w:szCs w:val="24"/>
          <w:lang w:val="en-US"/>
        </w:rPr>
      </w:pPr>
      <w:r w:rsidRPr="2EA5F603" w:rsidR="37BF6D95">
        <w:rPr>
          <w:rFonts w:ascii="Aptos" w:hAnsi="Aptos" w:eastAsia="Aptos" w:cs="Aptos"/>
          <w:noProof w:val="0"/>
          <w:sz w:val="24"/>
          <w:szCs w:val="24"/>
          <w:lang w:val="en-US"/>
        </w:rPr>
        <w:t xml:space="preserve">Through the Smokescreen of the </w:t>
      </w:r>
      <w:r w:rsidRPr="2EA5F603" w:rsidR="37BF6D95">
        <w:rPr>
          <w:rFonts w:ascii="Aptos" w:hAnsi="Aptos" w:eastAsia="Aptos" w:cs="Aptos"/>
          <w:noProof w:val="0"/>
          <w:sz w:val="24"/>
          <w:szCs w:val="24"/>
          <w:lang w:val="en-US"/>
        </w:rPr>
        <w:t>Dieselgate</w:t>
      </w:r>
      <w:r w:rsidRPr="2EA5F603" w:rsidR="37BF6D95">
        <w:rPr>
          <w:rFonts w:ascii="Aptos" w:hAnsi="Aptos" w:eastAsia="Aptos" w:cs="Aptos"/>
          <w:noProof w:val="0"/>
          <w:sz w:val="24"/>
          <w:szCs w:val="24"/>
          <w:lang w:val="en-US"/>
        </w:rPr>
        <w:t xml:space="preserve"> Disclosure: Neutralizing the Impacts of a Major Sustainability Scandal (</w:t>
      </w:r>
      <w:r w:rsidRPr="2EA5F603" w:rsidR="37BF6D95">
        <w:rPr>
          <w:rFonts w:ascii="Aptos" w:hAnsi="Aptos" w:eastAsia="Aptos" w:cs="Aptos"/>
          <w:noProof w:val="0"/>
          <w:sz w:val="24"/>
          <w:szCs w:val="24"/>
          <w:lang w:val="en-US"/>
        </w:rPr>
        <w:t>Boiral</w:t>
      </w:r>
      <w:r w:rsidRPr="2EA5F603" w:rsidR="37BF6D95">
        <w:rPr>
          <w:rFonts w:ascii="Aptos" w:hAnsi="Aptos" w:eastAsia="Aptos" w:cs="Aptos"/>
          <w:noProof w:val="0"/>
          <w:sz w:val="24"/>
          <w:szCs w:val="24"/>
          <w:lang w:val="en-US"/>
        </w:rPr>
        <w:t xml:space="preserve"> et al., 2022) </w:t>
      </w:r>
    </w:p>
    <w:p w:rsidR="37BF6D95" w:rsidP="2EA5F603" w:rsidRDefault="37BF6D95" w14:paraId="1D6BB468" w14:textId="176E931A">
      <w:pPr>
        <w:pStyle w:val="ListParagraph"/>
        <w:numPr>
          <w:ilvl w:val="0"/>
          <w:numId w:val="1"/>
        </w:numPr>
        <w:rPr>
          <w:rFonts w:ascii="Aptos" w:hAnsi="Aptos" w:eastAsia="Aptos" w:cs="Aptos"/>
          <w:noProof w:val="0"/>
          <w:sz w:val="24"/>
          <w:szCs w:val="24"/>
          <w:lang w:val="en-US"/>
        </w:rPr>
      </w:pPr>
      <w:r w:rsidRPr="2EA5F603" w:rsidR="37BF6D95">
        <w:rPr>
          <w:rFonts w:ascii="Aptos" w:hAnsi="Aptos" w:eastAsia="Aptos" w:cs="Aptos"/>
          <w:noProof w:val="0"/>
          <w:sz w:val="24"/>
          <w:szCs w:val="24"/>
          <w:lang w:val="en-US"/>
        </w:rPr>
        <w:t xml:space="preserve"> Green claims under scrutiny: how carmakers mislead consumers on emissions and sustainability (Syal, 2025)</w:t>
      </w:r>
      <w:r w:rsidRPr="2EA5F603" w:rsidR="40C7CC91">
        <w:rPr>
          <w:rFonts w:ascii="Aptos" w:hAnsi="Aptos" w:eastAsia="Aptos" w:cs="Aptos"/>
          <w:noProof w:val="0"/>
          <w:sz w:val="24"/>
          <w:szCs w:val="24"/>
          <w:lang w:val="en-US"/>
        </w:rPr>
        <w:t>.</w:t>
      </w:r>
    </w:p>
    <w:p w:rsidR="37BF6D95" w:rsidP="2EA5F603" w:rsidRDefault="37BF6D95" w14:paraId="056913EC" w14:textId="35B5235A">
      <w:pPr>
        <w:pStyle w:val="ListParagraph"/>
        <w:numPr>
          <w:ilvl w:val="0"/>
          <w:numId w:val="1"/>
        </w:numPr>
        <w:rPr>
          <w:rFonts w:ascii="Aptos" w:hAnsi="Aptos" w:eastAsia="Aptos" w:cs="Aptos"/>
          <w:noProof w:val="0"/>
          <w:sz w:val="24"/>
          <w:szCs w:val="24"/>
          <w:lang w:val="en-US"/>
        </w:rPr>
      </w:pPr>
      <w:r w:rsidRPr="2EA5F603" w:rsidR="37BF6D95">
        <w:rPr>
          <w:rFonts w:ascii="Aptos" w:hAnsi="Aptos" w:eastAsia="Aptos" w:cs="Aptos"/>
          <w:noProof w:val="0"/>
          <w:sz w:val="24"/>
          <w:szCs w:val="24"/>
          <w:lang w:val="en-US"/>
        </w:rPr>
        <w:t xml:space="preserve"> Different shades of green deception. Greenwashing’s adverse effects on corporate image and credibility (Koch and Denner, 2025)</w:t>
      </w:r>
    </w:p>
    <w:p w:rsidR="2EA5F603" w:rsidP="2EA5F603" w:rsidRDefault="2EA5F603" w14:paraId="6FE42DE0" w14:textId="7093721D">
      <w:pPr>
        <w:pStyle w:val="Normal"/>
      </w:pPr>
    </w:p>
    <w:p w:rsidR="2EA5F603" w:rsidP="2EA5F603" w:rsidRDefault="2EA5F603" w14:paraId="2617F222" w14:textId="736A1EA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XcoHiU/OL7p+M" int2:id="RyYBR0UU">
      <int2:state int2:type="spell" int2:value="Rejected"/>
    </int2:textHash>
    <int2:textHash int2:hashCode="mXqBGK8iI0Rbjb" int2:id="YBMJx7mB">
      <int2:state int2:type="spell" int2:value="Rejected"/>
    </int2:textHash>
    <int2:textHash int2:hashCode="rft8Ihc0iIQZYN" int2:id="WwdUjjt1">
      <int2:state int2:type="spell" int2:value="Rejected"/>
    </int2:textHash>
    <int2:textHash int2:hashCode="8kCMmsU/VwT6j6" int2:id="8hSloTOU">
      <int2:state int2:type="spell" int2:value="Rejected"/>
    </int2:textHash>
    <int2:textHash int2:hashCode="rbZZ4Op4AEyDns" int2:id="bRjbPF4W">
      <int2:state int2:type="spell" int2:value="Rejected"/>
    </int2:textHash>
    <int2:textHash int2:hashCode="GYQzf8qPd+twSl" int2:id="oGBLIwgs">
      <int2:state int2:type="spell" int2:value="Rejected"/>
    </int2:textHash>
    <int2:textHash int2:hashCode="u8zfLvsztS5snQ" int2:id="UsrVhUkJ">
      <int2:state int2:type="spell" int2:value="Rejected"/>
    </int2:textHash>
    <int2:textHash int2:hashCode="SLWK1Rg25GSV9v" int2:id="y035CJ2n">
      <int2:state int2:type="spell" int2:value="Rejected"/>
    </int2:textHash>
    <int2:bookmark int2:bookmarkName="_Int_Wb8JWP3X" int2:invalidationBookmarkName="" int2:hashCode="ejK5vQHbUD1iLG" int2:id="JwrUfLn8">
      <int2:state int2:type="style" int2:value="Rejected"/>
    </int2:bookmark>
    <int2:bookmark int2:bookmarkName="_Int_ZWmiEbHC" int2:invalidationBookmarkName="" int2:hashCode="hckFrYpTofN9UZ" int2:id="qQdEbhYl">
      <int2:state int2:type="gram" int2:value="Rejected"/>
    </int2:bookmark>
    <int2:bookmark int2:bookmarkName="_Int_e3Rcup2S" int2:invalidationBookmarkName="" int2:hashCode="Qd/BiKZXCGOR2E" int2:id="eSW03wrj">
      <int2:state int2:type="gram" int2:value="Rejected"/>
    </int2:bookmark>
    <int2:bookmark int2:bookmarkName="_Int_SD7rgPc8" int2:invalidationBookmarkName="" int2:hashCode="hC28bzfjh/K0tT" int2:id="vGamsqTv">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858b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09F9E1"/>
    <w:rsid w:val="00D6F0D9"/>
    <w:rsid w:val="00EA12F9"/>
    <w:rsid w:val="03C1217A"/>
    <w:rsid w:val="0B3D2DEA"/>
    <w:rsid w:val="0BD7DB5F"/>
    <w:rsid w:val="0C9C51B8"/>
    <w:rsid w:val="0D015AC2"/>
    <w:rsid w:val="1176EA01"/>
    <w:rsid w:val="1358B7EA"/>
    <w:rsid w:val="14F4BD23"/>
    <w:rsid w:val="17A670B5"/>
    <w:rsid w:val="186F5AB8"/>
    <w:rsid w:val="19D13688"/>
    <w:rsid w:val="1B119338"/>
    <w:rsid w:val="1B973BBB"/>
    <w:rsid w:val="1C43B473"/>
    <w:rsid w:val="1DB405B3"/>
    <w:rsid w:val="1E9677E6"/>
    <w:rsid w:val="1FF759C5"/>
    <w:rsid w:val="2049DDFC"/>
    <w:rsid w:val="22C97557"/>
    <w:rsid w:val="23E133CB"/>
    <w:rsid w:val="267170B0"/>
    <w:rsid w:val="2791A27E"/>
    <w:rsid w:val="27BBDACC"/>
    <w:rsid w:val="284BC11A"/>
    <w:rsid w:val="29C28169"/>
    <w:rsid w:val="2A18B8D3"/>
    <w:rsid w:val="2C8B1823"/>
    <w:rsid w:val="2EA5F603"/>
    <w:rsid w:val="2EEA1F43"/>
    <w:rsid w:val="2EEF2B68"/>
    <w:rsid w:val="30021108"/>
    <w:rsid w:val="30F682F4"/>
    <w:rsid w:val="326A93FF"/>
    <w:rsid w:val="335A06E2"/>
    <w:rsid w:val="342B1B58"/>
    <w:rsid w:val="34D31D23"/>
    <w:rsid w:val="3546253A"/>
    <w:rsid w:val="35B71FBE"/>
    <w:rsid w:val="35E1BF73"/>
    <w:rsid w:val="37BF6D95"/>
    <w:rsid w:val="39A7445E"/>
    <w:rsid w:val="39D36686"/>
    <w:rsid w:val="39DB1F25"/>
    <w:rsid w:val="3BBFDF61"/>
    <w:rsid w:val="3EF0C720"/>
    <w:rsid w:val="40C7CC91"/>
    <w:rsid w:val="43A613D9"/>
    <w:rsid w:val="4606E3F8"/>
    <w:rsid w:val="48504E3A"/>
    <w:rsid w:val="48BC0B03"/>
    <w:rsid w:val="498D8B12"/>
    <w:rsid w:val="4A385CF0"/>
    <w:rsid w:val="4B708CAD"/>
    <w:rsid w:val="4C3394C0"/>
    <w:rsid w:val="4D0FB56D"/>
    <w:rsid w:val="4E3A3EDB"/>
    <w:rsid w:val="52E5D64D"/>
    <w:rsid w:val="53467A50"/>
    <w:rsid w:val="5363779B"/>
    <w:rsid w:val="5490154C"/>
    <w:rsid w:val="55D94440"/>
    <w:rsid w:val="56A74268"/>
    <w:rsid w:val="57DB831C"/>
    <w:rsid w:val="58682A71"/>
    <w:rsid w:val="59ED486E"/>
    <w:rsid w:val="5A0915D7"/>
    <w:rsid w:val="5A75FB69"/>
    <w:rsid w:val="5C94CDFA"/>
    <w:rsid w:val="600F7406"/>
    <w:rsid w:val="610C3D2F"/>
    <w:rsid w:val="622920AA"/>
    <w:rsid w:val="6309F9E1"/>
    <w:rsid w:val="64646D5D"/>
    <w:rsid w:val="64777516"/>
    <w:rsid w:val="64AEE340"/>
    <w:rsid w:val="64FF52E4"/>
    <w:rsid w:val="66927C70"/>
    <w:rsid w:val="66CBB6DF"/>
    <w:rsid w:val="67207F4D"/>
    <w:rsid w:val="6762C500"/>
    <w:rsid w:val="6819CC97"/>
    <w:rsid w:val="688DC4F2"/>
    <w:rsid w:val="695B516E"/>
    <w:rsid w:val="6981450D"/>
    <w:rsid w:val="69912DC2"/>
    <w:rsid w:val="6AB76367"/>
    <w:rsid w:val="6F0A0F06"/>
    <w:rsid w:val="7408C073"/>
    <w:rsid w:val="75D764E0"/>
    <w:rsid w:val="77A27510"/>
    <w:rsid w:val="78C32A02"/>
    <w:rsid w:val="7A58EBD1"/>
    <w:rsid w:val="7C09AACC"/>
    <w:rsid w:val="7E91AF8A"/>
    <w:rsid w:val="7F1CC5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F9E1"/>
  <w15:chartTrackingRefBased/>
  <w15:docId w15:val="{75D8B019-B558-4185-B8AC-E62BCE4892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EA5F60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59809955" /><Relationship Type="http://schemas.microsoft.com/office/2020/10/relationships/intelligence" Target="intelligence2.xml" Id="R1c60470827f94d97" /><Relationship Type="http://schemas.openxmlformats.org/officeDocument/2006/relationships/numbering" Target="numbering.xml" Id="Rcb80df3096ca4d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2025-11-13T16:20:25.2869035Z</dcterms:created>
  <dcterms:modified xsi:type="dcterms:W3CDTF">2025-11-13T22:50:29.9227544Z</dcterms:modified>
  <dc:creator>Luis Jonatan Osegueda Aguirre (2433090)</dc:creator>
  <lastModifiedBy>Luis Jonatan Osegueda Aguirre (2433090)</lastModifiedBy>
</coreProperties>
</file>