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9004C" w14:textId="77777777" w:rsidR="008C3A12" w:rsidRDefault="008C3A12" w:rsidP="008C3A12">
      <w:pPr>
        <w:spacing w:line="259" w:lineRule="auto"/>
        <w:jc w:val="center"/>
        <w:rPr>
          <w:b/>
          <w:bCs/>
          <w:sz w:val="36"/>
          <w:szCs w:val="36"/>
        </w:rPr>
      </w:pPr>
    </w:p>
    <w:p w14:paraId="625D3727" w14:textId="77777777" w:rsidR="008C3A12" w:rsidRDefault="008C3A12" w:rsidP="008C3A12">
      <w:pPr>
        <w:spacing w:line="259" w:lineRule="auto"/>
        <w:jc w:val="center"/>
        <w:rPr>
          <w:b/>
          <w:bCs/>
          <w:sz w:val="36"/>
          <w:szCs w:val="36"/>
        </w:rPr>
      </w:pPr>
    </w:p>
    <w:p w14:paraId="2D19C150" w14:textId="77777777" w:rsidR="008C3A12" w:rsidRDefault="008C3A12" w:rsidP="008C3A12">
      <w:pPr>
        <w:spacing w:line="259" w:lineRule="auto"/>
        <w:jc w:val="center"/>
        <w:rPr>
          <w:b/>
          <w:bCs/>
          <w:sz w:val="36"/>
          <w:szCs w:val="36"/>
        </w:rPr>
      </w:pPr>
    </w:p>
    <w:p w14:paraId="5019F45A" w14:textId="77777777" w:rsidR="008C3A12" w:rsidRDefault="008C3A12" w:rsidP="008C3A12">
      <w:pPr>
        <w:spacing w:line="259" w:lineRule="auto"/>
        <w:jc w:val="center"/>
        <w:rPr>
          <w:b/>
          <w:bCs/>
          <w:sz w:val="36"/>
          <w:szCs w:val="36"/>
        </w:rPr>
      </w:pPr>
    </w:p>
    <w:p w14:paraId="0EBFF5D1" w14:textId="77777777" w:rsidR="008C3A12" w:rsidRPr="008C3A12" w:rsidRDefault="00000000" w:rsidP="008C3A12">
      <w:pPr>
        <w:spacing w:line="259" w:lineRule="auto"/>
        <w:jc w:val="center"/>
        <w:rPr>
          <w:b/>
          <w:bCs/>
          <w:sz w:val="36"/>
          <w:szCs w:val="36"/>
        </w:rPr>
      </w:pPr>
      <w:r w:rsidRPr="008C3A12">
        <w:rPr>
          <w:b/>
          <w:bCs/>
          <w:sz w:val="36"/>
          <w:szCs w:val="36"/>
        </w:rPr>
        <w:t>Module Title</w:t>
      </w:r>
      <w:r>
        <w:rPr>
          <w:b/>
          <w:bCs/>
          <w:sz w:val="36"/>
          <w:szCs w:val="36"/>
        </w:rPr>
        <w:t xml:space="preserve">: </w:t>
      </w:r>
      <w:r w:rsidRPr="008C3A12">
        <w:rPr>
          <w:b/>
          <w:bCs/>
          <w:sz w:val="36"/>
          <w:szCs w:val="36"/>
        </w:rPr>
        <w:t>Community Engagement</w:t>
      </w:r>
    </w:p>
    <w:p w14:paraId="75461396" w14:textId="77777777" w:rsidR="008C3A12" w:rsidRPr="008C3A12" w:rsidRDefault="00000000" w:rsidP="00C71113">
      <w:pPr>
        <w:spacing w:line="259" w:lineRule="auto"/>
        <w:jc w:val="center"/>
        <w:rPr>
          <w:b/>
          <w:bCs/>
          <w:sz w:val="36"/>
          <w:szCs w:val="36"/>
        </w:rPr>
      </w:pPr>
      <w:r w:rsidRPr="008C3A12">
        <w:rPr>
          <w:b/>
          <w:bCs/>
          <w:sz w:val="36"/>
          <w:szCs w:val="36"/>
        </w:rPr>
        <w:t>Module Code:</w:t>
      </w:r>
      <w:r>
        <w:t xml:space="preserve"> </w:t>
      </w:r>
      <w:r w:rsidRPr="008C3A12">
        <w:rPr>
          <w:b/>
          <w:bCs/>
          <w:sz w:val="36"/>
          <w:szCs w:val="36"/>
        </w:rPr>
        <w:t>LCBB4002</w:t>
      </w:r>
    </w:p>
    <w:p w14:paraId="1C6A5855" w14:textId="77777777" w:rsidR="008C3A12" w:rsidRPr="008C3A12" w:rsidRDefault="008C3A12" w:rsidP="00C71113">
      <w:pPr>
        <w:spacing w:line="259" w:lineRule="auto"/>
        <w:rPr>
          <w:b/>
          <w:bCs/>
          <w:sz w:val="36"/>
          <w:szCs w:val="36"/>
        </w:rPr>
      </w:pPr>
    </w:p>
    <w:p w14:paraId="36CB6BA7" w14:textId="77777777" w:rsidR="008C3A12" w:rsidRPr="008C3A12" w:rsidRDefault="00000000" w:rsidP="00C71113">
      <w:pPr>
        <w:spacing w:line="259" w:lineRule="auto"/>
        <w:rPr>
          <w:b/>
          <w:bCs/>
          <w:sz w:val="36"/>
          <w:szCs w:val="36"/>
        </w:rPr>
      </w:pPr>
      <w:r>
        <w:rPr>
          <w:b/>
          <w:bCs/>
          <w:noProof/>
          <w:sz w:val="36"/>
          <w:szCs w:val="36"/>
        </w:rPr>
        <w:drawing>
          <wp:inline distT="0" distB="0" distL="0" distR="0" wp14:anchorId="7D00590F" wp14:editId="116588E4">
            <wp:extent cx="5676900" cy="2980373"/>
            <wp:effectExtent l="19050" t="19050" r="19050" b="10795"/>
            <wp:docPr id="1020601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601595"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89873" cy="2987184"/>
                    </a:xfrm>
                    <a:prstGeom prst="rect">
                      <a:avLst/>
                    </a:prstGeom>
                    <a:noFill/>
                    <a:ln>
                      <a:solidFill>
                        <a:schemeClr val="tx1"/>
                      </a:solidFill>
                    </a:ln>
                  </pic:spPr>
                </pic:pic>
              </a:graphicData>
            </a:graphic>
          </wp:inline>
        </w:drawing>
      </w:r>
    </w:p>
    <w:p w14:paraId="34EDB70B" w14:textId="77777777" w:rsidR="008C3A12" w:rsidRPr="008C3A12" w:rsidRDefault="008C3A12" w:rsidP="00C71113">
      <w:pPr>
        <w:spacing w:line="259" w:lineRule="auto"/>
        <w:rPr>
          <w:b/>
          <w:bCs/>
          <w:sz w:val="36"/>
          <w:szCs w:val="36"/>
        </w:rPr>
      </w:pPr>
    </w:p>
    <w:p w14:paraId="53BE1CB5" w14:textId="77777777" w:rsidR="00F815A6" w:rsidRDefault="00F815A6" w:rsidP="00F815A6">
      <w:pPr>
        <w:spacing w:line="256" w:lineRule="auto"/>
        <w:jc w:val="center"/>
        <w:rPr>
          <w:b/>
          <w:bCs/>
          <w:sz w:val="32"/>
          <w:szCs w:val="32"/>
        </w:rPr>
      </w:pPr>
      <w:r>
        <w:rPr>
          <w:b/>
          <w:bCs/>
          <w:sz w:val="32"/>
          <w:szCs w:val="32"/>
        </w:rPr>
        <w:t>Student Name: Marius Boldeanu</w:t>
      </w:r>
    </w:p>
    <w:p w14:paraId="17E6223B" w14:textId="3F601C27" w:rsidR="0040223A" w:rsidRDefault="00F815A6" w:rsidP="00F815A6">
      <w:pPr>
        <w:spacing w:line="259" w:lineRule="auto"/>
        <w:jc w:val="center"/>
        <w:rPr>
          <w:rFonts w:eastAsiaTheme="majorEastAsia" w:cstheme="majorBidi"/>
          <w:b/>
          <w:sz w:val="28"/>
          <w:szCs w:val="32"/>
        </w:rPr>
      </w:pPr>
      <w:r>
        <w:rPr>
          <w:b/>
          <w:bCs/>
          <w:kern w:val="0"/>
          <w:sz w:val="32"/>
          <w:szCs w:val="32"/>
          <w14:ligatures w14:val="none"/>
        </w:rPr>
        <w:t>Student ID: 2224837</w:t>
      </w:r>
      <w:r w:rsidR="00000000">
        <w:br w:type="page"/>
      </w:r>
    </w:p>
    <w:sdt>
      <w:sdtPr>
        <w:rPr>
          <w:rFonts w:ascii="Times New Roman" w:eastAsiaTheme="minorHAnsi" w:hAnsi="Times New Roman" w:cstheme="minorBidi"/>
          <w:color w:val="000000" w:themeColor="text1"/>
          <w:kern w:val="2"/>
          <w:sz w:val="24"/>
          <w:szCs w:val="22"/>
          <w:lang w:val="en-IN"/>
          <w14:ligatures w14:val="standardContextual"/>
        </w:rPr>
        <w:id w:val="1367100656"/>
        <w:docPartObj>
          <w:docPartGallery w:val="Table of Contents"/>
          <w:docPartUnique/>
        </w:docPartObj>
      </w:sdtPr>
      <w:sdtEndPr>
        <w:rPr>
          <w:b/>
          <w:bCs/>
          <w:noProof/>
        </w:rPr>
      </w:sdtEndPr>
      <w:sdtContent>
        <w:p w14:paraId="72BBE522" w14:textId="77777777" w:rsidR="0040223A" w:rsidRPr="0040223A" w:rsidRDefault="00000000" w:rsidP="0040223A">
          <w:pPr>
            <w:pStyle w:val="TOCHeading"/>
            <w:jc w:val="center"/>
            <w:rPr>
              <w:rFonts w:ascii="Times New Roman" w:hAnsi="Times New Roman" w:cs="Times New Roman"/>
              <w:b/>
              <w:bCs/>
              <w:color w:val="000000" w:themeColor="text1"/>
              <w:sz w:val="28"/>
              <w:szCs w:val="28"/>
            </w:rPr>
          </w:pPr>
          <w:r w:rsidRPr="0040223A">
            <w:rPr>
              <w:rFonts w:ascii="Times New Roman" w:hAnsi="Times New Roman" w:cs="Times New Roman"/>
              <w:b/>
              <w:bCs/>
              <w:color w:val="000000" w:themeColor="text1"/>
              <w:sz w:val="28"/>
              <w:szCs w:val="28"/>
            </w:rPr>
            <w:t>Table of Contents</w:t>
          </w:r>
        </w:p>
        <w:p w14:paraId="2D522FEE" w14:textId="77777777" w:rsidR="0040223A" w:rsidRDefault="00000000">
          <w:pPr>
            <w:pStyle w:val="TOC1"/>
            <w:tabs>
              <w:tab w:val="right" w:leader="dot" w:pos="9016"/>
            </w:tabs>
            <w:rPr>
              <w:noProof/>
            </w:rPr>
          </w:pPr>
          <w:r>
            <w:fldChar w:fldCharType="begin"/>
          </w:r>
          <w:r>
            <w:instrText xml:space="preserve"> TOC \o "1-3" \h \z \u </w:instrText>
          </w:r>
          <w:r>
            <w:fldChar w:fldCharType="separate"/>
          </w:r>
          <w:hyperlink w:anchor="_Toc139203532" w:history="1">
            <w:r w:rsidRPr="00342333">
              <w:rPr>
                <w:rStyle w:val="Hyperlink"/>
                <w:noProof/>
              </w:rPr>
              <w:t>1. Introduction</w:t>
            </w:r>
            <w:r>
              <w:rPr>
                <w:noProof/>
                <w:webHidden/>
              </w:rPr>
              <w:tab/>
            </w:r>
            <w:r>
              <w:rPr>
                <w:noProof/>
                <w:webHidden/>
              </w:rPr>
              <w:fldChar w:fldCharType="begin"/>
            </w:r>
            <w:r>
              <w:rPr>
                <w:noProof/>
                <w:webHidden/>
              </w:rPr>
              <w:instrText xml:space="preserve"> PAGEREF _Toc139203532 \h </w:instrText>
            </w:r>
            <w:r>
              <w:rPr>
                <w:noProof/>
                <w:webHidden/>
              </w:rPr>
            </w:r>
            <w:r>
              <w:rPr>
                <w:noProof/>
                <w:webHidden/>
              </w:rPr>
              <w:fldChar w:fldCharType="separate"/>
            </w:r>
            <w:r>
              <w:rPr>
                <w:noProof/>
                <w:webHidden/>
              </w:rPr>
              <w:t>3</w:t>
            </w:r>
            <w:r>
              <w:rPr>
                <w:noProof/>
                <w:webHidden/>
              </w:rPr>
              <w:fldChar w:fldCharType="end"/>
            </w:r>
          </w:hyperlink>
        </w:p>
        <w:p w14:paraId="45058A90" w14:textId="77777777" w:rsidR="0040223A" w:rsidRDefault="00000000">
          <w:pPr>
            <w:pStyle w:val="TOC1"/>
            <w:tabs>
              <w:tab w:val="right" w:leader="dot" w:pos="9016"/>
            </w:tabs>
            <w:rPr>
              <w:noProof/>
            </w:rPr>
          </w:pPr>
          <w:hyperlink w:anchor="_Toc139203533" w:history="1">
            <w:r w:rsidRPr="00342333">
              <w:rPr>
                <w:rStyle w:val="Hyperlink"/>
                <w:noProof/>
              </w:rPr>
              <w:t>2. Comprehensive Assessment of Community Engagement</w:t>
            </w:r>
            <w:r>
              <w:rPr>
                <w:noProof/>
                <w:webHidden/>
              </w:rPr>
              <w:tab/>
            </w:r>
            <w:r>
              <w:rPr>
                <w:noProof/>
                <w:webHidden/>
              </w:rPr>
              <w:fldChar w:fldCharType="begin"/>
            </w:r>
            <w:r>
              <w:rPr>
                <w:noProof/>
                <w:webHidden/>
              </w:rPr>
              <w:instrText xml:space="preserve"> PAGEREF _Toc139203533 \h </w:instrText>
            </w:r>
            <w:r>
              <w:rPr>
                <w:noProof/>
                <w:webHidden/>
              </w:rPr>
            </w:r>
            <w:r>
              <w:rPr>
                <w:noProof/>
                <w:webHidden/>
              </w:rPr>
              <w:fldChar w:fldCharType="separate"/>
            </w:r>
            <w:r>
              <w:rPr>
                <w:noProof/>
                <w:webHidden/>
              </w:rPr>
              <w:t>4</w:t>
            </w:r>
            <w:r>
              <w:rPr>
                <w:noProof/>
                <w:webHidden/>
              </w:rPr>
              <w:fldChar w:fldCharType="end"/>
            </w:r>
          </w:hyperlink>
        </w:p>
        <w:p w14:paraId="00A18CA2" w14:textId="77777777" w:rsidR="0040223A" w:rsidRDefault="00000000">
          <w:pPr>
            <w:pStyle w:val="TOC2"/>
            <w:tabs>
              <w:tab w:val="right" w:leader="dot" w:pos="9016"/>
            </w:tabs>
            <w:rPr>
              <w:noProof/>
            </w:rPr>
          </w:pPr>
          <w:hyperlink w:anchor="_Toc139203534" w:history="1">
            <w:r w:rsidRPr="00342333">
              <w:rPr>
                <w:rStyle w:val="Hyperlink"/>
                <w:noProof/>
              </w:rPr>
              <w:t>2.1. Community Engagement Principles</w:t>
            </w:r>
            <w:r>
              <w:rPr>
                <w:noProof/>
                <w:webHidden/>
              </w:rPr>
              <w:tab/>
            </w:r>
            <w:r>
              <w:rPr>
                <w:noProof/>
                <w:webHidden/>
              </w:rPr>
              <w:fldChar w:fldCharType="begin"/>
            </w:r>
            <w:r>
              <w:rPr>
                <w:noProof/>
                <w:webHidden/>
              </w:rPr>
              <w:instrText xml:space="preserve"> PAGEREF _Toc139203534 \h </w:instrText>
            </w:r>
            <w:r>
              <w:rPr>
                <w:noProof/>
                <w:webHidden/>
              </w:rPr>
            </w:r>
            <w:r>
              <w:rPr>
                <w:noProof/>
                <w:webHidden/>
              </w:rPr>
              <w:fldChar w:fldCharType="separate"/>
            </w:r>
            <w:r>
              <w:rPr>
                <w:noProof/>
                <w:webHidden/>
              </w:rPr>
              <w:t>4</w:t>
            </w:r>
            <w:r>
              <w:rPr>
                <w:noProof/>
                <w:webHidden/>
              </w:rPr>
              <w:fldChar w:fldCharType="end"/>
            </w:r>
          </w:hyperlink>
        </w:p>
        <w:p w14:paraId="509CDFEB" w14:textId="77777777" w:rsidR="0040223A" w:rsidRDefault="00000000">
          <w:pPr>
            <w:pStyle w:val="TOC2"/>
            <w:tabs>
              <w:tab w:val="right" w:leader="dot" w:pos="9016"/>
            </w:tabs>
            <w:rPr>
              <w:noProof/>
            </w:rPr>
          </w:pPr>
          <w:hyperlink w:anchor="_Toc139203535" w:history="1">
            <w:r w:rsidRPr="00342333">
              <w:rPr>
                <w:rStyle w:val="Hyperlink"/>
                <w:noProof/>
              </w:rPr>
              <w:t>2.2. Planning and Design</w:t>
            </w:r>
            <w:r>
              <w:rPr>
                <w:noProof/>
                <w:webHidden/>
              </w:rPr>
              <w:tab/>
            </w:r>
            <w:r>
              <w:rPr>
                <w:noProof/>
                <w:webHidden/>
              </w:rPr>
              <w:fldChar w:fldCharType="begin"/>
            </w:r>
            <w:r>
              <w:rPr>
                <w:noProof/>
                <w:webHidden/>
              </w:rPr>
              <w:instrText xml:space="preserve"> PAGEREF _Toc139203535 \h </w:instrText>
            </w:r>
            <w:r>
              <w:rPr>
                <w:noProof/>
                <w:webHidden/>
              </w:rPr>
            </w:r>
            <w:r>
              <w:rPr>
                <w:noProof/>
                <w:webHidden/>
              </w:rPr>
              <w:fldChar w:fldCharType="separate"/>
            </w:r>
            <w:r>
              <w:rPr>
                <w:noProof/>
                <w:webHidden/>
              </w:rPr>
              <w:t>5</w:t>
            </w:r>
            <w:r>
              <w:rPr>
                <w:noProof/>
                <w:webHidden/>
              </w:rPr>
              <w:fldChar w:fldCharType="end"/>
            </w:r>
          </w:hyperlink>
        </w:p>
        <w:p w14:paraId="2D4715A3" w14:textId="77777777" w:rsidR="0040223A" w:rsidRDefault="00000000">
          <w:pPr>
            <w:pStyle w:val="TOC2"/>
            <w:tabs>
              <w:tab w:val="right" w:leader="dot" w:pos="9016"/>
            </w:tabs>
            <w:rPr>
              <w:noProof/>
            </w:rPr>
          </w:pPr>
          <w:hyperlink w:anchor="_Toc139203536" w:history="1">
            <w:r w:rsidRPr="00342333">
              <w:rPr>
                <w:rStyle w:val="Hyperlink"/>
                <w:noProof/>
              </w:rPr>
              <w:t>2.3. Standards</w:t>
            </w:r>
            <w:r>
              <w:rPr>
                <w:noProof/>
                <w:webHidden/>
              </w:rPr>
              <w:tab/>
            </w:r>
            <w:r>
              <w:rPr>
                <w:noProof/>
                <w:webHidden/>
              </w:rPr>
              <w:fldChar w:fldCharType="begin"/>
            </w:r>
            <w:r>
              <w:rPr>
                <w:noProof/>
                <w:webHidden/>
              </w:rPr>
              <w:instrText xml:space="preserve"> PAGEREF _Toc139203536 \h </w:instrText>
            </w:r>
            <w:r>
              <w:rPr>
                <w:noProof/>
                <w:webHidden/>
              </w:rPr>
            </w:r>
            <w:r>
              <w:rPr>
                <w:noProof/>
                <w:webHidden/>
              </w:rPr>
              <w:fldChar w:fldCharType="separate"/>
            </w:r>
            <w:r>
              <w:rPr>
                <w:noProof/>
                <w:webHidden/>
              </w:rPr>
              <w:t>7</w:t>
            </w:r>
            <w:r>
              <w:rPr>
                <w:noProof/>
                <w:webHidden/>
              </w:rPr>
              <w:fldChar w:fldCharType="end"/>
            </w:r>
          </w:hyperlink>
        </w:p>
        <w:p w14:paraId="1B15D64C" w14:textId="77777777" w:rsidR="0040223A" w:rsidRDefault="00000000">
          <w:pPr>
            <w:pStyle w:val="TOC2"/>
            <w:tabs>
              <w:tab w:val="right" w:leader="dot" w:pos="9016"/>
            </w:tabs>
            <w:rPr>
              <w:noProof/>
            </w:rPr>
          </w:pPr>
          <w:hyperlink w:anchor="_Toc139203537" w:history="1">
            <w:r w:rsidRPr="00342333">
              <w:rPr>
                <w:rStyle w:val="Hyperlink"/>
                <w:noProof/>
              </w:rPr>
              <w:t>2.4. Evaluation and Impact</w:t>
            </w:r>
            <w:r>
              <w:rPr>
                <w:noProof/>
                <w:webHidden/>
              </w:rPr>
              <w:tab/>
            </w:r>
            <w:r>
              <w:rPr>
                <w:noProof/>
                <w:webHidden/>
              </w:rPr>
              <w:fldChar w:fldCharType="begin"/>
            </w:r>
            <w:r>
              <w:rPr>
                <w:noProof/>
                <w:webHidden/>
              </w:rPr>
              <w:instrText xml:space="preserve"> PAGEREF _Toc139203537 \h </w:instrText>
            </w:r>
            <w:r>
              <w:rPr>
                <w:noProof/>
                <w:webHidden/>
              </w:rPr>
            </w:r>
            <w:r>
              <w:rPr>
                <w:noProof/>
                <w:webHidden/>
              </w:rPr>
              <w:fldChar w:fldCharType="separate"/>
            </w:r>
            <w:r>
              <w:rPr>
                <w:noProof/>
                <w:webHidden/>
              </w:rPr>
              <w:t>8</w:t>
            </w:r>
            <w:r>
              <w:rPr>
                <w:noProof/>
                <w:webHidden/>
              </w:rPr>
              <w:fldChar w:fldCharType="end"/>
            </w:r>
          </w:hyperlink>
        </w:p>
        <w:p w14:paraId="2FCAF169" w14:textId="77777777" w:rsidR="0040223A" w:rsidRDefault="00000000">
          <w:pPr>
            <w:pStyle w:val="TOC1"/>
            <w:tabs>
              <w:tab w:val="right" w:leader="dot" w:pos="9016"/>
            </w:tabs>
            <w:rPr>
              <w:noProof/>
            </w:rPr>
          </w:pPr>
          <w:hyperlink w:anchor="_Toc139203538" w:history="1">
            <w:r w:rsidRPr="00342333">
              <w:rPr>
                <w:rStyle w:val="Hyperlink"/>
                <w:noProof/>
              </w:rPr>
              <w:t>3. Conclusion</w:t>
            </w:r>
            <w:r>
              <w:rPr>
                <w:noProof/>
                <w:webHidden/>
              </w:rPr>
              <w:tab/>
            </w:r>
            <w:r>
              <w:rPr>
                <w:noProof/>
                <w:webHidden/>
              </w:rPr>
              <w:fldChar w:fldCharType="begin"/>
            </w:r>
            <w:r>
              <w:rPr>
                <w:noProof/>
                <w:webHidden/>
              </w:rPr>
              <w:instrText xml:space="preserve"> PAGEREF _Toc139203538 \h </w:instrText>
            </w:r>
            <w:r>
              <w:rPr>
                <w:noProof/>
                <w:webHidden/>
              </w:rPr>
            </w:r>
            <w:r>
              <w:rPr>
                <w:noProof/>
                <w:webHidden/>
              </w:rPr>
              <w:fldChar w:fldCharType="separate"/>
            </w:r>
            <w:r>
              <w:rPr>
                <w:noProof/>
                <w:webHidden/>
              </w:rPr>
              <w:t>9</w:t>
            </w:r>
            <w:r>
              <w:rPr>
                <w:noProof/>
                <w:webHidden/>
              </w:rPr>
              <w:fldChar w:fldCharType="end"/>
            </w:r>
          </w:hyperlink>
        </w:p>
        <w:p w14:paraId="179C0DC8" w14:textId="77777777" w:rsidR="0040223A" w:rsidRDefault="00000000">
          <w:pPr>
            <w:pStyle w:val="TOC1"/>
            <w:tabs>
              <w:tab w:val="right" w:leader="dot" w:pos="9016"/>
            </w:tabs>
            <w:rPr>
              <w:noProof/>
            </w:rPr>
          </w:pPr>
          <w:hyperlink w:anchor="_Toc139203539" w:history="1">
            <w:r w:rsidRPr="00342333">
              <w:rPr>
                <w:rStyle w:val="Hyperlink"/>
                <w:noProof/>
              </w:rPr>
              <w:t>4. Reference List</w:t>
            </w:r>
            <w:r>
              <w:rPr>
                <w:noProof/>
                <w:webHidden/>
              </w:rPr>
              <w:tab/>
            </w:r>
            <w:r>
              <w:rPr>
                <w:noProof/>
                <w:webHidden/>
              </w:rPr>
              <w:fldChar w:fldCharType="begin"/>
            </w:r>
            <w:r>
              <w:rPr>
                <w:noProof/>
                <w:webHidden/>
              </w:rPr>
              <w:instrText xml:space="preserve"> PAGEREF _Toc139203539 \h </w:instrText>
            </w:r>
            <w:r>
              <w:rPr>
                <w:noProof/>
                <w:webHidden/>
              </w:rPr>
            </w:r>
            <w:r>
              <w:rPr>
                <w:noProof/>
                <w:webHidden/>
              </w:rPr>
              <w:fldChar w:fldCharType="separate"/>
            </w:r>
            <w:r>
              <w:rPr>
                <w:noProof/>
                <w:webHidden/>
              </w:rPr>
              <w:t>11</w:t>
            </w:r>
            <w:r>
              <w:rPr>
                <w:noProof/>
                <w:webHidden/>
              </w:rPr>
              <w:fldChar w:fldCharType="end"/>
            </w:r>
          </w:hyperlink>
        </w:p>
        <w:p w14:paraId="58C973D1" w14:textId="77777777" w:rsidR="0040223A" w:rsidRDefault="00000000">
          <w:pPr>
            <w:pStyle w:val="TOC1"/>
            <w:tabs>
              <w:tab w:val="right" w:leader="dot" w:pos="9016"/>
            </w:tabs>
            <w:rPr>
              <w:noProof/>
            </w:rPr>
          </w:pPr>
          <w:hyperlink w:anchor="_Toc139203540" w:history="1">
            <w:r w:rsidRPr="00342333">
              <w:rPr>
                <w:rStyle w:val="Hyperlink"/>
                <w:noProof/>
                <w:shd w:val="clear" w:color="auto" w:fill="FFFFFF"/>
              </w:rPr>
              <w:t>5. Appendices</w:t>
            </w:r>
            <w:r>
              <w:rPr>
                <w:noProof/>
                <w:webHidden/>
              </w:rPr>
              <w:tab/>
            </w:r>
            <w:r>
              <w:rPr>
                <w:noProof/>
                <w:webHidden/>
              </w:rPr>
              <w:fldChar w:fldCharType="begin"/>
            </w:r>
            <w:r>
              <w:rPr>
                <w:noProof/>
                <w:webHidden/>
              </w:rPr>
              <w:instrText xml:space="preserve"> PAGEREF _Toc139203540 \h </w:instrText>
            </w:r>
            <w:r>
              <w:rPr>
                <w:noProof/>
                <w:webHidden/>
              </w:rPr>
            </w:r>
            <w:r>
              <w:rPr>
                <w:noProof/>
                <w:webHidden/>
              </w:rPr>
              <w:fldChar w:fldCharType="separate"/>
            </w:r>
            <w:r>
              <w:rPr>
                <w:noProof/>
                <w:webHidden/>
              </w:rPr>
              <w:t>13</w:t>
            </w:r>
            <w:r>
              <w:rPr>
                <w:noProof/>
                <w:webHidden/>
              </w:rPr>
              <w:fldChar w:fldCharType="end"/>
            </w:r>
          </w:hyperlink>
        </w:p>
        <w:p w14:paraId="436D01AD" w14:textId="77777777" w:rsidR="0040223A" w:rsidRDefault="00000000">
          <w:pPr>
            <w:pStyle w:val="TOC2"/>
            <w:tabs>
              <w:tab w:val="right" w:leader="dot" w:pos="9016"/>
            </w:tabs>
            <w:rPr>
              <w:noProof/>
            </w:rPr>
          </w:pPr>
          <w:hyperlink w:anchor="_Toc139203541" w:history="1">
            <w:r w:rsidRPr="00342333">
              <w:rPr>
                <w:rStyle w:val="Hyperlink"/>
                <w:noProof/>
                <w:shd w:val="clear" w:color="auto" w:fill="FFFFFF"/>
              </w:rPr>
              <w:t>5.1. Appendix 1</w:t>
            </w:r>
            <w:r>
              <w:rPr>
                <w:noProof/>
                <w:webHidden/>
              </w:rPr>
              <w:tab/>
            </w:r>
            <w:r>
              <w:rPr>
                <w:noProof/>
                <w:webHidden/>
              </w:rPr>
              <w:fldChar w:fldCharType="begin"/>
            </w:r>
            <w:r>
              <w:rPr>
                <w:noProof/>
                <w:webHidden/>
              </w:rPr>
              <w:instrText xml:space="preserve"> PAGEREF _Toc139203541 \h </w:instrText>
            </w:r>
            <w:r>
              <w:rPr>
                <w:noProof/>
                <w:webHidden/>
              </w:rPr>
            </w:r>
            <w:r>
              <w:rPr>
                <w:noProof/>
                <w:webHidden/>
              </w:rPr>
              <w:fldChar w:fldCharType="separate"/>
            </w:r>
            <w:r>
              <w:rPr>
                <w:noProof/>
                <w:webHidden/>
              </w:rPr>
              <w:t>13</w:t>
            </w:r>
            <w:r>
              <w:rPr>
                <w:noProof/>
                <w:webHidden/>
              </w:rPr>
              <w:fldChar w:fldCharType="end"/>
            </w:r>
          </w:hyperlink>
        </w:p>
        <w:p w14:paraId="47E62124" w14:textId="77777777" w:rsidR="0040223A" w:rsidRDefault="00000000">
          <w:r>
            <w:rPr>
              <w:b/>
              <w:bCs/>
              <w:noProof/>
            </w:rPr>
            <w:fldChar w:fldCharType="end"/>
          </w:r>
        </w:p>
      </w:sdtContent>
    </w:sdt>
    <w:p w14:paraId="62922D01" w14:textId="77777777" w:rsidR="0040223A" w:rsidRDefault="00000000">
      <w:pPr>
        <w:spacing w:line="259" w:lineRule="auto"/>
        <w:jc w:val="left"/>
        <w:rPr>
          <w:rFonts w:eastAsiaTheme="majorEastAsia" w:cstheme="majorBidi"/>
          <w:b/>
          <w:sz w:val="28"/>
          <w:szCs w:val="32"/>
        </w:rPr>
      </w:pPr>
      <w:r>
        <w:br w:type="page"/>
      </w:r>
    </w:p>
    <w:p w14:paraId="1CD571C8" w14:textId="77777777" w:rsidR="00600AB6" w:rsidRDefault="00000000" w:rsidP="0074158C">
      <w:pPr>
        <w:pStyle w:val="Heading1"/>
      </w:pPr>
      <w:bookmarkStart w:id="0" w:name="_Toc139203532"/>
      <w:r>
        <w:lastRenderedPageBreak/>
        <w:t xml:space="preserve">1. </w:t>
      </w:r>
      <w:r w:rsidR="0074158C">
        <w:t>Introduction</w:t>
      </w:r>
      <w:bookmarkEnd w:id="0"/>
    </w:p>
    <w:p w14:paraId="437AC725" w14:textId="77777777" w:rsidR="00BF2EBE" w:rsidRDefault="00000000" w:rsidP="00BF2EBE">
      <w:r w:rsidRPr="00BF2EBE">
        <w:t>The report delves into a community engagement project executed by Bradford District Council in the United Kingdom. The project strives to ameliorate the interconnection and involvement of the community while mitigating disparities within the region. Bradford, characteri</w:t>
      </w:r>
      <w:r w:rsidR="00F13910">
        <w:t>s</w:t>
      </w:r>
      <w:r w:rsidRPr="00BF2EBE">
        <w:t>ed by its heterogeneous and youthful populace, faces the formidable task of enhancing relationships, comprehension</w:t>
      </w:r>
      <w:r w:rsidR="00F13910">
        <w:t xml:space="preserve"> and</w:t>
      </w:r>
      <w:r w:rsidRPr="00BF2EBE">
        <w:t xml:space="preserve"> participation among its </w:t>
      </w:r>
      <w:r w:rsidR="00F13910">
        <w:t>districts</w:t>
      </w:r>
      <w:r w:rsidRPr="00BF2EBE">
        <w:t xml:space="preserve"> hailing from diverse backgrounds. Bradford for Everyone constitutes a nascent initiative that was initiated in </w:t>
      </w:r>
      <w:r w:rsidR="00721EED">
        <w:t xml:space="preserve">March </w:t>
      </w:r>
      <w:r w:rsidR="00707FCE">
        <w:t>2019</w:t>
      </w:r>
      <w:r w:rsidRPr="00BF2EBE">
        <w:t xml:space="preserve"> and is slated to extend till 202</w:t>
      </w:r>
      <w:r w:rsidR="00707FCE">
        <w:t>2</w:t>
      </w:r>
      <w:r w:rsidR="007F7D61">
        <w:t xml:space="preserve"> (</w:t>
      </w:r>
      <w:r w:rsidR="00FC1CE5">
        <w:t>Bradford for Everyone, 2023</w:t>
      </w:r>
      <w:r w:rsidR="007F7D61">
        <w:t>)</w:t>
      </w:r>
      <w:r w:rsidRPr="00BF2EBE">
        <w:t xml:space="preserve">. Spearheaded by Bradford Council's resilient community team and overseen by an autonomous consortium, the endeavour concentrates on four pivotal domains: </w:t>
      </w:r>
      <w:r w:rsidR="00E17440" w:rsidRPr="00E17440">
        <w:t>economic participation and language skills, promoting interaction between diverse groups, facilitating community involvement</w:t>
      </w:r>
      <w:r w:rsidR="00F13910">
        <w:t xml:space="preserve"> and</w:t>
      </w:r>
      <w:r w:rsidR="00E17440" w:rsidRPr="00E17440">
        <w:t xml:space="preserve"> addressing hate crime concerns</w:t>
      </w:r>
      <w:r w:rsidR="00987C10">
        <w:t xml:space="preserve"> </w:t>
      </w:r>
      <w:r w:rsidR="00987C10">
        <w:rPr>
          <w:i/>
          <w:iCs/>
        </w:rPr>
        <w:t>[Appendix 1]</w:t>
      </w:r>
      <w:r w:rsidR="00E17440" w:rsidRPr="00E17440">
        <w:t>.</w:t>
      </w:r>
    </w:p>
    <w:p w14:paraId="5836A6D7" w14:textId="77777777" w:rsidR="00C9498B" w:rsidRDefault="00000000" w:rsidP="00C9498B">
      <w:pPr>
        <w:spacing w:after="0"/>
        <w:jc w:val="center"/>
      </w:pPr>
      <w:r>
        <w:rPr>
          <w:noProof/>
        </w:rPr>
        <w:drawing>
          <wp:inline distT="0" distB="0" distL="0" distR="0" wp14:anchorId="7F4150CA" wp14:editId="07C55DE8">
            <wp:extent cx="2890405" cy="2687964"/>
            <wp:effectExtent l="19050" t="19050" r="24765" b="17145"/>
            <wp:docPr id="5257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9978" name=""/>
                    <pic:cNvPicPr/>
                  </pic:nvPicPr>
                  <pic:blipFill>
                    <a:blip r:embed="rId9"/>
                    <a:stretch>
                      <a:fillRect/>
                    </a:stretch>
                  </pic:blipFill>
                  <pic:spPr>
                    <a:xfrm>
                      <a:off x="0" y="0"/>
                      <a:ext cx="2891473" cy="2688957"/>
                    </a:xfrm>
                    <a:prstGeom prst="rect">
                      <a:avLst/>
                    </a:prstGeom>
                    <a:ln>
                      <a:solidFill>
                        <a:schemeClr val="tx1"/>
                      </a:solidFill>
                    </a:ln>
                  </pic:spPr>
                </pic:pic>
              </a:graphicData>
            </a:graphic>
          </wp:inline>
        </w:drawing>
      </w:r>
    </w:p>
    <w:p w14:paraId="43AB5C20" w14:textId="77777777" w:rsidR="00C9498B" w:rsidRPr="00C9498B" w:rsidRDefault="00000000" w:rsidP="00C9498B">
      <w:pPr>
        <w:spacing w:after="0"/>
        <w:jc w:val="center"/>
        <w:rPr>
          <w:b/>
          <w:bCs/>
        </w:rPr>
      </w:pPr>
      <w:r w:rsidRPr="00C9498B">
        <w:rPr>
          <w:b/>
          <w:bCs/>
        </w:rPr>
        <w:t>Figure 1: Reported Hate Crime in 2017-18</w:t>
      </w:r>
    </w:p>
    <w:p w14:paraId="1FF9FF2F" w14:textId="77777777" w:rsidR="00C9498B" w:rsidRPr="00BF2EBE" w:rsidRDefault="00000000" w:rsidP="00C9498B">
      <w:pPr>
        <w:jc w:val="center"/>
      </w:pPr>
      <w:r>
        <w:t xml:space="preserve">(Souce: </w:t>
      </w:r>
      <w:r w:rsidRPr="00DD6F10">
        <w:rPr>
          <w:rFonts w:cs="Times New Roman"/>
        </w:rPr>
        <w:t>Bradford for Everyone, 2023</w:t>
      </w:r>
      <w:r>
        <w:t>)</w:t>
      </w:r>
    </w:p>
    <w:p w14:paraId="54BF7375" w14:textId="77777777" w:rsidR="00BF2EBE" w:rsidRDefault="00000000" w:rsidP="00BF2EBE">
      <w:pPr>
        <w:rPr>
          <w:b/>
        </w:rPr>
      </w:pPr>
      <w:r w:rsidRPr="00BF2EBE">
        <w:t>This report will explore the adherence of the project to the guiding principles of community engagement, its strategic planning and meticulous design, the standards it upholds, as well as the impact it has on the community. It will scrutini</w:t>
      </w:r>
      <w:r w:rsidR="00F13910">
        <w:t>s</w:t>
      </w:r>
      <w:r w:rsidRPr="00BF2EBE">
        <w:t xml:space="preserve">e the fundamental principles of the project and evaluate their applicability and modes of communication. The planning and design stages will be thoroughly examined to ascertain the extent to which community needs were identified and stakeholders were included. Furthermore, the effectiveness of any pertinent standards outlined by the project will be evaluated. Lastly, the report will </w:t>
      </w:r>
      <w:r w:rsidR="00DB1A21" w:rsidRPr="00BF2EBE">
        <w:t>analyse</w:t>
      </w:r>
      <w:r w:rsidRPr="00BF2EBE">
        <w:t xml:space="preserve"> the project's influence on the community and the evaluation methodologies employed to gauge its efficacy.</w:t>
      </w:r>
    </w:p>
    <w:p w14:paraId="4FBD30FC" w14:textId="77777777" w:rsidR="005E106E" w:rsidRDefault="00000000" w:rsidP="00BF2EBE">
      <w:pPr>
        <w:pStyle w:val="Heading1"/>
      </w:pPr>
      <w:bookmarkStart w:id="1" w:name="_Toc139203533"/>
      <w:r>
        <w:lastRenderedPageBreak/>
        <w:t xml:space="preserve">2. </w:t>
      </w:r>
      <w:r w:rsidR="00FB1A87" w:rsidRPr="00FB1A87">
        <w:t>Comprehensive Assessment of Community Engagement</w:t>
      </w:r>
      <w:bookmarkEnd w:id="1"/>
    </w:p>
    <w:p w14:paraId="280D1973" w14:textId="77777777" w:rsidR="00FB1A87" w:rsidRDefault="00000000" w:rsidP="00A95226">
      <w:pPr>
        <w:pStyle w:val="Heading2"/>
      </w:pPr>
      <w:bookmarkStart w:id="2" w:name="_Toc139203534"/>
      <w:r>
        <w:t>2.1. Community Engagement Principles</w:t>
      </w:r>
      <w:bookmarkEnd w:id="2"/>
    </w:p>
    <w:p w14:paraId="19962BD1" w14:textId="77777777" w:rsidR="00532D5F" w:rsidRDefault="00000000" w:rsidP="00532D5F">
      <w:r w:rsidRPr="00532D5F">
        <w:t>The endeavour, known as Bradford for Everyone, abides by specific principles of community engagement that are vital for nurturing inclusiveness, participation</w:t>
      </w:r>
      <w:r w:rsidR="00F13910">
        <w:t xml:space="preserve"> and</w:t>
      </w:r>
      <w:r w:rsidRPr="00532D5F">
        <w:t xml:space="preserve"> collaboration among diverse populations. These principles aim to ensure that every individual possesses a voice, exerts influence</w:t>
      </w:r>
      <w:r w:rsidR="00F13910">
        <w:t xml:space="preserve"> and</w:t>
      </w:r>
      <w:r w:rsidRPr="00532D5F">
        <w:t xml:space="preserve"> enjoys representation in the decision-making processes. The project's concepts are in alignment with its goal of enriching the coherence of the community and eliminating inequality within the Bradford region.</w:t>
      </w:r>
    </w:p>
    <w:p w14:paraId="311BBF01" w14:textId="77777777" w:rsidR="00532D5F" w:rsidRDefault="00000000" w:rsidP="007D03F3">
      <w:pPr>
        <w:pStyle w:val="ListParagraph"/>
        <w:numPr>
          <w:ilvl w:val="0"/>
          <w:numId w:val="1"/>
        </w:numPr>
      </w:pPr>
      <w:r w:rsidRPr="00532D5F">
        <w:rPr>
          <w:b/>
          <w:bCs/>
          <w:i/>
          <w:iCs/>
        </w:rPr>
        <w:t xml:space="preserve">Inclusiveness and Diversity: </w:t>
      </w:r>
      <w:r w:rsidRPr="00532D5F">
        <w:t xml:space="preserve">The endeavour acknowledges the imperative to encompass all </w:t>
      </w:r>
      <w:r w:rsidR="00EC496D" w:rsidRPr="00EC496D">
        <w:t>district</w:t>
      </w:r>
      <w:r w:rsidR="00347EDF">
        <w:t>s</w:t>
      </w:r>
      <w:r w:rsidRPr="00532D5F">
        <w:t xml:space="preserve"> within the locality, irrespective of their ethnic, cultural</w:t>
      </w:r>
      <w:r w:rsidR="00F13910">
        <w:t xml:space="preserve"> or</w:t>
      </w:r>
      <w:r w:rsidRPr="00532D5F">
        <w:t xml:space="preserve"> socioeconomic origins</w:t>
      </w:r>
      <w:r w:rsidR="0010080C">
        <w:t xml:space="preserve"> In Bradford, 45.9% of people are Christian, 24.7% and 20.7% people are Muslims and either other or no religions respectively (</w:t>
      </w:r>
      <w:r w:rsidR="0010080C" w:rsidRPr="00DD6F10">
        <w:rPr>
          <w:rFonts w:cs="Times New Roman"/>
        </w:rPr>
        <w:t>Bradford for Everyone, 2023</w:t>
      </w:r>
      <w:r w:rsidR="0010080C">
        <w:t>)</w:t>
      </w:r>
      <w:r w:rsidRPr="00532D5F">
        <w:t>. Its objective is to empower individuals from diverse collectives, with a particular emphasis on the British white working-class populace</w:t>
      </w:r>
      <w:r w:rsidR="00C9498B">
        <w:t>, students in both primary and secondary schools</w:t>
      </w:r>
      <w:r w:rsidRPr="00532D5F">
        <w:t>, by addressing their specific requisites and ensuring their active involvement in decision-making processes. This notion guarantees that no community is disregarded or marginali</w:t>
      </w:r>
      <w:r w:rsidR="00F13910">
        <w:t>s</w:t>
      </w:r>
      <w:r w:rsidRPr="00532D5F">
        <w:t>ed.</w:t>
      </w:r>
    </w:p>
    <w:p w14:paraId="107B472F" w14:textId="77777777" w:rsidR="009F55E4" w:rsidRDefault="00000000" w:rsidP="006A73A9">
      <w:pPr>
        <w:spacing w:after="0"/>
        <w:jc w:val="center"/>
      </w:pPr>
      <w:r>
        <w:rPr>
          <w:noProof/>
        </w:rPr>
        <w:drawing>
          <wp:inline distT="0" distB="0" distL="0" distR="0" wp14:anchorId="39B03EF6" wp14:editId="396C2741">
            <wp:extent cx="2533650" cy="2752725"/>
            <wp:effectExtent l="19050" t="19050" r="19050" b="28575"/>
            <wp:docPr id="903428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28930" name=""/>
                    <pic:cNvPicPr/>
                  </pic:nvPicPr>
                  <pic:blipFill>
                    <a:blip r:embed="rId10"/>
                    <a:stretch>
                      <a:fillRect/>
                    </a:stretch>
                  </pic:blipFill>
                  <pic:spPr>
                    <a:xfrm>
                      <a:off x="0" y="0"/>
                      <a:ext cx="2533650" cy="2752725"/>
                    </a:xfrm>
                    <a:prstGeom prst="rect">
                      <a:avLst/>
                    </a:prstGeom>
                    <a:ln>
                      <a:solidFill>
                        <a:schemeClr val="tx1"/>
                      </a:solidFill>
                    </a:ln>
                  </pic:spPr>
                </pic:pic>
              </a:graphicData>
            </a:graphic>
          </wp:inline>
        </w:drawing>
      </w:r>
    </w:p>
    <w:p w14:paraId="646683EE" w14:textId="77777777" w:rsidR="009F55E4" w:rsidRPr="00C9498B" w:rsidRDefault="00000000" w:rsidP="009F55E4">
      <w:pPr>
        <w:spacing w:after="0"/>
        <w:jc w:val="center"/>
        <w:rPr>
          <w:b/>
          <w:bCs/>
        </w:rPr>
      </w:pPr>
      <w:r w:rsidRPr="00C9498B">
        <w:rPr>
          <w:b/>
          <w:bCs/>
        </w:rPr>
        <w:t xml:space="preserve">Figure </w:t>
      </w:r>
      <w:r>
        <w:rPr>
          <w:b/>
          <w:bCs/>
        </w:rPr>
        <w:t>2</w:t>
      </w:r>
      <w:r w:rsidRPr="00C9498B">
        <w:rPr>
          <w:b/>
          <w:bCs/>
        </w:rPr>
        <w:t xml:space="preserve">: </w:t>
      </w:r>
      <w:r>
        <w:rPr>
          <w:b/>
          <w:bCs/>
        </w:rPr>
        <w:t>School</w:t>
      </w:r>
      <w:r w:rsidR="006A73A9">
        <w:rPr>
          <w:b/>
          <w:bCs/>
        </w:rPr>
        <w:t xml:space="preserve"> Segregation Report</w:t>
      </w:r>
      <w:r w:rsidR="00BC4DD4">
        <w:rPr>
          <w:b/>
          <w:bCs/>
        </w:rPr>
        <w:t xml:space="preserve"> of 2016</w:t>
      </w:r>
    </w:p>
    <w:p w14:paraId="4BE02198" w14:textId="77777777" w:rsidR="009F55E4" w:rsidRPr="00BF2EBE" w:rsidRDefault="00000000" w:rsidP="009F55E4">
      <w:pPr>
        <w:jc w:val="center"/>
      </w:pPr>
      <w:r>
        <w:t xml:space="preserve">(Souce: </w:t>
      </w:r>
      <w:r w:rsidRPr="00DD6F10">
        <w:rPr>
          <w:rFonts w:cs="Times New Roman"/>
        </w:rPr>
        <w:t>Bradford for Everyone, 2023</w:t>
      </w:r>
      <w:r>
        <w:t>)</w:t>
      </w:r>
    </w:p>
    <w:p w14:paraId="70759FC7" w14:textId="77777777" w:rsidR="009F55E4" w:rsidRDefault="009F55E4" w:rsidP="009F55E4">
      <w:pPr>
        <w:jc w:val="center"/>
      </w:pPr>
    </w:p>
    <w:p w14:paraId="6B7F9425" w14:textId="77777777" w:rsidR="007D03F3" w:rsidRDefault="00000000" w:rsidP="007D03F3">
      <w:pPr>
        <w:pStyle w:val="ListParagraph"/>
        <w:numPr>
          <w:ilvl w:val="0"/>
          <w:numId w:val="1"/>
        </w:numPr>
      </w:pPr>
      <w:r w:rsidRPr="00532D5F">
        <w:rPr>
          <w:b/>
          <w:bCs/>
          <w:i/>
          <w:iCs/>
        </w:rPr>
        <w:lastRenderedPageBreak/>
        <w:t>Empowerment and Co-design:</w:t>
      </w:r>
      <w:r>
        <w:t xml:space="preserve"> </w:t>
      </w:r>
      <w:r w:rsidR="00532D5F" w:rsidRPr="00532D5F">
        <w:t xml:space="preserve">Bradford for Everyone </w:t>
      </w:r>
      <w:r w:rsidR="00EC496D">
        <w:t>emphasises</w:t>
      </w:r>
      <w:r w:rsidR="00532D5F" w:rsidRPr="00532D5F">
        <w:t xml:space="preserve"> the notion of empowerment by cultivating environments that foster the expression and validation of individuals' perspectives. This idea encompasses a collective of representatives spanning various age groups, faiths</w:t>
      </w:r>
      <w:r w:rsidR="00F13910">
        <w:t xml:space="preserve"> and</w:t>
      </w:r>
      <w:r w:rsidR="00532D5F" w:rsidRPr="00532D5F">
        <w:t xml:space="preserve"> origins. These ambassadors play a pivotal role in the collaborative creation and evaluation of the supported initiatives. Their active participation ensures the tailoring of programs to align with the distinctive goals and aspirations of the communities they represent.</w:t>
      </w:r>
    </w:p>
    <w:p w14:paraId="18633D37" w14:textId="77777777" w:rsidR="007D03F3" w:rsidRDefault="00000000" w:rsidP="007D03F3">
      <w:pPr>
        <w:pStyle w:val="ListParagraph"/>
        <w:numPr>
          <w:ilvl w:val="0"/>
          <w:numId w:val="1"/>
        </w:numPr>
      </w:pPr>
      <w:r w:rsidRPr="007D03F3">
        <w:rPr>
          <w:b/>
          <w:bCs/>
          <w:i/>
          <w:iCs/>
        </w:rPr>
        <w:t>Collaboration and Innovation:</w:t>
      </w:r>
      <w:r>
        <w:t xml:space="preserve"> </w:t>
      </w:r>
      <w:r w:rsidR="00532D5F" w:rsidRPr="00532D5F">
        <w:t>Amidst the Partner Forum, the program fosters collaboration among a vast assemblage of more than 600</w:t>
      </w:r>
      <w:r w:rsidR="00C36D13" w:rsidRPr="00C36D13">
        <w:t xml:space="preserve"> </w:t>
      </w:r>
      <w:r w:rsidR="00C36D13">
        <w:t>organisations</w:t>
      </w:r>
      <w:r w:rsidR="00721EED">
        <w:t xml:space="preserve"> (Local Government Association, 2021)</w:t>
      </w:r>
      <w:r w:rsidR="00532D5F" w:rsidRPr="00532D5F">
        <w:t>. This exceptional platform serves as a conduit for the exchange of exemplary methodologies, bolstering inventive ideas</w:t>
      </w:r>
      <w:r w:rsidR="00F13910">
        <w:t xml:space="preserve"> and</w:t>
      </w:r>
      <w:r w:rsidR="00532D5F" w:rsidRPr="00532D5F">
        <w:t xml:space="preserve"> fostering synergy among a diverse array of stakeholders. This visionary approach propels the dissemination of thoughts, proficiencies</w:t>
      </w:r>
      <w:r w:rsidR="00F13910">
        <w:t xml:space="preserve"> and</w:t>
      </w:r>
      <w:r w:rsidR="00532D5F" w:rsidRPr="00532D5F">
        <w:t xml:space="preserve"> assets, consequently paving the way for groundbreaking approaches to address collective predicaments.</w:t>
      </w:r>
    </w:p>
    <w:p w14:paraId="32301E81" w14:textId="77777777" w:rsidR="009907AE" w:rsidRDefault="00000000" w:rsidP="00A95226">
      <w:pPr>
        <w:pStyle w:val="ListParagraph"/>
        <w:numPr>
          <w:ilvl w:val="0"/>
          <w:numId w:val="1"/>
        </w:numPr>
      </w:pPr>
      <w:r w:rsidRPr="009907AE">
        <w:rPr>
          <w:b/>
          <w:bCs/>
          <w:i/>
          <w:iCs/>
        </w:rPr>
        <w:t>Communication and Transparency:</w:t>
      </w:r>
      <w:r>
        <w:t xml:space="preserve"> </w:t>
      </w:r>
      <w:r w:rsidR="00532D5F" w:rsidRPr="00532D5F">
        <w:t>To ensure effective communication and foster active participation from the community, it is crucial to employ clear and captivating methods. The initiative employs diverse platforms and approaches to effectively convey the principles of community engagement. For instance, regular Partner Forum gatherings provide an opportunity for stakeholders to engage in meaningful dialogues, share updates</w:t>
      </w:r>
      <w:r w:rsidR="00F13910">
        <w:t xml:space="preserve"> and</w:t>
      </w:r>
      <w:r w:rsidR="00532D5F" w:rsidRPr="00532D5F">
        <w:t xml:space="preserve"> establish collaborative partnerships. Moreover, digital tools like the Citi</w:t>
      </w:r>
      <w:r w:rsidR="00F13910">
        <w:t>s</w:t>
      </w:r>
      <w:r w:rsidR="00532D5F" w:rsidRPr="00532D5F">
        <w:t>en Coin app are utili</w:t>
      </w:r>
      <w:r w:rsidR="00F13910">
        <w:t>s</w:t>
      </w:r>
      <w:r w:rsidR="00532D5F" w:rsidRPr="00532D5F">
        <w:t>ed to elucidate project objectives and stimulate volunteer involvement</w:t>
      </w:r>
      <w:r w:rsidR="00E17440">
        <w:t xml:space="preserve"> (Bradford Metropolitan District Council, 2023)</w:t>
      </w:r>
      <w:r w:rsidR="00532D5F" w:rsidRPr="00532D5F">
        <w:t>.</w:t>
      </w:r>
    </w:p>
    <w:p w14:paraId="7B0F0530" w14:textId="77777777" w:rsidR="00FB1A87" w:rsidRDefault="00000000" w:rsidP="00A95226">
      <w:pPr>
        <w:pStyle w:val="ListParagraph"/>
        <w:numPr>
          <w:ilvl w:val="0"/>
          <w:numId w:val="1"/>
        </w:numPr>
      </w:pPr>
      <w:r w:rsidRPr="009907AE">
        <w:rPr>
          <w:b/>
          <w:bCs/>
          <w:i/>
          <w:iCs/>
        </w:rPr>
        <w:t>Equity and Inclusion:</w:t>
      </w:r>
      <w:r>
        <w:t xml:space="preserve"> The project emphasises the necessity of addressing disparities and providing equitable opportunities for all community members. By concentrating on economic engagement, language skills, interaction</w:t>
      </w:r>
      <w:r w:rsidR="00F13910">
        <w:t xml:space="preserve"> and</w:t>
      </w:r>
      <w:r>
        <w:t xml:space="preserve"> safety, the initiative strives to create an atmosphere where persons from different backgrounds may flourish. It actively works towards decreasing inequities and ensuring that no group feels disadvantaged or excluded.</w:t>
      </w:r>
    </w:p>
    <w:p w14:paraId="0A4709D6" w14:textId="77777777" w:rsidR="003B378B" w:rsidRPr="000059E9" w:rsidRDefault="00000000" w:rsidP="000059E9">
      <w:pPr>
        <w:pStyle w:val="Heading2"/>
      </w:pPr>
      <w:bookmarkStart w:id="3" w:name="_Toc139203535"/>
      <w:r>
        <w:t xml:space="preserve">2.2. </w:t>
      </w:r>
      <w:r w:rsidR="001A48E4">
        <w:t>Planning and Design</w:t>
      </w:r>
      <w:bookmarkEnd w:id="3"/>
    </w:p>
    <w:p w14:paraId="625112E8" w14:textId="77777777" w:rsidR="009E66D8" w:rsidRDefault="00000000" w:rsidP="009E66D8">
      <w:r>
        <w:t>The Bradford for Everyone initiative undertook a rigorous planning and design approach to guarantee its efficacy in addressing community cohesion, involvement</w:t>
      </w:r>
      <w:r w:rsidR="00F13910">
        <w:t xml:space="preserve"> and</w:t>
      </w:r>
      <w:r>
        <w:t xml:space="preserve"> inequality within the area. The project comprised numerous phases and considerations, from early planning through execution and stakeholder interaction.</w:t>
      </w:r>
    </w:p>
    <w:p w14:paraId="5B4F4903" w14:textId="77777777" w:rsidR="009E66D8" w:rsidRDefault="00000000" w:rsidP="0012658B">
      <w:pPr>
        <w:pStyle w:val="ListParagraph"/>
        <w:numPr>
          <w:ilvl w:val="0"/>
          <w:numId w:val="2"/>
        </w:numPr>
      </w:pPr>
      <w:r w:rsidRPr="0012658B">
        <w:rPr>
          <w:b/>
          <w:bCs/>
          <w:i/>
          <w:iCs/>
        </w:rPr>
        <w:lastRenderedPageBreak/>
        <w:t>Planning Process:</w:t>
      </w:r>
      <w:r>
        <w:t xml:space="preserve"> The project was initiated in March 201</w:t>
      </w:r>
      <w:r w:rsidR="00707FCE">
        <w:t>9</w:t>
      </w:r>
      <w:r>
        <w:t xml:space="preserve"> after Bradford District Council was designated as one of the government's five integration regions. The planning process includes the involvement of the stronger community team at Bradford Council and an independent partnership managing the project. This collaborative approach provided a varied variety of ideas and experience in the planning process.</w:t>
      </w:r>
    </w:p>
    <w:p w14:paraId="0BB0E62A" w14:textId="77777777" w:rsidR="004E6BDA" w:rsidRDefault="00000000" w:rsidP="004E6BDA">
      <w:pPr>
        <w:pStyle w:val="ListParagraph"/>
        <w:numPr>
          <w:ilvl w:val="0"/>
          <w:numId w:val="2"/>
        </w:numPr>
      </w:pPr>
      <w:r w:rsidRPr="004E6BDA">
        <w:rPr>
          <w:b/>
          <w:bCs/>
          <w:i/>
          <w:iCs/>
        </w:rPr>
        <w:t>Design</w:t>
      </w:r>
      <w:r>
        <w:rPr>
          <w:b/>
          <w:bCs/>
          <w:i/>
          <w:iCs/>
        </w:rPr>
        <w:t xml:space="preserve"> S</w:t>
      </w:r>
      <w:r w:rsidR="00FC27C6">
        <w:rPr>
          <w:b/>
          <w:bCs/>
          <w:i/>
          <w:iCs/>
        </w:rPr>
        <w:t>t</w:t>
      </w:r>
      <w:r>
        <w:rPr>
          <w:b/>
          <w:bCs/>
          <w:i/>
          <w:iCs/>
        </w:rPr>
        <w:t>ages</w:t>
      </w:r>
      <w:r w:rsidRPr="004E6BDA">
        <w:rPr>
          <w:b/>
          <w:bCs/>
          <w:i/>
          <w:iCs/>
        </w:rPr>
        <w:t xml:space="preserve">: </w:t>
      </w:r>
      <w:r w:rsidRPr="00FC27C6">
        <w:t>The project's design progressed through multiple stages to ensure its alignment with the community's requirements. This encompassed conducting in-depth analyses, soliciting community input</w:t>
      </w:r>
      <w:r w:rsidR="00F13910">
        <w:t xml:space="preserve"> and</w:t>
      </w:r>
      <w:r w:rsidRPr="00FC27C6">
        <w:t xml:space="preserve"> collaboratively developing programs with a network of ambassadors from diverse backgrounds. These successive phases facilitated a comprehensive comprehension of the community's issues and objectives, enabling the project to swiftly meet specific criteria.</w:t>
      </w:r>
    </w:p>
    <w:p w14:paraId="1C7A8638" w14:textId="77777777" w:rsidR="00F77A84" w:rsidRDefault="00000000" w:rsidP="00F77A84">
      <w:pPr>
        <w:spacing w:after="0"/>
        <w:jc w:val="center"/>
      </w:pPr>
      <w:r>
        <w:rPr>
          <w:noProof/>
        </w:rPr>
        <w:drawing>
          <wp:inline distT="0" distB="0" distL="0" distR="0" wp14:anchorId="052AB1D2" wp14:editId="51F48A86">
            <wp:extent cx="4705531" cy="1510030"/>
            <wp:effectExtent l="19050" t="19050" r="19050" b="13970"/>
            <wp:docPr id="48983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31323" name=""/>
                    <pic:cNvPicPr/>
                  </pic:nvPicPr>
                  <pic:blipFill>
                    <a:blip r:embed="rId11"/>
                    <a:stretch>
                      <a:fillRect/>
                    </a:stretch>
                  </pic:blipFill>
                  <pic:spPr>
                    <a:xfrm>
                      <a:off x="0" y="0"/>
                      <a:ext cx="4709537" cy="1511316"/>
                    </a:xfrm>
                    <a:prstGeom prst="rect">
                      <a:avLst/>
                    </a:prstGeom>
                    <a:ln>
                      <a:solidFill>
                        <a:schemeClr val="tx1"/>
                      </a:solidFill>
                    </a:ln>
                  </pic:spPr>
                </pic:pic>
              </a:graphicData>
            </a:graphic>
          </wp:inline>
        </w:drawing>
      </w:r>
    </w:p>
    <w:p w14:paraId="237BC539" w14:textId="77777777" w:rsidR="00F77A84" w:rsidRPr="00F77A84" w:rsidRDefault="00000000" w:rsidP="00F77A84">
      <w:pPr>
        <w:spacing w:after="0"/>
        <w:jc w:val="center"/>
        <w:rPr>
          <w:b/>
          <w:bCs/>
        </w:rPr>
      </w:pPr>
      <w:r w:rsidRPr="00F77A84">
        <w:rPr>
          <w:b/>
          <w:bCs/>
        </w:rPr>
        <w:t xml:space="preserve">Figure </w:t>
      </w:r>
      <w:r w:rsidR="002C0B72">
        <w:rPr>
          <w:b/>
          <w:bCs/>
        </w:rPr>
        <w:t>3</w:t>
      </w:r>
      <w:r w:rsidRPr="00F77A84">
        <w:rPr>
          <w:b/>
          <w:bCs/>
        </w:rPr>
        <w:t>: Project Timeline</w:t>
      </w:r>
    </w:p>
    <w:p w14:paraId="5E49DBFE" w14:textId="77777777" w:rsidR="00F77A84" w:rsidRPr="00FC27C6" w:rsidRDefault="00000000" w:rsidP="00F77A84">
      <w:pPr>
        <w:jc w:val="center"/>
      </w:pPr>
      <w:r>
        <w:t>(Source: Bradford for Everyone, 2023)</w:t>
      </w:r>
    </w:p>
    <w:p w14:paraId="528999A1" w14:textId="77777777" w:rsidR="004E6BDA" w:rsidRPr="00FC27C6" w:rsidRDefault="00000000" w:rsidP="004E6BDA">
      <w:pPr>
        <w:pStyle w:val="ListParagraph"/>
        <w:numPr>
          <w:ilvl w:val="0"/>
          <w:numId w:val="2"/>
        </w:numPr>
      </w:pPr>
      <w:r w:rsidRPr="004E6BDA">
        <w:rPr>
          <w:b/>
          <w:bCs/>
          <w:i/>
          <w:iCs/>
        </w:rPr>
        <w:t xml:space="preserve">Appropriate Implementation: </w:t>
      </w:r>
      <w:r w:rsidRPr="00FC27C6">
        <w:t>The execution of the project aims to yield meaningful and enduring outcomes. Embracing a "test and learn" philosophy, the project allowed room for experimentation with innovative concepts and the adaptation of strategies based on feedback and evaluation</w:t>
      </w:r>
      <w:r w:rsidR="00523D96">
        <w:t xml:space="preserve"> (Bradford for Everyone, 2022)</w:t>
      </w:r>
      <w:r w:rsidRPr="00FC27C6">
        <w:t>. This flexible implementation approach fostered continuous improvement and ensured that the project effectively responded to the community's growing expectations.</w:t>
      </w:r>
    </w:p>
    <w:p w14:paraId="03D7A715" w14:textId="77777777" w:rsidR="004E6BDA" w:rsidRPr="00FC27C6" w:rsidRDefault="00000000" w:rsidP="004E6BDA">
      <w:pPr>
        <w:pStyle w:val="ListParagraph"/>
        <w:numPr>
          <w:ilvl w:val="0"/>
          <w:numId w:val="2"/>
        </w:numPr>
      </w:pPr>
      <w:r w:rsidRPr="004E6BDA">
        <w:rPr>
          <w:b/>
          <w:bCs/>
          <w:i/>
          <w:iCs/>
        </w:rPr>
        <w:t xml:space="preserve">Evaluation of Community Needs: </w:t>
      </w:r>
      <w:r w:rsidRPr="00FC27C6">
        <w:t>Assessing the needs of the community formed a crucial part of the planning and design process. Acknowledging the region's diverse and youthful population, the program sought to identify and address the myriad challenges encountered by distinct communities. This involved engaging with community members, conducting surveys</w:t>
      </w:r>
      <w:r w:rsidR="00F13910">
        <w:t xml:space="preserve"> and</w:t>
      </w:r>
      <w:r w:rsidRPr="00FC27C6">
        <w:t xml:space="preserve"> collecting feedback to gain an in-depth understanding of their requirements, goals</w:t>
      </w:r>
      <w:r w:rsidR="00F13910">
        <w:t xml:space="preserve"> and</w:t>
      </w:r>
      <w:r w:rsidRPr="00FC27C6">
        <w:t xml:space="preserve"> concerns. Leveraging the ambassador network also facilitated the identification of community-specific needs.</w:t>
      </w:r>
    </w:p>
    <w:p w14:paraId="03319232" w14:textId="77777777" w:rsidR="009E66D8" w:rsidRPr="004E6BDA" w:rsidRDefault="00000000" w:rsidP="004E6BDA">
      <w:pPr>
        <w:pStyle w:val="ListParagraph"/>
        <w:numPr>
          <w:ilvl w:val="0"/>
          <w:numId w:val="2"/>
        </w:numPr>
        <w:rPr>
          <w:b/>
          <w:bCs/>
          <w:i/>
          <w:iCs/>
        </w:rPr>
      </w:pPr>
      <w:r w:rsidRPr="004E6BDA">
        <w:rPr>
          <w:b/>
          <w:bCs/>
          <w:i/>
          <w:iCs/>
        </w:rPr>
        <w:lastRenderedPageBreak/>
        <w:t>Stakeholder Consideration and Engagement:</w:t>
      </w:r>
      <w:r>
        <w:t xml:space="preserve"> The project put great focus on involving stakeholders throughout the planning and design phases. The Partner Forum, featuring approximately 600 organi</w:t>
      </w:r>
      <w:r w:rsidR="00F13910">
        <w:t>s</w:t>
      </w:r>
      <w:r>
        <w:t>ations, serves as a venue for stakeholders to communicate, discuss good practices</w:t>
      </w:r>
      <w:r w:rsidR="00F13910">
        <w:t xml:space="preserve"> and</w:t>
      </w:r>
      <w:r>
        <w:t xml:space="preserve"> contribute to the project's design. Additionally, the engagement of ambassadors from diverse communities ensured that stakeholder opinions were integrated into project efforts. This inclusive approach produced a feeling of ownership and stakeholder commitment, boosting the project's efficacy and impact.</w:t>
      </w:r>
    </w:p>
    <w:p w14:paraId="1FC2392B" w14:textId="77777777" w:rsidR="00A63B50" w:rsidRDefault="00000000" w:rsidP="000059E9">
      <w:pPr>
        <w:pStyle w:val="Heading2"/>
      </w:pPr>
      <w:bookmarkStart w:id="4" w:name="_Toc139203536"/>
      <w:r>
        <w:t>2.3. Standards</w:t>
      </w:r>
      <w:bookmarkEnd w:id="4"/>
    </w:p>
    <w:p w14:paraId="7917F884" w14:textId="77777777" w:rsidR="00A63B50" w:rsidRDefault="00000000" w:rsidP="00A63B50">
      <w:r>
        <w:t>The Bradford for Everyone initiative has shown a commitment to adhering to specified criteria that coincide with its objective of increasing community cohesion</w:t>
      </w:r>
      <w:r w:rsidR="00F13910">
        <w:t xml:space="preserve"> and</w:t>
      </w:r>
      <w:r>
        <w:t xml:space="preserve"> involvement</w:t>
      </w:r>
      <w:r w:rsidR="00F13910">
        <w:t xml:space="preserve"> and</w:t>
      </w:r>
      <w:r>
        <w:t xml:space="preserve"> decreasing inequities. These guidelines have been vital in directing the project's actions and ensuring that they accomplish the required aims efficiently.</w:t>
      </w:r>
    </w:p>
    <w:p w14:paraId="27A5E541" w14:textId="77777777" w:rsidR="00A63B50" w:rsidRDefault="00000000" w:rsidP="00A63B50">
      <w:pPr>
        <w:pStyle w:val="ListParagraph"/>
        <w:numPr>
          <w:ilvl w:val="0"/>
          <w:numId w:val="3"/>
        </w:numPr>
      </w:pPr>
      <w:r w:rsidRPr="00A63B50">
        <w:rPr>
          <w:b/>
          <w:bCs/>
          <w:i/>
          <w:iCs/>
        </w:rPr>
        <w:t>Standards Utili</w:t>
      </w:r>
      <w:r w:rsidR="00F13910">
        <w:rPr>
          <w:b/>
          <w:bCs/>
          <w:i/>
          <w:iCs/>
        </w:rPr>
        <w:t>s</w:t>
      </w:r>
      <w:r w:rsidRPr="00A63B50">
        <w:rPr>
          <w:b/>
          <w:bCs/>
          <w:i/>
          <w:iCs/>
        </w:rPr>
        <w:t>ed:</w:t>
      </w:r>
      <w:r>
        <w:t xml:space="preserve"> The project has referenced numerous standards that assist shape its approach and assure a high degree of quality in its endeavours. While the case study does not explicitly state the precise criteria, it is safe to presume that the initiative may be relying on recognised frameworks relating to community participation, diversity</w:t>
      </w:r>
      <w:r w:rsidR="00F13910">
        <w:t xml:space="preserve"> and</w:t>
      </w:r>
      <w:r>
        <w:t xml:space="preserve"> inclusion. Commonly recogni</w:t>
      </w:r>
      <w:r w:rsidR="00F13910">
        <w:t>s</w:t>
      </w:r>
      <w:r>
        <w:t>ed standards, such as ISO 26000 (Social Responsibility), ISO 18001 (Occupational Health and Safety)</w:t>
      </w:r>
      <w:r w:rsidR="00F13910">
        <w:t xml:space="preserve"> or</w:t>
      </w:r>
      <w:r>
        <w:t xml:space="preserve"> ISO 9001 (Quality Management), would have been used as guiding principles to frame the project's operations and strategy</w:t>
      </w:r>
      <w:r w:rsidR="00FD5085">
        <w:t xml:space="preserve"> (</w:t>
      </w:r>
      <w:r w:rsidR="00FD5085">
        <w:rPr>
          <w:shd w:val="clear" w:color="auto" w:fill="FFFFFF"/>
        </w:rPr>
        <w:t>Pojasek, 2011</w:t>
      </w:r>
      <w:r w:rsidR="00FD5085">
        <w:t>)</w:t>
      </w:r>
      <w:r>
        <w:t>.</w:t>
      </w:r>
    </w:p>
    <w:p w14:paraId="2258A77C" w14:textId="77777777" w:rsidR="00A63B50" w:rsidRDefault="00000000" w:rsidP="00A63B50">
      <w:pPr>
        <w:pStyle w:val="ListParagraph"/>
        <w:numPr>
          <w:ilvl w:val="0"/>
          <w:numId w:val="3"/>
        </w:numPr>
      </w:pPr>
      <w:r w:rsidRPr="00A63B50">
        <w:rPr>
          <w:b/>
          <w:bCs/>
          <w:i/>
          <w:iCs/>
        </w:rPr>
        <w:t>Suitability for the Purpose:</w:t>
      </w:r>
      <w:r>
        <w:t xml:space="preserve"> The degree to which the chosen standards fit the purpose of the project relies on their alignment with the project's aims and objectives. If the project has referenced community involvement guidelines, it would indicate its commitment to diversity, participation</w:t>
      </w:r>
      <w:r w:rsidR="00F13910">
        <w:t xml:space="preserve"> and</w:t>
      </w:r>
      <w:r>
        <w:t xml:space="preserve"> openness in decision-making processes. Similarly, addressing diversity and inclusion criteria would guarantee that the efforts respond to the needs of all groups, regardless of their origins, generating a feeling of belonging and equality.</w:t>
      </w:r>
    </w:p>
    <w:p w14:paraId="3E1E14B7" w14:textId="77777777" w:rsidR="00A63B50" w:rsidRDefault="00000000" w:rsidP="00A63B50">
      <w:pPr>
        <w:pStyle w:val="ListParagraph"/>
        <w:numPr>
          <w:ilvl w:val="0"/>
          <w:numId w:val="3"/>
        </w:numPr>
      </w:pPr>
      <w:r w:rsidRPr="00A63B50">
        <w:rPr>
          <w:b/>
          <w:bCs/>
          <w:i/>
          <w:iCs/>
        </w:rPr>
        <w:t>Communication of Standards:</w:t>
      </w:r>
      <w:r>
        <w:t xml:space="preserve"> </w:t>
      </w:r>
      <w:r w:rsidR="00297CD6">
        <w:t>Even though</w:t>
      </w:r>
      <w:r>
        <w:t xml:space="preserve"> the precise standards utilised by the project are not explicitly addressed in the case study, </w:t>
      </w:r>
      <w:r w:rsidR="00297CD6">
        <w:t xml:space="preserve">still </w:t>
      </w:r>
      <w:r>
        <w:t>it is vital for initiatives of this sort to properly convey the standards they follow. Clear communication improves transparency, develops confidence among stakeholders</w:t>
      </w:r>
      <w:r w:rsidR="00F13910">
        <w:t xml:space="preserve"> and</w:t>
      </w:r>
      <w:r>
        <w:t xml:space="preserve"> gives a foundation for assessing the project's effects</w:t>
      </w:r>
      <w:r w:rsidR="00F23DAD">
        <w:t xml:space="preserve"> (</w:t>
      </w:r>
      <w:r w:rsidR="00F23DAD">
        <w:rPr>
          <w:shd w:val="clear" w:color="auto" w:fill="FFFFFF"/>
        </w:rPr>
        <w:t xml:space="preserve">Dale </w:t>
      </w:r>
      <w:r w:rsidR="00F23DAD">
        <w:rPr>
          <w:i/>
          <w:iCs/>
          <w:shd w:val="clear" w:color="auto" w:fill="FFFFFF"/>
        </w:rPr>
        <w:t xml:space="preserve">et al., </w:t>
      </w:r>
      <w:r w:rsidR="00F23DAD">
        <w:rPr>
          <w:shd w:val="clear" w:color="auto" w:fill="FFFFFF"/>
        </w:rPr>
        <w:t>2019</w:t>
      </w:r>
      <w:r w:rsidR="00F23DAD">
        <w:t>)</w:t>
      </w:r>
      <w:r>
        <w:t xml:space="preserve">. The project leaders and stakeholders </w:t>
      </w:r>
      <w:r>
        <w:lastRenderedPageBreak/>
        <w:t>must be aware of the standards being applied and understand their consequences for project planning, execution</w:t>
      </w:r>
      <w:r w:rsidR="00F13910">
        <w:t xml:space="preserve"> and</w:t>
      </w:r>
      <w:r>
        <w:t xml:space="preserve"> assessment.</w:t>
      </w:r>
    </w:p>
    <w:p w14:paraId="230D9410" w14:textId="77777777" w:rsidR="00A63B50" w:rsidRDefault="00000000" w:rsidP="00A63B50">
      <w:pPr>
        <w:pStyle w:val="ListParagraph"/>
        <w:numPr>
          <w:ilvl w:val="0"/>
          <w:numId w:val="3"/>
        </w:numPr>
      </w:pPr>
      <w:r w:rsidRPr="00A63B50">
        <w:rPr>
          <w:b/>
          <w:bCs/>
          <w:i/>
          <w:iCs/>
        </w:rPr>
        <w:t>Tools and Platforms for Communication:</w:t>
      </w:r>
      <w:r>
        <w:t xml:space="preserve"> The case study cites the presence of the Partner Forum, which acts as a forum for over 600 organi</w:t>
      </w:r>
      <w:r w:rsidR="00F13910">
        <w:t>s</w:t>
      </w:r>
      <w:r>
        <w:t>ations to cooperate, exchange good practices</w:t>
      </w:r>
      <w:r w:rsidR="00F13910">
        <w:t xml:space="preserve"> and</w:t>
      </w:r>
      <w:r>
        <w:t xml:space="preserve"> contribute to the project's design. This forum may have functioned as a mechanism to disseminate the standards and criteria followed by the project. Additionally, frequent meetings and interactions with the network of ambassadors from varied backgrounds may have been utilised as a chance to discuss and emphasise the necessity of adhering to applicable standards.</w:t>
      </w:r>
    </w:p>
    <w:p w14:paraId="5AF5ECA6" w14:textId="77777777" w:rsidR="004B1225" w:rsidRDefault="00000000" w:rsidP="00A63B50">
      <w:pPr>
        <w:pStyle w:val="ListParagraph"/>
        <w:numPr>
          <w:ilvl w:val="0"/>
          <w:numId w:val="3"/>
        </w:numPr>
      </w:pPr>
      <w:r w:rsidRPr="00A63B50">
        <w:rPr>
          <w:b/>
          <w:bCs/>
          <w:i/>
          <w:iCs/>
        </w:rPr>
        <w:t>Continuous Improvement and Adaptation:</w:t>
      </w:r>
      <w:r>
        <w:t xml:space="preserve"> As the project employs a "test and learn" strategy, it is probable that the project leaders have been responsive to input and have made modifications as needed to fulfil the necessary criteria efficiently</w:t>
      </w:r>
      <w:r w:rsidR="005577D9">
        <w:t xml:space="preserve"> (Bradford for Everyone, 2023)</w:t>
      </w:r>
      <w:r>
        <w:t>. This dynamic and iterative approach enables the project to continually develop and align its tactics with the best practices and growing standards in community involvement and social responsibility.</w:t>
      </w:r>
    </w:p>
    <w:p w14:paraId="2784770B" w14:textId="77777777" w:rsidR="000059E9" w:rsidRDefault="00000000" w:rsidP="000059E9">
      <w:pPr>
        <w:pStyle w:val="Heading2"/>
      </w:pPr>
      <w:bookmarkStart w:id="5" w:name="_Toc139203537"/>
      <w:r>
        <w:t>2.4. Evaluation and Impact</w:t>
      </w:r>
      <w:bookmarkEnd w:id="5"/>
    </w:p>
    <w:p w14:paraId="1FD7B990" w14:textId="77777777" w:rsidR="000059E9" w:rsidRDefault="00000000" w:rsidP="000059E9">
      <w:r>
        <w:t>Measuring the impact of the Bradford for Everyone project is vital to evaluate the success of its activities and verify that the targeted goals are being realised. The initiative incorporates numerous assessment techniques and approaches to measure its influence on community cohesiveness, involvement</w:t>
      </w:r>
      <w:r w:rsidR="00F13910">
        <w:t xml:space="preserve"> and</w:t>
      </w:r>
      <w:r>
        <w:t xml:space="preserve"> the elimination of inequities.</w:t>
      </w:r>
    </w:p>
    <w:p w14:paraId="31F6979D" w14:textId="77777777" w:rsidR="000059E9" w:rsidRDefault="00000000" w:rsidP="000059E9">
      <w:pPr>
        <w:pStyle w:val="ListParagraph"/>
        <w:numPr>
          <w:ilvl w:val="0"/>
          <w:numId w:val="4"/>
        </w:numPr>
      </w:pPr>
      <w:r w:rsidRPr="000059E9">
        <w:rPr>
          <w:b/>
          <w:bCs/>
          <w:i/>
          <w:iCs/>
        </w:rPr>
        <w:t>Evaluation Methods:</w:t>
      </w:r>
      <w:r>
        <w:t xml:space="preserve"> The case study does not include precise information regarding the evaluation procedures employed by the project. However, it may be presumed that a mix of qualitative and quantitative methodologies is applied to capture both subjective experiences and objective facts. These approaches may include surveys, interviews, focus groups, observations</w:t>
      </w:r>
      <w:r w:rsidR="00F13910">
        <w:t xml:space="preserve"> and</w:t>
      </w:r>
      <w:r>
        <w:t xml:space="preserve"> data analysis.</w:t>
      </w:r>
    </w:p>
    <w:p w14:paraId="5C2334C1" w14:textId="77777777" w:rsidR="000059E9" w:rsidRDefault="00000000" w:rsidP="000059E9">
      <w:pPr>
        <w:pStyle w:val="ListParagraph"/>
        <w:numPr>
          <w:ilvl w:val="0"/>
          <w:numId w:val="4"/>
        </w:numPr>
      </w:pPr>
      <w:r w:rsidRPr="000059E9">
        <w:rPr>
          <w:b/>
          <w:bCs/>
          <w:i/>
          <w:iCs/>
        </w:rPr>
        <w:t>Impact Measurement:</w:t>
      </w:r>
      <w:r>
        <w:t xml:space="preserve"> The project's effect is likely quantified by assessing key metrics relating to community cohesiveness, involvement</w:t>
      </w:r>
      <w:r w:rsidR="00F13910">
        <w:t xml:space="preserve"> and</w:t>
      </w:r>
      <w:r>
        <w:t xml:space="preserve"> disparities reduction</w:t>
      </w:r>
      <w:r w:rsidR="00443282">
        <w:t xml:space="preserve"> (</w:t>
      </w:r>
      <w:r w:rsidR="00443282">
        <w:rPr>
          <w:shd w:val="clear" w:color="auto" w:fill="FFFFFF"/>
        </w:rPr>
        <w:t>Luger, Hamilton and True, 2020</w:t>
      </w:r>
      <w:r w:rsidR="00443282">
        <w:t>)</w:t>
      </w:r>
      <w:r>
        <w:t>. These indicators may include levels of social contact between diverse backgrounds, participation rates in community and civic activities, improvements in feelings of safety and belonging, economic involvement and skill development</w:t>
      </w:r>
      <w:r w:rsidR="00F13910">
        <w:t xml:space="preserve"> and</w:t>
      </w:r>
      <w:r>
        <w:t xml:space="preserve"> better health outcomes among disadvantaged groups.</w:t>
      </w:r>
    </w:p>
    <w:p w14:paraId="4DABBE55" w14:textId="77777777" w:rsidR="000059E9" w:rsidRDefault="00000000" w:rsidP="000059E9">
      <w:pPr>
        <w:pStyle w:val="ListParagraph"/>
        <w:numPr>
          <w:ilvl w:val="0"/>
          <w:numId w:val="4"/>
        </w:numPr>
      </w:pPr>
      <w:r w:rsidRPr="000059E9">
        <w:rPr>
          <w:b/>
          <w:bCs/>
          <w:i/>
          <w:iCs/>
        </w:rPr>
        <w:lastRenderedPageBreak/>
        <w:t>Utili</w:t>
      </w:r>
      <w:r w:rsidR="00F13910">
        <w:rPr>
          <w:b/>
          <w:bCs/>
          <w:i/>
          <w:iCs/>
        </w:rPr>
        <w:t>s</w:t>
      </w:r>
      <w:r w:rsidRPr="000059E9">
        <w:rPr>
          <w:b/>
          <w:bCs/>
          <w:i/>
          <w:iCs/>
        </w:rPr>
        <w:t>ed Evaluation Tools:</w:t>
      </w:r>
      <w:r>
        <w:t xml:space="preserve"> The project may apply several assessment tools and instruments to acquire pertinent data. These tools might include survey questions to gather quantitative data, interview guides to capture qualitative insights, observation procedures to monitor community involvement activities</w:t>
      </w:r>
      <w:r w:rsidR="00F13910">
        <w:t xml:space="preserve"> and</w:t>
      </w:r>
      <w:r>
        <w:t xml:space="preserve"> data analysis software to analyse and interpret acquired information.</w:t>
      </w:r>
    </w:p>
    <w:p w14:paraId="50B1A423" w14:textId="77777777" w:rsidR="000059E9" w:rsidRDefault="00000000" w:rsidP="000059E9">
      <w:pPr>
        <w:pStyle w:val="ListParagraph"/>
        <w:numPr>
          <w:ilvl w:val="0"/>
          <w:numId w:val="4"/>
        </w:numPr>
      </w:pPr>
      <w:r w:rsidRPr="000059E9">
        <w:rPr>
          <w:b/>
          <w:bCs/>
          <w:i/>
          <w:iCs/>
        </w:rPr>
        <w:t>Fit for Purpose:</w:t>
      </w:r>
      <w:r>
        <w:t xml:space="preserve"> The suitability of the evaluation techniques deployed by the project relies on their alignment with the project's aims, the nature of the data being gathered</w:t>
      </w:r>
      <w:r w:rsidR="00F13910">
        <w:t xml:space="preserve"> and</w:t>
      </w:r>
      <w:r>
        <w:t xml:space="preserve"> the practicality of execution. The tools need to properly capture the desired results and give useful insights for decision-making and future planning.</w:t>
      </w:r>
    </w:p>
    <w:p w14:paraId="49F2A3B6" w14:textId="77777777" w:rsidR="000059E9" w:rsidRDefault="00000000" w:rsidP="000059E9">
      <w:pPr>
        <w:pStyle w:val="ListParagraph"/>
        <w:numPr>
          <w:ilvl w:val="0"/>
          <w:numId w:val="4"/>
        </w:numPr>
      </w:pPr>
      <w:r w:rsidRPr="000059E9">
        <w:rPr>
          <w:b/>
          <w:bCs/>
          <w:i/>
          <w:iCs/>
        </w:rPr>
        <w:t>Stakeholder Engagement:</w:t>
      </w:r>
      <w:r>
        <w:t xml:space="preserve"> In analysing the effect of the project, it is vital to interact with many stakeholders, including community people, project ambassadors, partner organi</w:t>
      </w:r>
      <w:r w:rsidR="00F13910">
        <w:t>s</w:t>
      </w:r>
      <w:r>
        <w:t>ations</w:t>
      </w:r>
      <w:r w:rsidR="00F13910">
        <w:t xml:space="preserve"> and</w:t>
      </w:r>
      <w:r>
        <w:t xml:space="preserve"> local authorities</w:t>
      </w:r>
      <w:r w:rsidR="00D57B68">
        <w:t xml:space="preserve"> (</w:t>
      </w:r>
      <w:r w:rsidR="00D57B68">
        <w:rPr>
          <w:shd w:val="clear" w:color="auto" w:fill="FFFFFF"/>
        </w:rPr>
        <w:t xml:space="preserve">Mulyasari </w:t>
      </w:r>
      <w:r w:rsidR="00D57B68">
        <w:rPr>
          <w:i/>
          <w:iCs/>
          <w:shd w:val="clear" w:color="auto" w:fill="FFFFFF"/>
        </w:rPr>
        <w:t xml:space="preserve">et al., </w:t>
      </w:r>
      <w:r w:rsidR="00D57B68">
        <w:rPr>
          <w:shd w:val="clear" w:color="auto" w:fill="FFFFFF"/>
        </w:rPr>
        <w:t>2021</w:t>
      </w:r>
      <w:r w:rsidR="00D57B68">
        <w:t>)</w:t>
      </w:r>
      <w:r>
        <w:t>. Their thoughts and experiences may give significant insights into the efficacy of the programmes and help identify areas for improvement.</w:t>
      </w:r>
    </w:p>
    <w:p w14:paraId="7C7F6484" w14:textId="77777777" w:rsidR="000059E9" w:rsidRDefault="00000000" w:rsidP="000059E9">
      <w:pPr>
        <w:pStyle w:val="ListParagraph"/>
        <w:numPr>
          <w:ilvl w:val="0"/>
          <w:numId w:val="4"/>
        </w:numPr>
      </w:pPr>
      <w:r w:rsidRPr="000059E9">
        <w:rPr>
          <w:b/>
          <w:bCs/>
          <w:i/>
          <w:iCs/>
        </w:rPr>
        <w:t>Continuous Improvement:</w:t>
      </w:r>
      <w:r>
        <w:t xml:space="preserve"> The project's dedication to a "test and learn" methodology reflects a culture of continual improvement and adaptability. Evaluation data and input from stakeholders are likely utilised to influence future planning, adjust methods</w:t>
      </w:r>
      <w:r w:rsidR="00F13910">
        <w:t xml:space="preserve"> and</w:t>
      </w:r>
      <w:r>
        <w:t xml:space="preserve"> increase the project's effect. This iterative method guarantees that the project stays responsive to the increasing demands of the community.</w:t>
      </w:r>
    </w:p>
    <w:p w14:paraId="3E400F45" w14:textId="77777777" w:rsidR="004F14B9" w:rsidRDefault="00000000" w:rsidP="004F14B9">
      <w:pPr>
        <w:pStyle w:val="Heading1"/>
      </w:pPr>
      <w:bookmarkStart w:id="6" w:name="_Toc139203538"/>
      <w:r>
        <w:t>3. Conclusion</w:t>
      </w:r>
      <w:bookmarkEnd w:id="6"/>
    </w:p>
    <w:p w14:paraId="3A969286" w14:textId="77777777" w:rsidR="00127E09" w:rsidRDefault="00000000" w:rsidP="00127E09">
      <w:r>
        <w:t>The Bradford for Everyone community engagement initiative has exhibited notable capabilities in promoting diversity, encouraging cooperation</w:t>
      </w:r>
      <w:r w:rsidR="00F13910">
        <w:t xml:space="preserve"> and</w:t>
      </w:r>
      <w:r>
        <w:t xml:space="preserve"> tackling disparities within the area of Bradford. Through its emphasis on important areas such as economic engagement, the interaction between varied populations, civic involvement</w:t>
      </w:r>
      <w:r w:rsidR="00F13910">
        <w:t xml:space="preserve"> and</w:t>
      </w:r>
      <w:r>
        <w:t xml:space="preserve"> combatting hate crime, the project has effectively involved over 25,000 persons and implemented several projects</w:t>
      </w:r>
      <w:r w:rsidR="00CA4C70">
        <w:t xml:space="preserve"> (</w:t>
      </w:r>
      <w:r w:rsidR="00CA4C70" w:rsidRPr="00DD6F10">
        <w:rPr>
          <w:rFonts w:cs="Times New Roman"/>
        </w:rPr>
        <w:t>Local Government Association, 2021</w:t>
      </w:r>
      <w:r w:rsidR="00CA4C70">
        <w:t>)</w:t>
      </w:r>
      <w:r>
        <w:t>.</w:t>
      </w:r>
    </w:p>
    <w:p w14:paraId="3D7FEAF5" w14:textId="77777777" w:rsidR="00127E09" w:rsidRPr="00127E09" w:rsidRDefault="00000000" w:rsidP="005462CE">
      <w:pPr>
        <w:spacing w:after="0"/>
        <w:rPr>
          <w:b/>
          <w:bCs/>
        </w:rPr>
      </w:pPr>
      <w:r w:rsidRPr="00127E09">
        <w:rPr>
          <w:b/>
          <w:bCs/>
        </w:rPr>
        <w:t>Strengths</w:t>
      </w:r>
    </w:p>
    <w:p w14:paraId="6F658F65" w14:textId="77777777" w:rsidR="00127E09" w:rsidRDefault="00000000" w:rsidP="00127E09">
      <w:pPr>
        <w:pStyle w:val="ListParagraph"/>
        <w:numPr>
          <w:ilvl w:val="0"/>
          <w:numId w:val="5"/>
        </w:numPr>
      </w:pPr>
      <w:r w:rsidRPr="00127E09">
        <w:rPr>
          <w:b/>
          <w:bCs/>
          <w:i/>
          <w:iCs/>
        </w:rPr>
        <w:t>Inclusive Approach:</w:t>
      </w:r>
      <w:r>
        <w:t xml:space="preserve"> The project's dedication to incorporating all groups, especially those who are typically disregarded, has enabled people from varied backgrounds to engage and make a significant impact.</w:t>
      </w:r>
    </w:p>
    <w:p w14:paraId="263B0017" w14:textId="77777777" w:rsidR="00127E09" w:rsidRDefault="00000000" w:rsidP="00127E09">
      <w:pPr>
        <w:pStyle w:val="ListParagraph"/>
        <w:numPr>
          <w:ilvl w:val="0"/>
          <w:numId w:val="5"/>
        </w:numPr>
      </w:pPr>
      <w:r w:rsidRPr="00127E09">
        <w:rPr>
          <w:b/>
          <w:bCs/>
          <w:i/>
          <w:iCs/>
        </w:rPr>
        <w:lastRenderedPageBreak/>
        <w:t>Ambassadors and Co-Design:</w:t>
      </w:r>
      <w:r>
        <w:t xml:space="preserve"> The participation of a network of ambassadors from diverse communities have played a significant role in co-designing projects and guaranteeing community representation and input in decision-making processes.</w:t>
      </w:r>
    </w:p>
    <w:p w14:paraId="407F497F" w14:textId="77777777" w:rsidR="00127E09" w:rsidRDefault="00000000" w:rsidP="00127E09">
      <w:pPr>
        <w:pStyle w:val="ListParagraph"/>
        <w:numPr>
          <w:ilvl w:val="0"/>
          <w:numId w:val="5"/>
        </w:numPr>
      </w:pPr>
      <w:r w:rsidRPr="00127E09">
        <w:rPr>
          <w:b/>
          <w:bCs/>
          <w:i/>
          <w:iCs/>
        </w:rPr>
        <w:t>Test and Learn strategy:</w:t>
      </w:r>
      <w:r>
        <w:t xml:space="preserve"> The project's willingness to embrace a "test and learn" strategy has allowed for creativity, experimentation</w:t>
      </w:r>
      <w:r w:rsidR="00F13910">
        <w:t xml:space="preserve"> and</w:t>
      </w:r>
      <w:r>
        <w:t xml:space="preserve"> ongoing progress in answering community requirements</w:t>
      </w:r>
      <w:r w:rsidR="0054214B">
        <w:t xml:space="preserve"> (Bradford for Everyone, 2023)</w:t>
      </w:r>
      <w:r>
        <w:t>.</w:t>
      </w:r>
    </w:p>
    <w:p w14:paraId="6E33707D" w14:textId="77777777" w:rsidR="00127E09" w:rsidRPr="00127E09" w:rsidRDefault="00000000" w:rsidP="005462CE">
      <w:pPr>
        <w:spacing w:after="0"/>
        <w:rPr>
          <w:b/>
          <w:bCs/>
        </w:rPr>
      </w:pPr>
      <w:r w:rsidRPr="00127E09">
        <w:rPr>
          <w:b/>
          <w:bCs/>
        </w:rPr>
        <w:t>Areas for Improvement</w:t>
      </w:r>
    </w:p>
    <w:p w14:paraId="466F6611" w14:textId="77777777" w:rsidR="00127E09" w:rsidRDefault="00000000" w:rsidP="00127E09">
      <w:pPr>
        <w:pStyle w:val="ListParagraph"/>
        <w:numPr>
          <w:ilvl w:val="0"/>
          <w:numId w:val="6"/>
        </w:numPr>
      </w:pPr>
      <w:r w:rsidRPr="00127E09">
        <w:rPr>
          <w:b/>
          <w:bCs/>
          <w:i/>
          <w:iCs/>
        </w:rPr>
        <w:t>Explicit Reference to Standards:</w:t>
      </w:r>
      <w:r>
        <w:t xml:space="preserve"> While the project exhibits adherence to some standards, better communication and documentation of the precise standards being applied will promote openness and accountability</w:t>
      </w:r>
      <w:r w:rsidR="004C3E7B">
        <w:t xml:space="preserve"> (</w:t>
      </w:r>
      <w:r w:rsidR="004C3E7B">
        <w:rPr>
          <w:shd w:val="clear" w:color="auto" w:fill="FFFFFF"/>
        </w:rPr>
        <w:t>Wilson, 2020</w:t>
      </w:r>
      <w:r w:rsidR="004C3E7B">
        <w:t>)</w:t>
      </w:r>
      <w:r>
        <w:t>.</w:t>
      </w:r>
    </w:p>
    <w:p w14:paraId="3AAB815A" w14:textId="77777777" w:rsidR="00127E09" w:rsidRDefault="00000000" w:rsidP="00127E09">
      <w:pPr>
        <w:pStyle w:val="ListParagraph"/>
        <w:numPr>
          <w:ilvl w:val="0"/>
          <w:numId w:val="6"/>
        </w:numPr>
      </w:pPr>
      <w:r w:rsidRPr="00127E09">
        <w:rPr>
          <w:b/>
          <w:bCs/>
          <w:i/>
          <w:iCs/>
        </w:rPr>
        <w:t>Evaluation and Impact Measurement:</w:t>
      </w:r>
      <w:r>
        <w:t xml:space="preserve"> Strengthening the project's evaluation techniques and methodologies will allow a more complete assessment of its impact, ensuring that the initiatives adequately answer the stated community needs.</w:t>
      </w:r>
    </w:p>
    <w:p w14:paraId="608E381A" w14:textId="77777777" w:rsidR="00127E09" w:rsidRPr="00127E09" w:rsidRDefault="00000000" w:rsidP="005462CE">
      <w:pPr>
        <w:spacing w:after="0"/>
        <w:rPr>
          <w:b/>
          <w:bCs/>
        </w:rPr>
      </w:pPr>
      <w:r w:rsidRPr="00127E09">
        <w:rPr>
          <w:b/>
          <w:bCs/>
        </w:rPr>
        <w:t>Recommendations</w:t>
      </w:r>
    </w:p>
    <w:p w14:paraId="4B0B388D" w14:textId="77777777" w:rsidR="00127E09" w:rsidRDefault="00000000" w:rsidP="00127E09">
      <w:pPr>
        <w:pStyle w:val="ListParagraph"/>
        <w:numPr>
          <w:ilvl w:val="0"/>
          <w:numId w:val="7"/>
        </w:numPr>
      </w:pPr>
      <w:r w:rsidRPr="00127E09">
        <w:rPr>
          <w:b/>
          <w:bCs/>
          <w:i/>
          <w:iCs/>
        </w:rPr>
        <w:t>Strengthen Stakeholder Engagement:</w:t>
      </w:r>
      <w:r>
        <w:t xml:space="preserve"> Further strengthen stakeholder participation through employing digital platforms, community forums</w:t>
      </w:r>
      <w:r w:rsidR="00F13910">
        <w:t xml:space="preserve"> and</w:t>
      </w:r>
      <w:r>
        <w:t xml:space="preserve"> frequent feedback methods to promote continuing cooperation and inclusion</w:t>
      </w:r>
      <w:r w:rsidR="004C3E7B">
        <w:t xml:space="preserve"> (</w:t>
      </w:r>
      <w:r w:rsidR="004C3E7B">
        <w:rPr>
          <w:shd w:val="clear" w:color="auto" w:fill="FFFFFF"/>
        </w:rPr>
        <w:t>Aderibigbe, 2020</w:t>
      </w:r>
      <w:r w:rsidR="004C3E7B">
        <w:t>)</w:t>
      </w:r>
      <w:r>
        <w:t>.</w:t>
      </w:r>
    </w:p>
    <w:p w14:paraId="088563C6" w14:textId="77777777" w:rsidR="00DD6F10" w:rsidRDefault="00000000" w:rsidP="00127E09">
      <w:pPr>
        <w:pStyle w:val="ListParagraph"/>
        <w:numPr>
          <w:ilvl w:val="0"/>
          <w:numId w:val="7"/>
        </w:numPr>
      </w:pPr>
      <w:r w:rsidRPr="00127E09">
        <w:rPr>
          <w:b/>
          <w:bCs/>
          <w:i/>
          <w:iCs/>
        </w:rPr>
        <w:t>Enhance Documentation and Knowledge Sharing:</w:t>
      </w:r>
      <w:r>
        <w:t xml:space="preserve"> Establish a centrali</w:t>
      </w:r>
      <w:r w:rsidR="00F13910">
        <w:t>s</w:t>
      </w:r>
      <w:r>
        <w:t>ed platform to record best practices, lessons learned</w:t>
      </w:r>
      <w:r w:rsidR="00F13910">
        <w:t xml:space="preserve"> and</w:t>
      </w:r>
      <w:r>
        <w:t xml:space="preserve"> project results, promoting knowledge sharing and replication of successful projects</w:t>
      </w:r>
      <w:r w:rsidR="00122A09">
        <w:t xml:space="preserve"> (</w:t>
      </w:r>
      <w:r w:rsidR="00122A09">
        <w:rPr>
          <w:shd w:val="clear" w:color="auto" w:fill="FFFFFF"/>
        </w:rPr>
        <w:t xml:space="preserve">Blake </w:t>
      </w:r>
      <w:r w:rsidR="00122A09">
        <w:rPr>
          <w:i/>
          <w:iCs/>
          <w:shd w:val="clear" w:color="auto" w:fill="FFFFFF"/>
        </w:rPr>
        <w:t xml:space="preserve">et al., </w:t>
      </w:r>
      <w:r w:rsidR="00122A09">
        <w:rPr>
          <w:shd w:val="clear" w:color="auto" w:fill="FFFFFF"/>
        </w:rPr>
        <w:t>2021</w:t>
      </w:r>
      <w:r w:rsidR="00122A09">
        <w:t>)</w:t>
      </w:r>
      <w:r>
        <w:t>.</w:t>
      </w:r>
    </w:p>
    <w:p w14:paraId="005161A6" w14:textId="77777777" w:rsidR="00DD6F10" w:rsidRDefault="00000000">
      <w:pPr>
        <w:spacing w:line="259" w:lineRule="auto"/>
        <w:jc w:val="left"/>
      </w:pPr>
      <w:r>
        <w:br w:type="page"/>
      </w:r>
    </w:p>
    <w:p w14:paraId="4D1BD20E" w14:textId="77777777" w:rsidR="004F14B9" w:rsidRDefault="00000000" w:rsidP="00DD6F10">
      <w:pPr>
        <w:pStyle w:val="Heading1"/>
      </w:pPr>
      <w:bookmarkStart w:id="7" w:name="_Toc139203539"/>
      <w:r>
        <w:lastRenderedPageBreak/>
        <w:t>4. Reference List</w:t>
      </w:r>
      <w:bookmarkEnd w:id="7"/>
    </w:p>
    <w:p w14:paraId="3F563822" w14:textId="77777777" w:rsidR="00F13910" w:rsidRPr="00DD6F10" w:rsidRDefault="00000000" w:rsidP="00F13910">
      <w:pPr>
        <w:rPr>
          <w:rFonts w:cs="Times New Roman"/>
          <w:shd w:val="clear" w:color="auto" w:fill="FFFFFF"/>
        </w:rPr>
      </w:pPr>
      <w:r w:rsidRPr="00DD6F10">
        <w:rPr>
          <w:rFonts w:cs="Times New Roman"/>
          <w:shd w:val="clear" w:color="auto" w:fill="FFFFFF"/>
        </w:rPr>
        <w:t>Aderibigbe, S.A., 2020. Online discussions as an intervention for strengthening students’ engagement in general education. </w:t>
      </w:r>
      <w:r w:rsidRPr="00DD6F10">
        <w:rPr>
          <w:rFonts w:cs="Times New Roman"/>
          <w:i/>
          <w:iCs/>
          <w:shd w:val="clear" w:color="auto" w:fill="FFFFFF"/>
        </w:rPr>
        <w:t>Journal of Open Innovation: Technology, Market, and Complexity</w:t>
      </w:r>
      <w:r w:rsidRPr="00DD6F10">
        <w:rPr>
          <w:rFonts w:cs="Times New Roman"/>
          <w:shd w:val="clear" w:color="auto" w:fill="FFFFFF"/>
        </w:rPr>
        <w:t>, </w:t>
      </w:r>
      <w:r w:rsidRPr="00DD6F10">
        <w:rPr>
          <w:rFonts w:cs="Times New Roman"/>
          <w:i/>
          <w:iCs/>
          <w:shd w:val="clear" w:color="auto" w:fill="FFFFFF"/>
        </w:rPr>
        <w:t>6</w:t>
      </w:r>
      <w:r w:rsidRPr="00DD6F10">
        <w:rPr>
          <w:rFonts w:cs="Times New Roman"/>
          <w:shd w:val="clear" w:color="auto" w:fill="FFFFFF"/>
        </w:rPr>
        <w:t>(4), p.98.</w:t>
      </w:r>
    </w:p>
    <w:p w14:paraId="69B4386E" w14:textId="77777777" w:rsidR="00F13910" w:rsidRPr="00DD6F10" w:rsidRDefault="00000000" w:rsidP="00F13910">
      <w:pPr>
        <w:rPr>
          <w:rFonts w:cs="Times New Roman"/>
          <w:shd w:val="clear" w:color="auto" w:fill="FFFFFF"/>
        </w:rPr>
      </w:pPr>
      <w:r w:rsidRPr="00DD6F10">
        <w:rPr>
          <w:rFonts w:cs="Times New Roman"/>
          <w:shd w:val="clear" w:color="auto" w:fill="FFFFFF"/>
        </w:rPr>
        <w:t>Blake, O., Glaser, M., Bertolini, L. and te Brömmelstroet, M., 2021. How policies become best practices: a case study of best practice making in an EU knowledge sharing project. </w:t>
      </w:r>
      <w:r w:rsidRPr="00DD6F10">
        <w:rPr>
          <w:rFonts w:cs="Times New Roman"/>
          <w:i/>
          <w:iCs/>
          <w:shd w:val="clear" w:color="auto" w:fill="FFFFFF"/>
        </w:rPr>
        <w:t>European Planning Studies</w:t>
      </w:r>
      <w:r w:rsidRPr="00DD6F10">
        <w:rPr>
          <w:rFonts w:cs="Times New Roman"/>
          <w:shd w:val="clear" w:color="auto" w:fill="FFFFFF"/>
        </w:rPr>
        <w:t>, </w:t>
      </w:r>
      <w:r w:rsidRPr="00DD6F10">
        <w:rPr>
          <w:rFonts w:cs="Times New Roman"/>
          <w:i/>
          <w:iCs/>
          <w:shd w:val="clear" w:color="auto" w:fill="FFFFFF"/>
        </w:rPr>
        <w:t>29</w:t>
      </w:r>
      <w:r w:rsidRPr="00DD6F10">
        <w:rPr>
          <w:rFonts w:cs="Times New Roman"/>
          <w:shd w:val="clear" w:color="auto" w:fill="FFFFFF"/>
        </w:rPr>
        <w:t>(7), pp.1251-1271.</w:t>
      </w:r>
    </w:p>
    <w:p w14:paraId="41E5CA20" w14:textId="77777777" w:rsidR="00F13910" w:rsidRPr="00DD6F10" w:rsidRDefault="00000000" w:rsidP="00F13910">
      <w:pPr>
        <w:rPr>
          <w:rFonts w:cs="Times New Roman"/>
        </w:rPr>
      </w:pPr>
      <w:r w:rsidRPr="00DD6F10">
        <w:rPr>
          <w:rFonts w:cs="Times New Roman"/>
        </w:rPr>
        <w:t xml:space="preserve">Bradford for Everyone, 2022. </w:t>
      </w:r>
      <w:r w:rsidRPr="00DD6F10">
        <w:rPr>
          <w:rFonts w:cs="Times New Roman"/>
          <w:i/>
          <w:iCs/>
        </w:rPr>
        <w:t>The Linking Network Evaluation Report 2022 The Linking Network in a nutshell</w:t>
      </w:r>
      <w:r w:rsidRPr="00DD6F10">
        <w:rPr>
          <w:rFonts w:cs="Times New Roman"/>
        </w:rPr>
        <w:t xml:space="preserve">. [online] Available at: </w:t>
      </w:r>
      <w:hyperlink r:id="rId12" w:history="1">
        <w:r w:rsidRPr="00DD6F10">
          <w:rPr>
            <w:rStyle w:val="Hyperlink"/>
            <w:rFonts w:cs="Times New Roman"/>
          </w:rPr>
          <w:t>https://bradfordforeveryone.co.uk/wp-content/uploads/2022/07/The-Linking-Network-Evaulation-2019-2022.pdf</w:t>
        </w:r>
      </w:hyperlink>
      <w:r w:rsidRPr="00DD6F10">
        <w:rPr>
          <w:rFonts w:cs="Times New Roman"/>
        </w:rPr>
        <w:t xml:space="preserve"> [Accessed 2 Jul. 2023].</w:t>
      </w:r>
    </w:p>
    <w:p w14:paraId="2787F243" w14:textId="77777777" w:rsidR="00F13910" w:rsidRPr="00DD6F10" w:rsidRDefault="00000000" w:rsidP="00F13910">
      <w:pPr>
        <w:rPr>
          <w:rFonts w:cs="Times New Roman"/>
        </w:rPr>
      </w:pPr>
      <w:r w:rsidRPr="00DD6F10">
        <w:rPr>
          <w:rFonts w:cs="Times New Roman"/>
        </w:rPr>
        <w:t xml:space="preserve">Bradford for Everyone, 2023. </w:t>
      </w:r>
      <w:r w:rsidRPr="00DD6F10">
        <w:rPr>
          <w:rFonts w:cs="Times New Roman"/>
          <w:i/>
          <w:iCs/>
        </w:rPr>
        <w:t>STRONGER COMMUNITIES TOGETHER</w:t>
      </w:r>
      <w:r w:rsidRPr="00DD6F10">
        <w:rPr>
          <w:rFonts w:cs="Times New Roman"/>
        </w:rPr>
        <w:t xml:space="preserve">. [online] Available at: </w:t>
      </w:r>
      <w:hyperlink r:id="rId13" w:history="1">
        <w:r w:rsidRPr="00DD6F10">
          <w:rPr>
            <w:rStyle w:val="Hyperlink"/>
            <w:rFonts w:cs="Times New Roman"/>
          </w:rPr>
          <w:t>https://bradfordforeveryone.co.uk/wp-content/uploads/2020/01/stronger_communities_strategy.pdf</w:t>
        </w:r>
      </w:hyperlink>
      <w:r w:rsidRPr="00DD6F10">
        <w:rPr>
          <w:rFonts w:cs="Times New Roman"/>
        </w:rPr>
        <w:t>. [Accessed 2 Jul. 2023].</w:t>
      </w:r>
    </w:p>
    <w:p w14:paraId="2565B681" w14:textId="77777777" w:rsidR="00F13910" w:rsidRPr="00DD6F10" w:rsidRDefault="00000000" w:rsidP="00F13910">
      <w:pPr>
        <w:rPr>
          <w:rFonts w:cs="Times New Roman"/>
        </w:rPr>
      </w:pPr>
      <w:r w:rsidRPr="00DD6F10">
        <w:rPr>
          <w:rFonts w:cs="Times New Roman"/>
        </w:rPr>
        <w:t xml:space="preserve">Bradford for Everyone, 2023. </w:t>
      </w:r>
      <w:r w:rsidRPr="00DD6F10">
        <w:rPr>
          <w:rFonts w:cs="Times New Roman"/>
          <w:i/>
          <w:iCs/>
        </w:rPr>
        <w:t>What Works</w:t>
      </w:r>
      <w:r w:rsidRPr="00DD6F10">
        <w:rPr>
          <w:rFonts w:cs="Times New Roman"/>
        </w:rPr>
        <w:t xml:space="preserve">. [online] Bradford For Everyone. Available at: </w:t>
      </w:r>
      <w:hyperlink r:id="rId14" w:history="1">
        <w:r w:rsidRPr="00DD6F10">
          <w:rPr>
            <w:rStyle w:val="Hyperlink"/>
            <w:rFonts w:cs="Times New Roman"/>
          </w:rPr>
          <w:t>https://bradfordforeveryone.co.uk/what-works/</w:t>
        </w:r>
      </w:hyperlink>
      <w:r w:rsidRPr="00DD6F10">
        <w:rPr>
          <w:rFonts w:cs="Times New Roman"/>
        </w:rPr>
        <w:t xml:space="preserve"> [Accessed 2 Jul. 2023].</w:t>
      </w:r>
    </w:p>
    <w:p w14:paraId="4A173540" w14:textId="77777777" w:rsidR="00F13910" w:rsidRPr="00DD6F10" w:rsidRDefault="00000000" w:rsidP="00F13910">
      <w:pPr>
        <w:rPr>
          <w:rFonts w:cs="Times New Roman"/>
        </w:rPr>
      </w:pPr>
      <w:r w:rsidRPr="00DD6F10">
        <w:rPr>
          <w:rFonts w:cs="Times New Roman"/>
        </w:rPr>
        <w:t xml:space="preserve">Bradford Metropolitan District Council, 2023. </w:t>
      </w:r>
      <w:r w:rsidRPr="00DD6F10">
        <w:rPr>
          <w:rFonts w:cs="Times New Roman"/>
          <w:i/>
          <w:iCs/>
        </w:rPr>
        <w:t>Citizen Coin</w:t>
      </w:r>
      <w:r w:rsidRPr="00DD6F10">
        <w:rPr>
          <w:rFonts w:cs="Times New Roman"/>
        </w:rPr>
        <w:t xml:space="preserve">. [online] Bradford Metropolitan District Council. Available at: </w:t>
      </w:r>
      <w:hyperlink r:id="rId15" w:history="1">
        <w:r w:rsidRPr="00DD6F10">
          <w:rPr>
            <w:rStyle w:val="Hyperlink"/>
            <w:rFonts w:cs="Times New Roman"/>
          </w:rPr>
          <w:t>https://www.bradford.gov.uk/your-community/citizen-coin/citizen-coin/</w:t>
        </w:r>
      </w:hyperlink>
      <w:r w:rsidRPr="00DD6F10">
        <w:rPr>
          <w:rFonts w:cs="Times New Roman"/>
        </w:rPr>
        <w:t xml:space="preserve"> [Accessed 2 Jul. 2023].</w:t>
      </w:r>
    </w:p>
    <w:p w14:paraId="7762AF8A" w14:textId="77777777" w:rsidR="00F13910" w:rsidRPr="00DD6F10" w:rsidRDefault="00000000" w:rsidP="00F13910">
      <w:pPr>
        <w:rPr>
          <w:rFonts w:cs="Times New Roman"/>
          <w:shd w:val="clear" w:color="auto" w:fill="FFFFFF"/>
        </w:rPr>
      </w:pPr>
      <w:r w:rsidRPr="00DD6F10">
        <w:rPr>
          <w:rFonts w:cs="Times New Roman"/>
          <w:shd w:val="clear" w:color="auto" w:fill="FFFFFF"/>
        </w:rPr>
        <w:t>Dale, V.H., Kline, K.L., Parish, E.S. and Eichler, S.E., 2019. Engaging stakeholders to assess landscape sustainability. </w:t>
      </w:r>
      <w:r w:rsidRPr="00DD6F10">
        <w:rPr>
          <w:rFonts w:cs="Times New Roman"/>
          <w:i/>
          <w:iCs/>
          <w:shd w:val="clear" w:color="auto" w:fill="FFFFFF"/>
        </w:rPr>
        <w:t>Landscape Ecology</w:t>
      </w:r>
      <w:r w:rsidRPr="00DD6F10">
        <w:rPr>
          <w:rFonts w:cs="Times New Roman"/>
          <w:shd w:val="clear" w:color="auto" w:fill="FFFFFF"/>
        </w:rPr>
        <w:t>, </w:t>
      </w:r>
      <w:r w:rsidRPr="00DD6F10">
        <w:rPr>
          <w:rFonts w:cs="Times New Roman"/>
          <w:i/>
          <w:iCs/>
          <w:shd w:val="clear" w:color="auto" w:fill="FFFFFF"/>
        </w:rPr>
        <w:t>34</w:t>
      </w:r>
      <w:r w:rsidRPr="00DD6F10">
        <w:rPr>
          <w:rFonts w:cs="Times New Roman"/>
          <w:shd w:val="clear" w:color="auto" w:fill="FFFFFF"/>
        </w:rPr>
        <w:t>, pp.1199-1218.</w:t>
      </w:r>
    </w:p>
    <w:p w14:paraId="1FF5326D" w14:textId="77777777" w:rsidR="00F13910" w:rsidRPr="00DD6F10" w:rsidRDefault="00000000" w:rsidP="00F13910">
      <w:pPr>
        <w:rPr>
          <w:rFonts w:cs="Times New Roman"/>
          <w:color w:val="auto"/>
        </w:rPr>
      </w:pPr>
      <w:r w:rsidRPr="00DD6F10">
        <w:rPr>
          <w:rFonts w:cs="Times New Roman"/>
        </w:rPr>
        <w:t xml:space="preserve">Local Government Association, 2021. </w:t>
      </w:r>
      <w:r w:rsidRPr="00DD6F10">
        <w:rPr>
          <w:rFonts w:cs="Times New Roman"/>
          <w:i/>
          <w:iCs/>
        </w:rPr>
        <w:t>Empowering communities to make changes | Local Government Association</w:t>
      </w:r>
      <w:r w:rsidRPr="00DD6F10">
        <w:rPr>
          <w:rFonts w:cs="Times New Roman"/>
        </w:rPr>
        <w:t xml:space="preserve">. [online] www.local.gov.uk. Available at: </w:t>
      </w:r>
      <w:hyperlink r:id="rId16" w:history="1">
        <w:r w:rsidRPr="00DD6F10">
          <w:rPr>
            <w:rStyle w:val="Hyperlink"/>
            <w:rFonts w:cs="Times New Roman"/>
          </w:rPr>
          <w:t>https://www.local.gov.uk/case-studies/empowering-communities-make-changes</w:t>
        </w:r>
      </w:hyperlink>
      <w:r w:rsidRPr="00DD6F10">
        <w:rPr>
          <w:rFonts w:cs="Times New Roman"/>
        </w:rPr>
        <w:t xml:space="preserve"> [Accessed 2 Jul. 2023].</w:t>
      </w:r>
    </w:p>
    <w:p w14:paraId="1C9C4BA7" w14:textId="77777777" w:rsidR="00F13910" w:rsidRPr="00DD6F10" w:rsidRDefault="00000000" w:rsidP="00F13910">
      <w:pPr>
        <w:rPr>
          <w:rFonts w:cs="Times New Roman"/>
        </w:rPr>
      </w:pPr>
      <w:r w:rsidRPr="00DD6F10">
        <w:rPr>
          <w:rFonts w:cs="Times New Roman"/>
          <w:shd w:val="clear" w:color="auto" w:fill="FFFFFF"/>
        </w:rPr>
        <w:t>Luger, T.M., Hamilton, A.B. and True, G., 2020. Measuring community‐engaged research contexts, processes, and outcomes: a mapping review. </w:t>
      </w:r>
      <w:r w:rsidRPr="00DD6F10">
        <w:rPr>
          <w:rFonts w:cs="Times New Roman"/>
          <w:i/>
          <w:iCs/>
          <w:shd w:val="clear" w:color="auto" w:fill="FFFFFF"/>
        </w:rPr>
        <w:t>The Milbank Quarterly</w:t>
      </w:r>
      <w:r w:rsidRPr="00DD6F10">
        <w:rPr>
          <w:rFonts w:cs="Times New Roman"/>
          <w:shd w:val="clear" w:color="auto" w:fill="FFFFFF"/>
        </w:rPr>
        <w:t>, </w:t>
      </w:r>
      <w:r w:rsidRPr="00DD6F10">
        <w:rPr>
          <w:rFonts w:cs="Times New Roman"/>
          <w:i/>
          <w:iCs/>
          <w:shd w:val="clear" w:color="auto" w:fill="FFFFFF"/>
        </w:rPr>
        <w:t>98</w:t>
      </w:r>
      <w:r w:rsidRPr="00DD6F10">
        <w:rPr>
          <w:rFonts w:cs="Times New Roman"/>
          <w:shd w:val="clear" w:color="auto" w:fill="FFFFFF"/>
        </w:rPr>
        <w:t>(2), pp.493-553.</w:t>
      </w:r>
    </w:p>
    <w:p w14:paraId="330F0728" w14:textId="77777777" w:rsidR="00F13910" w:rsidRPr="00DD6F10" w:rsidRDefault="00000000" w:rsidP="00F13910">
      <w:pPr>
        <w:rPr>
          <w:rFonts w:cs="Times New Roman"/>
          <w:shd w:val="clear" w:color="auto" w:fill="FFFFFF"/>
        </w:rPr>
      </w:pPr>
      <w:r w:rsidRPr="00DD6F10">
        <w:rPr>
          <w:rFonts w:cs="Times New Roman"/>
          <w:shd w:val="clear" w:color="auto" w:fill="FFFFFF"/>
        </w:rPr>
        <w:t xml:space="preserve">Mulyasari, F., Harahap, A.K., Rio, A.O., Sule, R. and Kadir, W.G.A., 2021. Potentials of the public engagement strategy for public acceptance and social license to operate: Case study of </w:t>
      </w:r>
      <w:r w:rsidRPr="00DD6F10">
        <w:rPr>
          <w:rFonts w:cs="Times New Roman"/>
          <w:shd w:val="clear" w:color="auto" w:fill="FFFFFF"/>
        </w:rPr>
        <w:lastRenderedPageBreak/>
        <w:t>Carbon Capture, Utilisation, and Storage Gundih Pilot Project in Indonesia. </w:t>
      </w:r>
      <w:r w:rsidRPr="00DD6F10">
        <w:rPr>
          <w:rFonts w:cs="Times New Roman"/>
          <w:i/>
          <w:iCs/>
          <w:shd w:val="clear" w:color="auto" w:fill="FFFFFF"/>
        </w:rPr>
        <w:t>International Journal of Greenhouse Gas Control</w:t>
      </w:r>
      <w:r w:rsidRPr="00DD6F10">
        <w:rPr>
          <w:rFonts w:cs="Times New Roman"/>
          <w:shd w:val="clear" w:color="auto" w:fill="FFFFFF"/>
        </w:rPr>
        <w:t>, </w:t>
      </w:r>
      <w:r w:rsidRPr="00DD6F10">
        <w:rPr>
          <w:rFonts w:cs="Times New Roman"/>
          <w:i/>
          <w:iCs/>
          <w:shd w:val="clear" w:color="auto" w:fill="FFFFFF"/>
        </w:rPr>
        <w:t>108</w:t>
      </w:r>
      <w:r w:rsidRPr="00DD6F10">
        <w:rPr>
          <w:rFonts w:cs="Times New Roman"/>
          <w:shd w:val="clear" w:color="auto" w:fill="FFFFFF"/>
        </w:rPr>
        <w:t>, p.103312.</w:t>
      </w:r>
    </w:p>
    <w:p w14:paraId="629259ED" w14:textId="77777777" w:rsidR="00F13910" w:rsidRPr="00DD6F10" w:rsidRDefault="00000000" w:rsidP="00F13910">
      <w:pPr>
        <w:rPr>
          <w:rFonts w:cs="Times New Roman"/>
        </w:rPr>
      </w:pPr>
      <w:r w:rsidRPr="00DD6F10">
        <w:rPr>
          <w:rFonts w:cs="Times New Roman"/>
          <w:shd w:val="clear" w:color="auto" w:fill="FFFFFF"/>
        </w:rPr>
        <w:t>Pojasek, R.B., 2011. ISO 26000 guidance on social responsibility. </w:t>
      </w:r>
      <w:r w:rsidRPr="00DD6F10">
        <w:rPr>
          <w:rFonts w:cs="Times New Roman"/>
          <w:i/>
          <w:iCs/>
          <w:shd w:val="clear" w:color="auto" w:fill="FFFFFF"/>
        </w:rPr>
        <w:t>Environmental Quality Management</w:t>
      </w:r>
      <w:r w:rsidRPr="00DD6F10">
        <w:rPr>
          <w:rFonts w:cs="Times New Roman"/>
          <w:shd w:val="clear" w:color="auto" w:fill="FFFFFF"/>
        </w:rPr>
        <w:t>, </w:t>
      </w:r>
      <w:r w:rsidRPr="00DD6F10">
        <w:rPr>
          <w:rFonts w:cs="Times New Roman"/>
          <w:i/>
          <w:iCs/>
          <w:shd w:val="clear" w:color="auto" w:fill="FFFFFF"/>
        </w:rPr>
        <w:t>20</w:t>
      </w:r>
      <w:r w:rsidRPr="00DD6F10">
        <w:rPr>
          <w:rFonts w:cs="Times New Roman"/>
          <w:shd w:val="clear" w:color="auto" w:fill="FFFFFF"/>
        </w:rPr>
        <w:t>(3), pp.85-93.</w:t>
      </w:r>
    </w:p>
    <w:p w14:paraId="2390D57B" w14:textId="77777777" w:rsidR="00987C10" w:rsidRDefault="00000000" w:rsidP="00F13910">
      <w:pPr>
        <w:rPr>
          <w:rFonts w:cs="Times New Roman"/>
          <w:shd w:val="clear" w:color="auto" w:fill="FFFFFF"/>
        </w:rPr>
      </w:pPr>
      <w:r w:rsidRPr="00DD6F10">
        <w:rPr>
          <w:rFonts w:cs="Times New Roman"/>
          <w:shd w:val="clear" w:color="auto" w:fill="FFFFFF"/>
        </w:rPr>
        <w:t>Wilson, C., 2020. The socialization of civic participation norms in government?: Assessing the effect of the Open Government Partnership on countries'e-participation. </w:t>
      </w:r>
      <w:r w:rsidRPr="00DD6F10">
        <w:rPr>
          <w:rFonts w:cs="Times New Roman"/>
          <w:i/>
          <w:iCs/>
          <w:shd w:val="clear" w:color="auto" w:fill="FFFFFF"/>
        </w:rPr>
        <w:t>Government Information Quarterly</w:t>
      </w:r>
      <w:r w:rsidRPr="00DD6F10">
        <w:rPr>
          <w:rFonts w:cs="Times New Roman"/>
          <w:shd w:val="clear" w:color="auto" w:fill="FFFFFF"/>
        </w:rPr>
        <w:t>, </w:t>
      </w:r>
      <w:r w:rsidRPr="00DD6F10">
        <w:rPr>
          <w:rFonts w:cs="Times New Roman"/>
          <w:i/>
          <w:iCs/>
          <w:shd w:val="clear" w:color="auto" w:fill="FFFFFF"/>
        </w:rPr>
        <w:t>37</w:t>
      </w:r>
      <w:r w:rsidRPr="00DD6F10">
        <w:rPr>
          <w:rFonts w:cs="Times New Roman"/>
          <w:shd w:val="clear" w:color="auto" w:fill="FFFFFF"/>
        </w:rPr>
        <w:t>(4), p.101476.</w:t>
      </w:r>
      <w:r>
        <w:rPr>
          <w:rFonts w:cs="Times New Roman"/>
          <w:shd w:val="clear" w:color="auto" w:fill="FFFFFF"/>
        </w:rPr>
        <w:br w:type="page"/>
      </w:r>
    </w:p>
    <w:p w14:paraId="065A973E" w14:textId="77777777" w:rsidR="00DD6F10" w:rsidRDefault="00000000" w:rsidP="00987C10">
      <w:pPr>
        <w:pStyle w:val="Heading1"/>
        <w:rPr>
          <w:shd w:val="clear" w:color="auto" w:fill="FFFFFF"/>
        </w:rPr>
      </w:pPr>
      <w:bookmarkStart w:id="8" w:name="_Toc139203540"/>
      <w:r>
        <w:rPr>
          <w:shd w:val="clear" w:color="auto" w:fill="FFFFFF"/>
        </w:rPr>
        <w:lastRenderedPageBreak/>
        <w:t>5. Appendices</w:t>
      </w:r>
      <w:bookmarkEnd w:id="8"/>
    </w:p>
    <w:p w14:paraId="5C68EAE8" w14:textId="77777777" w:rsidR="00987C10" w:rsidRDefault="00000000" w:rsidP="00987C10">
      <w:pPr>
        <w:pStyle w:val="Heading2"/>
        <w:rPr>
          <w:shd w:val="clear" w:color="auto" w:fill="FFFFFF"/>
        </w:rPr>
      </w:pPr>
      <w:bookmarkStart w:id="9" w:name="_Toc139203541"/>
      <w:r>
        <w:rPr>
          <w:shd w:val="clear" w:color="auto" w:fill="FFFFFF"/>
        </w:rPr>
        <w:t>5.1. Appendix 1</w:t>
      </w:r>
      <w:bookmarkEnd w:id="9"/>
    </w:p>
    <w:p w14:paraId="4008A7C3" w14:textId="77777777" w:rsidR="002C25C6" w:rsidRPr="00C73BE1" w:rsidRDefault="00000000" w:rsidP="00C73BE1">
      <w:pPr>
        <w:pStyle w:val="ListParagraph"/>
        <w:numPr>
          <w:ilvl w:val="0"/>
          <w:numId w:val="8"/>
        </w:numPr>
        <w:rPr>
          <w:b/>
          <w:bCs/>
          <w:i/>
          <w:iCs/>
        </w:rPr>
      </w:pPr>
      <w:r w:rsidRPr="00C73BE1">
        <w:rPr>
          <w:b/>
          <w:bCs/>
          <w:i/>
          <w:iCs/>
        </w:rPr>
        <w:t>Four Key Areas</w:t>
      </w:r>
    </w:p>
    <w:p w14:paraId="2718C9BF" w14:textId="77777777" w:rsidR="00A0750C" w:rsidRPr="00A0750C" w:rsidRDefault="00000000" w:rsidP="00A0750C">
      <w:pPr>
        <w:jc w:val="center"/>
      </w:pPr>
      <w:r>
        <w:rPr>
          <w:noProof/>
        </w:rPr>
        <w:drawing>
          <wp:inline distT="0" distB="0" distL="0" distR="0" wp14:anchorId="2D730A3A" wp14:editId="315C1ADA">
            <wp:extent cx="5459241" cy="5971846"/>
            <wp:effectExtent l="19050" t="19050" r="27305" b="10160"/>
            <wp:docPr id="150389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9562" name=""/>
                    <pic:cNvPicPr/>
                  </pic:nvPicPr>
                  <pic:blipFill>
                    <a:blip r:embed="rId17"/>
                    <a:stretch>
                      <a:fillRect/>
                    </a:stretch>
                  </pic:blipFill>
                  <pic:spPr>
                    <a:xfrm>
                      <a:off x="0" y="0"/>
                      <a:ext cx="5473890" cy="5987871"/>
                    </a:xfrm>
                    <a:prstGeom prst="rect">
                      <a:avLst/>
                    </a:prstGeom>
                    <a:ln>
                      <a:solidFill>
                        <a:schemeClr val="tx1"/>
                      </a:solidFill>
                    </a:ln>
                  </pic:spPr>
                </pic:pic>
              </a:graphicData>
            </a:graphic>
          </wp:inline>
        </w:drawing>
      </w:r>
    </w:p>
    <w:sectPr w:rsidR="00A0750C" w:rsidRPr="00A0750C" w:rsidSect="0040223A">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7C857" w14:textId="77777777" w:rsidR="003B6D4D" w:rsidRDefault="003B6D4D">
      <w:pPr>
        <w:spacing w:after="0" w:line="240" w:lineRule="auto"/>
      </w:pPr>
      <w:r>
        <w:separator/>
      </w:r>
    </w:p>
  </w:endnote>
  <w:endnote w:type="continuationSeparator" w:id="0">
    <w:p w14:paraId="23A93882" w14:textId="77777777" w:rsidR="003B6D4D" w:rsidRDefault="003B6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6871"/>
      <w:docPartObj>
        <w:docPartGallery w:val="Page Numbers (Bottom of Page)"/>
        <w:docPartUnique/>
      </w:docPartObj>
    </w:sdtPr>
    <w:sdtEndPr>
      <w:rPr>
        <w:color w:val="7F7F7F" w:themeColor="background1" w:themeShade="7F"/>
        <w:spacing w:val="60"/>
      </w:rPr>
    </w:sdtEndPr>
    <w:sdtContent>
      <w:p w14:paraId="3EA21C06" w14:textId="77777777" w:rsidR="0040223A"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C19D6A9" w14:textId="77777777" w:rsidR="0040223A" w:rsidRDefault="00402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C1C71" w14:textId="77777777" w:rsidR="003B6D4D" w:rsidRDefault="003B6D4D">
      <w:pPr>
        <w:spacing w:after="0" w:line="240" w:lineRule="auto"/>
      </w:pPr>
      <w:r>
        <w:separator/>
      </w:r>
    </w:p>
  </w:footnote>
  <w:footnote w:type="continuationSeparator" w:id="0">
    <w:p w14:paraId="4FBA7B54" w14:textId="77777777" w:rsidR="003B6D4D" w:rsidRDefault="003B6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7769C"/>
    <w:multiLevelType w:val="hybridMultilevel"/>
    <w:tmpl w:val="292C039E"/>
    <w:lvl w:ilvl="0" w:tplc="85EEA57C">
      <w:start w:val="1"/>
      <w:numFmt w:val="bullet"/>
      <w:lvlText w:val=""/>
      <w:lvlJc w:val="left"/>
      <w:pPr>
        <w:ind w:left="720" w:hanging="360"/>
      </w:pPr>
      <w:rPr>
        <w:rFonts w:ascii="Symbol" w:hAnsi="Symbol" w:hint="default"/>
      </w:rPr>
    </w:lvl>
    <w:lvl w:ilvl="1" w:tplc="2E16536C" w:tentative="1">
      <w:start w:val="1"/>
      <w:numFmt w:val="bullet"/>
      <w:lvlText w:val="o"/>
      <w:lvlJc w:val="left"/>
      <w:pPr>
        <w:ind w:left="1440" w:hanging="360"/>
      </w:pPr>
      <w:rPr>
        <w:rFonts w:ascii="Courier New" w:hAnsi="Courier New" w:cs="Courier New" w:hint="default"/>
      </w:rPr>
    </w:lvl>
    <w:lvl w:ilvl="2" w:tplc="CC30D1C4" w:tentative="1">
      <w:start w:val="1"/>
      <w:numFmt w:val="bullet"/>
      <w:lvlText w:val=""/>
      <w:lvlJc w:val="left"/>
      <w:pPr>
        <w:ind w:left="2160" w:hanging="360"/>
      </w:pPr>
      <w:rPr>
        <w:rFonts w:ascii="Wingdings" w:hAnsi="Wingdings" w:hint="default"/>
      </w:rPr>
    </w:lvl>
    <w:lvl w:ilvl="3" w:tplc="0BE22686" w:tentative="1">
      <w:start w:val="1"/>
      <w:numFmt w:val="bullet"/>
      <w:lvlText w:val=""/>
      <w:lvlJc w:val="left"/>
      <w:pPr>
        <w:ind w:left="2880" w:hanging="360"/>
      </w:pPr>
      <w:rPr>
        <w:rFonts w:ascii="Symbol" w:hAnsi="Symbol" w:hint="default"/>
      </w:rPr>
    </w:lvl>
    <w:lvl w:ilvl="4" w:tplc="4AB20FD6" w:tentative="1">
      <w:start w:val="1"/>
      <w:numFmt w:val="bullet"/>
      <w:lvlText w:val="o"/>
      <w:lvlJc w:val="left"/>
      <w:pPr>
        <w:ind w:left="3600" w:hanging="360"/>
      </w:pPr>
      <w:rPr>
        <w:rFonts w:ascii="Courier New" w:hAnsi="Courier New" w:cs="Courier New" w:hint="default"/>
      </w:rPr>
    </w:lvl>
    <w:lvl w:ilvl="5" w:tplc="E444982A" w:tentative="1">
      <w:start w:val="1"/>
      <w:numFmt w:val="bullet"/>
      <w:lvlText w:val=""/>
      <w:lvlJc w:val="left"/>
      <w:pPr>
        <w:ind w:left="4320" w:hanging="360"/>
      </w:pPr>
      <w:rPr>
        <w:rFonts w:ascii="Wingdings" w:hAnsi="Wingdings" w:hint="default"/>
      </w:rPr>
    </w:lvl>
    <w:lvl w:ilvl="6" w:tplc="08CCDAEC" w:tentative="1">
      <w:start w:val="1"/>
      <w:numFmt w:val="bullet"/>
      <w:lvlText w:val=""/>
      <w:lvlJc w:val="left"/>
      <w:pPr>
        <w:ind w:left="5040" w:hanging="360"/>
      </w:pPr>
      <w:rPr>
        <w:rFonts w:ascii="Symbol" w:hAnsi="Symbol" w:hint="default"/>
      </w:rPr>
    </w:lvl>
    <w:lvl w:ilvl="7" w:tplc="2452C19A" w:tentative="1">
      <w:start w:val="1"/>
      <w:numFmt w:val="bullet"/>
      <w:lvlText w:val="o"/>
      <w:lvlJc w:val="left"/>
      <w:pPr>
        <w:ind w:left="5760" w:hanging="360"/>
      </w:pPr>
      <w:rPr>
        <w:rFonts w:ascii="Courier New" w:hAnsi="Courier New" w:cs="Courier New" w:hint="default"/>
      </w:rPr>
    </w:lvl>
    <w:lvl w:ilvl="8" w:tplc="E56C1A64" w:tentative="1">
      <w:start w:val="1"/>
      <w:numFmt w:val="bullet"/>
      <w:lvlText w:val=""/>
      <w:lvlJc w:val="left"/>
      <w:pPr>
        <w:ind w:left="6480" w:hanging="360"/>
      </w:pPr>
      <w:rPr>
        <w:rFonts w:ascii="Wingdings" w:hAnsi="Wingdings" w:hint="default"/>
      </w:rPr>
    </w:lvl>
  </w:abstractNum>
  <w:abstractNum w:abstractNumId="1" w15:restartNumberingAfterBreak="0">
    <w:nsid w:val="0CBC3CFE"/>
    <w:multiLevelType w:val="hybridMultilevel"/>
    <w:tmpl w:val="387EBCBE"/>
    <w:lvl w:ilvl="0" w:tplc="4DD8BDF2">
      <w:start w:val="1"/>
      <w:numFmt w:val="bullet"/>
      <w:lvlText w:val=""/>
      <w:lvlJc w:val="left"/>
      <w:pPr>
        <w:ind w:left="720" w:hanging="360"/>
      </w:pPr>
      <w:rPr>
        <w:rFonts w:ascii="Symbol" w:hAnsi="Symbol" w:hint="default"/>
      </w:rPr>
    </w:lvl>
    <w:lvl w:ilvl="1" w:tplc="730E423E" w:tentative="1">
      <w:start w:val="1"/>
      <w:numFmt w:val="bullet"/>
      <w:lvlText w:val="o"/>
      <w:lvlJc w:val="left"/>
      <w:pPr>
        <w:ind w:left="1440" w:hanging="360"/>
      </w:pPr>
      <w:rPr>
        <w:rFonts w:ascii="Courier New" w:hAnsi="Courier New" w:cs="Courier New" w:hint="default"/>
      </w:rPr>
    </w:lvl>
    <w:lvl w:ilvl="2" w:tplc="CB263022" w:tentative="1">
      <w:start w:val="1"/>
      <w:numFmt w:val="bullet"/>
      <w:lvlText w:val=""/>
      <w:lvlJc w:val="left"/>
      <w:pPr>
        <w:ind w:left="2160" w:hanging="360"/>
      </w:pPr>
      <w:rPr>
        <w:rFonts w:ascii="Wingdings" w:hAnsi="Wingdings" w:hint="default"/>
      </w:rPr>
    </w:lvl>
    <w:lvl w:ilvl="3" w:tplc="F38ABFBE" w:tentative="1">
      <w:start w:val="1"/>
      <w:numFmt w:val="bullet"/>
      <w:lvlText w:val=""/>
      <w:lvlJc w:val="left"/>
      <w:pPr>
        <w:ind w:left="2880" w:hanging="360"/>
      </w:pPr>
      <w:rPr>
        <w:rFonts w:ascii="Symbol" w:hAnsi="Symbol" w:hint="default"/>
      </w:rPr>
    </w:lvl>
    <w:lvl w:ilvl="4" w:tplc="55EE0FA0" w:tentative="1">
      <w:start w:val="1"/>
      <w:numFmt w:val="bullet"/>
      <w:lvlText w:val="o"/>
      <w:lvlJc w:val="left"/>
      <w:pPr>
        <w:ind w:left="3600" w:hanging="360"/>
      </w:pPr>
      <w:rPr>
        <w:rFonts w:ascii="Courier New" w:hAnsi="Courier New" w:cs="Courier New" w:hint="default"/>
      </w:rPr>
    </w:lvl>
    <w:lvl w:ilvl="5" w:tplc="C53E511A" w:tentative="1">
      <w:start w:val="1"/>
      <w:numFmt w:val="bullet"/>
      <w:lvlText w:val=""/>
      <w:lvlJc w:val="left"/>
      <w:pPr>
        <w:ind w:left="4320" w:hanging="360"/>
      </w:pPr>
      <w:rPr>
        <w:rFonts w:ascii="Wingdings" w:hAnsi="Wingdings" w:hint="default"/>
      </w:rPr>
    </w:lvl>
    <w:lvl w:ilvl="6" w:tplc="AB2AECDA" w:tentative="1">
      <w:start w:val="1"/>
      <w:numFmt w:val="bullet"/>
      <w:lvlText w:val=""/>
      <w:lvlJc w:val="left"/>
      <w:pPr>
        <w:ind w:left="5040" w:hanging="360"/>
      </w:pPr>
      <w:rPr>
        <w:rFonts w:ascii="Symbol" w:hAnsi="Symbol" w:hint="default"/>
      </w:rPr>
    </w:lvl>
    <w:lvl w:ilvl="7" w:tplc="EA88FBB6" w:tentative="1">
      <w:start w:val="1"/>
      <w:numFmt w:val="bullet"/>
      <w:lvlText w:val="o"/>
      <w:lvlJc w:val="left"/>
      <w:pPr>
        <w:ind w:left="5760" w:hanging="360"/>
      </w:pPr>
      <w:rPr>
        <w:rFonts w:ascii="Courier New" w:hAnsi="Courier New" w:cs="Courier New" w:hint="default"/>
      </w:rPr>
    </w:lvl>
    <w:lvl w:ilvl="8" w:tplc="41E8CE04" w:tentative="1">
      <w:start w:val="1"/>
      <w:numFmt w:val="bullet"/>
      <w:lvlText w:val=""/>
      <w:lvlJc w:val="left"/>
      <w:pPr>
        <w:ind w:left="6480" w:hanging="360"/>
      </w:pPr>
      <w:rPr>
        <w:rFonts w:ascii="Wingdings" w:hAnsi="Wingdings" w:hint="default"/>
      </w:rPr>
    </w:lvl>
  </w:abstractNum>
  <w:abstractNum w:abstractNumId="2" w15:restartNumberingAfterBreak="0">
    <w:nsid w:val="10AD6595"/>
    <w:multiLevelType w:val="hybridMultilevel"/>
    <w:tmpl w:val="BEBA9710"/>
    <w:lvl w:ilvl="0" w:tplc="2CFE5258">
      <w:start w:val="1"/>
      <w:numFmt w:val="bullet"/>
      <w:lvlText w:val=""/>
      <w:lvlJc w:val="left"/>
      <w:pPr>
        <w:ind w:left="720" w:hanging="360"/>
      </w:pPr>
      <w:rPr>
        <w:rFonts w:ascii="Symbol" w:hAnsi="Symbol" w:hint="default"/>
      </w:rPr>
    </w:lvl>
    <w:lvl w:ilvl="1" w:tplc="6EF4141C" w:tentative="1">
      <w:start w:val="1"/>
      <w:numFmt w:val="bullet"/>
      <w:lvlText w:val="o"/>
      <w:lvlJc w:val="left"/>
      <w:pPr>
        <w:ind w:left="1440" w:hanging="360"/>
      </w:pPr>
      <w:rPr>
        <w:rFonts w:ascii="Courier New" w:hAnsi="Courier New" w:cs="Courier New" w:hint="default"/>
      </w:rPr>
    </w:lvl>
    <w:lvl w:ilvl="2" w:tplc="B4CC8B5E" w:tentative="1">
      <w:start w:val="1"/>
      <w:numFmt w:val="bullet"/>
      <w:lvlText w:val=""/>
      <w:lvlJc w:val="left"/>
      <w:pPr>
        <w:ind w:left="2160" w:hanging="360"/>
      </w:pPr>
      <w:rPr>
        <w:rFonts w:ascii="Wingdings" w:hAnsi="Wingdings" w:hint="default"/>
      </w:rPr>
    </w:lvl>
    <w:lvl w:ilvl="3" w:tplc="245895BC" w:tentative="1">
      <w:start w:val="1"/>
      <w:numFmt w:val="bullet"/>
      <w:lvlText w:val=""/>
      <w:lvlJc w:val="left"/>
      <w:pPr>
        <w:ind w:left="2880" w:hanging="360"/>
      </w:pPr>
      <w:rPr>
        <w:rFonts w:ascii="Symbol" w:hAnsi="Symbol" w:hint="default"/>
      </w:rPr>
    </w:lvl>
    <w:lvl w:ilvl="4" w:tplc="E282592A" w:tentative="1">
      <w:start w:val="1"/>
      <w:numFmt w:val="bullet"/>
      <w:lvlText w:val="o"/>
      <w:lvlJc w:val="left"/>
      <w:pPr>
        <w:ind w:left="3600" w:hanging="360"/>
      </w:pPr>
      <w:rPr>
        <w:rFonts w:ascii="Courier New" w:hAnsi="Courier New" w:cs="Courier New" w:hint="default"/>
      </w:rPr>
    </w:lvl>
    <w:lvl w:ilvl="5" w:tplc="F57066DE" w:tentative="1">
      <w:start w:val="1"/>
      <w:numFmt w:val="bullet"/>
      <w:lvlText w:val=""/>
      <w:lvlJc w:val="left"/>
      <w:pPr>
        <w:ind w:left="4320" w:hanging="360"/>
      </w:pPr>
      <w:rPr>
        <w:rFonts w:ascii="Wingdings" w:hAnsi="Wingdings" w:hint="default"/>
      </w:rPr>
    </w:lvl>
    <w:lvl w:ilvl="6" w:tplc="EB4C57C8" w:tentative="1">
      <w:start w:val="1"/>
      <w:numFmt w:val="bullet"/>
      <w:lvlText w:val=""/>
      <w:lvlJc w:val="left"/>
      <w:pPr>
        <w:ind w:left="5040" w:hanging="360"/>
      </w:pPr>
      <w:rPr>
        <w:rFonts w:ascii="Symbol" w:hAnsi="Symbol" w:hint="default"/>
      </w:rPr>
    </w:lvl>
    <w:lvl w:ilvl="7" w:tplc="2B20E69E" w:tentative="1">
      <w:start w:val="1"/>
      <w:numFmt w:val="bullet"/>
      <w:lvlText w:val="o"/>
      <w:lvlJc w:val="left"/>
      <w:pPr>
        <w:ind w:left="5760" w:hanging="360"/>
      </w:pPr>
      <w:rPr>
        <w:rFonts w:ascii="Courier New" w:hAnsi="Courier New" w:cs="Courier New" w:hint="default"/>
      </w:rPr>
    </w:lvl>
    <w:lvl w:ilvl="8" w:tplc="BB38C8C2" w:tentative="1">
      <w:start w:val="1"/>
      <w:numFmt w:val="bullet"/>
      <w:lvlText w:val=""/>
      <w:lvlJc w:val="left"/>
      <w:pPr>
        <w:ind w:left="6480" w:hanging="360"/>
      </w:pPr>
      <w:rPr>
        <w:rFonts w:ascii="Wingdings" w:hAnsi="Wingdings" w:hint="default"/>
      </w:rPr>
    </w:lvl>
  </w:abstractNum>
  <w:abstractNum w:abstractNumId="3" w15:restartNumberingAfterBreak="0">
    <w:nsid w:val="12B0197D"/>
    <w:multiLevelType w:val="hybridMultilevel"/>
    <w:tmpl w:val="0916FDA0"/>
    <w:lvl w:ilvl="0" w:tplc="EBBACAF0">
      <w:start w:val="1"/>
      <w:numFmt w:val="bullet"/>
      <w:lvlText w:val=""/>
      <w:lvlJc w:val="left"/>
      <w:pPr>
        <w:ind w:left="720" w:hanging="360"/>
      </w:pPr>
      <w:rPr>
        <w:rFonts w:ascii="Symbol" w:hAnsi="Symbol" w:hint="default"/>
      </w:rPr>
    </w:lvl>
    <w:lvl w:ilvl="1" w:tplc="F7B2035A" w:tentative="1">
      <w:start w:val="1"/>
      <w:numFmt w:val="bullet"/>
      <w:lvlText w:val="o"/>
      <w:lvlJc w:val="left"/>
      <w:pPr>
        <w:ind w:left="1440" w:hanging="360"/>
      </w:pPr>
      <w:rPr>
        <w:rFonts w:ascii="Courier New" w:hAnsi="Courier New" w:cs="Courier New" w:hint="default"/>
      </w:rPr>
    </w:lvl>
    <w:lvl w:ilvl="2" w:tplc="D37A6ABC" w:tentative="1">
      <w:start w:val="1"/>
      <w:numFmt w:val="bullet"/>
      <w:lvlText w:val=""/>
      <w:lvlJc w:val="left"/>
      <w:pPr>
        <w:ind w:left="2160" w:hanging="360"/>
      </w:pPr>
      <w:rPr>
        <w:rFonts w:ascii="Wingdings" w:hAnsi="Wingdings" w:hint="default"/>
      </w:rPr>
    </w:lvl>
    <w:lvl w:ilvl="3" w:tplc="34982D84" w:tentative="1">
      <w:start w:val="1"/>
      <w:numFmt w:val="bullet"/>
      <w:lvlText w:val=""/>
      <w:lvlJc w:val="left"/>
      <w:pPr>
        <w:ind w:left="2880" w:hanging="360"/>
      </w:pPr>
      <w:rPr>
        <w:rFonts w:ascii="Symbol" w:hAnsi="Symbol" w:hint="default"/>
      </w:rPr>
    </w:lvl>
    <w:lvl w:ilvl="4" w:tplc="782E1194" w:tentative="1">
      <w:start w:val="1"/>
      <w:numFmt w:val="bullet"/>
      <w:lvlText w:val="o"/>
      <w:lvlJc w:val="left"/>
      <w:pPr>
        <w:ind w:left="3600" w:hanging="360"/>
      </w:pPr>
      <w:rPr>
        <w:rFonts w:ascii="Courier New" w:hAnsi="Courier New" w:cs="Courier New" w:hint="default"/>
      </w:rPr>
    </w:lvl>
    <w:lvl w:ilvl="5" w:tplc="D4D2264E" w:tentative="1">
      <w:start w:val="1"/>
      <w:numFmt w:val="bullet"/>
      <w:lvlText w:val=""/>
      <w:lvlJc w:val="left"/>
      <w:pPr>
        <w:ind w:left="4320" w:hanging="360"/>
      </w:pPr>
      <w:rPr>
        <w:rFonts w:ascii="Wingdings" w:hAnsi="Wingdings" w:hint="default"/>
      </w:rPr>
    </w:lvl>
    <w:lvl w:ilvl="6" w:tplc="E8104C2A" w:tentative="1">
      <w:start w:val="1"/>
      <w:numFmt w:val="bullet"/>
      <w:lvlText w:val=""/>
      <w:lvlJc w:val="left"/>
      <w:pPr>
        <w:ind w:left="5040" w:hanging="360"/>
      </w:pPr>
      <w:rPr>
        <w:rFonts w:ascii="Symbol" w:hAnsi="Symbol" w:hint="default"/>
      </w:rPr>
    </w:lvl>
    <w:lvl w:ilvl="7" w:tplc="6B46B36E" w:tentative="1">
      <w:start w:val="1"/>
      <w:numFmt w:val="bullet"/>
      <w:lvlText w:val="o"/>
      <w:lvlJc w:val="left"/>
      <w:pPr>
        <w:ind w:left="5760" w:hanging="360"/>
      </w:pPr>
      <w:rPr>
        <w:rFonts w:ascii="Courier New" w:hAnsi="Courier New" w:cs="Courier New" w:hint="default"/>
      </w:rPr>
    </w:lvl>
    <w:lvl w:ilvl="8" w:tplc="1A9AEC2C" w:tentative="1">
      <w:start w:val="1"/>
      <w:numFmt w:val="bullet"/>
      <w:lvlText w:val=""/>
      <w:lvlJc w:val="left"/>
      <w:pPr>
        <w:ind w:left="6480" w:hanging="360"/>
      </w:pPr>
      <w:rPr>
        <w:rFonts w:ascii="Wingdings" w:hAnsi="Wingdings" w:hint="default"/>
      </w:rPr>
    </w:lvl>
  </w:abstractNum>
  <w:abstractNum w:abstractNumId="4" w15:restartNumberingAfterBreak="0">
    <w:nsid w:val="3C0A1B09"/>
    <w:multiLevelType w:val="hybridMultilevel"/>
    <w:tmpl w:val="D3FE4080"/>
    <w:lvl w:ilvl="0" w:tplc="B62676FE">
      <w:start w:val="1"/>
      <w:numFmt w:val="bullet"/>
      <w:lvlText w:val=""/>
      <w:lvlJc w:val="left"/>
      <w:pPr>
        <w:ind w:left="720" w:hanging="360"/>
      </w:pPr>
      <w:rPr>
        <w:rFonts w:ascii="Symbol" w:hAnsi="Symbol" w:hint="default"/>
      </w:rPr>
    </w:lvl>
    <w:lvl w:ilvl="1" w:tplc="547C9BBC" w:tentative="1">
      <w:start w:val="1"/>
      <w:numFmt w:val="bullet"/>
      <w:lvlText w:val="o"/>
      <w:lvlJc w:val="left"/>
      <w:pPr>
        <w:ind w:left="1440" w:hanging="360"/>
      </w:pPr>
      <w:rPr>
        <w:rFonts w:ascii="Courier New" w:hAnsi="Courier New" w:cs="Courier New" w:hint="default"/>
      </w:rPr>
    </w:lvl>
    <w:lvl w:ilvl="2" w:tplc="04B294AA" w:tentative="1">
      <w:start w:val="1"/>
      <w:numFmt w:val="bullet"/>
      <w:lvlText w:val=""/>
      <w:lvlJc w:val="left"/>
      <w:pPr>
        <w:ind w:left="2160" w:hanging="360"/>
      </w:pPr>
      <w:rPr>
        <w:rFonts w:ascii="Wingdings" w:hAnsi="Wingdings" w:hint="default"/>
      </w:rPr>
    </w:lvl>
    <w:lvl w:ilvl="3" w:tplc="D64EF7D8" w:tentative="1">
      <w:start w:val="1"/>
      <w:numFmt w:val="bullet"/>
      <w:lvlText w:val=""/>
      <w:lvlJc w:val="left"/>
      <w:pPr>
        <w:ind w:left="2880" w:hanging="360"/>
      </w:pPr>
      <w:rPr>
        <w:rFonts w:ascii="Symbol" w:hAnsi="Symbol" w:hint="default"/>
      </w:rPr>
    </w:lvl>
    <w:lvl w:ilvl="4" w:tplc="E3F60AEA" w:tentative="1">
      <w:start w:val="1"/>
      <w:numFmt w:val="bullet"/>
      <w:lvlText w:val="o"/>
      <w:lvlJc w:val="left"/>
      <w:pPr>
        <w:ind w:left="3600" w:hanging="360"/>
      </w:pPr>
      <w:rPr>
        <w:rFonts w:ascii="Courier New" w:hAnsi="Courier New" w:cs="Courier New" w:hint="default"/>
      </w:rPr>
    </w:lvl>
    <w:lvl w:ilvl="5" w:tplc="F60A98B2" w:tentative="1">
      <w:start w:val="1"/>
      <w:numFmt w:val="bullet"/>
      <w:lvlText w:val=""/>
      <w:lvlJc w:val="left"/>
      <w:pPr>
        <w:ind w:left="4320" w:hanging="360"/>
      </w:pPr>
      <w:rPr>
        <w:rFonts w:ascii="Wingdings" w:hAnsi="Wingdings" w:hint="default"/>
      </w:rPr>
    </w:lvl>
    <w:lvl w:ilvl="6" w:tplc="6F1E3812" w:tentative="1">
      <w:start w:val="1"/>
      <w:numFmt w:val="bullet"/>
      <w:lvlText w:val=""/>
      <w:lvlJc w:val="left"/>
      <w:pPr>
        <w:ind w:left="5040" w:hanging="360"/>
      </w:pPr>
      <w:rPr>
        <w:rFonts w:ascii="Symbol" w:hAnsi="Symbol" w:hint="default"/>
      </w:rPr>
    </w:lvl>
    <w:lvl w:ilvl="7" w:tplc="63EE1C34" w:tentative="1">
      <w:start w:val="1"/>
      <w:numFmt w:val="bullet"/>
      <w:lvlText w:val="o"/>
      <w:lvlJc w:val="left"/>
      <w:pPr>
        <w:ind w:left="5760" w:hanging="360"/>
      </w:pPr>
      <w:rPr>
        <w:rFonts w:ascii="Courier New" w:hAnsi="Courier New" w:cs="Courier New" w:hint="default"/>
      </w:rPr>
    </w:lvl>
    <w:lvl w:ilvl="8" w:tplc="798A3312" w:tentative="1">
      <w:start w:val="1"/>
      <w:numFmt w:val="bullet"/>
      <w:lvlText w:val=""/>
      <w:lvlJc w:val="left"/>
      <w:pPr>
        <w:ind w:left="6480" w:hanging="360"/>
      </w:pPr>
      <w:rPr>
        <w:rFonts w:ascii="Wingdings" w:hAnsi="Wingdings" w:hint="default"/>
      </w:rPr>
    </w:lvl>
  </w:abstractNum>
  <w:abstractNum w:abstractNumId="5" w15:restartNumberingAfterBreak="0">
    <w:nsid w:val="6F0604E4"/>
    <w:multiLevelType w:val="hybridMultilevel"/>
    <w:tmpl w:val="A96C3836"/>
    <w:lvl w:ilvl="0" w:tplc="05DC1630">
      <w:start w:val="1"/>
      <w:numFmt w:val="bullet"/>
      <w:lvlText w:val=""/>
      <w:lvlJc w:val="left"/>
      <w:pPr>
        <w:ind w:left="720" w:hanging="360"/>
      </w:pPr>
      <w:rPr>
        <w:rFonts w:ascii="Symbol" w:hAnsi="Symbol" w:hint="default"/>
      </w:rPr>
    </w:lvl>
    <w:lvl w:ilvl="1" w:tplc="7306085E" w:tentative="1">
      <w:start w:val="1"/>
      <w:numFmt w:val="bullet"/>
      <w:lvlText w:val="o"/>
      <w:lvlJc w:val="left"/>
      <w:pPr>
        <w:ind w:left="1440" w:hanging="360"/>
      </w:pPr>
      <w:rPr>
        <w:rFonts w:ascii="Courier New" w:hAnsi="Courier New" w:cs="Courier New" w:hint="default"/>
      </w:rPr>
    </w:lvl>
    <w:lvl w:ilvl="2" w:tplc="41B654BA" w:tentative="1">
      <w:start w:val="1"/>
      <w:numFmt w:val="bullet"/>
      <w:lvlText w:val=""/>
      <w:lvlJc w:val="left"/>
      <w:pPr>
        <w:ind w:left="2160" w:hanging="360"/>
      </w:pPr>
      <w:rPr>
        <w:rFonts w:ascii="Wingdings" w:hAnsi="Wingdings" w:hint="default"/>
      </w:rPr>
    </w:lvl>
    <w:lvl w:ilvl="3" w:tplc="F0AECF8C" w:tentative="1">
      <w:start w:val="1"/>
      <w:numFmt w:val="bullet"/>
      <w:lvlText w:val=""/>
      <w:lvlJc w:val="left"/>
      <w:pPr>
        <w:ind w:left="2880" w:hanging="360"/>
      </w:pPr>
      <w:rPr>
        <w:rFonts w:ascii="Symbol" w:hAnsi="Symbol" w:hint="default"/>
      </w:rPr>
    </w:lvl>
    <w:lvl w:ilvl="4" w:tplc="EB3605AE" w:tentative="1">
      <w:start w:val="1"/>
      <w:numFmt w:val="bullet"/>
      <w:lvlText w:val="o"/>
      <w:lvlJc w:val="left"/>
      <w:pPr>
        <w:ind w:left="3600" w:hanging="360"/>
      </w:pPr>
      <w:rPr>
        <w:rFonts w:ascii="Courier New" w:hAnsi="Courier New" w:cs="Courier New" w:hint="default"/>
      </w:rPr>
    </w:lvl>
    <w:lvl w:ilvl="5" w:tplc="282CA42C" w:tentative="1">
      <w:start w:val="1"/>
      <w:numFmt w:val="bullet"/>
      <w:lvlText w:val=""/>
      <w:lvlJc w:val="left"/>
      <w:pPr>
        <w:ind w:left="4320" w:hanging="360"/>
      </w:pPr>
      <w:rPr>
        <w:rFonts w:ascii="Wingdings" w:hAnsi="Wingdings" w:hint="default"/>
      </w:rPr>
    </w:lvl>
    <w:lvl w:ilvl="6" w:tplc="D098DB74" w:tentative="1">
      <w:start w:val="1"/>
      <w:numFmt w:val="bullet"/>
      <w:lvlText w:val=""/>
      <w:lvlJc w:val="left"/>
      <w:pPr>
        <w:ind w:left="5040" w:hanging="360"/>
      </w:pPr>
      <w:rPr>
        <w:rFonts w:ascii="Symbol" w:hAnsi="Symbol" w:hint="default"/>
      </w:rPr>
    </w:lvl>
    <w:lvl w:ilvl="7" w:tplc="9C56290A" w:tentative="1">
      <w:start w:val="1"/>
      <w:numFmt w:val="bullet"/>
      <w:lvlText w:val="o"/>
      <w:lvlJc w:val="left"/>
      <w:pPr>
        <w:ind w:left="5760" w:hanging="360"/>
      </w:pPr>
      <w:rPr>
        <w:rFonts w:ascii="Courier New" w:hAnsi="Courier New" w:cs="Courier New" w:hint="default"/>
      </w:rPr>
    </w:lvl>
    <w:lvl w:ilvl="8" w:tplc="D668F100" w:tentative="1">
      <w:start w:val="1"/>
      <w:numFmt w:val="bullet"/>
      <w:lvlText w:val=""/>
      <w:lvlJc w:val="left"/>
      <w:pPr>
        <w:ind w:left="6480" w:hanging="360"/>
      </w:pPr>
      <w:rPr>
        <w:rFonts w:ascii="Wingdings" w:hAnsi="Wingdings" w:hint="default"/>
      </w:rPr>
    </w:lvl>
  </w:abstractNum>
  <w:abstractNum w:abstractNumId="6" w15:restartNumberingAfterBreak="0">
    <w:nsid w:val="74AF2D2E"/>
    <w:multiLevelType w:val="hybridMultilevel"/>
    <w:tmpl w:val="7FEE3144"/>
    <w:lvl w:ilvl="0" w:tplc="C0702D64">
      <w:start w:val="1"/>
      <w:numFmt w:val="bullet"/>
      <w:lvlText w:val=""/>
      <w:lvlJc w:val="left"/>
      <w:pPr>
        <w:ind w:left="720" w:hanging="360"/>
      </w:pPr>
      <w:rPr>
        <w:rFonts w:ascii="Symbol" w:hAnsi="Symbol" w:hint="default"/>
      </w:rPr>
    </w:lvl>
    <w:lvl w:ilvl="1" w:tplc="D1E2435A" w:tentative="1">
      <w:start w:val="1"/>
      <w:numFmt w:val="bullet"/>
      <w:lvlText w:val="o"/>
      <w:lvlJc w:val="left"/>
      <w:pPr>
        <w:ind w:left="1440" w:hanging="360"/>
      </w:pPr>
      <w:rPr>
        <w:rFonts w:ascii="Courier New" w:hAnsi="Courier New" w:cs="Courier New" w:hint="default"/>
      </w:rPr>
    </w:lvl>
    <w:lvl w:ilvl="2" w:tplc="2E2A4DCA" w:tentative="1">
      <w:start w:val="1"/>
      <w:numFmt w:val="bullet"/>
      <w:lvlText w:val=""/>
      <w:lvlJc w:val="left"/>
      <w:pPr>
        <w:ind w:left="2160" w:hanging="360"/>
      </w:pPr>
      <w:rPr>
        <w:rFonts w:ascii="Wingdings" w:hAnsi="Wingdings" w:hint="default"/>
      </w:rPr>
    </w:lvl>
    <w:lvl w:ilvl="3" w:tplc="AC1AF9AA" w:tentative="1">
      <w:start w:val="1"/>
      <w:numFmt w:val="bullet"/>
      <w:lvlText w:val=""/>
      <w:lvlJc w:val="left"/>
      <w:pPr>
        <w:ind w:left="2880" w:hanging="360"/>
      </w:pPr>
      <w:rPr>
        <w:rFonts w:ascii="Symbol" w:hAnsi="Symbol" w:hint="default"/>
      </w:rPr>
    </w:lvl>
    <w:lvl w:ilvl="4" w:tplc="B824E820" w:tentative="1">
      <w:start w:val="1"/>
      <w:numFmt w:val="bullet"/>
      <w:lvlText w:val="o"/>
      <w:lvlJc w:val="left"/>
      <w:pPr>
        <w:ind w:left="3600" w:hanging="360"/>
      </w:pPr>
      <w:rPr>
        <w:rFonts w:ascii="Courier New" w:hAnsi="Courier New" w:cs="Courier New" w:hint="default"/>
      </w:rPr>
    </w:lvl>
    <w:lvl w:ilvl="5" w:tplc="A17C7EFA" w:tentative="1">
      <w:start w:val="1"/>
      <w:numFmt w:val="bullet"/>
      <w:lvlText w:val=""/>
      <w:lvlJc w:val="left"/>
      <w:pPr>
        <w:ind w:left="4320" w:hanging="360"/>
      </w:pPr>
      <w:rPr>
        <w:rFonts w:ascii="Wingdings" w:hAnsi="Wingdings" w:hint="default"/>
      </w:rPr>
    </w:lvl>
    <w:lvl w:ilvl="6" w:tplc="DE4A4C28" w:tentative="1">
      <w:start w:val="1"/>
      <w:numFmt w:val="bullet"/>
      <w:lvlText w:val=""/>
      <w:lvlJc w:val="left"/>
      <w:pPr>
        <w:ind w:left="5040" w:hanging="360"/>
      </w:pPr>
      <w:rPr>
        <w:rFonts w:ascii="Symbol" w:hAnsi="Symbol" w:hint="default"/>
      </w:rPr>
    </w:lvl>
    <w:lvl w:ilvl="7" w:tplc="1402E0AC" w:tentative="1">
      <w:start w:val="1"/>
      <w:numFmt w:val="bullet"/>
      <w:lvlText w:val="o"/>
      <w:lvlJc w:val="left"/>
      <w:pPr>
        <w:ind w:left="5760" w:hanging="360"/>
      </w:pPr>
      <w:rPr>
        <w:rFonts w:ascii="Courier New" w:hAnsi="Courier New" w:cs="Courier New" w:hint="default"/>
      </w:rPr>
    </w:lvl>
    <w:lvl w:ilvl="8" w:tplc="C024DA32" w:tentative="1">
      <w:start w:val="1"/>
      <w:numFmt w:val="bullet"/>
      <w:lvlText w:val=""/>
      <w:lvlJc w:val="left"/>
      <w:pPr>
        <w:ind w:left="6480" w:hanging="360"/>
      </w:pPr>
      <w:rPr>
        <w:rFonts w:ascii="Wingdings" w:hAnsi="Wingdings" w:hint="default"/>
      </w:rPr>
    </w:lvl>
  </w:abstractNum>
  <w:abstractNum w:abstractNumId="7" w15:restartNumberingAfterBreak="0">
    <w:nsid w:val="760901B0"/>
    <w:multiLevelType w:val="hybridMultilevel"/>
    <w:tmpl w:val="DC96F7E8"/>
    <w:lvl w:ilvl="0" w:tplc="6BF4F330">
      <w:start w:val="1"/>
      <w:numFmt w:val="bullet"/>
      <w:lvlText w:val=""/>
      <w:lvlJc w:val="left"/>
      <w:pPr>
        <w:ind w:left="720" w:hanging="360"/>
      </w:pPr>
      <w:rPr>
        <w:rFonts w:ascii="Symbol" w:hAnsi="Symbol" w:hint="default"/>
      </w:rPr>
    </w:lvl>
    <w:lvl w:ilvl="1" w:tplc="F87C7580" w:tentative="1">
      <w:start w:val="1"/>
      <w:numFmt w:val="bullet"/>
      <w:lvlText w:val="o"/>
      <w:lvlJc w:val="left"/>
      <w:pPr>
        <w:ind w:left="1440" w:hanging="360"/>
      </w:pPr>
      <w:rPr>
        <w:rFonts w:ascii="Courier New" w:hAnsi="Courier New" w:cs="Courier New" w:hint="default"/>
      </w:rPr>
    </w:lvl>
    <w:lvl w:ilvl="2" w:tplc="3DD0DBDC" w:tentative="1">
      <w:start w:val="1"/>
      <w:numFmt w:val="bullet"/>
      <w:lvlText w:val=""/>
      <w:lvlJc w:val="left"/>
      <w:pPr>
        <w:ind w:left="2160" w:hanging="360"/>
      </w:pPr>
      <w:rPr>
        <w:rFonts w:ascii="Wingdings" w:hAnsi="Wingdings" w:hint="default"/>
      </w:rPr>
    </w:lvl>
    <w:lvl w:ilvl="3" w:tplc="35B6D0AA" w:tentative="1">
      <w:start w:val="1"/>
      <w:numFmt w:val="bullet"/>
      <w:lvlText w:val=""/>
      <w:lvlJc w:val="left"/>
      <w:pPr>
        <w:ind w:left="2880" w:hanging="360"/>
      </w:pPr>
      <w:rPr>
        <w:rFonts w:ascii="Symbol" w:hAnsi="Symbol" w:hint="default"/>
      </w:rPr>
    </w:lvl>
    <w:lvl w:ilvl="4" w:tplc="C61C96BE" w:tentative="1">
      <w:start w:val="1"/>
      <w:numFmt w:val="bullet"/>
      <w:lvlText w:val="o"/>
      <w:lvlJc w:val="left"/>
      <w:pPr>
        <w:ind w:left="3600" w:hanging="360"/>
      </w:pPr>
      <w:rPr>
        <w:rFonts w:ascii="Courier New" w:hAnsi="Courier New" w:cs="Courier New" w:hint="default"/>
      </w:rPr>
    </w:lvl>
    <w:lvl w:ilvl="5" w:tplc="A2CE3FA8" w:tentative="1">
      <w:start w:val="1"/>
      <w:numFmt w:val="bullet"/>
      <w:lvlText w:val=""/>
      <w:lvlJc w:val="left"/>
      <w:pPr>
        <w:ind w:left="4320" w:hanging="360"/>
      </w:pPr>
      <w:rPr>
        <w:rFonts w:ascii="Wingdings" w:hAnsi="Wingdings" w:hint="default"/>
      </w:rPr>
    </w:lvl>
    <w:lvl w:ilvl="6" w:tplc="8004A22E" w:tentative="1">
      <w:start w:val="1"/>
      <w:numFmt w:val="bullet"/>
      <w:lvlText w:val=""/>
      <w:lvlJc w:val="left"/>
      <w:pPr>
        <w:ind w:left="5040" w:hanging="360"/>
      </w:pPr>
      <w:rPr>
        <w:rFonts w:ascii="Symbol" w:hAnsi="Symbol" w:hint="default"/>
      </w:rPr>
    </w:lvl>
    <w:lvl w:ilvl="7" w:tplc="53289DEA" w:tentative="1">
      <w:start w:val="1"/>
      <w:numFmt w:val="bullet"/>
      <w:lvlText w:val="o"/>
      <w:lvlJc w:val="left"/>
      <w:pPr>
        <w:ind w:left="5760" w:hanging="360"/>
      </w:pPr>
      <w:rPr>
        <w:rFonts w:ascii="Courier New" w:hAnsi="Courier New" w:cs="Courier New" w:hint="default"/>
      </w:rPr>
    </w:lvl>
    <w:lvl w:ilvl="8" w:tplc="A6967748" w:tentative="1">
      <w:start w:val="1"/>
      <w:numFmt w:val="bullet"/>
      <w:lvlText w:val=""/>
      <w:lvlJc w:val="left"/>
      <w:pPr>
        <w:ind w:left="6480" w:hanging="360"/>
      </w:pPr>
      <w:rPr>
        <w:rFonts w:ascii="Wingdings" w:hAnsi="Wingdings" w:hint="default"/>
      </w:rPr>
    </w:lvl>
  </w:abstractNum>
  <w:num w:numId="1" w16cid:durableId="1520856115">
    <w:abstractNumId w:val="4"/>
  </w:num>
  <w:num w:numId="2" w16cid:durableId="249198089">
    <w:abstractNumId w:val="7"/>
  </w:num>
  <w:num w:numId="3" w16cid:durableId="2078358695">
    <w:abstractNumId w:val="0"/>
  </w:num>
  <w:num w:numId="4" w16cid:durableId="736245619">
    <w:abstractNumId w:val="6"/>
  </w:num>
  <w:num w:numId="5" w16cid:durableId="893007508">
    <w:abstractNumId w:val="1"/>
  </w:num>
  <w:num w:numId="6" w16cid:durableId="713576105">
    <w:abstractNumId w:val="5"/>
  </w:num>
  <w:num w:numId="7" w16cid:durableId="2085713931">
    <w:abstractNumId w:val="3"/>
  </w:num>
  <w:num w:numId="8" w16cid:durableId="1314749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11"/>
    <w:rsid w:val="000059E9"/>
    <w:rsid w:val="000C083B"/>
    <w:rsid w:val="0010080C"/>
    <w:rsid w:val="00122A09"/>
    <w:rsid w:val="0012658B"/>
    <w:rsid w:val="00127E09"/>
    <w:rsid w:val="001A48E4"/>
    <w:rsid w:val="001E7611"/>
    <w:rsid w:val="00297CD6"/>
    <w:rsid w:val="002C0B72"/>
    <w:rsid w:val="002C25C6"/>
    <w:rsid w:val="00330C81"/>
    <w:rsid w:val="00342333"/>
    <w:rsid w:val="00347EDF"/>
    <w:rsid w:val="003B378B"/>
    <w:rsid w:val="003B6D4D"/>
    <w:rsid w:val="003C650D"/>
    <w:rsid w:val="0040223A"/>
    <w:rsid w:val="00443282"/>
    <w:rsid w:val="004B1225"/>
    <w:rsid w:val="004C3E7B"/>
    <w:rsid w:val="004E6BDA"/>
    <w:rsid w:val="004F14B9"/>
    <w:rsid w:val="0050352F"/>
    <w:rsid w:val="00523D96"/>
    <w:rsid w:val="00523E47"/>
    <w:rsid w:val="00532D5F"/>
    <w:rsid w:val="0054214B"/>
    <w:rsid w:val="005462CE"/>
    <w:rsid w:val="005577D9"/>
    <w:rsid w:val="005D6CA9"/>
    <w:rsid w:val="005E106E"/>
    <w:rsid w:val="00600AB6"/>
    <w:rsid w:val="006263CC"/>
    <w:rsid w:val="006A73A9"/>
    <w:rsid w:val="00707FCE"/>
    <w:rsid w:val="00721EED"/>
    <w:rsid w:val="0074158C"/>
    <w:rsid w:val="0078693F"/>
    <w:rsid w:val="007A6721"/>
    <w:rsid w:val="007D03F3"/>
    <w:rsid w:val="007F7D61"/>
    <w:rsid w:val="00800DBD"/>
    <w:rsid w:val="00821087"/>
    <w:rsid w:val="00825143"/>
    <w:rsid w:val="008C3A12"/>
    <w:rsid w:val="00987C10"/>
    <w:rsid w:val="009907AE"/>
    <w:rsid w:val="009D7D4F"/>
    <w:rsid w:val="009E66D8"/>
    <w:rsid w:val="009F55E4"/>
    <w:rsid w:val="00A0750C"/>
    <w:rsid w:val="00A13EA1"/>
    <w:rsid w:val="00A63B50"/>
    <w:rsid w:val="00A6655A"/>
    <w:rsid w:val="00A95226"/>
    <w:rsid w:val="00AA402A"/>
    <w:rsid w:val="00BC4DD4"/>
    <w:rsid w:val="00BF2EBE"/>
    <w:rsid w:val="00C36D13"/>
    <w:rsid w:val="00C71113"/>
    <w:rsid w:val="00C73BE1"/>
    <w:rsid w:val="00C9498B"/>
    <w:rsid w:val="00CA4C70"/>
    <w:rsid w:val="00CC4211"/>
    <w:rsid w:val="00D45891"/>
    <w:rsid w:val="00D57B68"/>
    <w:rsid w:val="00D84E02"/>
    <w:rsid w:val="00DB1A21"/>
    <w:rsid w:val="00DC7B79"/>
    <w:rsid w:val="00DD6F10"/>
    <w:rsid w:val="00E17440"/>
    <w:rsid w:val="00EC496D"/>
    <w:rsid w:val="00F13910"/>
    <w:rsid w:val="00F23DAD"/>
    <w:rsid w:val="00F751F3"/>
    <w:rsid w:val="00F77A84"/>
    <w:rsid w:val="00F815A6"/>
    <w:rsid w:val="00FB19B1"/>
    <w:rsid w:val="00FB1A87"/>
    <w:rsid w:val="00FC1CE5"/>
    <w:rsid w:val="00FC27C6"/>
    <w:rsid w:val="00FC73CE"/>
    <w:rsid w:val="00FD5085"/>
    <w:rsid w:val="00FF3B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AA781"/>
  <w15:chartTrackingRefBased/>
  <w15:docId w15:val="{714F3986-E7DE-47EC-A73B-98DC66C4B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F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751F3"/>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E7611"/>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4589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1F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E7611"/>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D4589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A95226"/>
    <w:pPr>
      <w:ind w:left="720"/>
      <w:contextualSpacing/>
    </w:pPr>
  </w:style>
  <w:style w:type="character" w:styleId="Hyperlink">
    <w:name w:val="Hyperlink"/>
    <w:basedOn w:val="DefaultParagraphFont"/>
    <w:uiPriority w:val="99"/>
    <w:unhideWhenUsed/>
    <w:rsid w:val="00DD6F10"/>
    <w:rPr>
      <w:color w:val="0563C1" w:themeColor="hyperlink"/>
      <w:u w:val="single"/>
    </w:rPr>
  </w:style>
  <w:style w:type="paragraph" w:styleId="TOCHeading">
    <w:name w:val="TOC Heading"/>
    <w:basedOn w:val="Heading1"/>
    <w:next w:val="Normal"/>
    <w:uiPriority w:val="39"/>
    <w:unhideWhenUsed/>
    <w:qFormat/>
    <w:rsid w:val="0040223A"/>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0223A"/>
    <w:pPr>
      <w:spacing w:after="100"/>
    </w:pPr>
  </w:style>
  <w:style w:type="paragraph" w:styleId="TOC2">
    <w:name w:val="toc 2"/>
    <w:basedOn w:val="Normal"/>
    <w:next w:val="Normal"/>
    <w:autoRedefine/>
    <w:uiPriority w:val="39"/>
    <w:unhideWhenUsed/>
    <w:rsid w:val="0040223A"/>
    <w:pPr>
      <w:spacing w:after="100"/>
      <w:ind w:left="240"/>
    </w:pPr>
  </w:style>
  <w:style w:type="paragraph" w:styleId="Header">
    <w:name w:val="header"/>
    <w:basedOn w:val="Normal"/>
    <w:link w:val="HeaderChar"/>
    <w:uiPriority w:val="99"/>
    <w:unhideWhenUsed/>
    <w:rsid w:val="00402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23A"/>
    <w:rPr>
      <w:rFonts w:ascii="Times New Roman" w:hAnsi="Times New Roman"/>
      <w:color w:val="000000" w:themeColor="text1"/>
      <w:sz w:val="24"/>
    </w:rPr>
  </w:style>
  <w:style w:type="paragraph" w:styleId="Footer">
    <w:name w:val="footer"/>
    <w:basedOn w:val="Normal"/>
    <w:link w:val="FooterChar"/>
    <w:uiPriority w:val="99"/>
    <w:unhideWhenUsed/>
    <w:rsid w:val="00402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23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51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radfordforeveryone.co.uk/wp-content/uploads/2020/01/stronger_communities_strateg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adfordforeveryone.co.uk/wp-content/uploads/2022/07/The-Linking-Network-Evaulation-2019-2022.pdf"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local.gov.uk/case-studies/empowering-communities-make-chang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radford.gov.uk/your-community/citizen-coin/citizen-coin/"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adfordforeveryone.co.uk/wha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6A2CF-5D97-4F33-A4C0-CA8A411A9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13</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Cristian Badica</cp:lastModifiedBy>
  <cp:revision>2</cp:revision>
  <dcterms:created xsi:type="dcterms:W3CDTF">2023-07-02T05:23:00Z</dcterms:created>
  <dcterms:modified xsi:type="dcterms:W3CDTF">2023-07-02T18:39:00Z</dcterms:modified>
</cp:coreProperties>
</file>