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E02AC" w14:textId="4C2E06ED" w:rsidR="005462DE" w:rsidRPr="00D42E50" w:rsidRDefault="005462DE">
      <w:pPr>
        <w:rPr>
          <w:rFonts w:ascii="Arial" w:hAnsi="Arial" w:cs="Arial"/>
          <w:sz w:val="24"/>
          <w:szCs w:val="24"/>
          <w:lang w:val="en-US"/>
        </w:rPr>
      </w:pPr>
      <w:r w:rsidRPr="00D42E50">
        <w:rPr>
          <w:rFonts w:ascii="Arial" w:hAnsi="Arial" w:cs="Arial"/>
          <w:noProof/>
          <w:color w:val="000000" w:themeColor="text1"/>
          <w:sz w:val="24"/>
          <w:szCs w:val="24"/>
        </w:rPr>
        <w:drawing>
          <wp:anchor distT="0" distB="0" distL="114300" distR="114300" simplePos="0" relativeHeight="251659264" behindDoc="0" locked="0" layoutInCell="1" allowOverlap="1" wp14:anchorId="09B1D1F6" wp14:editId="4066D87F">
            <wp:simplePos x="0" y="0"/>
            <wp:positionH relativeFrom="margin">
              <wp:posOffset>-1021080</wp:posOffset>
            </wp:positionH>
            <wp:positionV relativeFrom="margin">
              <wp:posOffset>-1014730</wp:posOffset>
            </wp:positionV>
            <wp:extent cx="7765415" cy="10983595"/>
            <wp:effectExtent l="133350" t="114300" r="140335" b="160655"/>
            <wp:wrapSquare wrapText="bothSides"/>
            <wp:docPr id="1769575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575333"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7765415" cy="109835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03AC0541" w14:textId="2C7B83A2" w:rsidR="006A6B6B" w:rsidRPr="00D42E50" w:rsidRDefault="005462DE" w:rsidP="005462DE">
      <w:pPr>
        <w:jc w:val="center"/>
        <w:rPr>
          <w:rFonts w:ascii="Arial" w:hAnsi="Arial" w:cs="Arial"/>
          <w:b/>
          <w:bCs/>
          <w:sz w:val="24"/>
          <w:szCs w:val="24"/>
        </w:rPr>
      </w:pPr>
      <w:r w:rsidRPr="00D42E50">
        <w:rPr>
          <w:rFonts w:ascii="Arial" w:hAnsi="Arial" w:cs="Arial"/>
          <w:b/>
          <w:bCs/>
          <w:sz w:val="24"/>
          <w:szCs w:val="24"/>
        </w:rPr>
        <w:lastRenderedPageBreak/>
        <w:t>TABLE OF CONTENTS</w:t>
      </w:r>
    </w:p>
    <w:p w14:paraId="1CE52B25" w14:textId="77777777" w:rsidR="005462DE" w:rsidRPr="00D42E50" w:rsidRDefault="005462DE" w:rsidP="005462DE">
      <w:pPr>
        <w:jc w:val="center"/>
        <w:rPr>
          <w:rFonts w:ascii="Arial" w:hAnsi="Arial" w:cs="Arial"/>
          <w:b/>
          <w:bCs/>
          <w:sz w:val="24"/>
          <w:szCs w:val="24"/>
        </w:rPr>
      </w:pPr>
    </w:p>
    <w:p w14:paraId="1DD6221D" w14:textId="77777777" w:rsidR="00700B24" w:rsidRPr="00D42E50" w:rsidRDefault="00700B24" w:rsidP="00700B24">
      <w:pPr>
        <w:rPr>
          <w:rFonts w:ascii="Arial" w:hAnsi="Arial" w:cs="Arial"/>
          <w:b/>
          <w:bCs/>
          <w:sz w:val="24"/>
          <w:szCs w:val="24"/>
        </w:rPr>
      </w:pPr>
      <w:r w:rsidRPr="00D42E50">
        <w:rPr>
          <w:rFonts w:ascii="Arial" w:hAnsi="Arial" w:cs="Arial"/>
          <w:b/>
          <w:bCs/>
          <w:sz w:val="24"/>
          <w:szCs w:val="24"/>
        </w:rPr>
        <w:t>TASK A: DESIGNING INNOVATIVE WORKING PRACTICES</w:t>
      </w:r>
    </w:p>
    <w:p w14:paraId="3AE76171" w14:textId="77777777" w:rsidR="00700B24" w:rsidRPr="00D42E50" w:rsidRDefault="00700B24" w:rsidP="00700B24">
      <w:pPr>
        <w:rPr>
          <w:rFonts w:ascii="Arial" w:hAnsi="Arial" w:cs="Arial"/>
          <w:sz w:val="24"/>
          <w:szCs w:val="24"/>
        </w:rPr>
      </w:pPr>
      <w:r w:rsidRPr="00D42E50">
        <w:rPr>
          <w:rFonts w:ascii="Arial" w:hAnsi="Arial" w:cs="Arial"/>
          <w:sz w:val="24"/>
          <w:szCs w:val="24"/>
        </w:rPr>
        <w:t>1. Executive Summary and Contextual Overview</w:t>
      </w:r>
    </w:p>
    <w:p w14:paraId="5991FAA6" w14:textId="77777777" w:rsidR="00700B24" w:rsidRPr="00D42E50" w:rsidRDefault="00700B24" w:rsidP="00700B24">
      <w:pPr>
        <w:rPr>
          <w:rFonts w:ascii="Arial" w:hAnsi="Arial" w:cs="Arial"/>
          <w:sz w:val="24"/>
          <w:szCs w:val="24"/>
        </w:rPr>
      </w:pPr>
      <w:r w:rsidRPr="00D42E50">
        <w:rPr>
          <w:rFonts w:ascii="Arial" w:hAnsi="Arial" w:cs="Arial"/>
          <w:sz w:val="24"/>
          <w:szCs w:val="24"/>
        </w:rPr>
        <w:t>1.1 Strategic Challenges at NexSpace Health Systems (NHSX)</w:t>
      </w:r>
    </w:p>
    <w:p w14:paraId="5049A0E6" w14:textId="77777777" w:rsidR="00700B24" w:rsidRPr="00D42E50" w:rsidRDefault="00700B24" w:rsidP="00700B24">
      <w:pPr>
        <w:rPr>
          <w:rFonts w:ascii="Arial" w:hAnsi="Arial" w:cs="Arial"/>
          <w:sz w:val="24"/>
          <w:szCs w:val="24"/>
        </w:rPr>
      </w:pPr>
      <w:r w:rsidRPr="00D42E50">
        <w:rPr>
          <w:rFonts w:ascii="Arial" w:hAnsi="Arial" w:cs="Arial"/>
          <w:sz w:val="24"/>
          <w:szCs w:val="24"/>
        </w:rPr>
        <w:t>1.2 Purpose and Scope of Task A</w:t>
      </w:r>
    </w:p>
    <w:p w14:paraId="33AE754B" w14:textId="77777777" w:rsidR="00700B24" w:rsidRPr="00D42E50" w:rsidRDefault="00700B24" w:rsidP="00700B24">
      <w:pPr>
        <w:rPr>
          <w:rFonts w:ascii="Arial" w:hAnsi="Arial" w:cs="Arial"/>
          <w:sz w:val="24"/>
          <w:szCs w:val="24"/>
        </w:rPr>
      </w:pPr>
      <w:r w:rsidRPr="00D42E50">
        <w:rPr>
          <w:rFonts w:ascii="Arial" w:hAnsi="Arial" w:cs="Arial"/>
          <w:sz w:val="24"/>
          <w:szCs w:val="24"/>
        </w:rPr>
        <w:t>2. Critical Evaluation: Traditional Work Design vs. Contemporary Working Practices</w:t>
      </w:r>
    </w:p>
    <w:p w14:paraId="5BAAC4AD" w14:textId="03AE9584" w:rsidR="000F41F2" w:rsidRPr="00D42E50" w:rsidRDefault="000D74CC" w:rsidP="00700B24">
      <w:pPr>
        <w:rPr>
          <w:rFonts w:ascii="Arial" w:hAnsi="Arial" w:cs="Arial"/>
          <w:sz w:val="24"/>
          <w:szCs w:val="24"/>
        </w:rPr>
      </w:pPr>
      <w:r w:rsidRPr="000D74CC">
        <w:rPr>
          <w:rFonts w:ascii="Arial" w:hAnsi="Arial" w:cs="Arial"/>
          <w:sz w:val="24"/>
          <w:szCs w:val="24"/>
        </w:rPr>
        <w:t>2.1 Capacity-building and participatory human resource frameworks</w:t>
      </w:r>
    </w:p>
    <w:p w14:paraId="2D2BA87E" w14:textId="77777777" w:rsidR="00700B24" w:rsidRPr="00D42E50" w:rsidRDefault="00700B24" w:rsidP="00700B24">
      <w:pPr>
        <w:rPr>
          <w:rFonts w:ascii="Arial" w:hAnsi="Arial" w:cs="Arial"/>
          <w:sz w:val="24"/>
          <w:szCs w:val="24"/>
        </w:rPr>
      </w:pPr>
      <w:r w:rsidRPr="00D42E50">
        <w:rPr>
          <w:rFonts w:ascii="Arial" w:hAnsi="Arial" w:cs="Arial"/>
          <w:sz w:val="24"/>
          <w:szCs w:val="24"/>
        </w:rPr>
        <w:t>2.2 Sociotechnical Systems (STS) Theory</w:t>
      </w:r>
    </w:p>
    <w:p w14:paraId="7EEBA51D" w14:textId="77777777" w:rsidR="00700B24" w:rsidRPr="00D42E50" w:rsidRDefault="00700B24" w:rsidP="00700B24">
      <w:pPr>
        <w:rPr>
          <w:rFonts w:ascii="Arial" w:hAnsi="Arial" w:cs="Arial"/>
          <w:sz w:val="24"/>
          <w:szCs w:val="24"/>
        </w:rPr>
      </w:pPr>
      <w:r w:rsidRPr="00D42E50">
        <w:rPr>
          <w:rFonts w:ascii="Arial" w:hAnsi="Arial" w:cs="Arial"/>
          <w:sz w:val="24"/>
          <w:szCs w:val="24"/>
        </w:rPr>
        <w:t>2.3 Agile and Hybrid Working Models</w:t>
      </w:r>
    </w:p>
    <w:p w14:paraId="312A4458" w14:textId="77777777" w:rsidR="00700B24" w:rsidRPr="00D42E50" w:rsidRDefault="00700B24" w:rsidP="00700B24">
      <w:pPr>
        <w:rPr>
          <w:rFonts w:ascii="Arial" w:hAnsi="Arial" w:cs="Arial"/>
          <w:sz w:val="24"/>
          <w:szCs w:val="24"/>
        </w:rPr>
      </w:pPr>
      <w:r w:rsidRPr="00D42E50">
        <w:rPr>
          <w:rFonts w:ascii="Arial" w:hAnsi="Arial" w:cs="Arial"/>
          <w:sz w:val="24"/>
          <w:szCs w:val="24"/>
        </w:rPr>
        <w:t>2.4 Comparative Evaluation: Traditional Taylorism vs. Modern Agile (Table 1)</w:t>
      </w:r>
    </w:p>
    <w:p w14:paraId="3D8CB2B8" w14:textId="77777777" w:rsidR="00700B24" w:rsidRPr="00D42E50" w:rsidRDefault="00700B24" w:rsidP="00700B24">
      <w:pPr>
        <w:rPr>
          <w:rFonts w:ascii="Arial" w:hAnsi="Arial" w:cs="Arial"/>
          <w:sz w:val="24"/>
          <w:szCs w:val="24"/>
        </w:rPr>
      </w:pPr>
      <w:r w:rsidRPr="00D42E50">
        <w:rPr>
          <w:rFonts w:ascii="Arial" w:hAnsi="Arial" w:cs="Arial"/>
          <w:sz w:val="24"/>
          <w:szCs w:val="24"/>
        </w:rPr>
        <w:t>3. Strategic Recommendations for NHSX</w:t>
      </w:r>
    </w:p>
    <w:p w14:paraId="59B11303" w14:textId="77777777" w:rsidR="00700B24" w:rsidRPr="00D42E50" w:rsidRDefault="00700B24" w:rsidP="00700B24">
      <w:pPr>
        <w:rPr>
          <w:rFonts w:ascii="Arial" w:hAnsi="Arial" w:cs="Arial"/>
          <w:sz w:val="24"/>
          <w:szCs w:val="24"/>
        </w:rPr>
      </w:pPr>
      <w:r w:rsidRPr="00D42E50">
        <w:rPr>
          <w:rFonts w:ascii="Arial" w:hAnsi="Arial" w:cs="Arial"/>
          <w:sz w:val="24"/>
          <w:szCs w:val="24"/>
        </w:rPr>
        <w:t>3.1 Cross-Functional Collaboration &amp; International Integration (UK, India, UAE)</w:t>
      </w:r>
    </w:p>
    <w:p w14:paraId="79332F94" w14:textId="77777777" w:rsidR="00700B24" w:rsidRPr="00D42E50" w:rsidRDefault="00700B24" w:rsidP="00700B24">
      <w:pPr>
        <w:rPr>
          <w:rFonts w:ascii="Arial" w:hAnsi="Arial" w:cs="Arial"/>
          <w:sz w:val="24"/>
          <w:szCs w:val="24"/>
        </w:rPr>
      </w:pPr>
      <w:r w:rsidRPr="00D42E50">
        <w:rPr>
          <w:rFonts w:ascii="Arial" w:hAnsi="Arial" w:cs="Arial"/>
          <w:sz w:val="24"/>
          <w:szCs w:val="24"/>
        </w:rPr>
        <w:t>3.2 Hybrid &amp; Asynchronous Flexible Working Structure</w:t>
      </w:r>
    </w:p>
    <w:p w14:paraId="3BB54AA2" w14:textId="77777777" w:rsidR="00700B24" w:rsidRPr="00D42E50" w:rsidRDefault="00700B24" w:rsidP="00700B24">
      <w:pPr>
        <w:rPr>
          <w:rFonts w:ascii="Arial" w:hAnsi="Arial" w:cs="Arial"/>
          <w:sz w:val="24"/>
          <w:szCs w:val="24"/>
        </w:rPr>
      </w:pPr>
      <w:r w:rsidRPr="00D42E50">
        <w:rPr>
          <w:rFonts w:ascii="Arial" w:hAnsi="Arial" w:cs="Arial"/>
          <w:sz w:val="24"/>
          <w:szCs w:val="24"/>
        </w:rPr>
        <w:t>3.3 Employee Autonomy, Psychological Safety &amp; Decentralized Decision-Making</w:t>
      </w:r>
    </w:p>
    <w:p w14:paraId="34FD0B15" w14:textId="77777777" w:rsidR="00700B24" w:rsidRPr="00D42E50" w:rsidRDefault="00700B24" w:rsidP="00700B24">
      <w:pPr>
        <w:rPr>
          <w:rFonts w:ascii="Arial" w:hAnsi="Arial" w:cs="Arial"/>
          <w:sz w:val="24"/>
          <w:szCs w:val="24"/>
        </w:rPr>
      </w:pPr>
      <w:r w:rsidRPr="00D42E50">
        <w:rPr>
          <w:rFonts w:ascii="Arial" w:hAnsi="Arial" w:cs="Arial"/>
          <w:sz w:val="24"/>
          <w:szCs w:val="24"/>
        </w:rPr>
        <w:t>3.4 Agile Project Delivery: Networked "Innovation Pods"</w:t>
      </w:r>
    </w:p>
    <w:p w14:paraId="6A9F037C" w14:textId="77777777" w:rsidR="00700B24" w:rsidRPr="00D42E50" w:rsidRDefault="00700B24" w:rsidP="00700B24">
      <w:pPr>
        <w:rPr>
          <w:rFonts w:ascii="Arial" w:hAnsi="Arial" w:cs="Arial"/>
          <w:sz w:val="24"/>
          <w:szCs w:val="24"/>
        </w:rPr>
      </w:pPr>
      <w:r w:rsidRPr="00D42E50">
        <w:rPr>
          <w:rFonts w:ascii="Arial" w:hAnsi="Arial" w:cs="Arial"/>
          <w:sz w:val="24"/>
          <w:szCs w:val="24"/>
        </w:rPr>
        <w:t>3.5 Digital Collaboration Technology &amp; Knowledge-Sharing Protocols</w:t>
      </w:r>
    </w:p>
    <w:p w14:paraId="7155AA99" w14:textId="77777777" w:rsidR="00700B24" w:rsidRPr="00D42E50" w:rsidRDefault="00700B24" w:rsidP="00700B24">
      <w:pPr>
        <w:rPr>
          <w:rFonts w:ascii="Arial" w:hAnsi="Arial" w:cs="Arial"/>
          <w:sz w:val="24"/>
          <w:szCs w:val="24"/>
        </w:rPr>
      </w:pPr>
      <w:r w:rsidRPr="00D42E50">
        <w:rPr>
          <w:rFonts w:ascii="Arial" w:hAnsi="Arial" w:cs="Arial"/>
          <w:sz w:val="24"/>
          <w:szCs w:val="24"/>
        </w:rPr>
        <w:t>4. Business Impact &amp; Performance Justification</w:t>
      </w:r>
    </w:p>
    <w:p w14:paraId="7E7EA7C3" w14:textId="77777777" w:rsidR="00700B24" w:rsidRPr="00D42E50" w:rsidRDefault="00700B24" w:rsidP="00700B24">
      <w:pPr>
        <w:rPr>
          <w:rFonts w:ascii="Arial" w:hAnsi="Arial" w:cs="Arial"/>
          <w:sz w:val="24"/>
          <w:szCs w:val="24"/>
        </w:rPr>
      </w:pPr>
      <w:r w:rsidRPr="00D42E50">
        <w:rPr>
          <w:rFonts w:ascii="Arial" w:hAnsi="Arial" w:cs="Arial"/>
          <w:sz w:val="24"/>
          <w:szCs w:val="24"/>
        </w:rPr>
        <w:t>4.1 Impact on Innovation Rate &amp; AI Product Time-to-Market</w:t>
      </w:r>
    </w:p>
    <w:p w14:paraId="5BF6F187" w14:textId="77777777" w:rsidR="00700B24" w:rsidRPr="00D42E50" w:rsidRDefault="00700B24" w:rsidP="00700B24">
      <w:pPr>
        <w:rPr>
          <w:rFonts w:ascii="Arial" w:hAnsi="Arial" w:cs="Arial"/>
          <w:sz w:val="24"/>
          <w:szCs w:val="24"/>
        </w:rPr>
      </w:pPr>
      <w:r w:rsidRPr="00D42E50">
        <w:rPr>
          <w:rFonts w:ascii="Arial" w:hAnsi="Arial" w:cs="Arial"/>
          <w:sz w:val="24"/>
          <w:szCs w:val="24"/>
        </w:rPr>
        <w:t>4.2 Impact on Organizational Agility &amp; Operational Efficiency</w:t>
      </w:r>
    </w:p>
    <w:p w14:paraId="2B9CB477" w14:textId="77777777" w:rsidR="00700B24" w:rsidRPr="00D42E50" w:rsidRDefault="00700B24" w:rsidP="00700B24">
      <w:pPr>
        <w:rPr>
          <w:rFonts w:ascii="Arial" w:hAnsi="Arial" w:cs="Arial"/>
          <w:sz w:val="24"/>
          <w:szCs w:val="24"/>
        </w:rPr>
      </w:pPr>
      <w:r w:rsidRPr="00D42E50">
        <w:rPr>
          <w:rFonts w:ascii="Arial" w:hAnsi="Arial" w:cs="Arial"/>
          <w:sz w:val="24"/>
          <w:szCs w:val="24"/>
        </w:rPr>
        <w:t>4.3 Employee Retention, Well-Being &amp; Global Talent Attraction</w:t>
      </w:r>
    </w:p>
    <w:p w14:paraId="35C40CB4" w14:textId="77777777" w:rsidR="00700B24" w:rsidRPr="00D42E50" w:rsidRDefault="00700B24" w:rsidP="00700B24">
      <w:pPr>
        <w:rPr>
          <w:rFonts w:ascii="Arial" w:hAnsi="Arial" w:cs="Arial"/>
          <w:b/>
          <w:bCs/>
          <w:sz w:val="24"/>
          <w:szCs w:val="24"/>
        </w:rPr>
      </w:pPr>
      <w:r w:rsidRPr="00D42E50">
        <w:rPr>
          <w:rFonts w:ascii="Arial" w:hAnsi="Arial" w:cs="Arial"/>
          <w:b/>
          <w:bCs/>
          <w:sz w:val="24"/>
          <w:szCs w:val="24"/>
        </w:rPr>
        <w:t>TASK B: CREATING AN ENVIRONMENT CONDUCIVE TO TALENT DEVELOPMENT</w:t>
      </w:r>
    </w:p>
    <w:p w14:paraId="3D281634" w14:textId="77777777" w:rsidR="00700B24" w:rsidRPr="00D42E50" w:rsidRDefault="00700B24" w:rsidP="00700B24">
      <w:pPr>
        <w:rPr>
          <w:rFonts w:ascii="Arial" w:hAnsi="Arial" w:cs="Arial"/>
          <w:sz w:val="24"/>
          <w:szCs w:val="24"/>
        </w:rPr>
      </w:pPr>
      <w:r w:rsidRPr="00D42E50">
        <w:rPr>
          <w:rFonts w:ascii="Arial" w:hAnsi="Arial" w:cs="Arial"/>
          <w:sz w:val="24"/>
          <w:szCs w:val="24"/>
        </w:rPr>
        <w:t>1. Critical Evaluation: Institutional Environment for Talent Development</w:t>
      </w:r>
    </w:p>
    <w:p w14:paraId="45E8A74D" w14:textId="77777777" w:rsidR="00700B24" w:rsidRPr="00D42E50" w:rsidRDefault="00700B24" w:rsidP="00700B24">
      <w:pPr>
        <w:rPr>
          <w:rFonts w:ascii="Arial" w:hAnsi="Arial" w:cs="Arial"/>
          <w:sz w:val="24"/>
          <w:szCs w:val="24"/>
        </w:rPr>
      </w:pPr>
      <w:r w:rsidRPr="00D42E50">
        <w:rPr>
          <w:rFonts w:ascii="Arial" w:hAnsi="Arial" w:cs="Arial"/>
          <w:sz w:val="24"/>
          <w:szCs w:val="24"/>
        </w:rPr>
        <w:t>1.1 Learning Organization (Senge) and Growth Mindset (Dweck)</w:t>
      </w:r>
    </w:p>
    <w:p w14:paraId="096709B8" w14:textId="77777777" w:rsidR="00700B24" w:rsidRPr="00D42E50" w:rsidRDefault="00700B24" w:rsidP="00700B24">
      <w:pPr>
        <w:rPr>
          <w:rFonts w:ascii="Arial" w:hAnsi="Arial" w:cs="Arial"/>
          <w:sz w:val="24"/>
          <w:szCs w:val="24"/>
        </w:rPr>
      </w:pPr>
      <w:r w:rsidRPr="00D42E50">
        <w:rPr>
          <w:rFonts w:ascii="Arial" w:hAnsi="Arial" w:cs="Arial"/>
          <w:sz w:val="24"/>
          <w:szCs w:val="24"/>
        </w:rPr>
        <w:t>1.2 Psychological Safety (Edmondson) and Self-Determination Theory (Deci &amp; Ryan)</w:t>
      </w:r>
    </w:p>
    <w:p w14:paraId="50EC9C07" w14:textId="77777777" w:rsidR="00700B24" w:rsidRPr="00D42E50" w:rsidRDefault="00700B24" w:rsidP="00700B24">
      <w:pPr>
        <w:rPr>
          <w:rFonts w:ascii="Arial" w:hAnsi="Arial" w:cs="Arial"/>
          <w:sz w:val="24"/>
          <w:szCs w:val="24"/>
        </w:rPr>
      </w:pPr>
      <w:r w:rsidRPr="00D42E50">
        <w:rPr>
          <w:rFonts w:ascii="Arial" w:hAnsi="Arial" w:cs="Arial"/>
          <w:sz w:val="24"/>
          <w:szCs w:val="24"/>
        </w:rPr>
        <w:t>1.3 Job Crafting Theory (Wrzesniewski &amp; Dutton) and Employee Experience (Morgan)</w:t>
      </w:r>
    </w:p>
    <w:p w14:paraId="202A9DA0" w14:textId="77777777" w:rsidR="00700B24" w:rsidRPr="00D42E50" w:rsidRDefault="00700B24" w:rsidP="00700B24">
      <w:pPr>
        <w:rPr>
          <w:rFonts w:ascii="Arial" w:hAnsi="Arial" w:cs="Arial"/>
          <w:sz w:val="24"/>
          <w:szCs w:val="24"/>
        </w:rPr>
      </w:pPr>
      <w:r w:rsidRPr="00D42E50">
        <w:rPr>
          <w:rFonts w:ascii="Arial" w:hAnsi="Arial" w:cs="Arial"/>
          <w:sz w:val="24"/>
          <w:szCs w:val="24"/>
        </w:rPr>
        <w:t>1.4 Critical Evaluation of Traditional vs. Inclusive Talent Management Frameworks</w:t>
      </w:r>
    </w:p>
    <w:p w14:paraId="1DEDB7E0" w14:textId="77777777" w:rsidR="00700B24" w:rsidRPr="00D42E50" w:rsidRDefault="00700B24" w:rsidP="00700B24">
      <w:pPr>
        <w:rPr>
          <w:rFonts w:ascii="Arial" w:hAnsi="Arial" w:cs="Arial"/>
          <w:sz w:val="24"/>
          <w:szCs w:val="24"/>
        </w:rPr>
      </w:pPr>
      <w:r w:rsidRPr="00D42E50">
        <w:rPr>
          <w:rFonts w:ascii="Arial" w:hAnsi="Arial" w:cs="Arial"/>
          <w:sz w:val="24"/>
          <w:szCs w:val="24"/>
        </w:rPr>
        <w:t>2. Integrated Talent Growth Strategy for NHSX</w:t>
      </w:r>
    </w:p>
    <w:p w14:paraId="43B3E16B" w14:textId="77777777" w:rsidR="00700B24" w:rsidRPr="00D42E50" w:rsidRDefault="00700B24" w:rsidP="00700B24">
      <w:pPr>
        <w:rPr>
          <w:rFonts w:ascii="Arial" w:hAnsi="Arial" w:cs="Arial"/>
          <w:sz w:val="24"/>
          <w:szCs w:val="24"/>
        </w:rPr>
      </w:pPr>
      <w:r w:rsidRPr="00D42E50">
        <w:rPr>
          <w:rFonts w:ascii="Arial" w:hAnsi="Arial" w:cs="Arial"/>
          <w:sz w:val="24"/>
          <w:szCs w:val="24"/>
        </w:rPr>
        <w:t>2.1 The "Learn–Grow–Contribute–Progress" 4-Tier Framework (Table 2)</w:t>
      </w:r>
    </w:p>
    <w:p w14:paraId="66DBA5ED" w14:textId="77777777" w:rsidR="00700B24" w:rsidRPr="00D42E50" w:rsidRDefault="00700B24" w:rsidP="00700B24">
      <w:pPr>
        <w:rPr>
          <w:rFonts w:ascii="Arial" w:hAnsi="Arial" w:cs="Arial"/>
          <w:sz w:val="24"/>
          <w:szCs w:val="24"/>
        </w:rPr>
      </w:pPr>
      <w:r w:rsidRPr="00D42E50">
        <w:rPr>
          <w:rFonts w:ascii="Arial" w:hAnsi="Arial" w:cs="Arial"/>
          <w:sz w:val="24"/>
          <w:szCs w:val="24"/>
        </w:rPr>
        <w:lastRenderedPageBreak/>
        <w:t>2.2 Operational Implementation Strategy</w:t>
      </w:r>
    </w:p>
    <w:p w14:paraId="1379700F" w14:textId="77777777" w:rsidR="00700B24" w:rsidRPr="00D42E50" w:rsidRDefault="00700B24" w:rsidP="00700B24">
      <w:pPr>
        <w:rPr>
          <w:rFonts w:ascii="Arial" w:hAnsi="Arial" w:cs="Arial"/>
          <w:sz w:val="24"/>
          <w:szCs w:val="24"/>
        </w:rPr>
      </w:pPr>
      <w:r w:rsidRPr="00D42E50">
        <w:rPr>
          <w:rFonts w:ascii="Arial" w:hAnsi="Arial" w:cs="Arial"/>
          <w:sz w:val="24"/>
          <w:szCs w:val="24"/>
        </w:rPr>
        <w:t>A. Dual-Career Progression Model (Individual Contributor vs. Management Track)</w:t>
      </w:r>
    </w:p>
    <w:p w14:paraId="34CCA5B3" w14:textId="77777777" w:rsidR="00700B24" w:rsidRPr="00D42E50" w:rsidRDefault="00700B24" w:rsidP="00700B24">
      <w:pPr>
        <w:rPr>
          <w:rFonts w:ascii="Arial" w:hAnsi="Arial" w:cs="Arial"/>
          <w:sz w:val="24"/>
          <w:szCs w:val="24"/>
        </w:rPr>
      </w:pPr>
      <w:r w:rsidRPr="00D42E50">
        <w:rPr>
          <w:rFonts w:ascii="Arial" w:hAnsi="Arial" w:cs="Arial"/>
          <w:sz w:val="24"/>
          <w:szCs w:val="24"/>
        </w:rPr>
        <w:t>B. Cross-Border Knowledge Exchange ("Global Talent Exchange Swarms")</w:t>
      </w:r>
    </w:p>
    <w:p w14:paraId="29FD8AFC" w14:textId="77777777" w:rsidR="00700B24" w:rsidRPr="00D42E50" w:rsidRDefault="00700B24" w:rsidP="00700B24">
      <w:pPr>
        <w:rPr>
          <w:rFonts w:ascii="Arial" w:hAnsi="Arial" w:cs="Arial"/>
          <w:sz w:val="24"/>
          <w:szCs w:val="24"/>
        </w:rPr>
      </w:pPr>
      <w:r w:rsidRPr="00D42E50">
        <w:rPr>
          <w:rFonts w:ascii="Arial" w:hAnsi="Arial" w:cs="Arial"/>
          <w:sz w:val="24"/>
          <w:szCs w:val="24"/>
        </w:rPr>
        <w:t>C. Mitigating Managerial Burnout &amp; Empathetic Leadership</w:t>
      </w:r>
    </w:p>
    <w:p w14:paraId="7EC9BFE8" w14:textId="77777777" w:rsidR="00700B24" w:rsidRPr="00D42E50" w:rsidRDefault="00700B24" w:rsidP="00700B24">
      <w:pPr>
        <w:rPr>
          <w:rFonts w:ascii="Arial" w:hAnsi="Arial" w:cs="Arial"/>
          <w:sz w:val="24"/>
          <w:szCs w:val="24"/>
        </w:rPr>
      </w:pPr>
      <w:r w:rsidRPr="00D42E50">
        <w:rPr>
          <w:rFonts w:ascii="Arial" w:hAnsi="Arial" w:cs="Arial"/>
          <w:sz w:val="24"/>
          <w:szCs w:val="24"/>
        </w:rPr>
        <w:t>3. Success Criteria &amp; Measurement</w:t>
      </w:r>
    </w:p>
    <w:p w14:paraId="1CD429BC" w14:textId="77777777" w:rsidR="00700B24" w:rsidRPr="00D42E50" w:rsidRDefault="00700B24" w:rsidP="00700B24">
      <w:pPr>
        <w:rPr>
          <w:rFonts w:ascii="Arial" w:hAnsi="Arial" w:cs="Arial"/>
          <w:sz w:val="24"/>
          <w:szCs w:val="24"/>
        </w:rPr>
      </w:pPr>
      <w:r w:rsidRPr="00D42E50">
        <w:rPr>
          <w:rFonts w:ascii="Arial" w:hAnsi="Arial" w:cs="Arial"/>
          <w:sz w:val="24"/>
          <w:szCs w:val="24"/>
        </w:rPr>
        <w:t>3.1 Talent KPI Dashboard Metrics</w:t>
      </w:r>
    </w:p>
    <w:p w14:paraId="1251CDEB" w14:textId="77777777" w:rsidR="00700B24" w:rsidRPr="00D42E50" w:rsidRDefault="00700B24" w:rsidP="00700B24">
      <w:pPr>
        <w:rPr>
          <w:rFonts w:ascii="Arial" w:hAnsi="Arial" w:cs="Arial"/>
          <w:b/>
          <w:bCs/>
          <w:sz w:val="24"/>
          <w:szCs w:val="24"/>
        </w:rPr>
      </w:pPr>
      <w:r w:rsidRPr="00D42E50">
        <w:rPr>
          <w:rFonts w:ascii="Arial" w:hAnsi="Arial" w:cs="Arial"/>
          <w:b/>
          <w:bCs/>
          <w:sz w:val="24"/>
          <w:szCs w:val="24"/>
        </w:rPr>
        <w:t>TASK C: REFLECTIVE REPORT – COMPETENCE DEVELOPMENT AS A FUTURE HR PROFESSIONAL</w:t>
      </w:r>
    </w:p>
    <w:p w14:paraId="675561D2" w14:textId="77777777" w:rsidR="00700B24" w:rsidRPr="00D42E50" w:rsidRDefault="00700B24" w:rsidP="00700B24">
      <w:pPr>
        <w:rPr>
          <w:rFonts w:ascii="Arial" w:hAnsi="Arial" w:cs="Arial"/>
          <w:sz w:val="24"/>
          <w:szCs w:val="24"/>
        </w:rPr>
      </w:pPr>
      <w:r w:rsidRPr="00D42E50">
        <w:rPr>
          <w:rFonts w:ascii="Arial" w:hAnsi="Arial" w:cs="Arial"/>
          <w:sz w:val="24"/>
          <w:szCs w:val="24"/>
        </w:rPr>
        <w:t>1. Artificial Intelligence as a Strategic Decision-Support Tool</w:t>
      </w:r>
    </w:p>
    <w:p w14:paraId="5196B0FF" w14:textId="77777777" w:rsidR="00700B24" w:rsidRPr="00D42E50" w:rsidRDefault="00700B24" w:rsidP="00700B24">
      <w:pPr>
        <w:rPr>
          <w:rFonts w:ascii="Arial" w:hAnsi="Arial" w:cs="Arial"/>
          <w:sz w:val="24"/>
          <w:szCs w:val="24"/>
        </w:rPr>
      </w:pPr>
      <w:r w:rsidRPr="00D42E50">
        <w:rPr>
          <w:rFonts w:ascii="Arial" w:hAnsi="Arial" w:cs="Arial"/>
          <w:sz w:val="24"/>
          <w:szCs w:val="24"/>
        </w:rPr>
        <w:t>1.1 Strategic Potential of AI in Modern HRM</w:t>
      </w:r>
    </w:p>
    <w:p w14:paraId="1D10FC35" w14:textId="77777777" w:rsidR="00700B24" w:rsidRPr="00D42E50" w:rsidRDefault="00700B24" w:rsidP="00700B24">
      <w:pPr>
        <w:rPr>
          <w:rFonts w:ascii="Arial" w:hAnsi="Arial" w:cs="Arial"/>
          <w:sz w:val="24"/>
          <w:szCs w:val="24"/>
        </w:rPr>
      </w:pPr>
      <w:r w:rsidRPr="00D42E50">
        <w:rPr>
          <w:rFonts w:ascii="Arial" w:hAnsi="Arial" w:cs="Arial"/>
          <w:sz w:val="24"/>
          <w:szCs w:val="24"/>
        </w:rPr>
        <w:t>1.2 Ethical Judgment, Data Privacy (GDPR), and Algorithmic Fairness</w:t>
      </w:r>
    </w:p>
    <w:p w14:paraId="2FA8415D" w14:textId="77777777" w:rsidR="00700B24" w:rsidRPr="00D42E50" w:rsidRDefault="00700B24" w:rsidP="00700B24">
      <w:pPr>
        <w:rPr>
          <w:rFonts w:ascii="Arial" w:hAnsi="Arial" w:cs="Arial"/>
          <w:sz w:val="24"/>
          <w:szCs w:val="24"/>
        </w:rPr>
      </w:pPr>
      <w:r w:rsidRPr="00D42E50">
        <w:rPr>
          <w:rFonts w:ascii="Arial" w:hAnsi="Arial" w:cs="Arial"/>
          <w:sz w:val="24"/>
          <w:szCs w:val="24"/>
        </w:rPr>
        <w:t>1.3 Human Empathy, Emotional Touch, and Professional Responsibility</w:t>
      </w:r>
    </w:p>
    <w:p w14:paraId="64E06AE5" w14:textId="77777777" w:rsidR="00700B24" w:rsidRPr="00D42E50" w:rsidRDefault="00700B24" w:rsidP="00700B24">
      <w:pPr>
        <w:rPr>
          <w:rFonts w:ascii="Arial" w:hAnsi="Arial" w:cs="Arial"/>
          <w:sz w:val="24"/>
          <w:szCs w:val="24"/>
        </w:rPr>
      </w:pPr>
      <w:r w:rsidRPr="00D42E50">
        <w:rPr>
          <w:rFonts w:ascii="Arial" w:hAnsi="Arial" w:cs="Arial"/>
          <w:sz w:val="24"/>
          <w:szCs w:val="24"/>
        </w:rPr>
        <w:t>2. Reflective Analysis: Personal AI Usage &amp; Capability Impact</w:t>
      </w:r>
    </w:p>
    <w:p w14:paraId="1071B26E" w14:textId="77777777" w:rsidR="00700B24" w:rsidRPr="00D42E50" w:rsidRDefault="00700B24" w:rsidP="00700B24">
      <w:pPr>
        <w:rPr>
          <w:rFonts w:ascii="Arial" w:hAnsi="Arial" w:cs="Arial"/>
          <w:sz w:val="24"/>
          <w:szCs w:val="24"/>
        </w:rPr>
      </w:pPr>
      <w:r w:rsidRPr="00D42E50">
        <w:rPr>
          <w:rFonts w:ascii="Arial" w:hAnsi="Arial" w:cs="Arial"/>
          <w:sz w:val="24"/>
          <w:szCs w:val="24"/>
        </w:rPr>
        <w:t>2.1 HR Research &amp; Data Synthesis</w:t>
      </w:r>
    </w:p>
    <w:p w14:paraId="74D6D444" w14:textId="77777777" w:rsidR="00700B24" w:rsidRPr="00D42E50" w:rsidRDefault="00700B24" w:rsidP="00700B24">
      <w:pPr>
        <w:rPr>
          <w:rFonts w:ascii="Arial" w:hAnsi="Arial" w:cs="Arial"/>
          <w:sz w:val="24"/>
          <w:szCs w:val="24"/>
        </w:rPr>
      </w:pPr>
      <w:r w:rsidRPr="00D42E50">
        <w:rPr>
          <w:rFonts w:ascii="Arial" w:hAnsi="Arial" w:cs="Arial"/>
          <w:sz w:val="24"/>
          <w:szCs w:val="24"/>
        </w:rPr>
        <w:t>2.2 Visualization, Frameworks &amp; Data Presentation</w:t>
      </w:r>
    </w:p>
    <w:p w14:paraId="709A1848" w14:textId="77777777" w:rsidR="00700B24" w:rsidRPr="00D42E50" w:rsidRDefault="00700B24" w:rsidP="00700B24">
      <w:pPr>
        <w:rPr>
          <w:rFonts w:ascii="Arial" w:hAnsi="Arial" w:cs="Arial"/>
          <w:sz w:val="24"/>
          <w:szCs w:val="24"/>
        </w:rPr>
      </w:pPr>
      <w:r w:rsidRPr="00D42E50">
        <w:rPr>
          <w:rFonts w:ascii="Arial" w:hAnsi="Arial" w:cs="Arial"/>
          <w:sz w:val="24"/>
          <w:szCs w:val="24"/>
        </w:rPr>
        <w:t>2.3 Proofreading, Syntax &amp; Academic Writing Refinement</w:t>
      </w:r>
    </w:p>
    <w:p w14:paraId="62A26B6E" w14:textId="77777777" w:rsidR="00700B24" w:rsidRPr="00D42E50" w:rsidRDefault="00700B24" w:rsidP="00700B24">
      <w:pPr>
        <w:rPr>
          <w:rFonts w:ascii="Arial" w:hAnsi="Arial" w:cs="Arial"/>
          <w:sz w:val="24"/>
          <w:szCs w:val="24"/>
        </w:rPr>
      </w:pPr>
      <w:r w:rsidRPr="00D42E50">
        <w:rPr>
          <w:rFonts w:ascii="Arial" w:hAnsi="Arial" w:cs="Arial"/>
          <w:sz w:val="24"/>
          <w:szCs w:val="24"/>
        </w:rPr>
        <w:t>3. Personal Capability Development Plan (Personal Action Plan)</w:t>
      </w:r>
    </w:p>
    <w:p w14:paraId="0C003CBF" w14:textId="77777777" w:rsidR="00700B24" w:rsidRPr="00D42E50" w:rsidRDefault="00700B24" w:rsidP="00700B24">
      <w:pPr>
        <w:rPr>
          <w:rFonts w:ascii="Arial" w:hAnsi="Arial" w:cs="Arial"/>
          <w:sz w:val="24"/>
          <w:szCs w:val="24"/>
        </w:rPr>
      </w:pPr>
      <w:r w:rsidRPr="00D42E50">
        <w:rPr>
          <w:rFonts w:ascii="Arial" w:hAnsi="Arial" w:cs="Arial"/>
          <w:sz w:val="24"/>
          <w:szCs w:val="24"/>
        </w:rPr>
        <w:t>3.1 Mastery in HR Analytics &amp; AI Technology</w:t>
      </w:r>
    </w:p>
    <w:p w14:paraId="00272071" w14:textId="77777777" w:rsidR="00700B24" w:rsidRPr="00D42E50" w:rsidRDefault="00700B24" w:rsidP="00700B24">
      <w:pPr>
        <w:rPr>
          <w:rFonts w:ascii="Arial" w:hAnsi="Arial" w:cs="Arial"/>
          <w:sz w:val="24"/>
          <w:szCs w:val="24"/>
        </w:rPr>
      </w:pPr>
      <w:r w:rsidRPr="00D42E50">
        <w:rPr>
          <w:rFonts w:ascii="Arial" w:hAnsi="Arial" w:cs="Arial"/>
          <w:sz w:val="24"/>
          <w:szCs w:val="24"/>
        </w:rPr>
        <w:t>3.2 Ethical Leadership &amp; Governance</w:t>
      </w:r>
    </w:p>
    <w:p w14:paraId="2889AB07" w14:textId="6B9BBA3A" w:rsidR="006C21D1" w:rsidRPr="00B8793E" w:rsidRDefault="006C21D1" w:rsidP="006C21D1">
      <w:pPr>
        <w:rPr>
          <w:rFonts w:ascii="Arial" w:hAnsi="Arial" w:cs="Arial"/>
          <w:sz w:val="24"/>
          <w:szCs w:val="24"/>
          <w:lang w:val="en-US"/>
        </w:rPr>
      </w:pPr>
      <w:r>
        <w:rPr>
          <w:rFonts w:ascii="Arial" w:hAnsi="Arial" w:cs="Arial"/>
          <w:sz w:val="24"/>
          <w:szCs w:val="24"/>
          <w:lang w:val="en-US"/>
        </w:rPr>
        <w:t xml:space="preserve">3.3. </w:t>
      </w:r>
      <w:r w:rsidRPr="00B8793E">
        <w:rPr>
          <w:rFonts w:ascii="Arial" w:hAnsi="Arial" w:cs="Arial"/>
          <w:sz w:val="24"/>
          <w:szCs w:val="24"/>
          <w:lang w:val="en-US"/>
        </w:rPr>
        <w:t>Strategic Approach &amp; Technical Focus:</w:t>
      </w:r>
    </w:p>
    <w:p w14:paraId="2D79E399" w14:textId="1E66779E" w:rsidR="00E8634F" w:rsidRPr="00D42E50" w:rsidRDefault="00700B24" w:rsidP="007D449E">
      <w:pPr>
        <w:rPr>
          <w:rFonts w:ascii="Arial" w:hAnsi="Arial" w:cs="Arial"/>
          <w:b/>
          <w:bCs/>
          <w:sz w:val="24"/>
          <w:szCs w:val="24"/>
          <w:lang w:val="en-US"/>
        </w:rPr>
      </w:pPr>
      <w:r w:rsidRPr="00D42E50">
        <w:rPr>
          <w:rFonts w:ascii="Arial" w:hAnsi="Arial" w:cs="Arial"/>
          <w:b/>
          <w:bCs/>
          <w:sz w:val="24"/>
          <w:szCs w:val="24"/>
          <w:lang w:val="en-US"/>
        </w:rPr>
        <w:t>4.references</w:t>
      </w:r>
    </w:p>
    <w:p w14:paraId="51825E6A" w14:textId="77777777" w:rsidR="00E8634F" w:rsidRPr="00D42E50" w:rsidRDefault="00E8634F" w:rsidP="007D449E">
      <w:pPr>
        <w:rPr>
          <w:rFonts w:ascii="Arial" w:hAnsi="Arial" w:cs="Arial"/>
          <w:sz w:val="24"/>
          <w:szCs w:val="24"/>
          <w:lang w:val="en-US"/>
        </w:rPr>
      </w:pPr>
    </w:p>
    <w:p w14:paraId="56BF2244" w14:textId="77777777" w:rsidR="00700B24" w:rsidRPr="00D42E50" w:rsidRDefault="00700B24" w:rsidP="007D449E">
      <w:pPr>
        <w:rPr>
          <w:rFonts w:ascii="Arial" w:hAnsi="Arial" w:cs="Arial"/>
          <w:sz w:val="24"/>
          <w:szCs w:val="24"/>
          <w:lang w:val="en-US"/>
        </w:rPr>
      </w:pPr>
    </w:p>
    <w:p w14:paraId="1AF78DB4" w14:textId="77777777" w:rsidR="00E8634F" w:rsidRDefault="00E8634F" w:rsidP="007D449E">
      <w:pPr>
        <w:rPr>
          <w:rFonts w:ascii="Arial" w:hAnsi="Arial" w:cs="Arial"/>
          <w:sz w:val="24"/>
          <w:szCs w:val="24"/>
          <w:lang w:val="en-US"/>
        </w:rPr>
      </w:pPr>
    </w:p>
    <w:p w14:paraId="07EE95AE" w14:textId="77777777" w:rsidR="00B3715C" w:rsidRDefault="00B3715C" w:rsidP="007D449E">
      <w:pPr>
        <w:rPr>
          <w:rFonts w:ascii="Arial" w:hAnsi="Arial" w:cs="Arial"/>
          <w:sz w:val="24"/>
          <w:szCs w:val="24"/>
          <w:lang w:val="en-US"/>
        </w:rPr>
      </w:pPr>
    </w:p>
    <w:p w14:paraId="43F4F119" w14:textId="77777777" w:rsidR="00B3715C" w:rsidRDefault="00B3715C" w:rsidP="007D449E">
      <w:pPr>
        <w:rPr>
          <w:rFonts w:ascii="Arial" w:hAnsi="Arial" w:cs="Arial"/>
          <w:sz w:val="24"/>
          <w:szCs w:val="24"/>
          <w:lang w:val="en-US"/>
        </w:rPr>
      </w:pPr>
    </w:p>
    <w:p w14:paraId="697B2415" w14:textId="77777777" w:rsidR="00B3715C" w:rsidRDefault="00B3715C" w:rsidP="007D449E">
      <w:pPr>
        <w:rPr>
          <w:rFonts w:ascii="Arial" w:hAnsi="Arial" w:cs="Arial"/>
          <w:sz w:val="24"/>
          <w:szCs w:val="24"/>
          <w:lang w:val="en-US"/>
        </w:rPr>
      </w:pPr>
    </w:p>
    <w:p w14:paraId="69B4F59D" w14:textId="77777777" w:rsidR="00B3715C" w:rsidRPr="00D42E50" w:rsidRDefault="00B3715C" w:rsidP="007D449E">
      <w:pPr>
        <w:rPr>
          <w:rFonts w:ascii="Arial" w:hAnsi="Arial" w:cs="Arial"/>
          <w:sz w:val="24"/>
          <w:szCs w:val="24"/>
          <w:lang w:val="en-US"/>
        </w:rPr>
      </w:pPr>
    </w:p>
    <w:p w14:paraId="7F4B5F2B" w14:textId="77777777" w:rsidR="00E8634F" w:rsidRPr="00D42E50" w:rsidRDefault="00E8634F" w:rsidP="007D449E">
      <w:pPr>
        <w:rPr>
          <w:rFonts w:ascii="Arial" w:hAnsi="Arial" w:cs="Arial"/>
          <w:sz w:val="24"/>
          <w:szCs w:val="24"/>
          <w:lang w:val="en-US"/>
        </w:rPr>
      </w:pPr>
    </w:p>
    <w:p w14:paraId="4D97E5B6" w14:textId="77777777" w:rsidR="00E8634F" w:rsidRDefault="00E8634F" w:rsidP="007D449E">
      <w:pPr>
        <w:rPr>
          <w:rFonts w:ascii="Arial" w:hAnsi="Arial" w:cs="Arial"/>
          <w:sz w:val="24"/>
          <w:szCs w:val="24"/>
          <w:lang w:val="en-US"/>
        </w:rPr>
      </w:pPr>
    </w:p>
    <w:p w14:paraId="20FA5776" w14:textId="77777777" w:rsidR="00386A93" w:rsidRPr="00D42E50" w:rsidRDefault="00386A93" w:rsidP="007D449E">
      <w:pPr>
        <w:rPr>
          <w:rFonts w:ascii="Arial" w:hAnsi="Arial" w:cs="Arial"/>
          <w:sz w:val="24"/>
          <w:szCs w:val="24"/>
          <w:lang w:val="en-US"/>
        </w:rPr>
      </w:pPr>
    </w:p>
    <w:p w14:paraId="312F134A" w14:textId="77777777" w:rsidR="00E8634F" w:rsidRPr="00D42E50" w:rsidRDefault="00E8634F" w:rsidP="00E8634F">
      <w:pPr>
        <w:rPr>
          <w:rFonts w:ascii="Arial" w:hAnsi="Arial" w:cs="Arial"/>
          <w:b/>
          <w:bCs/>
          <w:sz w:val="24"/>
          <w:szCs w:val="24"/>
        </w:rPr>
      </w:pPr>
      <w:r w:rsidRPr="00D42E50">
        <w:rPr>
          <w:rFonts w:ascii="Arial" w:hAnsi="Arial" w:cs="Arial"/>
          <w:b/>
          <w:bCs/>
          <w:sz w:val="24"/>
          <w:szCs w:val="24"/>
        </w:rPr>
        <w:lastRenderedPageBreak/>
        <w:t>TASK A: DESIGNING INNOVATIVE WORKING PRACTICES</w:t>
      </w:r>
    </w:p>
    <w:p w14:paraId="124D43FB" w14:textId="77777777" w:rsidR="00B26439" w:rsidRPr="00D42E50" w:rsidRDefault="00B26439" w:rsidP="00B26439">
      <w:pPr>
        <w:rPr>
          <w:rFonts w:ascii="Arial" w:hAnsi="Arial" w:cs="Arial"/>
          <w:b/>
          <w:bCs/>
          <w:sz w:val="24"/>
          <w:szCs w:val="24"/>
        </w:rPr>
      </w:pPr>
      <w:r w:rsidRPr="00D42E50">
        <w:rPr>
          <w:rFonts w:ascii="Arial" w:hAnsi="Arial" w:cs="Arial"/>
          <w:b/>
          <w:bCs/>
          <w:sz w:val="24"/>
          <w:szCs w:val="24"/>
        </w:rPr>
        <w:t>1. Executive Summary and Contextual Overview</w:t>
      </w:r>
    </w:p>
    <w:p w14:paraId="54BC8E44" w14:textId="77777777" w:rsidR="00386A93" w:rsidRDefault="00386A93" w:rsidP="00386A93">
      <w:pPr>
        <w:rPr>
          <w:rFonts w:ascii="Arial" w:hAnsi="Arial" w:cs="Arial"/>
          <w:sz w:val="24"/>
          <w:szCs w:val="24"/>
        </w:rPr>
      </w:pPr>
      <w:r w:rsidRPr="00386A93">
        <w:rPr>
          <w:rFonts w:ascii="Arial" w:hAnsi="Arial" w:cs="Arial"/>
          <w:b/>
          <w:bCs/>
          <w:sz w:val="24"/>
          <w:szCs w:val="24"/>
        </w:rPr>
        <w:t>1.1 Strategic Challenges at NHSX</w:t>
      </w:r>
      <w:r w:rsidRPr="00386A93">
        <w:rPr>
          <w:rFonts w:ascii="Arial" w:hAnsi="Arial" w:cs="Arial"/>
          <w:sz w:val="24"/>
          <w:szCs w:val="24"/>
        </w:rPr>
        <w:t xml:space="preserve"> </w:t>
      </w:r>
    </w:p>
    <w:p w14:paraId="0D875E8B" w14:textId="77777777" w:rsidR="00386A93" w:rsidRPr="00B46040" w:rsidRDefault="00386A93" w:rsidP="00B46040">
      <w:pPr>
        <w:pStyle w:val="ListParagraph"/>
        <w:numPr>
          <w:ilvl w:val="0"/>
          <w:numId w:val="37"/>
        </w:numPr>
        <w:rPr>
          <w:rFonts w:ascii="Arial" w:hAnsi="Arial" w:cs="Arial"/>
          <w:sz w:val="24"/>
          <w:szCs w:val="24"/>
        </w:rPr>
      </w:pPr>
      <w:proofErr w:type="spellStart"/>
      <w:r w:rsidRPr="00B46040">
        <w:rPr>
          <w:rFonts w:ascii="Arial" w:hAnsi="Arial" w:cs="Arial"/>
          <w:sz w:val="24"/>
          <w:szCs w:val="24"/>
        </w:rPr>
        <w:t>NexSpace</w:t>
      </w:r>
      <w:proofErr w:type="spellEnd"/>
      <w:r w:rsidRPr="00B46040">
        <w:rPr>
          <w:rFonts w:ascii="Arial" w:hAnsi="Arial" w:cs="Arial"/>
          <w:sz w:val="24"/>
          <w:szCs w:val="24"/>
        </w:rPr>
        <w:t xml:space="preserve"> Health Systems (NHSX) operates as a rapidly scaling health-tech enterprise with a talented workforce of approximately 600 professionals distributed across the United Kingdom, India, and the United Arab Emirates. </w:t>
      </w:r>
    </w:p>
    <w:p w14:paraId="20167248" w14:textId="77777777" w:rsidR="00386A93" w:rsidRPr="00B46040" w:rsidRDefault="00386A93" w:rsidP="00B46040">
      <w:pPr>
        <w:pStyle w:val="ListParagraph"/>
        <w:numPr>
          <w:ilvl w:val="0"/>
          <w:numId w:val="37"/>
        </w:numPr>
        <w:rPr>
          <w:rFonts w:ascii="Arial" w:hAnsi="Arial" w:cs="Arial"/>
          <w:sz w:val="24"/>
          <w:szCs w:val="24"/>
        </w:rPr>
      </w:pPr>
      <w:r w:rsidRPr="00B46040">
        <w:rPr>
          <w:rFonts w:ascii="Arial" w:hAnsi="Arial" w:cs="Arial"/>
          <w:sz w:val="24"/>
          <w:szCs w:val="24"/>
        </w:rPr>
        <w:t xml:space="preserve">The firm specializes in engineering state-of-the-art AI-driven digital healthcare platforms, remote patient tracking architectures, and clinical decision-support tools tailored for medical institutions. </w:t>
      </w:r>
    </w:p>
    <w:p w14:paraId="4244152B" w14:textId="77777777" w:rsidR="00386A93" w:rsidRPr="00B46040" w:rsidRDefault="00386A93" w:rsidP="00B46040">
      <w:pPr>
        <w:pStyle w:val="ListParagraph"/>
        <w:numPr>
          <w:ilvl w:val="0"/>
          <w:numId w:val="37"/>
        </w:numPr>
        <w:rPr>
          <w:rFonts w:ascii="Arial" w:hAnsi="Arial" w:cs="Arial"/>
          <w:sz w:val="24"/>
          <w:szCs w:val="24"/>
        </w:rPr>
      </w:pPr>
      <w:r w:rsidRPr="00B46040">
        <w:rPr>
          <w:rFonts w:ascii="Arial" w:hAnsi="Arial" w:cs="Arial"/>
          <w:sz w:val="24"/>
          <w:szCs w:val="24"/>
        </w:rPr>
        <w:t xml:space="preserve">However, due to rapid global scaling and significant capital investment in the AI ​​sector, the enterprise is currently grappling with obstacles related to the speed of managerial decision-making, creative problem-solving, cross-functional teamwork, and the transfer of intellectual capital. </w:t>
      </w:r>
    </w:p>
    <w:p w14:paraId="22D99E1C" w14:textId="182AEFF4" w:rsidR="00386A93" w:rsidRPr="00386A93" w:rsidRDefault="00386A93" w:rsidP="00386A93">
      <w:pPr>
        <w:rPr>
          <w:rFonts w:ascii="Arial" w:hAnsi="Arial" w:cs="Arial"/>
          <w:sz w:val="24"/>
          <w:szCs w:val="24"/>
          <w:lang w:val="en-US"/>
        </w:rPr>
      </w:pPr>
      <w:r w:rsidRPr="00386A93">
        <w:rPr>
          <w:rFonts w:ascii="Arial" w:hAnsi="Arial" w:cs="Arial"/>
          <w:sz w:val="24"/>
          <w:szCs w:val="24"/>
        </w:rPr>
        <w:t xml:space="preserve">Consequently, the enterprise is facing five primary human resource and operational </w:t>
      </w:r>
      <w:proofErr w:type="gramStart"/>
      <w:r w:rsidRPr="00386A93">
        <w:rPr>
          <w:rFonts w:ascii="Arial" w:hAnsi="Arial" w:cs="Arial"/>
          <w:sz w:val="24"/>
          <w:szCs w:val="24"/>
        </w:rPr>
        <w:t>challenges:</w:t>
      </w:r>
      <w:r w:rsidRPr="00386A93">
        <w:rPr>
          <w:rFonts w:ascii="Arial" w:hAnsi="Arial" w:cs="Arial"/>
          <w:b/>
          <w:bCs/>
          <w:sz w:val="24"/>
          <w:szCs w:val="24"/>
        </w:rPr>
        <w:t>:</w:t>
      </w:r>
      <w:proofErr w:type="gramEnd"/>
      <w:r w:rsidRPr="00386A93">
        <w:rPr>
          <w:rFonts w:ascii="Arial" w:hAnsi="Arial" w:cs="Arial"/>
          <w:b/>
          <w:bCs/>
          <w:sz w:val="24"/>
          <w:szCs w:val="24"/>
        </w:rPr>
        <w:t xml:space="preserve"> </w:t>
      </w:r>
    </w:p>
    <w:p w14:paraId="235BA593" w14:textId="421B0D4A" w:rsidR="008A203E" w:rsidRPr="008A203E" w:rsidRDefault="008A203E" w:rsidP="008A203E">
      <w:pPr>
        <w:pStyle w:val="ListParagraph"/>
        <w:numPr>
          <w:ilvl w:val="0"/>
          <w:numId w:val="26"/>
        </w:numPr>
        <w:rPr>
          <w:rFonts w:ascii="Arial" w:hAnsi="Arial" w:cs="Arial"/>
          <w:sz w:val="24"/>
          <w:szCs w:val="24"/>
          <w:lang w:val="en-US"/>
        </w:rPr>
      </w:pPr>
      <w:r w:rsidRPr="008A203E">
        <w:rPr>
          <w:rFonts w:ascii="Arial" w:hAnsi="Arial" w:cs="Arial"/>
          <w:b/>
          <w:bCs/>
          <w:sz w:val="24"/>
          <w:szCs w:val="24"/>
          <w:lang w:val="en-US"/>
        </w:rPr>
        <w:t>Decision Latency</w:t>
      </w:r>
      <w:r w:rsidRPr="008A203E">
        <w:rPr>
          <w:rFonts w:ascii="Arial" w:hAnsi="Arial" w:cs="Arial"/>
          <w:sz w:val="24"/>
          <w:szCs w:val="24"/>
          <w:lang w:val="en-US"/>
        </w:rPr>
        <w:t>: Delays in launching innovations and AI features occur due to traditional administrative structures and approval processes. (Solution: Granting decentralized decision-making authority at the 'pod' level). (Guzman &amp; Davis, 2023)</w:t>
      </w:r>
    </w:p>
    <w:p w14:paraId="26139E11" w14:textId="77777777" w:rsidR="008A203E" w:rsidRPr="008A203E" w:rsidRDefault="008A203E" w:rsidP="008A203E">
      <w:pPr>
        <w:pStyle w:val="ListParagraph"/>
        <w:numPr>
          <w:ilvl w:val="0"/>
          <w:numId w:val="26"/>
        </w:numPr>
        <w:rPr>
          <w:rFonts w:ascii="Arial" w:hAnsi="Arial" w:cs="Arial"/>
          <w:sz w:val="24"/>
          <w:szCs w:val="24"/>
          <w:lang w:val="en-US"/>
        </w:rPr>
      </w:pPr>
      <w:r w:rsidRPr="008A203E">
        <w:rPr>
          <w:rFonts w:ascii="Arial" w:hAnsi="Arial" w:cs="Arial"/>
          <w:b/>
          <w:bCs/>
          <w:sz w:val="24"/>
          <w:szCs w:val="24"/>
          <w:lang w:val="en-US"/>
        </w:rPr>
        <w:t>Inhibited Innovation:</w:t>
      </w:r>
      <w:r w:rsidRPr="008A203E">
        <w:rPr>
          <w:rFonts w:ascii="Arial" w:hAnsi="Arial" w:cs="Arial"/>
          <w:sz w:val="24"/>
          <w:szCs w:val="24"/>
          <w:lang w:val="en-US"/>
        </w:rPr>
        <w:t xml:space="preserve"> Employees have limited opportunities for creative experimentation and grassroots problem-solving. (Solution: Implementing an 80/20 innovation policy). (Dweck, 2006)</w:t>
      </w:r>
    </w:p>
    <w:p w14:paraId="785B6F36" w14:textId="6CA51B5C" w:rsidR="008A203E" w:rsidRPr="008A203E" w:rsidRDefault="008A203E" w:rsidP="008A203E">
      <w:pPr>
        <w:pStyle w:val="ListParagraph"/>
        <w:numPr>
          <w:ilvl w:val="0"/>
          <w:numId w:val="26"/>
        </w:numPr>
        <w:rPr>
          <w:rFonts w:ascii="Arial" w:hAnsi="Arial" w:cs="Arial"/>
          <w:sz w:val="24"/>
          <w:szCs w:val="24"/>
          <w:lang w:val="en-US"/>
        </w:rPr>
      </w:pPr>
      <w:r w:rsidRPr="008A203E">
        <w:rPr>
          <w:rFonts w:ascii="Arial" w:hAnsi="Arial" w:cs="Arial"/>
          <w:b/>
          <w:bCs/>
          <w:sz w:val="24"/>
          <w:szCs w:val="24"/>
          <w:lang w:val="en-US"/>
        </w:rPr>
        <w:t>Cross-Border:</w:t>
      </w:r>
      <w:r w:rsidRPr="008A203E">
        <w:rPr>
          <w:rFonts w:ascii="Arial" w:hAnsi="Arial" w:cs="Arial"/>
          <w:sz w:val="24"/>
          <w:szCs w:val="24"/>
          <w:lang w:val="en-US"/>
        </w:rPr>
        <w:t xml:space="preserve"> Knowledge sharing and collaboration among teams in the UK, India, and the UAE have weakened due to uncoordinated hybrid work practices. (Solution: Establishing global "Guilds of Excellence" and a central repository). (Strohmeier, 2020)</w:t>
      </w:r>
    </w:p>
    <w:p w14:paraId="66A638E5" w14:textId="77777777" w:rsidR="008A203E" w:rsidRPr="008A203E" w:rsidRDefault="008A203E" w:rsidP="008A203E">
      <w:pPr>
        <w:pStyle w:val="ListParagraph"/>
        <w:numPr>
          <w:ilvl w:val="0"/>
          <w:numId w:val="26"/>
        </w:numPr>
        <w:rPr>
          <w:rFonts w:ascii="Arial" w:hAnsi="Arial" w:cs="Arial"/>
          <w:sz w:val="24"/>
          <w:szCs w:val="24"/>
          <w:lang w:val="en-US"/>
        </w:rPr>
      </w:pPr>
      <w:r w:rsidRPr="008A203E">
        <w:rPr>
          <w:rFonts w:ascii="Arial" w:hAnsi="Arial" w:cs="Arial"/>
          <w:b/>
          <w:bCs/>
          <w:sz w:val="24"/>
          <w:szCs w:val="24"/>
          <w:lang w:val="en-US"/>
        </w:rPr>
        <w:t>Brain Drain</w:t>
      </w:r>
      <w:r w:rsidRPr="008A203E">
        <w:rPr>
          <w:rFonts w:ascii="Arial" w:hAnsi="Arial" w:cs="Arial"/>
          <w:sz w:val="24"/>
          <w:szCs w:val="24"/>
          <w:lang w:val="en-US"/>
        </w:rPr>
        <w:t>: High-performing technical experts are leaving the organization due to career stagnation. (Solution: Establishing dual-career tracks). (Wright &amp; McMahan, 2011)</w:t>
      </w:r>
    </w:p>
    <w:p w14:paraId="07FA96F2" w14:textId="77777777" w:rsidR="008A203E" w:rsidRPr="008A203E" w:rsidRDefault="008A203E" w:rsidP="008A203E">
      <w:pPr>
        <w:pStyle w:val="ListParagraph"/>
        <w:numPr>
          <w:ilvl w:val="0"/>
          <w:numId w:val="26"/>
        </w:numPr>
        <w:rPr>
          <w:rFonts w:ascii="Arial" w:hAnsi="Arial" w:cs="Arial"/>
          <w:sz w:val="24"/>
          <w:szCs w:val="24"/>
          <w:lang w:val="en-US"/>
        </w:rPr>
      </w:pPr>
      <w:r w:rsidRPr="008A203E">
        <w:rPr>
          <w:rFonts w:ascii="Arial" w:hAnsi="Arial" w:cs="Arial"/>
          <w:b/>
          <w:bCs/>
          <w:sz w:val="24"/>
          <w:szCs w:val="24"/>
          <w:lang w:val="en-US"/>
        </w:rPr>
        <w:t>Managerial Strain:</w:t>
      </w:r>
      <w:r w:rsidRPr="008A203E">
        <w:rPr>
          <w:rFonts w:ascii="Arial" w:hAnsi="Arial" w:cs="Arial"/>
          <w:sz w:val="24"/>
          <w:szCs w:val="24"/>
          <w:lang w:val="en-US"/>
        </w:rPr>
        <w:t xml:space="preserve"> Managers are finding it difficult to achieve high-performance targets while simultaneously maintaining employee well-being. (Solution: Incorporating mental safety and well-being scores into managerial KPIs). (Edmondson, 1999)</w:t>
      </w:r>
    </w:p>
    <w:p w14:paraId="6E527767" w14:textId="77777777" w:rsidR="008A203E" w:rsidRDefault="008A203E" w:rsidP="008A203E">
      <w:pPr>
        <w:rPr>
          <w:rFonts w:ascii="Arial" w:hAnsi="Arial" w:cs="Arial"/>
          <w:b/>
          <w:bCs/>
          <w:sz w:val="24"/>
          <w:szCs w:val="24"/>
          <w:lang w:val="en-US"/>
        </w:rPr>
      </w:pPr>
    </w:p>
    <w:p w14:paraId="72612946" w14:textId="77777777" w:rsidR="00911BA2" w:rsidRPr="00EE6E3D" w:rsidRDefault="00911BA2" w:rsidP="00911BA2">
      <w:pPr>
        <w:rPr>
          <w:rFonts w:ascii="Arial" w:hAnsi="Arial" w:cs="Arial"/>
          <w:b/>
          <w:bCs/>
          <w:sz w:val="24"/>
          <w:szCs w:val="24"/>
          <w:lang w:val="en-US"/>
        </w:rPr>
      </w:pPr>
      <w:r w:rsidRPr="00EE6E3D">
        <w:rPr>
          <w:rFonts w:ascii="Arial" w:hAnsi="Arial" w:cs="Arial"/>
          <w:b/>
          <w:bCs/>
          <w:sz w:val="24"/>
          <w:szCs w:val="24"/>
          <w:lang w:val="en-US"/>
        </w:rPr>
        <w:t>1.2 Purpose and Scope of Task A:</w:t>
      </w:r>
    </w:p>
    <w:p w14:paraId="0D207154" w14:textId="77777777" w:rsidR="00911BA2" w:rsidRPr="009E4E11" w:rsidRDefault="00911BA2" w:rsidP="009E4E11">
      <w:pPr>
        <w:pStyle w:val="ListParagraph"/>
        <w:numPr>
          <w:ilvl w:val="0"/>
          <w:numId w:val="27"/>
        </w:numPr>
        <w:rPr>
          <w:rFonts w:ascii="Arial" w:hAnsi="Arial" w:cs="Arial"/>
          <w:sz w:val="24"/>
          <w:szCs w:val="24"/>
          <w:lang w:val="en-US"/>
        </w:rPr>
      </w:pPr>
      <w:r w:rsidRPr="009E4E11">
        <w:rPr>
          <w:rFonts w:ascii="Arial" w:hAnsi="Arial" w:cs="Arial"/>
          <w:sz w:val="24"/>
          <w:szCs w:val="24"/>
          <w:lang w:val="en-US"/>
        </w:rPr>
        <w:t xml:space="preserve">The primary objective of this report is to develop an integrated work design framework for the NHSX Board of Directors that directly addresses the </w:t>
      </w:r>
      <w:proofErr w:type="gramStart"/>
      <w:r w:rsidRPr="009E4E11">
        <w:rPr>
          <w:rFonts w:ascii="Arial" w:hAnsi="Arial" w:cs="Arial"/>
          <w:sz w:val="24"/>
          <w:szCs w:val="24"/>
          <w:lang w:val="en-US"/>
        </w:rPr>
        <w:t>aforementioned shortcomings</w:t>
      </w:r>
      <w:proofErr w:type="gramEnd"/>
      <w:r w:rsidRPr="009E4E11">
        <w:rPr>
          <w:rFonts w:ascii="Arial" w:hAnsi="Arial" w:cs="Arial"/>
          <w:sz w:val="24"/>
          <w:szCs w:val="24"/>
          <w:lang w:val="en-US"/>
        </w:rPr>
        <w:t xml:space="preserve"> in collaboration and decision-making. (Boxall &amp; Purcell, 2016)</w:t>
      </w:r>
    </w:p>
    <w:p w14:paraId="30A84FB9" w14:textId="77777777" w:rsidR="00911BA2" w:rsidRPr="00911BA2" w:rsidRDefault="00911BA2" w:rsidP="00911BA2">
      <w:pPr>
        <w:rPr>
          <w:rFonts w:ascii="Arial" w:hAnsi="Arial" w:cs="Arial"/>
          <w:sz w:val="24"/>
          <w:szCs w:val="24"/>
          <w:lang w:val="en-US"/>
        </w:rPr>
      </w:pPr>
    </w:p>
    <w:p w14:paraId="28DCFAE5" w14:textId="77777777" w:rsidR="00911BA2" w:rsidRPr="009E4E11" w:rsidRDefault="00911BA2" w:rsidP="009E4E11">
      <w:pPr>
        <w:pStyle w:val="ListParagraph"/>
        <w:numPr>
          <w:ilvl w:val="0"/>
          <w:numId w:val="27"/>
        </w:numPr>
        <w:rPr>
          <w:rFonts w:ascii="Arial" w:hAnsi="Arial" w:cs="Arial"/>
          <w:sz w:val="24"/>
          <w:szCs w:val="24"/>
          <w:lang w:val="en-US"/>
        </w:rPr>
      </w:pPr>
      <w:r w:rsidRPr="009E4E11">
        <w:rPr>
          <w:rFonts w:ascii="Arial" w:hAnsi="Arial" w:cs="Arial"/>
          <w:sz w:val="24"/>
          <w:szCs w:val="24"/>
          <w:lang w:val="en-US"/>
        </w:rPr>
        <w:lastRenderedPageBreak/>
        <w:t>It critically evaluates traditional and modern work methods and provides strategic recommendations regarding cross-functional collaboration, hybrid culture, agile project teams, and the use of digital technology. (Ulrich, 1997)</w:t>
      </w:r>
    </w:p>
    <w:p w14:paraId="38FBAC3B" w14:textId="77777777" w:rsidR="00911BA2" w:rsidRDefault="00911BA2" w:rsidP="00911BA2">
      <w:pPr>
        <w:rPr>
          <w:rFonts w:ascii="Arial" w:hAnsi="Arial" w:cs="Arial"/>
          <w:sz w:val="24"/>
          <w:szCs w:val="24"/>
          <w:lang w:val="en-US"/>
        </w:rPr>
      </w:pPr>
    </w:p>
    <w:p w14:paraId="09BFB696" w14:textId="4091EB46" w:rsidR="00E8634F" w:rsidRPr="00D42E50" w:rsidRDefault="00E8634F" w:rsidP="00911BA2">
      <w:pPr>
        <w:rPr>
          <w:rFonts w:ascii="Arial" w:hAnsi="Arial" w:cs="Arial"/>
          <w:b/>
          <w:bCs/>
          <w:sz w:val="24"/>
          <w:szCs w:val="24"/>
        </w:rPr>
      </w:pPr>
      <w:r w:rsidRPr="00D42E50">
        <w:rPr>
          <w:rFonts w:ascii="Arial" w:hAnsi="Arial" w:cs="Arial"/>
          <w:b/>
          <w:bCs/>
          <w:sz w:val="24"/>
          <w:szCs w:val="24"/>
        </w:rPr>
        <w:t>2. Critical Evaluation: Traditional Work Design vs. Contemporary Working Practices</w:t>
      </w:r>
    </w:p>
    <w:p w14:paraId="31A6C232" w14:textId="77777777" w:rsidR="009E4E11" w:rsidRDefault="009E4E11" w:rsidP="00E8634F">
      <w:pPr>
        <w:rPr>
          <w:rFonts w:ascii="Arial" w:hAnsi="Arial" w:cs="Arial"/>
          <w:sz w:val="24"/>
          <w:szCs w:val="24"/>
          <w:lang w:val="en-US"/>
        </w:rPr>
      </w:pPr>
      <w:r w:rsidRPr="009E4E11">
        <w:rPr>
          <w:rFonts w:ascii="Arial" w:hAnsi="Arial" w:cs="Arial"/>
          <w:sz w:val="24"/>
          <w:szCs w:val="24"/>
          <w:lang w:val="en-US"/>
        </w:rPr>
        <w:t>Traditional job design based on Taylorism and scientific management emphasizes rigid administrative structures, which completely stifle organizational agility, creativity, and rapid decision-making in the digital healthcare sector. (Hackman &amp; Oldham, 1976)</w:t>
      </w:r>
    </w:p>
    <w:p w14:paraId="34E51582" w14:textId="77777777" w:rsidR="00B8793E" w:rsidRDefault="00B8793E" w:rsidP="00E8634F">
      <w:pPr>
        <w:rPr>
          <w:rFonts w:ascii="Arial" w:hAnsi="Arial" w:cs="Arial"/>
          <w:sz w:val="24"/>
          <w:szCs w:val="24"/>
          <w:lang w:val="en-US"/>
        </w:rPr>
      </w:pPr>
    </w:p>
    <w:p w14:paraId="583204A4" w14:textId="6387970B" w:rsidR="0098228E" w:rsidRPr="00EE6E3D" w:rsidRDefault="000D74CC" w:rsidP="0098228E">
      <w:pPr>
        <w:rPr>
          <w:rFonts w:ascii="Arial" w:hAnsi="Arial" w:cs="Arial"/>
          <w:b/>
          <w:bCs/>
          <w:sz w:val="24"/>
          <w:szCs w:val="24"/>
        </w:rPr>
      </w:pPr>
      <w:r w:rsidRPr="000D74CC">
        <w:rPr>
          <w:rFonts w:ascii="Arial" w:hAnsi="Arial" w:cs="Arial"/>
          <w:b/>
          <w:bCs/>
          <w:sz w:val="24"/>
          <w:szCs w:val="24"/>
        </w:rPr>
        <w:t>2.1 Capacity-building and participatory human resource frameworks</w:t>
      </w:r>
      <w:r w:rsidR="0098228E" w:rsidRPr="00EE6E3D">
        <w:rPr>
          <w:rFonts w:ascii="Arial" w:hAnsi="Arial" w:cs="Arial"/>
          <w:b/>
          <w:bCs/>
          <w:sz w:val="24"/>
          <w:szCs w:val="24"/>
        </w:rPr>
        <w:t>:</w:t>
      </w:r>
    </w:p>
    <w:p w14:paraId="11E8E71D" w14:textId="77777777" w:rsidR="0098228E" w:rsidRPr="0098228E" w:rsidRDefault="0098228E" w:rsidP="0098228E">
      <w:pPr>
        <w:pStyle w:val="ListParagraph"/>
        <w:numPr>
          <w:ilvl w:val="0"/>
          <w:numId w:val="28"/>
        </w:numPr>
        <w:rPr>
          <w:rFonts w:ascii="Arial" w:hAnsi="Arial" w:cs="Arial"/>
          <w:sz w:val="24"/>
          <w:szCs w:val="24"/>
        </w:rPr>
      </w:pPr>
      <w:r w:rsidRPr="0098228E">
        <w:rPr>
          <w:rFonts w:ascii="Arial" w:hAnsi="Arial" w:cs="Arial"/>
          <w:sz w:val="24"/>
          <w:szCs w:val="24"/>
        </w:rPr>
        <w:t>HPWS enhance employee competence and motivation by utilizing interconnected HR policies such as rigorous recruitment, extensive training, and compensation. (</w:t>
      </w:r>
      <w:proofErr w:type="spellStart"/>
      <w:r w:rsidRPr="0098228E">
        <w:rPr>
          <w:rFonts w:ascii="Arial" w:hAnsi="Arial" w:cs="Arial"/>
          <w:sz w:val="24"/>
          <w:szCs w:val="24"/>
        </w:rPr>
        <w:t>Huselid</w:t>
      </w:r>
      <w:proofErr w:type="spellEnd"/>
      <w:r w:rsidRPr="0098228E">
        <w:rPr>
          <w:rFonts w:ascii="Arial" w:hAnsi="Arial" w:cs="Arial"/>
          <w:sz w:val="24"/>
          <w:szCs w:val="24"/>
        </w:rPr>
        <w:t>, 1995; Boxall &amp; Purcell, 2016)</w:t>
      </w:r>
    </w:p>
    <w:p w14:paraId="54C65419" w14:textId="77777777" w:rsidR="0098228E" w:rsidRPr="0098228E" w:rsidRDefault="0098228E" w:rsidP="0098228E">
      <w:pPr>
        <w:pStyle w:val="ListParagraph"/>
        <w:numPr>
          <w:ilvl w:val="0"/>
          <w:numId w:val="28"/>
        </w:numPr>
        <w:rPr>
          <w:rFonts w:ascii="Arial" w:hAnsi="Arial" w:cs="Arial"/>
          <w:sz w:val="24"/>
          <w:szCs w:val="24"/>
        </w:rPr>
      </w:pPr>
      <w:r w:rsidRPr="0098228E">
        <w:rPr>
          <w:rFonts w:ascii="Arial" w:hAnsi="Arial" w:cs="Arial"/>
          <w:sz w:val="24"/>
          <w:szCs w:val="24"/>
        </w:rPr>
        <w:t>HIWS grant employees decision-making authority and autonomy. According to Job Characteristics Theory (Hackman &amp; Oldham), providing autonomy in work boosts employees' intrinsic motivation and creativity. (Hackman &amp; Oldham, 1976)</w:t>
      </w:r>
    </w:p>
    <w:p w14:paraId="0D780770" w14:textId="77777777" w:rsidR="0098228E" w:rsidRDefault="0098228E" w:rsidP="0098228E">
      <w:pPr>
        <w:rPr>
          <w:rFonts w:ascii="Arial" w:hAnsi="Arial" w:cs="Arial"/>
          <w:sz w:val="24"/>
          <w:szCs w:val="24"/>
        </w:rPr>
      </w:pPr>
    </w:p>
    <w:p w14:paraId="55DAAE2D" w14:textId="777D65CB" w:rsidR="00312237" w:rsidRPr="00EE6E3D" w:rsidRDefault="00312237" w:rsidP="00312237">
      <w:pPr>
        <w:rPr>
          <w:rFonts w:ascii="Arial" w:hAnsi="Arial" w:cs="Arial"/>
          <w:b/>
          <w:bCs/>
          <w:sz w:val="24"/>
          <w:szCs w:val="24"/>
          <w:lang w:val="en-US"/>
        </w:rPr>
      </w:pPr>
      <w:r w:rsidRPr="00EE6E3D">
        <w:rPr>
          <w:rFonts w:ascii="Arial" w:hAnsi="Arial" w:cs="Arial"/>
          <w:b/>
          <w:bCs/>
          <w:sz w:val="24"/>
          <w:szCs w:val="24"/>
          <w:lang w:val="en-US"/>
        </w:rPr>
        <w:t>2.2 Sociotechnical Systems (STS)</w:t>
      </w:r>
      <w:r w:rsidR="004A7F1E">
        <w:rPr>
          <w:rFonts w:ascii="Arial" w:hAnsi="Arial" w:cs="Arial"/>
          <w:b/>
          <w:bCs/>
          <w:sz w:val="24"/>
          <w:szCs w:val="24"/>
          <w:lang w:val="en-US"/>
        </w:rPr>
        <w:t>:</w:t>
      </w:r>
    </w:p>
    <w:p w14:paraId="091E3FC4" w14:textId="7939E535" w:rsidR="00312237" w:rsidRPr="00312237" w:rsidRDefault="00312237" w:rsidP="00312237">
      <w:pPr>
        <w:pStyle w:val="ListParagraph"/>
        <w:numPr>
          <w:ilvl w:val="0"/>
          <w:numId w:val="29"/>
        </w:numPr>
        <w:rPr>
          <w:rFonts w:ascii="Arial" w:hAnsi="Arial" w:cs="Arial"/>
          <w:sz w:val="24"/>
          <w:szCs w:val="24"/>
          <w:lang w:val="en-US"/>
        </w:rPr>
      </w:pPr>
      <w:r w:rsidRPr="00312237">
        <w:rPr>
          <w:rFonts w:ascii="Arial" w:hAnsi="Arial" w:cs="Arial"/>
          <w:sz w:val="24"/>
          <w:szCs w:val="24"/>
          <w:lang w:val="en-US"/>
        </w:rPr>
        <w:t xml:space="preserve">STS </w:t>
      </w:r>
      <w:r w:rsidR="004A7F1E" w:rsidRPr="004A7F1E">
        <w:rPr>
          <w:rFonts w:ascii="Arial" w:hAnsi="Arial" w:cs="Arial"/>
          <w:sz w:val="24"/>
          <w:szCs w:val="24"/>
          <w:lang w:val="en-US"/>
        </w:rPr>
        <w:t>Principle</w:t>
      </w:r>
      <w:r w:rsidRPr="00312237">
        <w:rPr>
          <w:rFonts w:ascii="Arial" w:hAnsi="Arial" w:cs="Arial"/>
          <w:sz w:val="24"/>
          <w:szCs w:val="24"/>
          <w:lang w:val="en-US"/>
        </w:rPr>
        <w:t>, developed by Trist &amp; Bamforth (1951), posits that an organization's success depends on the joint optimization of its two key components: the technical subsystem (i.e., software/AI) and the social subsystem (human relationships and culture). (Trist &amp; Bamforth, 1951)</w:t>
      </w:r>
    </w:p>
    <w:p w14:paraId="35FC2A48" w14:textId="77777777" w:rsidR="00312237" w:rsidRPr="00312237" w:rsidRDefault="00312237" w:rsidP="00312237">
      <w:pPr>
        <w:pStyle w:val="ListParagraph"/>
        <w:numPr>
          <w:ilvl w:val="0"/>
          <w:numId w:val="29"/>
        </w:numPr>
        <w:rPr>
          <w:rFonts w:ascii="Arial" w:hAnsi="Arial" w:cs="Arial"/>
          <w:sz w:val="24"/>
          <w:szCs w:val="24"/>
          <w:lang w:val="en-US"/>
        </w:rPr>
      </w:pPr>
      <w:r w:rsidRPr="00312237">
        <w:rPr>
          <w:rFonts w:ascii="Arial" w:hAnsi="Arial" w:cs="Arial"/>
          <w:sz w:val="24"/>
          <w:szCs w:val="24"/>
          <w:lang w:val="en-US"/>
        </w:rPr>
        <w:t>The core issue at NHSX was that while AI software tools and hybrid policies were introduced, the social culture (such as etiquette regarding time differences and mutual trust) was not adapted accordingly. The STS approach establishes a proper balance between these two elements. (Trist &amp; Bamforth, 1951)</w:t>
      </w:r>
    </w:p>
    <w:p w14:paraId="25EED836" w14:textId="77777777" w:rsidR="00312237" w:rsidRPr="00312237" w:rsidRDefault="00312237" w:rsidP="00312237">
      <w:pPr>
        <w:rPr>
          <w:rFonts w:ascii="Arial" w:hAnsi="Arial" w:cs="Arial"/>
          <w:sz w:val="24"/>
          <w:szCs w:val="24"/>
          <w:lang w:val="en-US"/>
        </w:rPr>
      </w:pPr>
    </w:p>
    <w:p w14:paraId="56E9511A" w14:textId="77777777" w:rsidR="00312237" w:rsidRPr="00EE6E3D" w:rsidRDefault="00312237" w:rsidP="00312237">
      <w:pPr>
        <w:rPr>
          <w:rFonts w:ascii="Arial" w:hAnsi="Arial" w:cs="Arial"/>
          <w:b/>
          <w:bCs/>
          <w:sz w:val="24"/>
          <w:szCs w:val="24"/>
          <w:lang w:val="en-US"/>
        </w:rPr>
      </w:pPr>
      <w:r w:rsidRPr="00EE6E3D">
        <w:rPr>
          <w:rFonts w:ascii="Arial" w:hAnsi="Arial" w:cs="Arial"/>
          <w:b/>
          <w:bCs/>
          <w:sz w:val="24"/>
          <w:szCs w:val="24"/>
          <w:lang w:val="en-US"/>
        </w:rPr>
        <w:t>2.3 Agile and Hybrid Working Models:</w:t>
      </w:r>
    </w:p>
    <w:p w14:paraId="4662E04E" w14:textId="5DDA4C45" w:rsidR="00E8634F" w:rsidRPr="00312237" w:rsidRDefault="00312237" w:rsidP="00312237">
      <w:pPr>
        <w:pStyle w:val="ListParagraph"/>
        <w:numPr>
          <w:ilvl w:val="0"/>
          <w:numId w:val="30"/>
        </w:numPr>
        <w:rPr>
          <w:rFonts w:ascii="Arial" w:hAnsi="Arial" w:cs="Arial"/>
          <w:sz w:val="24"/>
          <w:szCs w:val="24"/>
          <w:lang w:val="en-US"/>
        </w:rPr>
      </w:pPr>
      <w:r w:rsidRPr="00312237">
        <w:rPr>
          <w:rFonts w:ascii="Arial" w:hAnsi="Arial" w:cs="Arial"/>
          <w:sz w:val="24"/>
          <w:szCs w:val="24"/>
          <w:lang w:val="en-US"/>
        </w:rPr>
        <w:t>The Agile working model emphasizes the creation of self-managed, dynamic teams (such as Scrum or Kanban) rather than relying on rigid structures. The hybrid working model focuses on 'outcomes and productivity' rather than 'office presence.' (Guzman &amp; Davis, 2023)</w:t>
      </w:r>
      <w:r w:rsidR="00E8634F" w:rsidRPr="00312237">
        <w:rPr>
          <w:rFonts w:ascii="Arial" w:hAnsi="Arial" w:cs="Arial"/>
          <w:sz w:val="24"/>
          <w:szCs w:val="24"/>
          <w:lang w:val="en-US"/>
        </w:rPr>
        <w:t>2.4 Comparative Evaluation Table: Traditional Taylorism vs. Modern Agile</w:t>
      </w:r>
    </w:p>
    <w:p w14:paraId="5ED779EE" w14:textId="77777777" w:rsidR="003B0AFC" w:rsidRPr="00D42E50" w:rsidRDefault="003B0AFC" w:rsidP="00E8634F">
      <w:pPr>
        <w:rPr>
          <w:rFonts w:ascii="Arial" w:hAnsi="Arial" w:cs="Arial"/>
          <w:sz w:val="24"/>
          <w:szCs w:val="24"/>
          <w:lang w:val="en-US"/>
        </w:rPr>
      </w:pPr>
    </w:p>
    <w:p w14:paraId="066FDFC6" w14:textId="77777777" w:rsidR="00BB6D18" w:rsidRPr="00BB6D18" w:rsidRDefault="00BB6D18" w:rsidP="00BB6D18">
      <w:pPr>
        <w:rPr>
          <w:rFonts w:ascii="Arial" w:hAnsi="Arial" w:cs="Arial"/>
          <w:b/>
          <w:bCs/>
          <w:sz w:val="24"/>
          <w:szCs w:val="24"/>
          <w:lang w:val="en-US"/>
        </w:rPr>
      </w:pPr>
      <w:r w:rsidRPr="00BB6D18">
        <w:rPr>
          <w:rFonts w:ascii="Arial" w:hAnsi="Arial" w:cs="Arial"/>
          <w:b/>
          <w:bCs/>
          <w:sz w:val="24"/>
          <w:szCs w:val="24"/>
          <w:lang w:val="en-US"/>
        </w:rPr>
        <w:t>3. Strategic Recommendations for NHSX</w:t>
      </w:r>
    </w:p>
    <w:p w14:paraId="0CE8548C" w14:textId="77777777" w:rsidR="00BB6D18" w:rsidRPr="00BB6D18" w:rsidRDefault="00BB6D18" w:rsidP="00BB6D18">
      <w:pPr>
        <w:rPr>
          <w:rFonts w:ascii="Arial" w:hAnsi="Arial" w:cs="Arial"/>
          <w:b/>
          <w:bCs/>
          <w:sz w:val="24"/>
          <w:szCs w:val="24"/>
          <w:lang w:val="en-US"/>
        </w:rPr>
      </w:pPr>
      <w:r w:rsidRPr="00BB6D18">
        <w:rPr>
          <w:rFonts w:ascii="Arial" w:hAnsi="Arial" w:cs="Arial"/>
          <w:b/>
          <w:bCs/>
          <w:sz w:val="24"/>
          <w:szCs w:val="24"/>
          <w:lang w:val="en-US"/>
        </w:rPr>
        <w:lastRenderedPageBreak/>
        <w:t>3.1 Cross-Functional Collaboration &amp; International Integration:</w:t>
      </w:r>
    </w:p>
    <w:p w14:paraId="3D2A721F" w14:textId="1847288F" w:rsidR="00BB6D18" w:rsidRPr="0062668F" w:rsidRDefault="0062668F" w:rsidP="0062668F">
      <w:pPr>
        <w:pStyle w:val="ListParagraph"/>
        <w:numPr>
          <w:ilvl w:val="0"/>
          <w:numId w:val="30"/>
        </w:numPr>
        <w:rPr>
          <w:rFonts w:ascii="Arial" w:hAnsi="Arial" w:cs="Arial"/>
          <w:sz w:val="24"/>
          <w:szCs w:val="24"/>
          <w:lang w:val="en-US"/>
        </w:rPr>
      </w:pPr>
      <w:r w:rsidRPr="0062668F">
        <w:rPr>
          <w:rFonts w:ascii="Arial" w:hAnsi="Arial" w:cs="Arial"/>
          <w:sz w:val="24"/>
          <w:szCs w:val="24"/>
          <w:lang w:val="en-US"/>
        </w:rPr>
        <w:t>Establish global "Guilds of Excellence" (such as the 'Clinical AI Guild' and 'Data Privacy Guild') to break down functional silos between organizational departments and accelerate knowledge sharing. Employees from the UK, India, and the UAE will join these guilds to prevent the duplication of Research and Development (R&amp;D) efforts and expedite the exchange of knowledge. (</w:t>
      </w:r>
      <w:proofErr w:type="spellStart"/>
      <w:r w:rsidRPr="0062668F">
        <w:rPr>
          <w:rFonts w:ascii="Arial" w:hAnsi="Arial" w:cs="Arial"/>
          <w:sz w:val="24"/>
          <w:szCs w:val="24"/>
          <w:lang w:val="en-US"/>
        </w:rPr>
        <w:t>Vrontis</w:t>
      </w:r>
      <w:proofErr w:type="spellEnd"/>
      <w:r w:rsidRPr="0062668F">
        <w:rPr>
          <w:rFonts w:ascii="Arial" w:hAnsi="Arial" w:cs="Arial"/>
          <w:sz w:val="24"/>
          <w:szCs w:val="24"/>
          <w:lang w:val="en-US"/>
        </w:rPr>
        <w:t xml:space="preserve"> et al., 2022)</w:t>
      </w:r>
    </w:p>
    <w:p w14:paraId="2068DA58" w14:textId="77777777" w:rsidR="00BB6D18" w:rsidRPr="00BB6D18" w:rsidRDefault="00BB6D18" w:rsidP="00BB6D18">
      <w:pPr>
        <w:rPr>
          <w:rFonts w:ascii="Arial" w:hAnsi="Arial" w:cs="Arial"/>
          <w:b/>
          <w:bCs/>
          <w:sz w:val="24"/>
          <w:szCs w:val="24"/>
          <w:lang w:val="en-US"/>
        </w:rPr>
      </w:pPr>
      <w:r w:rsidRPr="00BB6D18">
        <w:rPr>
          <w:rFonts w:ascii="Arial" w:hAnsi="Arial" w:cs="Arial"/>
          <w:b/>
          <w:bCs/>
          <w:sz w:val="24"/>
          <w:szCs w:val="24"/>
          <w:lang w:val="en-US"/>
        </w:rPr>
        <w:t>3.2 Hybrid &amp; Asynchronous Flexible Working Structure:</w:t>
      </w:r>
    </w:p>
    <w:p w14:paraId="4C8247D4" w14:textId="77777777" w:rsidR="00BB6D18" w:rsidRPr="00BB6D18" w:rsidRDefault="00BB6D18" w:rsidP="00BB6D18">
      <w:pPr>
        <w:pStyle w:val="ListParagraph"/>
        <w:numPr>
          <w:ilvl w:val="0"/>
          <w:numId w:val="30"/>
        </w:numPr>
        <w:rPr>
          <w:rFonts w:ascii="Arial" w:hAnsi="Arial" w:cs="Arial"/>
          <w:sz w:val="24"/>
          <w:szCs w:val="24"/>
          <w:lang w:val="en-US"/>
        </w:rPr>
      </w:pPr>
      <w:r w:rsidRPr="00BB6D18">
        <w:rPr>
          <w:rFonts w:ascii="Arial" w:hAnsi="Arial" w:cs="Arial"/>
          <w:sz w:val="24"/>
          <w:szCs w:val="24"/>
          <w:lang w:val="en-US"/>
        </w:rPr>
        <w:t>To address time zone differences, establish a shared 4-hour "live window" (10:00 to 14:00 GMT) across the UK, UAE, and India for all critical discussions. The remaining time will be dedicated to focused technical work, with all updates documented in a centralized system, thereby eliminating the need for late-night calls. (Strohmeier, 2020)</w:t>
      </w:r>
    </w:p>
    <w:p w14:paraId="3D0A612A" w14:textId="77777777" w:rsidR="00BB6D18" w:rsidRPr="00BB6D18" w:rsidRDefault="00BB6D18" w:rsidP="00BB6D18">
      <w:pPr>
        <w:rPr>
          <w:rFonts w:ascii="Arial" w:hAnsi="Arial" w:cs="Arial"/>
          <w:sz w:val="24"/>
          <w:szCs w:val="24"/>
          <w:lang w:val="en-US"/>
        </w:rPr>
      </w:pPr>
    </w:p>
    <w:p w14:paraId="523E573B" w14:textId="77777777" w:rsidR="00BB6D18" w:rsidRPr="00BB6D18" w:rsidRDefault="00BB6D18" w:rsidP="00BB6D18">
      <w:pPr>
        <w:rPr>
          <w:rFonts w:ascii="Arial" w:hAnsi="Arial" w:cs="Arial"/>
          <w:b/>
          <w:bCs/>
          <w:sz w:val="24"/>
          <w:szCs w:val="24"/>
          <w:lang w:val="en-US"/>
        </w:rPr>
      </w:pPr>
      <w:r w:rsidRPr="00BB6D18">
        <w:rPr>
          <w:rFonts w:ascii="Arial" w:hAnsi="Arial" w:cs="Arial"/>
          <w:b/>
          <w:bCs/>
          <w:sz w:val="24"/>
          <w:szCs w:val="24"/>
          <w:lang w:val="en-US"/>
        </w:rPr>
        <w:t>3.3 Employee Autonomy, Psychological Safety &amp; Decentralized Decision-Making:</w:t>
      </w:r>
    </w:p>
    <w:p w14:paraId="2F010D5C" w14:textId="77777777" w:rsidR="00BB6D18" w:rsidRPr="00BB6D18" w:rsidRDefault="00BB6D18" w:rsidP="00BB6D18">
      <w:pPr>
        <w:pStyle w:val="ListParagraph"/>
        <w:numPr>
          <w:ilvl w:val="0"/>
          <w:numId w:val="30"/>
        </w:numPr>
        <w:rPr>
          <w:rFonts w:ascii="Arial" w:hAnsi="Arial" w:cs="Arial"/>
          <w:sz w:val="24"/>
          <w:szCs w:val="24"/>
          <w:lang w:val="en-US"/>
        </w:rPr>
      </w:pPr>
      <w:r w:rsidRPr="00BB6D18">
        <w:rPr>
          <w:rFonts w:ascii="Arial" w:hAnsi="Arial" w:cs="Arial"/>
          <w:sz w:val="24"/>
          <w:szCs w:val="24"/>
          <w:lang w:val="en-US"/>
        </w:rPr>
        <w:t>Adopt Edmondson’s (1999) culture of psychological safety, where experimental failures are viewed as learning opportunities rather than grounds for punishment. (Edmondson, 1999)</w:t>
      </w:r>
    </w:p>
    <w:p w14:paraId="4540779B" w14:textId="77777777" w:rsidR="00BB6D18" w:rsidRPr="00BB6D18" w:rsidRDefault="00BB6D18" w:rsidP="00BB6D18">
      <w:pPr>
        <w:pStyle w:val="ListParagraph"/>
        <w:numPr>
          <w:ilvl w:val="0"/>
          <w:numId w:val="30"/>
        </w:numPr>
        <w:rPr>
          <w:rFonts w:ascii="Arial" w:hAnsi="Arial" w:cs="Arial"/>
          <w:sz w:val="24"/>
          <w:szCs w:val="24"/>
          <w:lang w:val="en-US"/>
        </w:rPr>
      </w:pPr>
      <w:r w:rsidRPr="00BB6D18">
        <w:rPr>
          <w:rFonts w:ascii="Arial" w:hAnsi="Arial" w:cs="Arial"/>
          <w:sz w:val="24"/>
          <w:szCs w:val="24"/>
          <w:lang w:val="en-US"/>
        </w:rPr>
        <w:t>Implement an 80/20 innovation policy, allocating one day a week (20% of time) for technical staff to conduct self-directed AI research. Establish an "Individual Contributor" (IC) track to allow for high-level promotions without transitioning into management roles. (Rousseau, 2005)</w:t>
      </w:r>
    </w:p>
    <w:p w14:paraId="55393CB7" w14:textId="77777777" w:rsidR="00BB6D18" w:rsidRPr="00BB6D18" w:rsidRDefault="00BB6D18" w:rsidP="00BB6D18">
      <w:pPr>
        <w:rPr>
          <w:rFonts w:ascii="Arial" w:hAnsi="Arial" w:cs="Arial"/>
          <w:sz w:val="24"/>
          <w:szCs w:val="24"/>
          <w:lang w:val="en-US"/>
        </w:rPr>
      </w:pPr>
    </w:p>
    <w:p w14:paraId="0FDB164B" w14:textId="77777777" w:rsidR="00BB6D18" w:rsidRPr="00BB6D18" w:rsidRDefault="00BB6D18" w:rsidP="00BB6D18">
      <w:pPr>
        <w:rPr>
          <w:rFonts w:ascii="Arial" w:hAnsi="Arial" w:cs="Arial"/>
          <w:b/>
          <w:bCs/>
          <w:sz w:val="24"/>
          <w:szCs w:val="24"/>
          <w:lang w:val="en-US"/>
        </w:rPr>
      </w:pPr>
      <w:r w:rsidRPr="00BB6D18">
        <w:rPr>
          <w:rFonts w:ascii="Arial" w:hAnsi="Arial" w:cs="Arial"/>
          <w:b/>
          <w:bCs/>
          <w:sz w:val="24"/>
          <w:szCs w:val="24"/>
          <w:lang w:val="en-US"/>
        </w:rPr>
        <w:t>3.4 Agile Project Delivery: Networked "Innovation Pods":</w:t>
      </w:r>
    </w:p>
    <w:p w14:paraId="1F1E6577" w14:textId="77777777" w:rsidR="00BB6D18" w:rsidRPr="00BB6D18" w:rsidRDefault="00BB6D18" w:rsidP="00BB6D18">
      <w:pPr>
        <w:pStyle w:val="ListParagraph"/>
        <w:numPr>
          <w:ilvl w:val="0"/>
          <w:numId w:val="31"/>
        </w:numPr>
        <w:rPr>
          <w:rFonts w:ascii="Arial" w:hAnsi="Arial" w:cs="Arial"/>
          <w:sz w:val="24"/>
          <w:szCs w:val="24"/>
          <w:lang w:val="en-US"/>
        </w:rPr>
      </w:pPr>
      <w:r w:rsidRPr="00BB6D18">
        <w:rPr>
          <w:rFonts w:ascii="Arial" w:hAnsi="Arial" w:cs="Arial"/>
          <w:sz w:val="24"/>
          <w:szCs w:val="24"/>
          <w:lang w:val="en-US"/>
        </w:rPr>
        <w:t>Transform traditional project teams into autonomous "Innovation Pods." Each pod will comprise engineers, AI researchers, clinical experts, and product managers, working collaboratively and making independent decisions within two-week sprints. (Guzman &amp; Davis, 2023)</w:t>
      </w:r>
    </w:p>
    <w:p w14:paraId="6C2741F2" w14:textId="77777777" w:rsidR="00BB6D18" w:rsidRPr="00BB6D18" w:rsidRDefault="00BB6D18" w:rsidP="00BB6D18">
      <w:pPr>
        <w:rPr>
          <w:rFonts w:ascii="Arial" w:hAnsi="Arial" w:cs="Arial"/>
          <w:sz w:val="24"/>
          <w:szCs w:val="24"/>
          <w:lang w:val="en-US"/>
        </w:rPr>
      </w:pPr>
    </w:p>
    <w:p w14:paraId="3919D833" w14:textId="77777777" w:rsidR="00BB6D18" w:rsidRPr="00BB6D18" w:rsidRDefault="00BB6D18" w:rsidP="00BB6D18">
      <w:pPr>
        <w:rPr>
          <w:rFonts w:ascii="Arial" w:hAnsi="Arial" w:cs="Arial"/>
          <w:b/>
          <w:bCs/>
          <w:sz w:val="24"/>
          <w:szCs w:val="24"/>
          <w:lang w:val="en-US"/>
        </w:rPr>
      </w:pPr>
      <w:r w:rsidRPr="00BB6D18">
        <w:rPr>
          <w:rFonts w:ascii="Arial" w:hAnsi="Arial" w:cs="Arial"/>
          <w:b/>
          <w:bCs/>
          <w:sz w:val="24"/>
          <w:szCs w:val="24"/>
          <w:lang w:val="en-US"/>
        </w:rPr>
        <w:t>3.5 Digital Collaboration Technology &amp; Knowledge-Sharing Protocols:</w:t>
      </w:r>
    </w:p>
    <w:p w14:paraId="5BD223E6" w14:textId="0F003A71" w:rsidR="00E8634F" w:rsidRPr="00BB6D18" w:rsidRDefault="00BB6D18" w:rsidP="00BB6D18">
      <w:pPr>
        <w:pStyle w:val="ListParagraph"/>
        <w:numPr>
          <w:ilvl w:val="0"/>
          <w:numId w:val="31"/>
        </w:numPr>
        <w:rPr>
          <w:rFonts w:ascii="Arial" w:hAnsi="Arial" w:cs="Arial"/>
          <w:sz w:val="24"/>
          <w:szCs w:val="24"/>
          <w:lang w:val="en-US"/>
        </w:rPr>
      </w:pPr>
      <w:r w:rsidRPr="00BB6D18">
        <w:rPr>
          <w:rFonts w:ascii="Arial" w:hAnsi="Arial" w:cs="Arial"/>
          <w:sz w:val="24"/>
          <w:szCs w:val="24"/>
          <w:lang w:val="en-US"/>
        </w:rPr>
        <w:t>Creating a virtual workspace by integrating tools such as Slack/Miro (for real-time collaboration) and Notion/Confluence (for an AI-enabled centralized knowledge repository) to ensure seamless communication between the UK clinical team and the developers in India. (Marler &amp; Boudreau, 2017; Tambe et al., 2019)</w:t>
      </w:r>
    </w:p>
    <w:p w14:paraId="16040D48" w14:textId="77777777" w:rsidR="00BB6D18" w:rsidRPr="00D42E50" w:rsidRDefault="00BB6D18" w:rsidP="00BB6D18">
      <w:pPr>
        <w:rPr>
          <w:rFonts w:ascii="Arial" w:hAnsi="Arial" w:cs="Arial"/>
          <w:sz w:val="24"/>
          <w:szCs w:val="24"/>
          <w:lang w:val="en-US"/>
        </w:rPr>
      </w:pPr>
    </w:p>
    <w:p w14:paraId="1765A58F" w14:textId="77777777" w:rsidR="00EE6E3D" w:rsidRPr="00EE6E3D" w:rsidRDefault="00EE6E3D" w:rsidP="00EE6E3D">
      <w:pPr>
        <w:rPr>
          <w:rFonts w:ascii="Arial" w:hAnsi="Arial" w:cs="Arial"/>
          <w:b/>
          <w:bCs/>
          <w:sz w:val="24"/>
          <w:szCs w:val="24"/>
        </w:rPr>
      </w:pPr>
      <w:r w:rsidRPr="00EE6E3D">
        <w:rPr>
          <w:rFonts w:ascii="Arial" w:hAnsi="Arial" w:cs="Arial"/>
          <w:b/>
          <w:bCs/>
          <w:sz w:val="24"/>
          <w:szCs w:val="24"/>
        </w:rPr>
        <w:t>4. Business Impact &amp; Performance Justification</w:t>
      </w:r>
    </w:p>
    <w:p w14:paraId="318D0C5B" w14:textId="77777777" w:rsidR="00EE6E3D" w:rsidRPr="00EE6E3D" w:rsidRDefault="00EE6E3D" w:rsidP="00EE6E3D">
      <w:pPr>
        <w:rPr>
          <w:rFonts w:ascii="Arial" w:hAnsi="Arial" w:cs="Arial"/>
          <w:b/>
          <w:bCs/>
          <w:sz w:val="24"/>
          <w:szCs w:val="24"/>
        </w:rPr>
      </w:pPr>
      <w:r w:rsidRPr="00EE6E3D">
        <w:rPr>
          <w:rFonts w:ascii="Arial" w:hAnsi="Arial" w:cs="Arial"/>
          <w:b/>
          <w:bCs/>
          <w:sz w:val="24"/>
          <w:szCs w:val="24"/>
        </w:rPr>
        <w:lastRenderedPageBreak/>
        <w:t>4.1 Impact on Innovation Rate &amp; AI Product Time-to-Market:</w:t>
      </w:r>
    </w:p>
    <w:p w14:paraId="603DFC4F" w14:textId="77777777" w:rsidR="00EE6E3D" w:rsidRDefault="00EE6E3D" w:rsidP="00EE6E3D">
      <w:pPr>
        <w:rPr>
          <w:rFonts w:ascii="Arial" w:hAnsi="Arial" w:cs="Arial"/>
          <w:sz w:val="24"/>
          <w:szCs w:val="24"/>
        </w:rPr>
      </w:pPr>
      <w:r w:rsidRPr="00EE6E3D">
        <w:rPr>
          <w:rFonts w:ascii="Arial" w:hAnsi="Arial" w:cs="Arial"/>
          <w:sz w:val="24"/>
          <w:szCs w:val="24"/>
        </w:rPr>
        <w:t xml:space="preserve">Autonomous innovation pods and </w:t>
      </w:r>
      <w:proofErr w:type="gramStart"/>
      <w:r w:rsidRPr="00EE6E3D">
        <w:rPr>
          <w:rFonts w:ascii="Arial" w:hAnsi="Arial" w:cs="Arial"/>
          <w:sz w:val="24"/>
          <w:szCs w:val="24"/>
        </w:rPr>
        <w:t>80/20 time</w:t>
      </w:r>
      <w:proofErr w:type="gramEnd"/>
      <w:r w:rsidRPr="00EE6E3D">
        <w:rPr>
          <w:rFonts w:ascii="Arial" w:hAnsi="Arial" w:cs="Arial"/>
          <w:sz w:val="24"/>
          <w:szCs w:val="24"/>
        </w:rPr>
        <w:t xml:space="preserve"> allocation will reduce delays in developing new AI features. Reduced requirements for board approvals will enable NHSX products to reach the market faster. (Tambe et al., 2019)</w:t>
      </w:r>
    </w:p>
    <w:p w14:paraId="141F08EB" w14:textId="77777777" w:rsidR="00EE6E3D" w:rsidRPr="00EE6E3D" w:rsidRDefault="00EE6E3D" w:rsidP="00EE6E3D">
      <w:pPr>
        <w:rPr>
          <w:rFonts w:ascii="Arial" w:hAnsi="Arial" w:cs="Arial"/>
          <w:sz w:val="24"/>
          <w:szCs w:val="24"/>
        </w:rPr>
      </w:pPr>
    </w:p>
    <w:p w14:paraId="7A260FCB" w14:textId="77777777" w:rsidR="00EE6E3D" w:rsidRPr="00EE6E3D" w:rsidRDefault="00EE6E3D" w:rsidP="00EE6E3D">
      <w:pPr>
        <w:rPr>
          <w:rFonts w:ascii="Arial" w:hAnsi="Arial" w:cs="Arial"/>
          <w:b/>
          <w:bCs/>
          <w:sz w:val="24"/>
          <w:szCs w:val="24"/>
        </w:rPr>
      </w:pPr>
      <w:r w:rsidRPr="00EE6E3D">
        <w:rPr>
          <w:rFonts w:ascii="Arial" w:hAnsi="Arial" w:cs="Arial"/>
          <w:b/>
          <w:bCs/>
          <w:sz w:val="24"/>
          <w:szCs w:val="24"/>
        </w:rPr>
        <w:t>4.2 Impact on Organizational Agility &amp; Operational Efficiency:</w:t>
      </w:r>
    </w:p>
    <w:p w14:paraId="1EA29875" w14:textId="77777777" w:rsidR="00EE6E3D" w:rsidRDefault="00EE6E3D" w:rsidP="00EE6E3D">
      <w:pPr>
        <w:rPr>
          <w:rFonts w:ascii="Arial" w:hAnsi="Arial" w:cs="Arial"/>
          <w:sz w:val="24"/>
          <w:szCs w:val="24"/>
        </w:rPr>
      </w:pPr>
      <w:r w:rsidRPr="00EE6E3D">
        <w:rPr>
          <w:rFonts w:ascii="Arial" w:hAnsi="Arial" w:cs="Arial"/>
          <w:sz w:val="24"/>
          <w:szCs w:val="24"/>
        </w:rPr>
        <w:t xml:space="preserve">Cross-functional guilds and digital workspaces will eliminate time-zone barriers between global teams, resulting in up to a 50% acceleration in decision-making processes. (Strohmeier, 2020; </w:t>
      </w:r>
      <w:proofErr w:type="spellStart"/>
      <w:r w:rsidRPr="00EE6E3D">
        <w:rPr>
          <w:rFonts w:ascii="Arial" w:hAnsi="Arial" w:cs="Arial"/>
          <w:sz w:val="24"/>
          <w:szCs w:val="24"/>
        </w:rPr>
        <w:t>Vrontis</w:t>
      </w:r>
      <w:proofErr w:type="spellEnd"/>
      <w:r w:rsidRPr="00EE6E3D">
        <w:rPr>
          <w:rFonts w:ascii="Arial" w:hAnsi="Arial" w:cs="Arial"/>
          <w:sz w:val="24"/>
          <w:szCs w:val="24"/>
        </w:rPr>
        <w:t xml:space="preserve"> et al., 2022)</w:t>
      </w:r>
    </w:p>
    <w:p w14:paraId="0F110497" w14:textId="77777777" w:rsidR="00EE6E3D" w:rsidRPr="00EE6E3D" w:rsidRDefault="00EE6E3D" w:rsidP="00EE6E3D">
      <w:pPr>
        <w:rPr>
          <w:rFonts w:ascii="Arial" w:hAnsi="Arial" w:cs="Arial"/>
          <w:sz w:val="24"/>
          <w:szCs w:val="24"/>
        </w:rPr>
      </w:pPr>
    </w:p>
    <w:p w14:paraId="7316073D" w14:textId="77777777" w:rsidR="00EE6E3D" w:rsidRPr="00EE6E3D" w:rsidRDefault="00EE6E3D" w:rsidP="00EE6E3D">
      <w:pPr>
        <w:rPr>
          <w:rFonts w:ascii="Arial" w:hAnsi="Arial" w:cs="Arial"/>
          <w:b/>
          <w:bCs/>
          <w:sz w:val="24"/>
          <w:szCs w:val="24"/>
        </w:rPr>
      </w:pPr>
      <w:r w:rsidRPr="00EE6E3D">
        <w:rPr>
          <w:rFonts w:ascii="Arial" w:hAnsi="Arial" w:cs="Arial"/>
          <w:b/>
          <w:bCs/>
          <w:sz w:val="24"/>
          <w:szCs w:val="24"/>
        </w:rPr>
        <w:t>4.3 Employee Retention, Well-Being &amp; Global Talent Attraction:</w:t>
      </w:r>
    </w:p>
    <w:p w14:paraId="235EEE0E" w14:textId="1316FE91" w:rsidR="00E8634F" w:rsidRPr="00EE6E3D" w:rsidRDefault="00EE6E3D" w:rsidP="00EE6E3D">
      <w:pPr>
        <w:rPr>
          <w:rFonts w:ascii="Arial" w:hAnsi="Arial" w:cs="Arial"/>
          <w:sz w:val="24"/>
          <w:szCs w:val="24"/>
          <w:lang w:val="en-US"/>
        </w:rPr>
      </w:pPr>
      <w:r w:rsidRPr="00EE6E3D">
        <w:rPr>
          <w:rFonts w:ascii="Arial" w:hAnsi="Arial" w:cs="Arial"/>
          <w:sz w:val="24"/>
          <w:szCs w:val="24"/>
        </w:rPr>
        <w:t>Providing an 'Individual Contributor' (IC) track for career progression—independent of management roles—alongside a stress-free hybrid work environment, will help retain high-performing employees and attract top global talent. (Boxall &amp; Purcell, 2016; Wright &amp; McMahan, 2011)</w:t>
      </w:r>
    </w:p>
    <w:p w14:paraId="119302C3" w14:textId="77777777" w:rsidR="00E8634F" w:rsidRPr="00D42E50" w:rsidRDefault="00E8634F" w:rsidP="007D449E">
      <w:pPr>
        <w:rPr>
          <w:rFonts w:ascii="Arial" w:hAnsi="Arial" w:cs="Arial"/>
          <w:sz w:val="24"/>
          <w:szCs w:val="24"/>
          <w:lang w:val="en-US"/>
        </w:rPr>
      </w:pPr>
    </w:p>
    <w:p w14:paraId="02DF4BFD" w14:textId="77777777" w:rsidR="00B63F5A" w:rsidRDefault="00B63F5A" w:rsidP="007D449E">
      <w:pPr>
        <w:rPr>
          <w:rFonts w:ascii="Arial" w:hAnsi="Arial" w:cs="Arial"/>
          <w:sz w:val="24"/>
          <w:szCs w:val="24"/>
          <w:lang w:val="en-US"/>
        </w:rPr>
      </w:pPr>
    </w:p>
    <w:p w14:paraId="43A59D00" w14:textId="77777777" w:rsidR="00B3715C" w:rsidRDefault="00B3715C" w:rsidP="007D449E">
      <w:pPr>
        <w:rPr>
          <w:rFonts w:ascii="Arial" w:hAnsi="Arial" w:cs="Arial"/>
          <w:sz w:val="24"/>
          <w:szCs w:val="24"/>
          <w:lang w:val="en-US"/>
        </w:rPr>
      </w:pPr>
    </w:p>
    <w:p w14:paraId="5B4A0BEC" w14:textId="77777777" w:rsidR="00B3715C" w:rsidRPr="00D42E50" w:rsidRDefault="00B3715C" w:rsidP="007D449E">
      <w:pPr>
        <w:rPr>
          <w:rFonts w:ascii="Arial" w:hAnsi="Arial" w:cs="Arial"/>
          <w:sz w:val="24"/>
          <w:szCs w:val="24"/>
          <w:lang w:val="en-US"/>
        </w:rPr>
      </w:pPr>
    </w:p>
    <w:p w14:paraId="0E053018" w14:textId="77777777" w:rsidR="00B63F5A" w:rsidRDefault="00B63F5A" w:rsidP="007D449E">
      <w:pPr>
        <w:rPr>
          <w:rFonts w:ascii="Arial" w:hAnsi="Arial" w:cs="Arial"/>
          <w:sz w:val="24"/>
          <w:szCs w:val="24"/>
          <w:lang w:val="en-US"/>
        </w:rPr>
      </w:pPr>
    </w:p>
    <w:p w14:paraId="1F296752" w14:textId="77777777" w:rsidR="00EE6E3D" w:rsidRDefault="00EE6E3D" w:rsidP="007D449E">
      <w:pPr>
        <w:rPr>
          <w:rFonts w:ascii="Arial" w:hAnsi="Arial" w:cs="Arial"/>
          <w:sz w:val="24"/>
          <w:szCs w:val="24"/>
          <w:lang w:val="en-US"/>
        </w:rPr>
      </w:pPr>
    </w:p>
    <w:p w14:paraId="0F3F3116" w14:textId="77777777" w:rsidR="00EE6E3D" w:rsidRDefault="00EE6E3D" w:rsidP="007D449E">
      <w:pPr>
        <w:rPr>
          <w:rFonts w:ascii="Arial" w:hAnsi="Arial" w:cs="Arial"/>
          <w:sz w:val="24"/>
          <w:szCs w:val="24"/>
          <w:lang w:val="en-US"/>
        </w:rPr>
      </w:pPr>
    </w:p>
    <w:p w14:paraId="00E02EC2" w14:textId="77777777" w:rsidR="00EE6E3D" w:rsidRDefault="00EE6E3D" w:rsidP="007D449E">
      <w:pPr>
        <w:rPr>
          <w:rFonts w:ascii="Arial" w:hAnsi="Arial" w:cs="Arial"/>
          <w:sz w:val="24"/>
          <w:szCs w:val="24"/>
          <w:lang w:val="en-US"/>
        </w:rPr>
      </w:pPr>
    </w:p>
    <w:p w14:paraId="30653383" w14:textId="77777777" w:rsidR="00EE6E3D" w:rsidRDefault="00EE6E3D" w:rsidP="007D449E">
      <w:pPr>
        <w:rPr>
          <w:rFonts w:ascii="Arial" w:hAnsi="Arial" w:cs="Arial"/>
          <w:sz w:val="24"/>
          <w:szCs w:val="24"/>
          <w:lang w:val="en-US"/>
        </w:rPr>
      </w:pPr>
    </w:p>
    <w:p w14:paraId="0BF03012" w14:textId="77777777" w:rsidR="00EE6E3D" w:rsidRDefault="00EE6E3D" w:rsidP="007D449E">
      <w:pPr>
        <w:rPr>
          <w:rFonts w:ascii="Arial" w:hAnsi="Arial" w:cs="Arial"/>
          <w:sz w:val="24"/>
          <w:szCs w:val="24"/>
          <w:lang w:val="en-US"/>
        </w:rPr>
      </w:pPr>
    </w:p>
    <w:p w14:paraId="3CFCFB8C" w14:textId="77777777" w:rsidR="00EE6E3D" w:rsidRDefault="00EE6E3D" w:rsidP="007D449E">
      <w:pPr>
        <w:rPr>
          <w:rFonts w:ascii="Arial" w:hAnsi="Arial" w:cs="Arial"/>
          <w:sz w:val="24"/>
          <w:szCs w:val="24"/>
          <w:lang w:val="en-US"/>
        </w:rPr>
      </w:pPr>
    </w:p>
    <w:p w14:paraId="143420D3" w14:textId="77777777" w:rsidR="00EA7269" w:rsidRDefault="00EA7269" w:rsidP="007D449E">
      <w:pPr>
        <w:rPr>
          <w:rFonts w:ascii="Arial" w:hAnsi="Arial" w:cs="Arial"/>
          <w:sz w:val="24"/>
          <w:szCs w:val="24"/>
          <w:lang w:val="en-US"/>
        </w:rPr>
      </w:pPr>
    </w:p>
    <w:p w14:paraId="672D6EF7" w14:textId="77777777" w:rsidR="00EE6E3D" w:rsidRDefault="00EE6E3D" w:rsidP="007D449E">
      <w:pPr>
        <w:rPr>
          <w:rFonts w:ascii="Arial" w:hAnsi="Arial" w:cs="Arial"/>
          <w:sz w:val="24"/>
          <w:szCs w:val="24"/>
          <w:lang w:val="en-US"/>
        </w:rPr>
      </w:pPr>
    </w:p>
    <w:p w14:paraId="07A677E3" w14:textId="77777777" w:rsidR="00EE6E3D" w:rsidRDefault="00EE6E3D" w:rsidP="007D449E">
      <w:pPr>
        <w:rPr>
          <w:rFonts w:ascii="Arial" w:hAnsi="Arial" w:cs="Arial"/>
          <w:sz w:val="24"/>
          <w:szCs w:val="24"/>
          <w:lang w:val="en-US"/>
        </w:rPr>
      </w:pPr>
    </w:p>
    <w:p w14:paraId="1CAAE4AA" w14:textId="77777777" w:rsidR="00EE6E3D" w:rsidRDefault="00EE6E3D" w:rsidP="007D449E">
      <w:pPr>
        <w:rPr>
          <w:rFonts w:ascii="Arial" w:hAnsi="Arial" w:cs="Arial"/>
          <w:sz w:val="24"/>
          <w:szCs w:val="24"/>
          <w:lang w:val="en-US"/>
        </w:rPr>
      </w:pPr>
    </w:p>
    <w:p w14:paraId="149FC94D" w14:textId="77777777" w:rsidR="00B8793E" w:rsidRDefault="00B8793E" w:rsidP="00632A6F">
      <w:pPr>
        <w:rPr>
          <w:rFonts w:ascii="Arial" w:hAnsi="Arial" w:cs="Arial"/>
          <w:sz w:val="24"/>
          <w:szCs w:val="24"/>
          <w:lang w:val="en-US"/>
        </w:rPr>
      </w:pPr>
    </w:p>
    <w:p w14:paraId="3877AAD2" w14:textId="77777777" w:rsidR="007304C7" w:rsidRDefault="007304C7" w:rsidP="00632A6F">
      <w:pPr>
        <w:rPr>
          <w:rFonts w:ascii="Arial" w:hAnsi="Arial" w:cs="Arial"/>
          <w:sz w:val="24"/>
          <w:szCs w:val="24"/>
          <w:lang w:val="en-US"/>
        </w:rPr>
      </w:pPr>
    </w:p>
    <w:p w14:paraId="0B3CEA10" w14:textId="5376EE46" w:rsidR="00632A6F" w:rsidRDefault="001C50E4" w:rsidP="00632A6F">
      <w:pPr>
        <w:rPr>
          <w:rFonts w:ascii="Arial" w:hAnsi="Arial" w:cs="Arial"/>
          <w:b/>
          <w:bCs/>
          <w:sz w:val="24"/>
          <w:szCs w:val="24"/>
          <w:lang w:val="en-US"/>
        </w:rPr>
      </w:pPr>
      <w:r w:rsidRPr="001C50E4">
        <w:rPr>
          <w:rFonts w:ascii="Arial" w:hAnsi="Arial" w:cs="Arial"/>
          <w:b/>
          <w:bCs/>
          <w:sz w:val="24"/>
          <w:szCs w:val="24"/>
          <w:lang w:val="en-US"/>
        </w:rPr>
        <w:lastRenderedPageBreak/>
        <w:t>Task B: Creating an environment conducive to the development and flourishing of talent.</w:t>
      </w:r>
    </w:p>
    <w:p w14:paraId="0450801F" w14:textId="77777777" w:rsidR="001C50E4" w:rsidRPr="00D42E50" w:rsidRDefault="001C50E4" w:rsidP="00632A6F">
      <w:pPr>
        <w:rPr>
          <w:rFonts w:ascii="Arial" w:hAnsi="Arial" w:cs="Arial"/>
          <w:b/>
          <w:bCs/>
          <w:sz w:val="24"/>
          <w:szCs w:val="24"/>
          <w:lang w:val="en-US"/>
        </w:rPr>
      </w:pPr>
    </w:p>
    <w:p w14:paraId="0E343C8A" w14:textId="0D834B17" w:rsidR="00632A6F" w:rsidRDefault="001C50E4" w:rsidP="00632A6F">
      <w:pPr>
        <w:rPr>
          <w:rFonts w:ascii="Arial" w:hAnsi="Arial" w:cs="Arial"/>
          <w:sz w:val="24"/>
          <w:szCs w:val="24"/>
          <w:lang w:val="en-US"/>
        </w:rPr>
      </w:pPr>
      <w:r w:rsidRPr="001C50E4">
        <w:rPr>
          <w:rFonts w:ascii="Arial" w:hAnsi="Arial" w:cs="Arial"/>
          <w:sz w:val="24"/>
          <w:szCs w:val="24"/>
          <w:lang w:val="en-US"/>
        </w:rPr>
        <w:t xml:space="preserve">For </w:t>
      </w:r>
      <w:proofErr w:type="spellStart"/>
      <w:r w:rsidRPr="001C50E4">
        <w:rPr>
          <w:rFonts w:ascii="Arial" w:hAnsi="Arial" w:cs="Arial"/>
          <w:sz w:val="24"/>
          <w:szCs w:val="24"/>
          <w:lang w:val="en-US"/>
        </w:rPr>
        <w:t>NexSpace</w:t>
      </w:r>
      <w:proofErr w:type="spellEnd"/>
      <w:r w:rsidRPr="001C50E4">
        <w:rPr>
          <w:rFonts w:ascii="Arial" w:hAnsi="Arial" w:cs="Arial"/>
          <w:sz w:val="24"/>
          <w:szCs w:val="24"/>
          <w:lang w:val="en-US"/>
        </w:rPr>
        <w:t xml:space="preserve"> Health Systems (NHSX), long-term competitive success hinges not only on advanced AI technology but also on a robust talent ecosystem where its 600 employees—spread across the UK, India, and the UAE—continuously learn and perform. Amidst rapidly evolving technology in the digital healthcare sector, Human Resources (HR) policies must move away from outdated methods and adopt an integrated framework that addresses key areas such as talent expectations, structured career growth, employee well-being, and job crafting.</w:t>
      </w:r>
    </w:p>
    <w:p w14:paraId="54D1F2FD" w14:textId="77777777" w:rsidR="001C50E4" w:rsidRPr="00D42E50" w:rsidRDefault="001C50E4" w:rsidP="00632A6F">
      <w:pPr>
        <w:rPr>
          <w:rFonts w:ascii="Arial" w:hAnsi="Arial" w:cs="Arial"/>
          <w:sz w:val="24"/>
          <w:szCs w:val="24"/>
          <w:lang w:val="en-US"/>
        </w:rPr>
      </w:pPr>
    </w:p>
    <w:p w14:paraId="1EB0106A" w14:textId="77777777" w:rsidR="001C50E4" w:rsidRDefault="001C50E4" w:rsidP="000C0BB2">
      <w:pPr>
        <w:rPr>
          <w:rFonts w:ascii="Arial" w:hAnsi="Arial" w:cs="Arial"/>
          <w:b/>
          <w:bCs/>
          <w:sz w:val="24"/>
          <w:szCs w:val="24"/>
          <w:lang w:val="en-US"/>
        </w:rPr>
      </w:pPr>
      <w:r w:rsidRPr="001C50E4">
        <w:rPr>
          <w:rFonts w:ascii="Arial" w:hAnsi="Arial" w:cs="Arial"/>
          <w:b/>
          <w:bCs/>
          <w:sz w:val="24"/>
          <w:szCs w:val="24"/>
          <w:lang w:val="en-US"/>
        </w:rPr>
        <w:t>1. Critical Evaluation of the Institutional Environment for Talent Development</w:t>
      </w:r>
    </w:p>
    <w:p w14:paraId="4F2D7843" w14:textId="54962256" w:rsidR="00632A6F" w:rsidRPr="00D42E50" w:rsidRDefault="000C0BB2" w:rsidP="000C0BB2">
      <w:pPr>
        <w:rPr>
          <w:rFonts w:ascii="Arial" w:hAnsi="Arial" w:cs="Arial"/>
          <w:sz w:val="24"/>
          <w:szCs w:val="24"/>
          <w:lang w:val="en-US"/>
        </w:rPr>
      </w:pPr>
      <w:r w:rsidRPr="00D42E50">
        <w:rPr>
          <w:rFonts w:ascii="Arial" w:hAnsi="Arial" w:cs="Arial"/>
          <w:noProof/>
          <w:sz w:val="24"/>
          <w:szCs w:val="24"/>
          <w:lang w:val="en-US"/>
        </w:rPr>
        <w:drawing>
          <wp:inline distT="0" distB="0" distL="0" distR="0" wp14:anchorId="06537804" wp14:editId="1B03F1CD">
            <wp:extent cx="5731510" cy="3379470"/>
            <wp:effectExtent l="0" t="0" r="0" b="0"/>
            <wp:docPr id="19764282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428224" name="Picture 1976428224"/>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379470"/>
                    </a:xfrm>
                    <a:prstGeom prst="rect">
                      <a:avLst/>
                    </a:prstGeom>
                  </pic:spPr>
                </pic:pic>
              </a:graphicData>
            </a:graphic>
          </wp:inline>
        </w:drawing>
      </w:r>
    </w:p>
    <w:p w14:paraId="1B6EBC82" w14:textId="04997814" w:rsidR="000C0BB2" w:rsidRPr="00D42E50" w:rsidRDefault="000C0BB2" w:rsidP="000C0BB2">
      <w:pPr>
        <w:rPr>
          <w:rFonts w:ascii="Arial" w:hAnsi="Arial" w:cs="Arial"/>
          <w:sz w:val="24"/>
          <w:szCs w:val="24"/>
        </w:rPr>
      </w:pPr>
      <w:r w:rsidRPr="00D42E50">
        <w:rPr>
          <w:rFonts w:ascii="Arial" w:hAnsi="Arial" w:cs="Arial"/>
          <w:sz w:val="24"/>
          <w:szCs w:val="24"/>
        </w:rPr>
        <w:t>(Figure 1: Theoretical Talent Ecosystem Framework (Generated by Gemini))</w:t>
      </w:r>
    </w:p>
    <w:p w14:paraId="34C23F52" w14:textId="77777777" w:rsidR="000C0BB2" w:rsidRPr="00D42E50" w:rsidRDefault="000C0BB2" w:rsidP="000C0BB2">
      <w:pPr>
        <w:rPr>
          <w:rFonts w:ascii="Arial" w:hAnsi="Arial" w:cs="Arial"/>
          <w:sz w:val="24"/>
          <w:szCs w:val="24"/>
          <w:lang w:val="en-US"/>
        </w:rPr>
      </w:pPr>
    </w:p>
    <w:p w14:paraId="53E14F1D" w14:textId="77777777" w:rsidR="001C50E4" w:rsidRPr="001C50E4" w:rsidRDefault="001C50E4" w:rsidP="001C50E4">
      <w:pPr>
        <w:rPr>
          <w:rFonts w:ascii="Arial" w:hAnsi="Arial" w:cs="Arial"/>
          <w:sz w:val="24"/>
          <w:szCs w:val="24"/>
          <w:lang w:val="en-US"/>
        </w:rPr>
      </w:pPr>
      <w:r w:rsidRPr="001C50E4">
        <w:rPr>
          <w:rFonts w:ascii="Arial" w:hAnsi="Arial" w:cs="Arial"/>
          <w:sz w:val="24"/>
          <w:szCs w:val="24"/>
          <w:lang w:val="en-US"/>
        </w:rPr>
        <w:t>1.1 Learning Organization (Senge), Growth Mindset (Dweck), and Expectation Management:</w:t>
      </w:r>
    </w:p>
    <w:p w14:paraId="21FD85AE" w14:textId="19BF1EBB" w:rsidR="001C50E4" w:rsidRPr="001C50E4" w:rsidRDefault="001C50E4" w:rsidP="001C50E4">
      <w:pPr>
        <w:pStyle w:val="ListParagraph"/>
        <w:numPr>
          <w:ilvl w:val="0"/>
          <w:numId w:val="31"/>
        </w:numPr>
        <w:rPr>
          <w:rFonts w:ascii="Arial" w:hAnsi="Arial" w:cs="Arial"/>
          <w:sz w:val="24"/>
          <w:szCs w:val="24"/>
          <w:lang w:val="en-US"/>
        </w:rPr>
      </w:pPr>
      <w:r w:rsidRPr="001C50E4">
        <w:rPr>
          <w:rFonts w:ascii="Arial" w:hAnsi="Arial" w:cs="Arial"/>
          <w:sz w:val="24"/>
          <w:szCs w:val="24"/>
          <w:lang w:val="en-US"/>
        </w:rPr>
        <w:t>According to Senge’s (1990) 'Learning Organization' model, five principles are essential:</w:t>
      </w:r>
      <w:r w:rsidR="00057C71">
        <w:rPr>
          <w:rFonts w:ascii="Arial" w:hAnsi="Arial" w:cs="Arial"/>
          <w:sz w:val="24"/>
          <w:szCs w:val="24"/>
          <w:lang w:val="en-US"/>
        </w:rPr>
        <w:t xml:space="preserve"> </w:t>
      </w:r>
      <w:r w:rsidRPr="001C50E4">
        <w:rPr>
          <w:rFonts w:ascii="Arial" w:hAnsi="Arial" w:cs="Arial"/>
          <w:sz w:val="24"/>
          <w:szCs w:val="24"/>
          <w:lang w:val="en-US"/>
        </w:rPr>
        <w:t xml:space="preserve">personal mastery, </w:t>
      </w:r>
      <w:r w:rsidR="00057C71" w:rsidRPr="001C50E4">
        <w:rPr>
          <w:rFonts w:ascii="Arial" w:hAnsi="Arial" w:cs="Arial"/>
          <w:sz w:val="24"/>
          <w:szCs w:val="24"/>
          <w:lang w:val="en-US"/>
        </w:rPr>
        <w:t>systems thinking</w:t>
      </w:r>
      <w:r w:rsidR="00057C71">
        <w:rPr>
          <w:rFonts w:ascii="Arial" w:hAnsi="Arial" w:cs="Arial"/>
          <w:sz w:val="24"/>
          <w:szCs w:val="24"/>
          <w:lang w:val="en-US"/>
        </w:rPr>
        <w:t xml:space="preserve">, </w:t>
      </w:r>
      <w:r w:rsidRPr="001C50E4">
        <w:rPr>
          <w:rFonts w:ascii="Arial" w:hAnsi="Arial" w:cs="Arial"/>
          <w:sz w:val="24"/>
          <w:szCs w:val="24"/>
          <w:lang w:val="en-US"/>
        </w:rPr>
        <w:t>mental models, shared vision, and team learning. However, at NHSX, employees' expectations regarding opportunities became unbalanced due to the absence of clear progression pathways within the learning systems.</w:t>
      </w:r>
    </w:p>
    <w:p w14:paraId="58C2F0A1" w14:textId="506C6646" w:rsidR="0094468E" w:rsidRPr="001C50E4" w:rsidRDefault="001C50E4" w:rsidP="001C50E4">
      <w:pPr>
        <w:pStyle w:val="ListParagraph"/>
        <w:numPr>
          <w:ilvl w:val="0"/>
          <w:numId w:val="31"/>
        </w:numPr>
        <w:rPr>
          <w:rFonts w:ascii="Arial" w:hAnsi="Arial" w:cs="Arial"/>
          <w:sz w:val="24"/>
          <w:szCs w:val="24"/>
          <w:lang w:val="en-US"/>
        </w:rPr>
      </w:pPr>
      <w:r w:rsidRPr="001C50E4">
        <w:rPr>
          <w:rFonts w:ascii="Arial" w:hAnsi="Arial" w:cs="Arial"/>
          <w:sz w:val="24"/>
          <w:szCs w:val="24"/>
          <w:lang w:val="en-US"/>
        </w:rPr>
        <w:t xml:space="preserve">Problem-Solving Solution: NHSX has integrated Senge’s model with Dweck’s (2006) 'Growth Mindset' to establish transparent learning structures, thereby </w:t>
      </w:r>
      <w:r w:rsidRPr="001C50E4">
        <w:rPr>
          <w:rFonts w:ascii="Arial" w:hAnsi="Arial" w:cs="Arial"/>
          <w:sz w:val="24"/>
          <w:szCs w:val="24"/>
          <w:lang w:val="en-US"/>
        </w:rPr>
        <w:lastRenderedPageBreak/>
        <w:t>aligning employees' growth expectations with realistic career opportunities and ensuring continuous skill development.</w:t>
      </w:r>
    </w:p>
    <w:p w14:paraId="2E508BF9" w14:textId="77777777" w:rsidR="001C50E4" w:rsidRPr="00D42E50" w:rsidRDefault="001C50E4" w:rsidP="001C50E4">
      <w:pPr>
        <w:rPr>
          <w:rFonts w:ascii="Arial" w:hAnsi="Arial" w:cs="Arial"/>
          <w:sz w:val="24"/>
          <w:szCs w:val="24"/>
          <w:lang w:val="en-US"/>
        </w:rPr>
      </w:pPr>
    </w:p>
    <w:p w14:paraId="771BEA0B" w14:textId="02DE02FC" w:rsidR="00E82BDC" w:rsidRPr="00E82BDC" w:rsidRDefault="00E82BDC" w:rsidP="00E82BDC">
      <w:pPr>
        <w:rPr>
          <w:rFonts w:ascii="Arial" w:hAnsi="Arial" w:cs="Arial"/>
          <w:sz w:val="24"/>
          <w:szCs w:val="24"/>
          <w:lang w:val="en-US"/>
        </w:rPr>
      </w:pPr>
      <w:r w:rsidRPr="00E82BDC">
        <w:rPr>
          <w:rFonts w:ascii="Arial" w:hAnsi="Arial" w:cs="Arial"/>
          <w:sz w:val="24"/>
          <w:szCs w:val="24"/>
          <w:lang w:val="en-US"/>
        </w:rPr>
        <w:t>1.2 Psychological Safety (Edmondson), Well-being, and Self-Determination Theory (Deci &amp; Ryan):</w:t>
      </w:r>
    </w:p>
    <w:p w14:paraId="53BFF260" w14:textId="1A25366C" w:rsidR="00E82BDC" w:rsidRPr="00E82BDC" w:rsidRDefault="00E82BDC" w:rsidP="00E82BDC">
      <w:pPr>
        <w:pStyle w:val="ListParagraph"/>
        <w:numPr>
          <w:ilvl w:val="0"/>
          <w:numId w:val="32"/>
        </w:numPr>
        <w:rPr>
          <w:rFonts w:ascii="Arial" w:hAnsi="Arial" w:cs="Arial"/>
          <w:sz w:val="24"/>
          <w:szCs w:val="24"/>
          <w:lang w:val="en-US"/>
        </w:rPr>
      </w:pPr>
      <w:r w:rsidRPr="00E82BDC">
        <w:rPr>
          <w:rFonts w:ascii="Arial" w:hAnsi="Arial" w:cs="Arial"/>
          <w:sz w:val="24"/>
          <w:szCs w:val="24"/>
          <w:lang w:val="en-US"/>
        </w:rPr>
        <w:t>Edmondson (1999) defines psychological safety as an environment where employees can express ideas without fear of humiliation, a factor that directly impacts employee well-being.</w:t>
      </w:r>
    </w:p>
    <w:p w14:paraId="02EE3038" w14:textId="05C231BB" w:rsidR="004E195D" w:rsidRPr="00E82BDC" w:rsidRDefault="00E82BDC" w:rsidP="00E82BDC">
      <w:pPr>
        <w:pStyle w:val="ListParagraph"/>
        <w:numPr>
          <w:ilvl w:val="0"/>
          <w:numId w:val="32"/>
        </w:numPr>
        <w:rPr>
          <w:rFonts w:ascii="Arial" w:hAnsi="Arial" w:cs="Arial"/>
          <w:sz w:val="24"/>
          <w:szCs w:val="24"/>
          <w:lang w:val="en-US"/>
        </w:rPr>
      </w:pPr>
      <w:r w:rsidRPr="00E82BDC">
        <w:rPr>
          <w:rFonts w:ascii="Arial" w:hAnsi="Arial" w:cs="Arial"/>
          <w:sz w:val="24"/>
          <w:szCs w:val="24"/>
          <w:lang w:val="en-US"/>
        </w:rPr>
        <w:t>Problem-Solving Approach: Psychological safety reinforces the components of Deci and Ryan’s (2000) Self-Determination Theory (autonomy, competence, and relatedness). To safeguard employee well-being amidst the high-pressure targets of AI development, NHSX implements mental health support and safety metrics.</w:t>
      </w:r>
    </w:p>
    <w:p w14:paraId="79D1DB7B" w14:textId="77777777" w:rsidR="00E82BDC" w:rsidRPr="00D42E50" w:rsidRDefault="00E82BDC" w:rsidP="00E82BDC">
      <w:pPr>
        <w:rPr>
          <w:rFonts w:ascii="Arial" w:hAnsi="Arial" w:cs="Arial"/>
          <w:sz w:val="24"/>
          <w:szCs w:val="24"/>
          <w:lang w:val="en-US"/>
        </w:rPr>
      </w:pPr>
    </w:p>
    <w:p w14:paraId="569BCD06" w14:textId="77777777" w:rsidR="003C319B" w:rsidRPr="003C319B" w:rsidRDefault="003C319B" w:rsidP="003C319B">
      <w:pPr>
        <w:rPr>
          <w:rFonts w:ascii="Arial" w:hAnsi="Arial" w:cs="Arial"/>
          <w:sz w:val="24"/>
          <w:szCs w:val="24"/>
          <w:lang w:val="en-US"/>
        </w:rPr>
      </w:pPr>
      <w:r w:rsidRPr="003C319B">
        <w:rPr>
          <w:rFonts w:ascii="Arial" w:hAnsi="Arial" w:cs="Arial"/>
          <w:sz w:val="24"/>
          <w:szCs w:val="24"/>
          <w:lang w:val="en-US"/>
        </w:rPr>
        <w:t>1.3 Job Crafting Theory (</w:t>
      </w:r>
      <w:proofErr w:type="spellStart"/>
      <w:r w:rsidRPr="003C319B">
        <w:rPr>
          <w:rFonts w:ascii="Arial" w:hAnsi="Arial" w:cs="Arial"/>
          <w:sz w:val="24"/>
          <w:szCs w:val="24"/>
          <w:lang w:val="en-US"/>
        </w:rPr>
        <w:t>Wrzesniewski</w:t>
      </w:r>
      <w:proofErr w:type="spellEnd"/>
      <w:r w:rsidRPr="003C319B">
        <w:rPr>
          <w:rFonts w:ascii="Arial" w:hAnsi="Arial" w:cs="Arial"/>
          <w:sz w:val="24"/>
          <w:szCs w:val="24"/>
          <w:lang w:val="en-US"/>
        </w:rPr>
        <w:t xml:space="preserve"> &amp; Dutton) and Employee Experience (EX):</w:t>
      </w:r>
    </w:p>
    <w:p w14:paraId="76A31F2C" w14:textId="77777777" w:rsidR="003C319B" w:rsidRPr="003C319B" w:rsidRDefault="003C319B" w:rsidP="003C319B">
      <w:pPr>
        <w:pStyle w:val="ListParagraph"/>
        <w:numPr>
          <w:ilvl w:val="0"/>
          <w:numId w:val="33"/>
        </w:numPr>
        <w:rPr>
          <w:rFonts w:ascii="Arial" w:hAnsi="Arial" w:cs="Arial"/>
          <w:sz w:val="24"/>
          <w:szCs w:val="24"/>
          <w:lang w:val="en-US"/>
        </w:rPr>
      </w:pPr>
      <w:proofErr w:type="spellStart"/>
      <w:r w:rsidRPr="003C319B">
        <w:rPr>
          <w:rFonts w:ascii="Arial" w:hAnsi="Arial" w:cs="Arial"/>
          <w:sz w:val="24"/>
          <w:szCs w:val="24"/>
          <w:lang w:val="en-US"/>
        </w:rPr>
        <w:t>Wrzesniewski</w:t>
      </w:r>
      <w:proofErr w:type="spellEnd"/>
      <w:r w:rsidRPr="003C319B">
        <w:rPr>
          <w:rFonts w:ascii="Arial" w:hAnsi="Arial" w:cs="Arial"/>
          <w:sz w:val="24"/>
          <w:szCs w:val="24"/>
          <w:lang w:val="en-US"/>
        </w:rPr>
        <w:t xml:space="preserve"> and Dutton’s (2001) Job Crafting Theory allows employees to shape their roles according to their interests and capabilities, thereby enhancing daily job satisfaction.</w:t>
      </w:r>
    </w:p>
    <w:p w14:paraId="0AE17E6B" w14:textId="77777777" w:rsidR="003C319B" w:rsidRPr="003C319B" w:rsidRDefault="003C319B" w:rsidP="003C319B">
      <w:pPr>
        <w:pStyle w:val="ListParagraph"/>
        <w:numPr>
          <w:ilvl w:val="0"/>
          <w:numId w:val="33"/>
        </w:numPr>
        <w:rPr>
          <w:rFonts w:ascii="Arial" w:hAnsi="Arial" w:cs="Arial"/>
          <w:sz w:val="24"/>
          <w:szCs w:val="24"/>
          <w:lang w:val="en-US"/>
        </w:rPr>
      </w:pPr>
      <w:r w:rsidRPr="003C319B">
        <w:rPr>
          <w:rFonts w:ascii="Arial" w:hAnsi="Arial" w:cs="Arial"/>
          <w:sz w:val="24"/>
          <w:szCs w:val="24"/>
          <w:lang w:val="en-US"/>
        </w:rPr>
        <w:t>Problem-Solving Solution: Since uncoordinated job crafting can lead to operational confusion, NHSX integrates it with Morgan’s (2017) Employee Experience (EX) model, enabling engineers and clinical staff to safely co-create meaningful projects without role ambiguity.</w:t>
      </w:r>
    </w:p>
    <w:p w14:paraId="07BB7EE7" w14:textId="77777777" w:rsidR="003C319B" w:rsidRPr="003C319B" w:rsidRDefault="003C319B" w:rsidP="003C319B">
      <w:pPr>
        <w:rPr>
          <w:rFonts w:ascii="Arial" w:hAnsi="Arial" w:cs="Arial"/>
          <w:sz w:val="24"/>
          <w:szCs w:val="24"/>
          <w:lang w:val="en-US"/>
        </w:rPr>
      </w:pPr>
    </w:p>
    <w:p w14:paraId="3F0027F4" w14:textId="77777777" w:rsidR="003C319B" w:rsidRPr="003C319B" w:rsidRDefault="003C319B" w:rsidP="003C319B">
      <w:pPr>
        <w:rPr>
          <w:rFonts w:ascii="Arial" w:hAnsi="Arial" w:cs="Arial"/>
          <w:sz w:val="24"/>
          <w:szCs w:val="24"/>
          <w:lang w:val="en-US"/>
        </w:rPr>
      </w:pPr>
      <w:r w:rsidRPr="003C319B">
        <w:rPr>
          <w:rFonts w:ascii="Arial" w:hAnsi="Arial" w:cs="Arial"/>
          <w:sz w:val="24"/>
          <w:szCs w:val="24"/>
          <w:lang w:val="en-US"/>
        </w:rPr>
        <w:t>1.4 Evaluation of Traditional vs. Inclusive Talent Management Frameworks:</w:t>
      </w:r>
    </w:p>
    <w:p w14:paraId="7E50E602" w14:textId="77777777" w:rsidR="003C319B" w:rsidRPr="003C319B" w:rsidRDefault="003C319B" w:rsidP="003C319B">
      <w:pPr>
        <w:pStyle w:val="ListParagraph"/>
        <w:numPr>
          <w:ilvl w:val="0"/>
          <w:numId w:val="34"/>
        </w:numPr>
        <w:rPr>
          <w:rFonts w:ascii="Arial" w:hAnsi="Arial" w:cs="Arial"/>
          <w:sz w:val="24"/>
          <w:szCs w:val="24"/>
          <w:lang w:val="en-US"/>
        </w:rPr>
      </w:pPr>
      <w:r w:rsidRPr="003C319B">
        <w:rPr>
          <w:rFonts w:ascii="Arial" w:hAnsi="Arial" w:cs="Arial"/>
          <w:sz w:val="24"/>
          <w:szCs w:val="24"/>
          <w:lang w:val="en-US"/>
        </w:rPr>
        <w:t>The traditional 9-box grid focuses solely on the top 5–10% of "high potentials," dashing the career growth aspirations of the remaining 90% of technical experts and fostering dissatisfaction.</w:t>
      </w:r>
    </w:p>
    <w:p w14:paraId="4A586CE1" w14:textId="68CAF7C7" w:rsidR="004E195D" w:rsidRPr="003C319B" w:rsidRDefault="003C319B" w:rsidP="003C319B">
      <w:pPr>
        <w:pStyle w:val="ListParagraph"/>
        <w:numPr>
          <w:ilvl w:val="0"/>
          <w:numId w:val="34"/>
        </w:numPr>
        <w:rPr>
          <w:rFonts w:ascii="Arial" w:hAnsi="Arial" w:cs="Arial"/>
          <w:sz w:val="24"/>
          <w:szCs w:val="24"/>
          <w:lang w:val="en-US"/>
        </w:rPr>
      </w:pPr>
      <w:r w:rsidRPr="003C319B">
        <w:rPr>
          <w:rFonts w:ascii="Arial" w:hAnsi="Arial" w:cs="Arial"/>
          <w:sz w:val="24"/>
          <w:szCs w:val="24"/>
          <w:lang w:val="en-US"/>
        </w:rPr>
        <w:t>Problem-Solving Solution: NHSX adopts an 'Inclusive Talent Management' approach (Gallardo-Gallardo et al., 2013) that offers personalized development pathways for every engineer, clinician, and analyst, effectively averting the crisis of 'brain drain.'</w:t>
      </w:r>
    </w:p>
    <w:p w14:paraId="3880B899" w14:textId="77777777" w:rsidR="003C319B" w:rsidRPr="00D42E50" w:rsidRDefault="003C319B" w:rsidP="003C319B">
      <w:pPr>
        <w:rPr>
          <w:rFonts w:ascii="Arial" w:hAnsi="Arial" w:cs="Arial"/>
          <w:sz w:val="24"/>
          <w:szCs w:val="24"/>
          <w:lang w:val="en-US"/>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99"/>
        <w:gridCol w:w="2113"/>
        <w:gridCol w:w="2826"/>
        <w:gridCol w:w="2078"/>
      </w:tblGrid>
      <w:tr w:rsidR="004E195D" w:rsidRPr="00D42E50" w14:paraId="76C80527" w14:textId="77777777" w:rsidTr="008A0F7E">
        <w:trPr>
          <w:tblHeader/>
          <w:tblCellSpacing w:w="15" w:type="dxa"/>
        </w:trPr>
        <w:tc>
          <w:tcPr>
            <w:tcW w:w="0" w:type="auto"/>
            <w:shd w:val="clear" w:color="auto" w:fill="E97132" w:themeFill="accent2"/>
            <w:tcMar>
              <w:top w:w="120" w:type="dxa"/>
              <w:left w:w="180" w:type="dxa"/>
              <w:bottom w:w="120" w:type="dxa"/>
              <w:right w:w="180" w:type="dxa"/>
            </w:tcMar>
            <w:vAlign w:val="center"/>
            <w:hideMark/>
          </w:tcPr>
          <w:p w14:paraId="3520AE2F" w14:textId="38149326" w:rsidR="004E195D" w:rsidRPr="00D42E50" w:rsidRDefault="004E195D" w:rsidP="004E195D">
            <w:pPr>
              <w:rPr>
                <w:rFonts w:ascii="Arial" w:hAnsi="Arial" w:cs="Arial"/>
                <w:sz w:val="24"/>
                <w:szCs w:val="24"/>
              </w:rPr>
            </w:pPr>
            <w:r w:rsidRPr="00D42E50">
              <w:rPr>
                <w:rFonts w:ascii="Arial" w:hAnsi="Arial" w:cs="Arial"/>
                <w:b/>
                <w:bCs/>
                <w:sz w:val="24"/>
                <w:szCs w:val="24"/>
              </w:rPr>
              <w:t>Pillar</w:t>
            </w:r>
          </w:p>
        </w:tc>
        <w:tc>
          <w:tcPr>
            <w:tcW w:w="0" w:type="auto"/>
            <w:shd w:val="clear" w:color="auto" w:fill="E97132" w:themeFill="accent2"/>
            <w:tcMar>
              <w:top w:w="120" w:type="dxa"/>
              <w:left w:w="180" w:type="dxa"/>
              <w:bottom w:w="120" w:type="dxa"/>
              <w:right w:w="180" w:type="dxa"/>
            </w:tcMar>
            <w:vAlign w:val="center"/>
            <w:hideMark/>
          </w:tcPr>
          <w:p w14:paraId="41C70A48" w14:textId="4E8E3241" w:rsidR="004E195D" w:rsidRPr="00D42E50" w:rsidRDefault="004E195D" w:rsidP="004E195D">
            <w:pPr>
              <w:rPr>
                <w:rFonts w:ascii="Arial" w:hAnsi="Arial" w:cs="Arial"/>
                <w:sz w:val="24"/>
                <w:szCs w:val="24"/>
              </w:rPr>
            </w:pPr>
            <w:r w:rsidRPr="00D42E50">
              <w:rPr>
                <w:rFonts w:ascii="Arial" w:hAnsi="Arial" w:cs="Arial"/>
                <w:b/>
                <w:bCs/>
                <w:sz w:val="24"/>
                <w:szCs w:val="24"/>
              </w:rPr>
              <w:t>Strategic approach</w:t>
            </w:r>
          </w:p>
        </w:tc>
        <w:tc>
          <w:tcPr>
            <w:tcW w:w="0" w:type="auto"/>
            <w:shd w:val="clear" w:color="auto" w:fill="E97132" w:themeFill="accent2"/>
            <w:tcMar>
              <w:top w:w="120" w:type="dxa"/>
              <w:left w:w="180" w:type="dxa"/>
              <w:bottom w:w="120" w:type="dxa"/>
              <w:right w:w="180" w:type="dxa"/>
            </w:tcMar>
            <w:vAlign w:val="center"/>
            <w:hideMark/>
          </w:tcPr>
          <w:p w14:paraId="0BE23165" w14:textId="3129C1DE" w:rsidR="004E195D" w:rsidRPr="00D42E50" w:rsidRDefault="004E195D" w:rsidP="004E195D">
            <w:pPr>
              <w:rPr>
                <w:rFonts w:ascii="Arial" w:hAnsi="Arial" w:cs="Arial"/>
                <w:sz w:val="24"/>
                <w:szCs w:val="24"/>
              </w:rPr>
            </w:pPr>
            <w:r w:rsidRPr="00D42E50">
              <w:rPr>
                <w:rFonts w:ascii="Arial" w:hAnsi="Arial" w:cs="Arial"/>
                <w:b/>
                <w:bCs/>
                <w:sz w:val="24"/>
                <w:szCs w:val="24"/>
              </w:rPr>
              <w:t>Operational Implementation</w:t>
            </w:r>
          </w:p>
        </w:tc>
        <w:tc>
          <w:tcPr>
            <w:tcW w:w="0" w:type="auto"/>
            <w:shd w:val="clear" w:color="auto" w:fill="E97132" w:themeFill="accent2"/>
            <w:tcMar>
              <w:top w:w="120" w:type="dxa"/>
              <w:left w:w="180" w:type="dxa"/>
              <w:bottom w:w="120" w:type="dxa"/>
              <w:right w:w="180" w:type="dxa"/>
            </w:tcMar>
            <w:vAlign w:val="center"/>
            <w:hideMark/>
          </w:tcPr>
          <w:p w14:paraId="7F8D9CDF" w14:textId="5D47F978" w:rsidR="004E195D" w:rsidRPr="00D42E50" w:rsidRDefault="004E195D" w:rsidP="004E195D">
            <w:pPr>
              <w:rPr>
                <w:rFonts w:ascii="Arial" w:hAnsi="Arial" w:cs="Arial"/>
                <w:sz w:val="24"/>
                <w:szCs w:val="24"/>
              </w:rPr>
            </w:pPr>
            <w:r w:rsidRPr="00D42E50">
              <w:rPr>
                <w:rFonts w:ascii="Arial" w:hAnsi="Arial" w:cs="Arial"/>
                <w:b/>
                <w:bCs/>
                <w:sz w:val="24"/>
                <w:szCs w:val="24"/>
              </w:rPr>
              <w:t>Expected result</w:t>
            </w:r>
          </w:p>
        </w:tc>
      </w:tr>
      <w:tr w:rsidR="004E195D" w:rsidRPr="00D42E50" w14:paraId="3A0291B0" w14:textId="77777777" w:rsidTr="008A0F7E">
        <w:trPr>
          <w:tblCellSpacing w:w="15" w:type="dxa"/>
        </w:trPr>
        <w:tc>
          <w:tcPr>
            <w:tcW w:w="0" w:type="auto"/>
            <w:shd w:val="clear" w:color="auto" w:fill="E97132" w:themeFill="accent2"/>
            <w:tcMar>
              <w:top w:w="120" w:type="dxa"/>
              <w:left w:w="180" w:type="dxa"/>
              <w:bottom w:w="120" w:type="dxa"/>
              <w:right w:w="180" w:type="dxa"/>
            </w:tcMar>
            <w:vAlign w:val="center"/>
            <w:hideMark/>
          </w:tcPr>
          <w:p w14:paraId="727AA9F8" w14:textId="5C70CECD" w:rsidR="004E195D" w:rsidRPr="00D42E50" w:rsidRDefault="004E195D" w:rsidP="004E195D">
            <w:pPr>
              <w:rPr>
                <w:rFonts w:ascii="Arial" w:hAnsi="Arial" w:cs="Arial"/>
                <w:sz w:val="24"/>
                <w:szCs w:val="24"/>
              </w:rPr>
            </w:pPr>
            <w:r w:rsidRPr="00D42E50">
              <w:rPr>
                <w:rFonts w:ascii="Arial" w:hAnsi="Arial" w:cs="Arial"/>
                <w:b/>
                <w:bCs/>
                <w:sz w:val="24"/>
                <w:szCs w:val="24"/>
              </w:rPr>
              <w:t>LEARN</w:t>
            </w:r>
          </w:p>
        </w:tc>
        <w:tc>
          <w:tcPr>
            <w:tcW w:w="0" w:type="auto"/>
            <w:tcMar>
              <w:top w:w="120" w:type="dxa"/>
              <w:left w:w="180" w:type="dxa"/>
              <w:bottom w:w="120" w:type="dxa"/>
              <w:right w:w="180" w:type="dxa"/>
            </w:tcMar>
            <w:vAlign w:val="center"/>
            <w:hideMark/>
          </w:tcPr>
          <w:p w14:paraId="66D77239" w14:textId="73663E6A" w:rsidR="004E195D" w:rsidRPr="00D42E50" w:rsidRDefault="00E07B3E" w:rsidP="004E195D">
            <w:pPr>
              <w:rPr>
                <w:rFonts w:ascii="Arial" w:hAnsi="Arial" w:cs="Arial"/>
                <w:sz w:val="24"/>
                <w:szCs w:val="24"/>
              </w:rPr>
            </w:pPr>
            <w:r w:rsidRPr="00E07B3E">
              <w:rPr>
                <w:rFonts w:ascii="Arial" w:hAnsi="Arial" w:cs="Arial"/>
                <w:b/>
                <w:bCs/>
                <w:sz w:val="24"/>
                <w:szCs w:val="24"/>
              </w:rPr>
              <w:t xml:space="preserve">Global NHSX Academy and </w:t>
            </w:r>
            <w:r w:rsidRPr="00E07B3E">
              <w:rPr>
                <w:rFonts w:ascii="Arial" w:hAnsi="Arial" w:cs="Arial"/>
                <w:b/>
                <w:bCs/>
                <w:sz w:val="24"/>
                <w:szCs w:val="24"/>
              </w:rPr>
              <w:lastRenderedPageBreak/>
              <w:t>Protected Time</w:t>
            </w:r>
          </w:p>
        </w:tc>
        <w:tc>
          <w:tcPr>
            <w:tcW w:w="0" w:type="auto"/>
            <w:tcMar>
              <w:top w:w="120" w:type="dxa"/>
              <w:left w:w="180" w:type="dxa"/>
              <w:bottom w:w="120" w:type="dxa"/>
              <w:right w:w="180" w:type="dxa"/>
            </w:tcMar>
            <w:vAlign w:val="center"/>
            <w:hideMark/>
          </w:tcPr>
          <w:p w14:paraId="5A974373" w14:textId="24AB028A" w:rsidR="004E195D" w:rsidRPr="00D42E50" w:rsidRDefault="00E07B3E" w:rsidP="004E195D">
            <w:pPr>
              <w:rPr>
                <w:rFonts w:ascii="Arial" w:hAnsi="Arial" w:cs="Arial"/>
                <w:sz w:val="24"/>
                <w:szCs w:val="24"/>
              </w:rPr>
            </w:pPr>
            <w:r w:rsidRPr="00E07B3E">
              <w:rPr>
                <w:rFonts w:ascii="Arial" w:hAnsi="Arial" w:cs="Arial"/>
                <w:sz w:val="24"/>
                <w:szCs w:val="24"/>
              </w:rPr>
              <w:lastRenderedPageBreak/>
              <w:t xml:space="preserve">Allocate 10% of time (0.5 days per week) for learning. A joint AI and clinical </w:t>
            </w:r>
            <w:r w:rsidRPr="00E07B3E">
              <w:rPr>
                <w:rFonts w:ascii="Arial" w:hAnsi="Arial" w:cs="Arial"/>
                <w:sz w:val="24"/>
                <w:szCs w:val="24"/>
              </w:rPr>
              <w:lastRenderedPageBreak/>
              <w:t>masterclass connecting the UK, India, and the UAE. Solution: Eliminates the lack of time for training.</w:t>
            </w:r>
          </w:p>
        </w:tc>
        <w:tc>
          <w:tcPr>
            <w:tcW w:w="0" w:type="auto"/>
            <w:tcMar>
              <w:top w:w="120" w:type="dxa"/>
              <w:left w:w="180" w:type="dxa"/>
              <w:bottom w:w="120" w:type="dxa"/>
              <w:right w:w="180" w:type="dxa"/>
            </w:tcMar>
            <w:vAlign w:val="center"/>
            <w:hideMark/>
          </w:tcPr>
          <w:p w14:paraId="78038497" w14:textId="4957F23E" w:rsidR="004E195D" w:rsidRPr="00D42E50" w:rsidRDefault="00E07B3E" w:rsidP="004E195D">
            <w:pPr>
              <w:rPr>
                <w:rFonts w:ascii="Arial" w:hAnsi="Arial" w:cs="Arial"/>
                <w:sz w:val="24"/>
                <w:szCs w:val="24"/>
              </w:rPr>
            </w:pPr>
            <w:r w:rsidRPr="00E07B3E">
              <w:rPr>
                <w:rFonts w:ascii="Arial" w:hAnsi="Arial" w:cs="Arial"/>
                <w:sz w:val="24"/>
                <w:szCs w:val="24"/>
              </w:rPr>
              <w:lastRenderedPageBreak/>
              <w:t xml:space="preserve">Continuous skill development and high-level </w:t>
            </w:r>
            <w:r w:rsidRPr="00E07B3E">
              <w:rPr>
                <w:rFonts w:ascii="Arial" w:hAnsi="Arial" w:cs="Arial"/>
                <w:sz w:val="24"/>
                <w:szCs w:val="24"/>
              </w:rPr>
              <w:lastRenderedPageBreak/>
              <w:t>technical competence.</w:t>
            </w:r>
          </w:p>
        </w:tc>
      </w:tr>
      <w:tr w:rsidR="004E195D" w:rsidRPr="00D42E50" w14:paraId="1B110347" w14:textId="77777777" w:rsidTr="008A0F7E">
        <w:trPr>
          <w:tblCellSpacing w:w="15" w:type="dxa"/>
        </w:trPr>
        <w:tc>
          <w:tcPr>
            <w:tcW w:w="0" w:type="auto"/>
            <w:shd w:val="clear" w:color="auto" w:fill="E97132" w:themeFill="accent2"/>
            <w:tcMar>
              <w:top w:w="120" w:type="dxa"/>
              <w:left w:w="180" w:type="dxa"/>
              <w:bottom w:w="120" w:type="dxa"/>
              <w:right w:w="180" w:type="dxa"/>
            </w:tcMar>
            <w:vAlign w:val="center"/>
            <w:hideMark/>
          </w:tcPr>
          <w:p w14:paraId="0F9BD818" w14:textId="35430997" w:rsidR="004E195D" w:rsidRPr="00D42E50" w:rsidRDefault="004E195D" w:rsidP="004E195D">
            <w:pPr>
              <w:rPr>
                <w:rFonts w:ascii="Arial" w:hAnsi="Arial" w:cs="Arial"/>
                <w:sz w:val="24"/>
                <w:szCs w:val="24"/>
              </w:rPr>
            </w:pPr>
            <w:r w:rsidRPr="00D42E50">
              <w:rPr>
                <w:rFonts w:ascii="Arial" w:hAnsi="Arial" w:cs="Arial"/>
                <w:b/>
                <w:bCs/>
                <w:sz w:val="24"/>
                <w:szCs w:val="24"/>
              </w:rPr>
              <w:lastRenderedPageBreak/>
              <w:t>GROW</w:t>
            </w:r>
          </w:p>
        </w:tc>
        <w:tc>
          <w:tcPr>
            <w:tcW w:w="0" w:type="auto"/>
            <w:tcMar>
              <w:top w:w="120" w:type="dxa"/>
              <w:left w:w="180" w:type="dxa"/>
              <w:bottom w:w="120" w:type="dxa"/>
              <w:right w:w="180" w:type="dxa"/>
            </w:tcMar>
            <w:vAlign w:val="center"/>
            <w:hideMark/>
          </w:tcPr>
          <w:p w14:paraId="68BDCB4F" w14:textId="0FCA9E45" w:rsidR="004E195D" w:rsidRPr="00D42E50" w:rsidRDefault="00E07B3E" w:rsidP="004E195D">
            <w:pPr>
              <w:rPr>
                <w:rFonts w:ascii="Arial" w:hAnsi="Arial" w:cs="Arial"/>
                <w:sz w:val="24"/>
                <w:szCs w:val="24"/>
              </w:rPr>
            </w:pPr>
            <w:r w:rsidRPr="00E07B3E">
              <w:rPr>
                <w:rFonts w:ascii="Arial" w:hAnsi="Arial" w:cs="Arial"/>
                <w:b/>
                <w:bCs/>
                <w:sz w:val="24"/>
                <w:szCs w:val="24"/>
              </w:rPr>
              <w:t>Structured career growth and dual-career track</w:t>
            </w:r>
          </w:p>
        </w:tc>
        <w:tc>
          <w:tcPr>
            <w:tcW w:w="0" w:type="auto"/>
            <w:tcMar>
              <w:top w:w="120" w:type="dxa"/>
              <w:left w:w="180" w:type="dxa"/>
              <w:bottom w:w="120" w:type="dxa"/>
              <w:right w:w="180" w:type="dxa"/>
            </w:tcMar>
            <w:vAlign w:val="center"/>
            <w:hideMark/>
          </w:tcPr>
          <w:p w14:paraId="69B0E3D6" w14:textId="40BD8371" w:rsidR="004E195D" w:rsidRPr="00D42E50" w:rsidRDefault="00E07B3E" w:rsidP="004E195D">
            <w:pPr>
              <w:rPr>
                <w:rFonts w:ascii="Arial" w:hAnsi="Arial" w:cs="Arial"/>
                <w:sz w:val="24"/>
                <w:szCs w:val="24"/>
              </w:rPr>
            </w:pPr>
            <w:r w:rsidRPr="00E07B3E">
              <w:rPr>
                <w:rFonts w:ascii="Arial" w:hAnsi="Arial" w:cs="Arial"/>
                <w:sz w:val="24"/>
                <w:szCs w:val="24"/>
              </w:rPr>
              <w:t>Parallel career paths for Individual Contributors (ICs) and management. Higher pay scales without becoming a manager. Solution: Employees' career growth expectations are directly met.</w:t>
            </w:r>
          </w:p>
        </w:tc>
        <w:tc>
          <w:tcPr>
            <w:tcW w:w="0" w:type="auto"/>
            <w:tcMar>
              <w:top w:w="120" w:type="dxa"/>
              <w:left w:w="180" w:type="dxa"/>
              <w:bottom w:w="120" w:type="dxa"/>
              <w:right w:w="180" w:type="dxa"/>
            </w:tcMar>
            <w:vAlign w:val="center"/>
            <w:hideMark/>
          </w:tcPr>
          <w:p w14:paraId="422185A6" w14:textId="55BF2642" w:rsidR="004E195D" w:rsidRPr="00D42E50" w:rsidRDefault="00E07B3E" w:rsidP="004E195D">
            <w:pPr>
              <w:rPr>
                <w:rFonts w:ascii="Arial" w:hAnsi="Arial" w:cs="Arial"/>
                <w:sz w:val="24"/>
                <w:szCs w:val="24"/>
              </w:rPr>
            </w:pPr>
            <w:r w:rsidRPr="00E07B3E">
              <w:rPr>
                <w:rFonts w:ascii="Arial" w:hAnsi="Arial" w:cs="Arial"/>
                <w:sz w:val="24"/>
                <w:szCs w:val="24"/>
              </w:rPr>
              <w:t>Career stagnation is eliminated, and brain drain is halted.</w:t>
            </w:r>
          </w:p>
        </w:tc>
      </w:tr>
      <w:tr w:rsidR="004E195D" w:rsidRPr="00D42E50" w14:paraId="3689E0F4" w14:textId="77777777" w:rsidTr="008A0F7E">
        <w:trPr>
          <w:tblCellSpacing w:w="15" w:type="dxa"/>
        </w:trPr>
        <w:tc>
          <w:tcPr>
            <w:tcW w:w="0" w:type="auto"/>
            <w:shd w:val="clear" w:color="auto" w:fill="E97132" w:themeFill="accent2"/>
            <w:tcMar>
              <w:top w:w="120" w:type="dxa"/>
              <w:left w:w="180" w:type="dxa"/>
              <w:bottom w:w="120" w:type="dxa"/>
              <w:right w:w="180" w:type="dxa"/>
            </w:tcMar>
            <w:vAlign w:val="center"/>
            <w:hideMark/>
          </w:tcPr>
          <w:p w14:paraId="76B789B0" w14:textId="0680DB70" w:rsidR="004E195D" w:rsidRPr="00D42E50" w:rsidRDefault="004E195D" w:rsidP="004E195D">
            <w:pPr>
              <w:rPr>
                <w:rFonts w:ascii="Arial" w:hAnsi="Arial" w:cs="Arial"/>
                <w:sz w:val="24"/>
                <w:szCs w:val="24"/>
              </w:rPr>
            </w:pPr>
            <w:r w:rsidRPr="00D42E50">
              <w:rPr>
                <w:rFonts w:ascii="Arial" w:hAnsi="Arial" w:cs="Arial"/>
                <w:b/>
                <w:bCs/>
                <w:sz w:val="24"/>
                <w:szCs w:val="24"/>
              </w:rPr>
              <w:t>CONTRIBUTE</w:t>
            </w:r>
          </w:p>
        </w:tc>
        <w:tc>
          <w:tcPr>
            <w:tcW w:w="0" w:type="auto"/>
            <w:tcMar>
              <w:top w:w="120" w:type="dxa"/>
              <w:left w:w="180" w:type="dxa"/>
              <w:bottom w:w="120" w:type="dxa"/>
              <w:right w:w="180" w:type="dxa"/>
            </w:tcMar>
            <w:vAlign w:val="center"/>
            <w:hideMark/>
          </w:tcPr>
          <w:p w14:paraId="7A2A2F67" w14:textId="562F6AE7" w:rsidR="004E195D" w:rsidRPr="00D42E50" w:rsidRDefault="00E07B3E" w:rsidP="004E195D">
            <w:pPr>
              <w:rPr>
                <w:rFonts w:ascii="Arial" w:hAnsi="Arial" w:cs="Arial"/>
                <w:sz w:val="24"/>
                <w:szCs w:val="24"/>
              </w:rPr>
            </w:pPr>
            <w:r w:rsidRPr="00E07B3E">
              <w:rPr>
                <w:rFonts w:ascii="Arial" w:hAnsi="Arial" w:cs="Arial"/>
                <w:b/>
                <w:bCs/>
                <w:sz w:val="24"/>
                <w:szCs w:val="24"/>
              </w:rPr>
              <w:t>Guided Job Crafting and Cross-Border Collaboration</w:t>
            </w:r>
          </w:p>
        </w:tc>
        <w:tc>
          <w:tcPr>
            <w:tcW w:w="0" w:type="auto"/>
            <w:tcMar>
              <w:top w:w="120" w:type="dxa"/>
              <w:left w:w="180" w:type="dxa"/>
              <w:bottom w:w="120" w:type="dxa"/>
              <w:right w:w="180" w:type="dxa"/>
            </w:tcMar>
            <w:vAlign w:val="center"/>
            <w:hideMark/>
          </w:tcPr>
          <w:p w14:paraId="3F697608" w14:textId="07B56DFA" w:rsidR="004E195D" w:rsidRPr="00D42E50" w:rsidRDefault="00E07B3E" w:rsidP="004E195D">
            <w:pPr>
              <w:rPr>
                <w:rFonts w:ascii="Arial" w:hAnsi="Arial" w:cs="Arial"/>
                <w:sz w:val="24"/>
                <w:szCs w:val="24"/>
              </w:rPr>
            </w:pPr>
            <w:r w:rsidRPr="00E07B3E">
              <w:rPr>
                <w:rFonts w:ascii="Arial" w:hAnsi="Arial" w:cs="Arial"/>
                <w:sz w:val="24"/>
                <w:szCs w:val="24"/>
              </w:rPr>
              <w:t>Allocating 15% of time to projects from other countries (e.g., Indian developers participating in UK clinical trials). Solution: Breaks down silos and boosts intrinsic motivation through job crafting.</w:t>
            </w:r>
          </w:p>
        </w:tc>
        <w:tc>
          <w:tcPr>
            <w:tcW w:w="0" w:type="auto"/>
            <w:tcMar>
              <w:top w:w="120" w:type="dxa"/>
              <w:left w:w="180" w:type="dxa"/>
              <w:bottom w:w="120" w:type="dxa"/>
              <w:right w:w="180" w:type="dxa"/>
            </w:tcMar>
            <w:vAlign w:val="center"/>
            <w:hideMark/>
          </w:tcPr>
          <w:p w14:paraId="4BE1F53C" w14:textId="414EE801" w:rsidR="004E195D" w:rsidRPr="00D42E50" w:rsidRDefault="00E07B3E" w:rsidP="004E195D">
            <w:pPr>
              <w:rPr>
                <w:rFonts w:ascii="Arial" w:hAnsi="Arial" w:cs="Arial"/>
                <w:sz w:val="24"/>
                <w:szCs w:val="24"/>
              </w:rPr>
            </w:pPr>
            <w:r w:rsidRPr="00E07B3E">
              <w:rPr>
                <w:rFonts w:ascii="Arial" w:hAnsi="Arial" w:cs="Arial"/>
                <w:sz w:val="24"/>
                <w:szCs w:val="24"/>
              </w:rPr>
              <w:t>Better collaboration, engagement, and a sense of cross-cultural ownership.</w:t>
            </w:r>
          </w:p>
        </w:tc>
      </w:tr>
      <w:tr w:rsidR="004E195D" w:rsidRPr="00D42E50" w14:paraId="55653A3E" w14:textId="77777777" w:rsidTr="008A0F7E">
        <w:trPr>
          <w:tblCellSpacing w:w="15" w:type="dxa"/>
        </w:trPr>
        <w:tc>
          <w:tcPr>
            <w:tcW w:w="0" w:type="auto"/>
            <w:shd w:val="clear" w:color="auto" w:fill="E97132" w:themeFill="accent2"/>
            <w:tcMar>
              <w:top w:w="120" w:type="dxa"/>
              <w:left w:w="180" w:type="dxa"/>
              <w:bottom w:w="120" w:type="dxa"/>
              <w:right w:w="180" w:type="dxa"/>
            </w:tcMar>
            <w:vAlign w:val="center"/>
            <w:hideMark/>
          </w:tcPr>
          <w:p w14:paraId="6287C888" w14:textId="3BE176E0" w:rsidR="004E195D" w:rsidRPr="00D42E50" w:rsidRDefault="004E195D" w:rsidP="004E195D">
            <w:pPr>
              <w:rPr>
                <w:rFonts w:ascii="Arial" w:hAnsi="Arial" w:cs="Arial"/>
                <w:sz w:val="24"/>
                <w:szCs w:val="24"/>
              </w:rPr>
            </w:pPr>
            <w:r w:rsidRPr="00D42E50">
              <w:rPr>
                <w:rFonts w:ascii="Arial" w:hAnsi="Arial" w:cs="Arial"/>
                <w:b/>
                <w:bCs/>
                <w:sz w:val="24"/>
                <w:szCs w:val="24"/>
              </w:rPr>
              <w:t>PROGRESS</w:t>
            </w:r>
          </w:p>
        </w:tc>
        <w:tc>
          <w:tcPr>
            <w:tcW w:w="0" w:type="auto"/>
            <w:tcMar>
              <w:top w:w="120" w:type="dxa"/>
              <w:left w:w="180" w:type="dxa"/>
              <w:bottom w:w="120" w:type="dxa"/>
              <w:right w:w="180" w:type="dxa"/>
            </w:tcMar>
            <w:vAlign w:val="center"/>
            <w:hideMark/>
          </w:tcPr>
          <w:p w14:paraId="0E24E5B9" w14:textId="381F0886" w:rsidR="004E195D" w:rsidRPr="00D42E50" w:rsidRDefault="00E07B3E" w:rsidP="004E195D">
            <w:pPr>
              <w:rPr>
                <w:rFonts w:ascii="Arial" w:hAnsi="Arial" w:cs="Arial"/>
                <w:sz w:val="24"/>
                <w:szCs w:val="24"/>
              </w:rPr>
            </w:pPr>
            <w:r w:rsidRPr="00E07B3E">
              <w:rPr>
                <w:rFonts w:ascii="Arial" w:hAnsi="Arial" w:cs="Arial"/>
                <w:b/>
                <w:bCs/>
                <w:sz w:val="24"/>
                <w:szCs w:val="24"/>
              </w:rPr>
              <w:t>Quarterly Growth Check-ins and Well-being Monitoring</w:t>
            </w:r>
          </w:p>
        </w:tc>
        <w:tc>
          <w:tcPr>
            <w:tcW w:w="0" w:type="auto"/>
            <w:tcMar>
              <w:top w:w="120" w:type="dxa"/>
              <w:left w:w="180" w:type="dxa"/>
              <w:bottom w:w="120" w:type="dxa"/>
              <w:right w:w="180" w:type="dxa"/>
            </w:tcMar>
            <w:vAlign w:val="center"/>
            <w:hideMark/>
          </w:tcPr>
          <w:p w14:paraId="1C323A86" w14:textId="186D71CC" w:rsidR="004E195D" w:rsidRPr="00D42E50" w:rsidRDefault="00E07B3E" w:rsidP="00A01512">
            <w:pPr>
              <w:rPr>
                <w:rFonts w:ascii="Arial" w:hAnsi="Arial" w:cs="Arial"/>
                <w:sz w:val="24"/>
                <w:szCs w:val="24"/>
              </w:rPr>
            </w:pPr>
            <w:r w:rsidRPr="00E07B3E">
              <w:rPr>
                <w:rFonts w:ascii="Arial" w:hAnsi="Arial" w:cs="Arial"/>
                <w:sz w:val="24"/>
                <w:szCs w:val="24"/>
              </w:rPr>
              <w:t>Discussions on progress and well-being every three months instead of an annual review. Mental stress-relief training for managers. Solution: Reduces managerial stress and safeguards mental health.</w:t>
            </w:r>
          </w:p>
        </w:tc>
        <w:tc>
          <w:tcPr>
            <w:tcW w:w="0" w:type="auto"/>
            <w:tcMar>
              <w:top w:w="120" w:type="dxa"/>
              <w:left w:w="180" w:type="dxa"/>
              <w:bottom w:w="120" w:type="dxa"/>
              <w:right w:w="180" w:type="dxa"/>
            </w:tcMar>
            <w:vAlign w:val="center"/>
            <w:hideMark/>
          </w:tcPr>
          <w:p w14:paraId="4DFBF14F" w14:textId="40925F29" w:rsidR="004E195D" w:rsidRPr="00D42E50" w:rsidRDefault="00E07B3E" w:rsidP="004E195D">
            <w:pPr>
              <w:rPr>
                <w:rFonts w:ascii="Arial" w:hAnsi="Arial" w:cs="Arial"/>
                <w:sz w:val="24"/>
                <w:szCs w:val="24"/>
              </w:rPr>
            </w:pPr>
            <w:r w:rsidRPr="00E07B3E">
              <w:rPr>
                <w:rFonts w:ascii="Arial" w:hAnsi="Arial" w:cs="Arial"/>
                <w:sz w:val="24"/>
                <w:szCs w:val="24"/>
              </w:rPr>
              <w:t>It continuously improves employee well-being and reduces workplace fatigue.</w:t>
            </w:r>
          </w:p>
        </w:tc>
      </w:tr>
    </w:tbl>
    <w:p w14:paraId="21D32EC5" w14:textId="77777777" w:rsidR="004E195D" w:rsidRPr="00D42E50" w:rsidRDefault="004E195D" w:rsidP="004E195D">
      <w:pPr>
        <w:rPr>
          <w:rFonts w:ascii="Arial" w:hAnsi="Arial" w:cs="Arial"/>
          <w:sz w:val="24"/>
          <w:szCs w:val="24"/>
          <w:lang w:val="en-US"/>
        </w:rPr>
      </w:pPr>
    </w:p>
    <w:p w14:paraId="340C9D61" w14:textId="77777777" w:rsidR="00560C93" w:rsidRPr="00560C93" w:rsidRDefault="00560C93" w:rsidP="00560C93">
      <w:pPr>
        <w:rPr>
          <w:rFonts w:ascii="Arial" w:hAnsi="Arial" w:cs="Arial"/>
          <w:sz w:val="24"/>
          <w:szCs w:val="24"/>
          <w:lang w:val="en-US"/>
        </w:rPr>
      </w:pPr>
      <w:r w:rsidRPr="00560C93">
        <w:rPr>
          <w:rFonts w:ascii="Arial" w:hAnsi="Arial" w:cs="Arial"/>
          <w:sz w:val="24"/>
          <w:szCs w:val="24"/>
          <w:lang w:val="en-US"/>
        </w:rPr>
        <w:t>Detailed implementation strategy for problem resolution:</w:t>
      </w:r>
    </w:p>
    <w:p w14:paraId="62FE6B07" w14:textId="1F4DC233" w:rsidR="00560C93" w:rsidRPr="008D4D42" w:rsidRDefault="00560C93" w:rsidP="008D4D42">
      <w:pPr>
        <w:pStyle w:val="ListParagraph"/>
        <w:numPr>
          <w:ilvl w:val="0"/>
          <w:numId w:val="35"/>
        </w:numPr>
        <w:rPr>
          <w:rFonts w:ascii="Arial" w:hAnsi="Arial" w:cs="Arial"/>
          <w:sz w:val="24"/>
          <w:szCs w:val="24"/>
          <w:lang w:val="en-US"/>
        </w:rPr>
      </w:pPr>
      <w:r w:rsidRPr="008D4D42">
        <w:rPr>
          <w:rFonts w:ascii="Arial" w:hAnsi="Arial" w:cs="Arial"/>
          <w:sz w:val="24"/>
          <w:szCs w:val="24"/>
          <w:lang w:val="en-US"/>
        </w:rPr>
        <w:t>Dual-Career Progression Model (Addressing career growth issues): NHSX establishes parallel promotion tracks (management track vs. Individual Contributor track) to retain technical experts, allowing them to achieve significant career growth without the burden of management responsibilities.</w:t>
      </w:r>
    </w:p>
    <w:p w14:paraId="555CCEBF" w14:textId="77777777" w:rsidR="00560C93" w:rsidRPr="00560C93" w:rsidRDefault="00560C93" w:rsidP="00560C93">
      <w:pPr>
        <w:rPr>
          <w:rFonts w:ascii="Arial" w:hAnsi="Arial" w:cs="Arial"/>
          <w:sz w:val="24"/>
          <w:szCs w:val="24"/>
          <w:lang w:val="en-US"/>
        </w:rPr>
      </w:pPr>
    </w:p>
    <w:p w14:paraId="6474621B" w14:textId="4DF20D28" w:rsidR="00560C93" w:rsidRPr="008D4D42" w:rsidRDefault="00560C93" w:rsidP="008D4D42">
      <w:pPr>
        <w:pStyle w:val="ListParagraph"/>
        <w:numPr>
          <w:ilvl w:val="0"/>
          <w:numId w:val="35"/>
        </w:numPr>
        <w:rPr>
          <w:rFonts w:ascii="Arial" w:hAnsi="Arial" w:cs="Arial"/>
          <w:sz w:val="24"/>
          <w:szCs w:val="24"/>
          <w:lang w:val="en-US"/>
        </w:rPr>
      </w:pPr>
      <w:r w:rsidRPr="008D4D42">
        <w:rPr>
          <w:rFonts w:ascii="Arial" w:hAnsi="Arial" w:cs="Arial"/>
          <w:sz w:val="24"/>
          <w:szCs w:val="24"/>
          <w:lang w:val="en-US"/>
        </w:rPr>
        <w:t>Cross-Border Knowledge Exchange (Addressing collaboration issues): "Global Talent Exchange Squads" will be formed to bridge international gaps, enabling engineers, doctors, and regulators to collaborate on short-term virtual projects.</w:t>
      </w:r>
    </w:p>
    <w:p w14:paraId="5FE49527" w14:textId="77777777" w:rsidR="00560C93" w:rsidRPr="00560C93" w:rsidRDefault="00560C93" w:rsidP="00560C93">
      <w:pPr>
        <w:rPr>
          <w:rFonts w:ascii="Arial" w:hAnsi="Arial" w:cs="Arial"/>
          <w:sz w:val="24"/>
          <w:szCs w:val="24"/>
          <w:lang w:val="en-US"/>
        </w:rPr>
      </w:pPr>
    </w:p>
    <w:p w14:paraId="36A64518" w14:textId="78BBC0D6" w:rsidR="00D51307" w:rsidRDefault="00560C93" w:rsidP="008D4D42">
      <w:pPr>
        <w:pStyle w:val="ListParagraph"/>
        <w:numPr>
          <w:ilvl w:val="0"/>
          <w:numId w:val="35"/>
        </w:numPr>
        <w:rPr>
          <w:rFonts w:ascii="Arial" w:hAnsi="Arial" w:cs="Arial"/>
          <w:sz w:val="24"/>
          <w:szCs w:val="24"/>
          <w:lang w:val="en-US"/>
        </w:rPr>
      </w:pPr>
      <w:r w:rsidRPr="008D4D42">
        <w:rPr>
          <w:rFonts w:ascii="Arial" w:hAnsi="Arial" w:cs="Arial"/>
          <w:sz w:val="24"/>
          <w:szCs w:val="24"/>
          <w:lang w:val="en-US"/>
        </w:rPr>
        <w:t>Managing Managerial Burnout and Well-being (Addressing well-being issues): Managers will be trained to act as coaches rather than controllers. Team well-being status and psychological safety scores will be incorporated into managerial KPIs alongside output targets.</w:t>
      </w:r>
    </w:p>
    <w:p w14:paraId="5444051F" w14:textId="77777777" w:rsidR="008D4D42" w:rsidRPr="008D4D42" w:rsidRDefault="008D4D42" w:rsidP="008D4D42">
      <w:pPr>
        <w:pStyle w:val="ListParagraph"/>
        <w:rPr>
          <w:rFonts w:ascii="Arial" w:hAnsi="Arial" w:cs="Arial"/>
          <w:sz w:val="24"/>
          <w:szCs w:val="24"/>
          <w:lang w:val="en-US"/>
        </w:rPr>
      </w:pPr>
    </w:p>
    <w:p w14:paraId="6E33CCC8" w14:textId="06068A7D" w:rsidR="008D4D42" w:rsidRDefault="00E14FD6" w:rsidP="00E14FD6">
      <w:pPr>
        <w:rPr>
          <w:rFonts w:ascii="Arial" w:hAnsi="Arial" w:cs="Arial"/>
          <w:sz w:val="24"/>
          <w:szCs w:val="24"/>
          <w:lang w:val="en-US"/>
        </w:rPr>
      </w:pPr>
      <w:r w:rsidRPr="00E14FD6">
        <w:rPr>
          <w:rFonts w:ascii="Arial" w:hAnsi="Arial" w:cs="Arial"/>
          <w:sz w:val="24"/>
          <w:szCs w:val="24"/>
          <w:lang w:val="en-US"/>
        </w:rPr>
        <w:t>To ensure the integrated 4-tier "Learn-Grow-Contribute-Progress" framework yields measurable cultural and operational outcomes across its UK, India, and UAE offices, NHSX will establish continuous feedback loops and digital pulse surveys. By utilizing real-time sentiment analysis tools, HR leadership can proactively monitor employee morale, detect early signs of burnout, and adjust workload distribution before overall productivity is impacted. Furthermore, the establishment of cross-border mentorship programs will connect experienced senior clinicians in the UK with emerging software developers in India and regional product leads in the UAE. This deliberate cross-cultural pairing not only accelerates technical knowledge transfer but also deepens organizational inclusion, bridges geographical silos, and fosters a unified corporate identity that aligns directly with contemporary strategic human resource management principles.</w:t>
      </w:r>
    </w:p>
    <w:p w14:paraId="2331BA50" w14:textId="77777777" w:rsidR="00E14FD6" w:rsidRPr="00E14FD6" w:rsidRDefault="00E14FD6" w:rsidP="00E14FD6">
      <w:pPr>
        <w:rPr>
          <w:rFonts w:ascii="Arial" w:hAnsi="Arial" w:cs="Arial"/>
          <w:sz w:val="24"/>
          <w:szCs w:val="24"/>
          <w:lang w:val="en-US"/>
        </w:rPr>
      </w:pPr>
    </w:p>
    <w:p w14:paraId="33369CBA" w14:textId="77777777" w:rsidR="008D4D42" w:rsidRDefault="008D4D42" w:rsidP="00C854C3">
      <w:pPr>
        <w:rPr>
          <w:rFonts w:ascii="Arial" w:hAnsi="Arial" w:cs="Arial"/>
          <w:b/>
          <w:bCs/>
          <w:sz w:val="24"/>
          <w:szCs w:val="24"/>
          <w:lang w:val="en-US"/>
        </w:rPr>
      </w:pPr>
      <w:r w:rsidRPr="008D4D42">
        <w:rPr>
          <w:rFonts w:ascii="Arial" w:hAnsi="Arial" w:cs="Arial"/>
          <w:b/>
          <w:bCs/>
          <w:sz w:val="24"/>
          <w:szCs w:val="24"/>
          <w:lang w:val="en-US"/>
        </w:rPr>
        <w:t>3. Success Criteria and Measurement (KPI Dashboard)</w:t>
      </w:r>
    </w:p>
    <w:p w14:paraId="2A2C9E36" w14:textId="32E26B2E" w:rsidR="00C854C3" w:rsidRDefault="00C854C3" w:rsidP="00C854C3">
      <w:pPr>
        <w:rPr>
          <w:rFonts w:ascii="Arial" w:hAnsi="Arial" w:cs="Arial"/>
          <w:sz w:val="24"/>
          <w:szCs w:val="24"/>
          <w:lang w:val="en-US"/>
        </w:rPr>
      </w:pPr>
      <w:r w:rsidRPr="00D42E50">
        <w:rPr>
          <w:rFonts w:ascii="Arial" w:hAnsi="Arial" w:cs="Arial"/>
          <w:sz w:val="24"/>
          <w:szCs w:val="24"/>
          <w:lang w:val="en-US"/>
        </w:rPr>
        <w:t>The following criteria have been established to measure the success of the human capital strategy:</w:t>
      </w:r>
    </w:p>
    <w:p w14:paraId="139AC9E5" w14:textId="77777777" w:rsidR="008D4D42" w:rsidRDefault="008D4D42" w:rsidP="00C854C3">
      <w:pPr>
        <w:rPr>
          <w:rFonts w:ascii="Arial" w:hAnsi="Arial" w:cs="Arial"/>
          <w:sz w:val="24"/>
          <w:szCs w:val="24"/>
          <w:lang w:val="en-US"/>
        </w:rPr>
      </w:pPr>
    </w:p>
    <w:p w14:paraId="27D2847A" w14:textId="77777777" w:rsidR="008D4D42" w:rsidRPr="008D4D42" w:rsidRDefault="008D4D42" w:rsidP="008D4D42">
      <w:pPr>
        <w:rPr>
          <w:rFonts w:ascii="Arial" w:hAnsi="Arial" w:cs="Arial"/>
          <w:sz w:val="24"/>
          <w:szCs w:val="24"/>
          <w:lang w:val="en-US"/>
        </w:rPr>
      </w:pPr>
      <w:r w:rsidRPr="008D4D42">
        <w:rPr>
          <w:rFonts w:ascii="Arial" w:hAnsi="Arial" w:cs="Arial"/>
          <w:sz w:val="24"/>
          <w:szCs w:val="24"/>
          <w:lang w:val="en-US"/>
        </w:rPr>
        <w:t>The following metrics have been established to measure the success of the human capital strategy and to continuously monitor opportunity expectations, career growth, and well-being:</w:t>
      </w:r>
    </w:p>
    <w:p w14:paraId="3DA531AA" w14:textId="77777777" w:rsidR="008D4D42" w:rsidRPr="008D4D42" w:rsidRDefault="008D4D42" w:rsidP="008D4D42">
      <w:pPr>
        <w:pStyle w:val="ListParagraph"/>
        <w:numPr>
          <w:ilvl w:val="0"/>
          <w:numId w:val="36"/>
        </w:numPr>
        <w:rPr>
          <w:rFonts w:ascii="Arial" w:hAnsi="Arial" w:cs="Arial"/>
          <w:sz w:val="24"/>
          <w:szCs w:val="24"/>
          <w:lang w:val="en-US"/>
        </w:rPr>
      </w:pPr>
      <w:r w:rsidRPr="008D4D42">
        <w:rPr>
          <w:rFonts w:ascii="Arial" w:hAnsi="Arial" w:cs="Arial"/>
          <w:sz w:val="24"/>
          <w:szCs w:val="24"/>
          <w:lang w:val="en-US"/>
        </w:rPr>
        <w:t>Innovation Velocity: Bottom-up AI prototypes successfully transitioned into R&amp;D.</w:t>
      </w:r>
    </w:p>
    <w:p w14:paraId="142B34C8" w14:textId="77777777" w:rsidR="008D4D42" w:rsidRPr="008D4D42" w:rsidRDefault="008D4D42" w:rsidP="008D4D42">
      <w:pPr>
        <w:pStyle w:val="ListParagraph"/>
        <w:numPr>
          <w:ilvl w:val="0"/>
          <w:numId w:val="36"/>
        </w:numPr>
        <w:rPr>
          <w:rFonts w:ascii="Arial" w:hAnsi="Arial" w:cs="Arial"/>
          <w:sz w:val="24"/>
          <w:szCs w:val="24"/>
          <w:lang w:val="en-US"/>
        </w:rPr>
      </w:pPr>
      <w:r w:rsidRPr="008D4D42">
        <w:rPr>
          <w:rFonts w:ascii="Arial" w:hAnsi="Arial" w:cs="Arial"/>
          <w:sz w:val="24"/>
          <w:szCs w:val="24"/>
          <w:lang w:val="en-US"/>
        </w:rPr>
        <w:lastRenderedPageBreak/>
        <w:t>Talent Retention: Maintaining a voluntary attrition rate of less than 5% for key technical staff.</w:t>
      </w:r>
    </w:p>
    <w:p w14:paraId="58949B25" w14:textId="77777777" w:rsidR="008D4D42" w:rsidRPr="008D4D42" w:rsidRDefault="008D4D42" w:rsidP="008D4D42">
      <w:pPr>
        <w:rPr>
          <w:rFonts w:ascii="Arial" w:hAnsi="Arial" w:cs="Arial"/>
          <w:sz w:val="24"/>
          <w:szCs w:val="24"/>
          <w:lang w:val="en-US"/>
        </w:rPr>
      </w:pPr>
    </w:p>
    <w:p w14:paraId="5810C703" w14:textId="77777777" w:rsidR="008D4D42" w:rsidRPr="008D4D42" w:rsidRDefault="008D4D42" w:rsidP="008D4D42">
      <w:pPr>
        <w:pStyle w:val="ListParagraph"/>
        <w:numPr>
          <w:ilvl w:val="0"/>
          <w:numId w:val="36"/>
        </w:numPr>
        <w:rPr>
          <w:rFonts w:ascii="Arial" w:hAnsi="Arial" w:cs="Arial"/>
          <w:sz w:val="24"/>
          <w:szCs w:val="24"/>
          <w:lang w:val="en-US"/>
        </w:rPr>
      </w:pPr>
      <w:r w:rsidRPr="008D4D42">
        <w:rPr>
          <w:rFonts w:ascii="Arial" w:hAnsi="Arial" w:cs="Arial"/>
          <w:sz w:val="24"/>
          <w:szCs w:val="24"/>
          <w:lang w:val="en-US"/>
        </w:rPr>
        <w:t>Psychological Safety: Achieving a quarterly Edmondson Psychological Safety score of over 85%.</w:t>
      </w:r>
    </w:p>
    <w:p w14:paraId="6A86AA12" w14:textId="77777777" w:rsidR="008D4D42" w:rsidRPr="008D4D42" w:rsidRDefault="008D4D42" w:rsidP="008D4D42">
      <w:pPr>
        <w:pStyle w:val="ListParagraph"/>
        <w:numPr>
          <w:ilvl w:val="0"/>
          <w:numId w:val="36"/>
        </w:numPr>
        <w:rPr>
          <w:rFonts w:ascii="Arial" w:hAnsi="Arial" w:cs="Arial"/>
          <w:sz w:val="24"/>
          <w:szCs w:val="24"/>
          <w:lang w:val="en-US"/>
        </w:rPr>
      </w:pPr>
      <w:r w:rsidRPr="008D4D42">
        <w:rPr>
          <w:rFonts w:ascii="Arial" w:hAnsi="Arial" w:cs="Arial"/>
          <w:sz w:val="24"/>
          <w:szCs w:val="24"/>
          <w:lang w:val="en-US"/>
        </w:rPr>
        <w:t>Continuous Learning: Utilizing more than 90% of the allocated 10% L&amp;D time.</w:t>
      </w:r>
    </w:p>
    <w:p w14:paraId="549D3EBA" w14:textId="2492C7BB" w:rsidR="008D4D42" w:rsidRPr="008D4D42" w:rsidRDefault="008D4D42" w:rsidP="008D4D42">
      <w:pPr>
        <w:pStyle w:val="ListParagraph"/>
        <w:numPr>
          <w:ilvl w:val="0"/>
          <w:numId w:val="36"/>
        </w:numPr>
        <w:rPr>
          <w:rFonts w:ascii="Arial" w:hAnsi="Arial" w:cs="Arial"/>
          <w:sz w:val="24"/>
          <w:szCs w:val="24"/>
          <w:lang w:val="en-US"/>
        </w:rPr>
      </w:pPr>
      <w:r w:rsidRPr="008D4D42">
        <w:rPr>
          <w:rFonts w:ascii="Arial" w:hAnsi="Arial" w:cs="Arial"/>
          <w:sz w:val="24"/>
          <w:szCs w:val="24"/>
          <w:lang w:val="en-US"/>
        </w:rPr>
        <w:t>Internal Mobility: Filling 40% of senior leadership and technical roles through internal appointments.</w:t>
      </w:r>
    </w:p>
    <w:p w14:paraId="6AD1DFDA" w14:textId="059D750A" w:rsidR="00341268" w:rsidRPr="00D42E50" w:rsidRDefault="00A719A3" w:rsidP="00A719A3">
      <w:pPr>
        <w:rPr>
          <w:rFonts w:ascii="Arial" w:hAnsi="Arial" w:cs="Arial"/>
          <w:b/>
          <w:bCs/>
          <w:sz w:val="24"/>
          <w:szCs w:val="24"/>
          <w:lang w:val="en-US"/>
        </w:rPr>
      </w:pPr>
      <w:r w:rsidRPr="00D42E50">
        <w:rPr>
          <w:rFonts w:ascii="Arial" w:hAnsi="Arial" w:cs="Arial"/>
          <w:noProof/>
          <w:sz w:val="24"/>
          <w:szCs w:val="24"/>
          <w:lang w:val="en-US"/>
        </w:rPr>
        <w:drawing>
          <wp:inline distT="0" distB="0" distL="0" distR="0" wp14:anchorId="049FB1CA" wp14:editId="38DECF3F">
            <wp:extent cx="5731510" cy="3620770"/>
            <wp:effectExtent l="0" t="0" r="2540" b="0"/>
            <wp:docPr id="1264392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392934" name="Picture 126439293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620770"/>
                    </a:xfrm>
                    <a:prstGeom prst="rect">
                      <a:avLst/>
                    </a:prstGeom>
                  </pic:spPr>
                </pic:pic>
              </a:graphicData>
            </a:graphic>
          </wp:inline>
        </w:drawing>
      </w:r>
    </w:p>
    <w:p w14:paraId="1984D8B1" w14:textId="4DDA3E01" w:rsidR="00A719A3" w:rsidRPr="00D42E50" w:rsidRDefault="00A719A3" w:rsidP="00A719A3">
      <w:pPr>
        <w:rPr>
          <w:rFonts w:ascii="Arial" w:hAnsi="Arial" w:cs="Arial"/>
          <w:sz w:val="24"/>
          <w:szCs w:val="24"/>
          <w:lang w:val="en-US"/>
        </w:rPr>
      </w:pPr>
      <w:r w:rsidRPr="00D42E50">
        <w:rPr>
          <w:rFonts w:ascii="Arial" w:hAnsi="Arial" w:cs="Arial"/>
          <w:sz w:val="24"/>
          <w:szCs w:val="24"/>
          <w:lang w:val="en-US"/>
        </w:rPr>
        <w:t>(</w:t>
      </w:r>
      <w:r w:rsidRPr="00D42E50">
        <w:rPr>
          <w:rFonts w:ascii="Arial" w:hAnsi="Arial" w:cs="Arial"/>
          <w:sz w:val="24"/>
          <w:szCs w:val="24"/>
        </w:rPr>
        <w:t>Figure 2: NHSX Talent KPI Dashboard (Generated by Gemini).</w:t>
      </w:r>
      <w:r w:rsidRPr="00D42E50">
        <w:rPr>
          <w:rFonts w:ascii="Arial" w:hAnsi="Arial" w:cs="Arial"/>
          <w:sz w:val="24"/>
          <w:szCs w:val="24"/>
          <w:lang w:val="en-US"/>
        </w:rPr>
        <w:t>)</w:t>
      </w:r>
    </w:p>
    <w:p w14:paraId="0065447C" w14:textId="77777777" w:rsidR="00443918" w:rsidRPr="00D42E50" w:rsidRDefault="00443918" w:rsidP="00A719A3">
      <w:pPr>
        <w:rPr>
          <w:rFonts w:ascii="Arial" w:hAnsi="Arial" w:cs="Arial"/>
          <w:sz w:val="24"/>
          <w:szCs w:val="24"/>
          <w:lang w:val="en-US"/>
        </w:rPr>
      </w:pPr>
    </w:p>
    <w:p w14:paraId="6A8DDF36" w14:textId="77777777" w:rsidR="00443918" w:rsidRPr="00D42E50" w:rsidRDefault="00443918" w:rsidP="00A719A3">
      <w:pPr>
        <w:rPr>
          <w:rFonts w:ascii="Arial" w:hAnsi="Arial" w:cs="Arial"/>
          <w:sz w:val="24"/>
          <w:szCs w:val="24"/>
          <w:lang w:val="en-US"/>
        </w:rPr>
      </w:pPr>
    </w:p>
    <w:p w14:paraId="58331F65" w14:textId="77777777" w:rsidR="00443918" w:rsidRPr="00D42E50" w:rsidRDefault="00443918" w:rsidP="00A719A3">
      <w:pPr>
        <w:rPr>
          <w:rFonts w:ascii="Arial" w:hAnsi="Arial" w:cs="Arial"/>
          <w:sz w:val="24"/>
          <w:szCs w:val="24"/>
          <w:lang w:val="en-US"/>
        </w:rPr>
      </w:pPr>
    </w:p>
    <w:p w14:paraId="3D26FA25" w14:textId="77777777" w:rsidR="00443918" w:rsidRPr="00D42E50" w:rsidRDefault="00443918" w:rsidP="00A719A3">
      <w:pPr>
        <w:rPr>
          <w:rFonts w:ascii="Arial" w:hAnsi="Arial" w:cs="Arial"/>
          <w:sz w:val="24"/>
          <w:szCs w:val="24"/>
          <w:lang w:val="en-US"/>
        </w:rPr>
      </w:pPr>
    </w:p>
    <w:p w14:paraId="7AB4650D" w14:textId="77777777" w:rsidR="00443918" w:rsidRPr="00D42E50" w:rsidRDefault="00443918" w:rsidP="00A719A3">
      <w:pPr>
        <w:rPr>
          <w:rFonts w:ascii="Arial" w:hAnsi="Arial" w:cs="Arial"/>
          <w:sz w:val="24"/>
          <w:szCs w:val="24"/>
          <w:lang w:val="en-US"/>
        </w:rPr>
      </w:pPr>
    </w:p>
    <w:p w14:paraId="079F19C8" w14:textId="77777777" w:rsidR="00443918" w:rsidRPr="00D42E50" w:rsidRDefault="00443918" w:rsidP="00A719A3">
      <w:pPr>
        <w:rPr>
          <w:rFonts w:ascii="Arial" w:hAnsi="Arial" w:cs="Arial"/>
          <w:sz w:val="24"/>
          <w:szCs w:val="24"/>
          <w:lang w:val="en-US"/>
        </w:rPr>
      </w:pPr>
    </w:p>
    <w:p w14:paraId="66FB8CB6" w14:textId="77777777" w:rsidR="00443918" w:rsidRPr="00D42E50" w:rsidRDefault="00443918" w:rsidP="00A719A3">
      <w:pPr>
        <w:rPr>
          <w:rFonts w:ascii="Arial" w:hAnsi="Arial" w:cs="Arial"/>
          <w:sz w:val="24"/>
          <w:szCs w:val="24"/>
          <w:lang w:val="en-US"/>
        </w:rPr>
      </w:pPr>
    </w:p>
    <w:p w14:paraId="775D8815" w14:textId="77777777" w:rsidR="00443918" w:rsidRPr="00D42E50" w:rsidRDefault="00443918" w:rsidP="00A719A3">
      <w:pPr>
        <w:rPr>
          <w:rFonts w:ascii="Arial" w:hAnsi="Arial" w:cs="Arial"/>
          <w:sz w:val="24"/>
          <w:szCs w:val="24"/>
          <w:lang w:val="en-US"/>
        </w:rPr>
      </w:pPr>
    </w:p>
    <w:p w14:paraId="1040DA15" w14:textId="77777777" w:rsidR="00443918" w:rsidRPr="00D42E50" w:rsidRDefault="00443918" w:rsidP="00A719A3">
      <w:pPr>
        <w:rPr>
          <w:rFonts w:ascii="Arial" w:hAnsi="Arial" w:cs="Arial"/>
          <w:sz w:val="24"/>
          <w:szCs w:val="24"/>
          <w:lang w:val="en-US"/>
        </w:rPr>
      </w:pPr>
    </w:p>
    <w:p w14:paraId="044C5CF2" w14:textId="77777777" w:rsidR="00443918" w:rsidRPr="00D42E50" w:rsidRDefault="00443918" w:rsidP="00A719A3">
      <w:pPr>
        <w:rPr>
          <w:rFonts w:ascii="Arial" w:hAnsi="Arial" w:cs="Arial"/>
          <w:sz w:val="24"/>
          <w:szCs w:val="24"/>
          <w:lang w:val="en-US"/>
        </w:rPr>
      </w:pPr>
    </w:p>
    <w:p w14:paraId="469FED36" w14:textId="77777777" w:rsidR="00443918" w:rsidRPr="00D42E50" w:rsidRDefault="00443918" w:rsidP="00A719A3">
      <w:pPr>
        <w:rPr>
          <w:rFonts w:ascii="Arial" w:hAnsi="Arial" w:cs="Arial"/>
          <w:sz w:val="24"/>
          <w:szCs w:val="24"/>
          <w:lang w:val="en-US"/>
        </w:rPr>
      </w:pPr>
    </w:p>
    <w:p w14:paraId="656063CE" w14:textId="684035B0" w:rsidR="00443918" w:rsidRPr="00D42E50" w:rsidRDefault="00443918" w:rsidP="00A719A3">
      <w:pPr>
        <w:rPr>
          <w:rFonts w:ascii="Arial" w:hAnsi="Arial" w:cs="Arial"/>
          <w:b/>
          <w:bCs/>
          <w:sz w:val="24"/>
          <w:szCs w:val="24"/>
          <w:lang w:val="en-US"/>
        </w:rPr>
      </w:pPr>
      <w:r w:rsidRPr="00D42E50">
        <w:rPr>
          <w:rFonts w:ascii="Arial" w:hAnsi="Arial" w:cs="Arial"/>
          <w:b/>
          <w:bCs/>
          <w:sz w:val="24"/>
          <w:szCs w:val="24"/>
          <w:lang w:val="en-US"/>
        </w:rPr>
        <w:t>TASK C: Reflective Report – Competence Development as a Future HR Professional</w:t>
      </w:r>
    </w:p>
    <w:p w14:paraId="429A60C8" w14:textId="77777777" w:rsidR="00443918" w:rsidRPr="00D42E50" w:rsidRDefault="00443918" w:rsidP="00A719A3">
      <w:pPr>
        <w:rPr>
          <w:rFonts w:ascii="Arial" w:hAnsi="Arial" w:cs="Arial"/>
          <w:b/>
          <w:bCs/>
          <w:sz w:val="24"/>
          <w:szCs w:val="24"/>
          <w:lang w:val="en-US"/>
        </w:rPr>
      </w:pPr>
    </w:p>
    <w:p w14:paraId="23A2820B" w14:textId="77777777" w:rsidR="00443918" w:rsidRPr="00D42E50" w:rsidRDefault="00443918" w:rsidP="00443918">
      <w:pPr>
        <w:rPr>
          <w:rFonts w:ascii="Arial" w:hAnsi="Arial" w:cs="Arial"/>
          <w:sz w:val="24"/>
          <w:szCs w:val="24"/>
          <w:lang w:val="en-US"/>
        </w:rPr>
      </w:pPr>
      <w:r w:rsidRPr="00D42E50">
        <w:rPr>
          <w:rFonts w:ascii="Arial" w:hAnsi="Arial" w:cs="Arial"/>
          <w:sz w:val="24"/>
          <w:szCs w:val="24"/>
          <w:lang w:val="en-US"/>
        </w:rPr>
        <w:t>1. AI as a Strategic Decision-Support Tool</w:t>
      </w:r>
    </w:p>
    <w:p w14:paraId="2C639C77" w14:textId="77777777" w:rsidR="00443918" w:rsidRPr="00D42E50" w:rsidRDefault="00443918" w:rsidP="00443918">
      <w:pPr>
        <w:rPr>
          <w:rFonts w:ascii="Arial" w:hAnsi="Arial" w:cs="Arial"/>
          <w:sz w:val="24"/>
          <w:szCs w:val="24"/>
          <w:lang w:val="en-US"/>
        </w:rPr>
      </w:pPr>
      <w:r w:rsidRPr="00D42E50">
        <w:rPr>
          <w:rFonts w:ascii="Arial" w:hAnsi="Arial" w:cs="Arial"/>
          <w:sz w:val="24"/>
          <w:szCs w:val="24"/>
          <w:lang w:val="en-US"/>
        </w:rPr>
        <w:t>I believe that in a modern HR department, AI is not merely a tool for routine communication or recruitment but a strategic decision-support tool. Through data analytics, AI can predict employee attrition and assist in designing learning pathways.</w:t>
      </w:r>
    </w:p>
    <w:p w14:paraId="492C4EC2" w14:textId="77777777" w:rsidR="00443918" w:rsidRPr="00D42E50" w:rsidRDefault="00443918" w:rsidP="00443918">
      <w:pPr>
        <w:rPr>
          <w:rFonts w:ascii="Arial" w:hAnsi="Arial" w:cs="Arial"/>
          <w:sz w:val="24"/>
          <w:szCs w:val="24"/>
          <w:lang w:val="en-US"/>
        </w:rPr>
      </w:pPr>
      <w:r w:rsidRPr="00D42E50">
        <w:rPr>
          <w:rFonts w:ascii="Arial" w:hAnsi="Arial" w:cs="Arial"/>
          <w:sz w:val="24"/>
          <w:szCs w:val="24"/>
          <w:lang w:val="en-US"/>
        </w:rPr>
        <w:t>However, it is essential to consider the following points when using AI:</w:t>
      </w:r>
    </w:p>
    <w:p w14:paraId="0CFA57C4" w14:textId="77777777" w:rsidR="00443918" w:rsidRPr="00D42E50" w:rsidRDefault="00443918" w:rsidP="00443918">
      <w:pPr>
        <w:rPr>
          <w:rFonts w:ascii="Arial" w:hAnsi="Arial" w:cs="Arial"/>
          <w:sz w:val="24"/>
          <w:szCs w:val="24"/>
          <w:lang w:val="en-US"/>
        </w:rPr>
      </w:pPr>
      <w:r w:rsidRPr="00D42E50">
        <w:rPr>
          <w:rFonts w:ascii="Arial" w:hAnsi="Arial" w:cs="Arial"/>
          <w:sz w:val="24"/>
          <w:szCs w:val="24"/>
          <w:lang w:val="en-US"/>
        </w:rPr>
        <w:t>Ethical Judgment: AI algorithms can exhibit bias due to historical data. As an HR manager, it is my ethical duty to ensure fairness in recruitment and performance evaluations and to comply with GDPR data privacy standards.</w:t>
      </w:r>
    </w:p>
    <w:p w14:paraId="35DEC71E" w14:textId="24F5D199" w:rsidR="00443918" w:rsidRPr="00D42E50" w:rsidRDefault="00443918" w:rsidP="00443918">
      <w:pPr>
        <w:rPr>
          <w:rFonts w:ascii="Arial" w:hAnsi="Arial" w:cs="Arial"/>
          <w:sz w:val="24"/>
          <w:szCs w:val="24"/>
          <w:lang w:val="en-US"/>
        </w:rPr>
      </w:pPr>
      <w:r w:rsidRPr="00D42E50">
        <w:rPr>
          <w:rFonts w:ascii="Arial" w:hAnsi="Arial" w:cs="Arial"/>
          <w:sz w:val="24"/>
          <w:szCs w:val="24"/>
          <w:lang w:val="en-US"/>
        </w:rPr>
        <w:t>Human Empathy: While AI can provide statistical data, it cannot comprehend employees' emotions, stress levels, or the organizational culture. Therefore, final decisions should always be made with a human touch and empathy.</w:t>
      </w:r>
    </w:p>
    <w:p w14:paraId="7E34C18C" w14:textId="77777777" w:rsidR="008B288B" w:rsidRPr="00D42E50" w:rsidRDefault="008B288B" w:rsidP="00443918">
      <w:pPr>
        <w:rPr>
          <w:rFonts w:ascii="Arial" w:hAnsi="Arial" w:cs="Arial"/>
          <w:sz w:val="24"/>
          <w:szCs w:val="24"/>
          <w:lang w:val="en-US"/>
        </w:rPr>
      </w:pPr>
    </w:p>
    <w:p w14:paraId="36079B6C" w14:textId="77777777" w:rsidR="008B288B" w:rsidRPr="00D42E50" w:rsidRDefault="008B288B" w:rsidP="008B288B">
      <w:pPr>
        <w:rPr>
          <w:rFonts w:ascii="Arial" w:hAnsi="Arial" w:cs="Arial"/>
          <w:sz w:val="24"/>
          <w:szCs w:val="24"/>
          <w:lang w:val="en-US"/>
        </w:rPr>
      </w:pPr>
      <w:r w:rsidRPr="00D42E50">
        <w:rPr>
          <w:rFonts w:ascii="Arial" w:hAnsi="Arial" w:cs="Arial"/>
          <w:sz w:val="24"/>
          <w:szCs w:val="24"/>
          <w:lang w:val="en-US"/>
        </w:rPr>
        <w:t>2. Self-Analysis: Use of AI and Experience (Reflective Analysis)</w:t>
      </w:r>
    </w:p>
    <w:p w14:paraId="5CE2408B" w14:textId="77777777" w:rsidR="008B288B" w:rsidRPr="00D42E50" w:rsidRDefault="008B288B" w:rsidP="008B288B">
      <w:pPr>
        <w:rPr>
          <w:rFonts w:ascii="Arial" w:hAnsi="Arial" w:cs="Arial"/>
          <w:sz w:val="24"/>
          <w:szCs w:val="24"/>
          <w:lang w:val="en-US"/>
        </w:rPr>
      </w:pPr>
      <w:r w:rsidRPr="00D42E50">
        <w:rPr>
          <w:rFonts w:ascii="Arial" w:hAnsi="Arial" w:cs="Arial"/>
          <w:sz w:val="24"/>
          <w:szCs w:val="24"/>
          <w:lang w:val="en-US"/>
        </w:rPr>
        <w:t>I utilized AI tools during my academic and research work. Below are three specific examples and the impact they had on my capabilities:</w:t>
      </w:r>
    </w:p>
    <w:p w14:paraId="3160D920" w14:textId="77777777" w:rsidR="008B288B" w:rsidRPr="00D42E50" w:rsidRDefault="008B288B" w:rsidP="008B288B">
      <w:pPr>
        <w:rPr>
          <w:rFonts w:ascii="Arial" w:hAnsi="Arial" w:cs="Arial"/>
          <w:b/>
          <w:bCs/>
          <w:sz w:val="24"/>
          <w:szCs w:val="24"/>
          <w:lang w:val="en-US"/>
        </w:rPr>
      </w:pPr>
      <w:r w:rsidRPr="00D42E50">
        <w:rPr>
          <w:rFonts w:ascii="Arial" w:hAnsi="Arial" w:cs="Arial"/>
          <w:b/>
          <w:bCs/>
          <w:sz w:val="24"/>
          <w:szCs w:val="24"/>
          <w:lang w:val="en-US"/>
        </w:rPr>
        <w:t>HR Research and Data Synthesis:</w:t>
      </w:r>
    </w:p>
    <w:p w14:paraId="39289137" w14:textId="77777777" w:rsidR="008B288B" w:rsidRPr="00D42E50" w:rsidRDefault="008B288B" w:rsidP="008B288B">
      <w:pPr>
        <w:rPr>
          <w:rFonts w:ascii="Arial" w:hAnsi="Arial" w:cs="Arial"/>
          <w:sz w:val="24"/>
          <w:szCs w:val="24"/>
          <w:lang w:val="en-US"/>
        </w:rPr>
      </w:pPr>
      <w:r w:rsidRPr="00D42E50">
        <w:rPr>
          <w:rFonts w:ascii="Arial" w:hAnsi="Arial" w:cs="Arial"/>
          <w:b/>
          <w:bCs/>
          <w:sz w:val="24"/>
          <w:szCs w:val="24"/>
          <w:lang w:val="en-US"/>
        </w:rPr>
        <w:t>How it helped</w:t>
      </w:r>
      <w:r w:rsidRPr="00D42E50">
        <w:rPr>
          <w:rFonts w:ascii="Arial" w:hAnsi="Arial" w:cs="Arial"/>
          <w:sz w:val="24"/>
          <w:szCs w:val="24"/>
          <w:lang w:val="en-US"/>
        </w:rPr>
        <w:t>: During the project, AI assisted in quickly locating information regarding various HR practices (such as Hybrid Working and Agile Models).</w:t>
      </w:r>
    </w:p>
    <w:p w14:paraId="173A718C" w14:textId="77777777" w:rsidR="008B288B" w:rsidRPr="00D42E50" w:rsidRDefault="008B288B" w:rsidP="008B288B">
      <w:pPr>
        <w:rPr>
          <w:rFonts w:ascii="Arial" w:hAnsi="Arial" w:cs="Arial"/>
          <w:sz w:val="24"/>
          <w:szCs w:val="24"/>
          <w:lang w:val="en-US"/>
        </w:rPr>
      </w:pPr>
      <w:r w:rsidRPr="00D42E50">
        <w:rPr>
          <w:rFonts w:ascii="Arial" w:hAnsi="Arial" w:cs="Arial"/>
          <w:b/>
          <w:bCs/>
          <w:sz w:val="24"/>
          <w:szCs w:val="24"/>
          <w:lang w:val="en-US"/>
        </w:rPr>
        <w:t>Challenges faced:</w:t>
      </w:r>
      <w:r w:rsidRPr="00D42E50">
        <w:rPr>
          <w:rFonts w:ascii="Arial" w:hAnsi="Arial" w:cs="Arial"/>
          <w:sz w:val="24"/>
          <w:szCs w:val="24"/>
          <w:lang w:val="en-US"/>
        </w:rPr>
        <w:t xml:space="preserve"> AI often generated generic text; I had to employ critical thinking to integrate this with my own reasoning and case study contexts.</w:t>
      </w:r>
    </w:p>
    <w:p w14:paraId="2B5C372B" w14:textId="77777777" w:rsidR="008B288B" w:rsidRPr="00D42E50" w:rsidRDefault="008B288B" w:rsidP="008B288B">
      <w:pPr>
        <w:rPr>
          <w:rFonts w:ascii="Arial" w:hAnsi="Arial" w:cs="Arial"/>
          <w:b/>
          <w:bCs/>
          <w:sz w:val="24"/>
          <w:szCs w:val="24"/>
          <w:lang w:val="en-US"/>
        </w:rPr>
      </w:pPr>
      <w:r w:rsidRPr="00D42E50">
        <w:rPr>
          <w:rFonts w:ascii="Arial" w:hAnsi="Arial" w:cs="Arial"/>
          <w:b/>
          <w:bCs/>
          <w:sz w:val="24"/>
          <w:szCs w:val="24"/>
          <w:lang w:val="en-US"/>
        </w:rPr>
        <w:t>Visualization and Charts (Visual Diagrams / SVG Creation):</w:t>
      </w:r>
    </w:p>
    <w:p w14:paraId="763C7A6F" w14:textId="77777777" w:rsidR="008B288B" w:rsidRPr="00D42E50" w:rsidRDefault="008B288B" w:rsidP="008B288B">
      <w:pPr>
        <w:rPr>
          <w:rFonts w:ascii="Arial" w:hAnsi="Arial" w:cs="Arial"/>
          <w:sz w:val="24"/>
          <w:szCs w:val="24"/>
          <w:lang w:val="en-US"/>
        </w:rPr>
      </w:pPr>
      <w:r w:rsidRPr="00D42E50">
        <w:rPr>
          <w:rFonts w:ascii="Arial" w:hAnsi="Arial" w:cs="Arial"/>
          <w:b/>
          <w:bCs/>
          <w:sz w:val="24"/>
          <w:szCs w:val="24"/>
          <w:lang w:val="en-US"/>
        </w:rPr>
        <w:t>How it helped:</w:t>
      </w:r>
      <w:r w:rsidRPr="00D42E50">
        <w:rPr>
          <w:rFonts w:ascii="Arial" w:hAnsi="Arial" w:cs="Arial"/>
          <w:sz w:val="24"/>
          <w:szCs w:val="24"/>
          <w:lang w:val="en-US"/>
        </w:rPr>
        <w:t xml:space="preserve"> I used AI to design visual charts for dashboards and frameworks, which improved my digital literacy and data presentation skills.</w:t>
      </w:r>
    </w:p>
    <w:p w14:paraId="5BC0F953" w14:textId="77777777" w:rsidR="008B288B" w:rsidRPr="00D42E50" w:rsidRDefault="008B288B" w:rsidP="008B288B">
      <w:pPr>
        <w:rPr>
          <w:rFonts w:ascii="Arial" w:hAnsi="Arial" w:cs="Arial"/>
          <w:sz w:val="24"/>
          <w:szCs w:val="24"/>
          <w:lang w:val="en-US"/>
        </w:rPr>
      </w:pPr>
      <w:r w:rsidRPr="00D42E50">
        <w:rPr>
          <w:rFonts w:ascii="Arial" w:hAnsi="Arial" w:cs="Arial"/>
          <w:b/>
          <w:bCs/>
          <w:sz w:val="24"/>
          <w:szCs w:val="24"/>
          <w:lang w:val="en-US"/>
        </w:rPr>
        <w:t>Challenges faced</w:t>
      </w:r>
      <w:r w:rsidRPr="00D42E50">
        <w:rPr>
          <w:rFonts w:ascii="Arial" w:hAnsi="Arial" w:cs="Arial"/>
          <w:sz w:val="24"/>
          <w:szCs w:val="24"/>
          <w:lang w:val="en-US"/>
        </w:rPr>
        <w:t>: I had to personally conduct technical checks to rectify formatting errors in the code or visuals.</w:t>
      </w:r>
    </w:p>
    <w:p w14:paraId="7F0F36BE" w14:textId="77777777" w:rsidR="008B288B" w:rsidRPr="00D42E50" w:rsidRDefault="008B288B" w:rsidP="008B288B">
      <w:pPr>
        <w:rPr>
          <w:rFonts w:ascii="Arial" w:hAnsi="Arial" w:cs="Arial"/>
          <w:b/>
          <w:bCs/>
          <w:sz w:val="24"/>
          <w:szCs w:val="24"/>
          <w:lang w:val="en-US"/>
        </w:rPr>
      </w:pPr>
      <w:r w:rsidRPr="00D42E50">
        <w:rPr>
          <w:rFonts w:ascii="Arial" w:hAnsi="Arial" w:cs="Arial"/>
          <w:b/>
          <w:bCs/>
          <w:sz w:val="24"/>
          <w:szCs w:val="24"/>
          <w:lang w:val="en-US"/>
        </w:rPr>
        <w:t>Proofreading and Language Improvements (Proofreading &amp; Grammar Check):</w:t>
      </w:r>
    </w:p>
    <w:p w14:paraId="0B4FA707" w14:textId="673411AD" w:rsidR="008B288B" w:rsidRPr="00D42E50" w:rsidRDefault="008B288B" w:rsidP="008B288B">
      <w:pPr>
        <w:rPr>
          <w:rFonts w:ascii="Arial" w:hAnsi="Arial" w:cs="Arial"/>
          <w:sz w:val="24"/>
          <w:szCs w:val="24"/>
          <w:lang w:val="en-US"/>
        </w:rPr>
      </w:pPr>
      <w:r w:rsidRPr="00D42E50">
        <w:rPr>
          <w:rFonts w:ascii="Arial" w:hAnsi="Arial" w:cs="Arial"/>
          <w:b/>
          <w:bCs/>
          <w:sz w:val="24"/>
          <w:szCs w:val="24"/>
          <w:lang w:val="en-US"/>
        </w:rPr>
        <w:t>How it helped</w:t>
      </w:r>
      <w:r w:rsidRPr="00D42E50">
        <w:rPr>
          <w:rFonts w:ascii="Arial" w:hAnsi="Arial" w:cs="Arial"/>
          <w:sz w:val="24"/>
          <w:szCs w:val="24"/>
          <w:lang w:val="en-US"/>
        </w:rPr>
        <w:t>: I used AI to correct grammar and sentence structure in my writing, thereby strengthening my academic writing skills. The challenge I faced was ensuring I didn't lose my own linguistic style due to over-reliance on AI; to avoid this, I only took suggestions and wrote the final sentences in my own words.</w:t>
      </w:r>
    </w:p>
    <w:p w14:paraId="57E895AA" w14:textId="77777777" w:rsidR="000110DC" w:rsidRPr="00D42E50" w:rsidRDefault="000110DC" w:rsidP="008B288B">
      <w:pPr>
        <w:rPr>
          <w:rFonts w:ascii="Arial" w:hAnsi="Arial" w:cs="Arial"/>
          <w:sz w:val="24"/>
          <w:szCs w:val="24"/>
          <w:lang w:val="en-US"/>
        </w:rPr>
      </w:pPr>
    </w:p>
    <w:p w14:paraId="01E23C32" w14:textId="77777777" w:rsidR="000110DC" w:rsidRPr="00D42E50" w:rsidRDefault="000110DC" w:rsidP="000110DC">
      <w:pPr>
        <w:rPr>
          <w:rFonts w:ascii="Arial" w:hAnsi="Arial" w:cs="Arial"/>
          <w:b/>
          <w:bCs/>
          <w:sz w:val="24"/>
          <w:szCs w:val="24"/>
          <w:lang w:val="en-US"/>
        </w:rPr>
      </w:pPr>
      <w:r w:rsidRPr="00D42E50">
        <w:rPr>
          <w:rFonts w:ascii="Arial" w:hAnsi="Arial" w:cs="Arial"/>
          <w:b/>
          <w:bCs/>
          <w:sz w:val="24"/>
          <w:szCs w:val="24"/>
          <w:lang w:val="en-US"/>
        </w:rPr>
        <w:lastRenderedPageBreak/>
        <w:t>3. Personal Action Plan</w:t>
      </w:r>
    </w:p>
    <w:p w14:paraId="02709B2B" w14:textId="77777777" w:rsidR="00E50879" w:rsidRPr="00D42E50" w:rsidRDefault="00E50879" w:rsidP="00E50879">
      <w:pPr>
        <w:rPr>
          <w:rFonts w:ascii="Arial" w:hAnsi="Arial" w:cs="Arial"/>
          <w:sz w:val="24"/>
          <w:szCs w:val="24"/>
          <w:lang w:val="en-US"/>
        </w:rPr>
      </w:pPr>
      <w:r w:rsidRPr="00D42E50">
        <w:rPr>
          <w:rFonts w:ascii="Arial" w:hAnsi="Arial" w:cs="Arial"/>
          <w:sz w:val="24"/>
          <w:szCs w:val="24"/>
          <w:lang w:val="en-US"/>
        </w:rPr>
        <w:t>To enhance my future employability and become a highly competent, ethical, and strategic HR professional, I will implement the following multifaceted plan:</w:t>
      </w:r>
    </w:p>
    <w:p w14:paraId="34FD5F7E" w14:textId="77777777" w:rsidR="00E50879" w:rsidRPr="00D42E50" w:rsidRDefault="00E50879" w:rsidP="00E50879">
      <w:pPr>
        <w:rPr>
          <w:rFonts w:ascii="Arial" w:hAnsi="Arial" w:cs="Arial"/>
          <w:sz w:val="24"/>
          <w:szCs w:val="24"/>
          <w:lang w:val="en-US"/>
        </w:rPr>
      </w:pPr>
    </w:p>
    <w:p w14:paraId="77453851" w14:textId="77777777" w:rsidR="00E50879" w:rsidRPr="00D42E50" w:rsidRDefault="00E50879" w:rsidP="00E50879">
      <w:pPr>
        <w:rPr>
          <w:rFonts w:ascii="Arial" w:hAnsi="Arial" w:cs="Arial"/>
          <w:sz w:val="24"/>
          <w:szCs w:val="24"/>
          <w:lang w:val="en-US"/>
        </w:rPr>
      </w:pPr>
      <w:r w:rsidRPr="00D42E50">
        <w:rPr>
          <w:rFonts w:ascii="Arial" w:hAnsi="Arial" w:cs="Arial"/>
          <w:sz w:val="24"/>
          <w:szCs w:val="24"/>
          <w:lang w:val="en-US"/>
        </w:rPr>
        <w:t>1. Mastery in HR Analytics &amp; AI:</w:t>
      </w:r>
    </w:p>
    <w:p w14:paraId="36E758B3" w14:textId="77777777" w:rsidR="00E50879" w:rsidRPr="00D42E50" w:rsidRDefault="00E50879" w:rsidP="00E50879">
      <w:pPr>
        <w:rPr>
          <w:rFonts w:ascii="Arial" w:hAnsi="Arial" w:cs="Arial"/>
          <w:sz w:val="24"/>
          <w:szCs w:val="24"/>
          <w:lang w:val="en-US"/>
        </w:rPr>
      </w:pPr>
      <w:r w:rsidRPr="00D42E50">
        <w:rPr>
          <w:rFonts w:ascii="Arial" w:hAnsi="Arial" w:cs="Arial"/>
          <w:sz w:val="24"/>
          <w:szCs w:val="24"/>
          <w:lang w:val="en-US"/>
        </w:rPr>
        <w:t>To remain competitive in today's data-driven work culture, I will complete recognized certification courses in People Analytics and AI-HR technology offered by Google or LinkedIn within the next six months. This will enable me to move beyond traditional HR decision-making and instead make precise, strategic decisions based on the analysis of employee data.</w:t>
      </w:r>
    </w:p>
    <w:p w14:paraId="6442A7F0" w14:textId="77777777" w:rsidR="00E50879" w:rsidRPr="00D42E50" w:rsidRDefault="00E50879" w:rsidP="00E50879">
      <w:pPr>
        <w:rPr>
          <w:rFonts w:ascii="Arial" w:hAnsi="Arial" w:cs="Arial"/>
          <w:sz w:val="24"/>
          <w:szCs w:val="24"/>
          <w:lang w:val="en-US"/>
        </w:rPr>
      </w:pPr>
    </w:p>
    <w:p w14:paraId="6C318504" w14:textId="77777777" w:rsidR="00E50879" w:rsidRPr="00D42E50" w:rsidRDefault="00E50879" w:rsidP="00E50879">
      <w:pPr>
        <w:rPr>
          <w:rFonts w:ascii="Arial" w:hAnsi="Arial" w:cs="Arial"/>
          <w:sz w:val="24"/>
          <w:szCs w:val="24"/>
          <w:lang w:val="en-US"/>
        </w:rPr>
      </w:pPr>
      <w:r w:rsidRPr="00D42E50">
        <w:rPr>
          <w:rFonts w:ascii="Arial" w:hAnsi="Arial" w:cs="Arial"/>
          <w:sz w:val="24"/>
          <w:szCs w:val="24"/>
          <w:lang w:val="en-US"/>
        </w:rPr>
        <w:t>2. Ethical Leadership &amp; Data Governance:</w:t>
      </w:r>
    </w:p>
    <w:p w14:paraId="2E7ABC67" w14:textId="77777777" w:rsidR="00E50879" w:rsidRPr="00D42E50" w:rsidRDefault="00E50879" w:rsidP="00E50879">
      <w:pPr>
        <w:rPr>
          <w:rFonts w:ascii="Arial" w:hAnsi="Arial" w:cs="Arial"/>
          <w:sz w:val="24"/>
          <w:szCs w:val="24"/>
          <w:lang w:val="en-US"/>
        </w:rPr>
      </w:pPr>
      <w:r w:rsidRPr="00D42E50">
        <w:rPr>
          <w:rFonts w:ascii="Arial" w:hAnsi="Arial" w:cs="Arial"/>
          <w:sz w:val="24"/>
          <w:szCs w:val="24"/>
          <w:lang w:val="en-US"/>
        </w:rPr>
        <w:t>I will thoroughly study ethical guidelines and participate in ethical leadership workshops to ensure strict adherence to principles of Diversity, Equity, and Inclusion (DEI) as well as data privacy laws like GDPR. As an HR leader, I will bear the ethical responsibility of ensuring that the use of technology does not lead to any bias or discrimination against employees.</w:t>
      </w:r>
    </w:p>
    <w:p w14:paraId="359A77D0" w14:textId="77777777" w:rsidR="00E50879" w:rsidRPr="00D42E50" w:rsidRDefault="00E50879" w:rsidP="00E50879">
      <w:pPr>
        <w:rPr>
          <w:rFonts w:ascii="Arial" w:hAnsi="Arial" w:cs="Arial"/>
          <w:sz w:val="24"/>
          <w:szCs w:val="24"/>
          <w:lang w:val="en-US"/>
        </w:rPr>
      </w:pPr>
    </w:p>
    <w:p w14:paraId="0F961461" w14:textId="7EEFF822" w:rsidR="00B8793E" w:rsidRPr="00B8793E" w:rsidRDefault="00B8793E" w:rsidP="006C21D1">
      <w:pPr>
        <w:rPr>
          <w:rFonts w:ascii="Arial" w:hAnsi="Arial" w:cs="Arial"/>
          <w:sz w:val="24"/>
          <w:szCs w:val="24"/>
          <w:lang w:val="en-US"/>
        </w:rPr>
      </w:pPr>
      <w:r>
        <w:rPr>
          <w:rFonts w:ascii="Arial" w:hAnsi="Arial" w:cs="Arial"/>
          <w:sz w:val="24"/>
          <w:szCs w:val="24"/>
          <w:lang w:val="en-US"/>
        </w:rPr>
        <w:t xml:space="preserve">3. </w:t>
      </w:r>
      <w:r w:rsidRPr="00B8793E">
        <w:rPr>
          <w:rFonts w:ascii="Arial" w:hAnsi="Arial" w:cs="Arial"/>
          <w:sz w:val="24"/>
          <w:szCs w:val="24"/>
          <w:lang w:val="en-US"/>
        </w:rPr>
        <w:t>Strategic Approach &amp; Technical Focus:</w:t>
      </w:r>
    </w:p>
    <w:p w14:paraId="45298B49" w14:textId="62DAFC95" w:rsidR="00B8793E" w:rsidRDefault="00F819B2" w:rsidP="00E50879">
      <w:pPr>
        <w:rPr>
          <w:rFonts w:ascii="Arial" w:hAnsi="Arial" w:cs="Arial"/>
          <w:sz w:val="24"/>
          <w:szCs w:val="24"/>
          <w:lang w:val="en-US"/>
        </w:rPr>
      </w:pPr>
      <w:r w:rsidRPr="00F819B2">
        <w:rPr>
          <w:rFonts w:ascii="Arial" w:hAnsi="Arial" w:cs="Arial"/>
          <w:sz w:val="24"/>
          <w:szCs w:val="24"/>
          <w:lang w:val="en-US"/>
        </w:rPr>
        <w:t xml:space="preserve">While AI algorithms and predictive HR analytics provide data-driven insights into employee performance and turnover patterns, technical tools alone cannot fully resolve complex organizational transformations, cross-cultural dynamics, or ethical issues (Tambe et al., 2019; </w:t>
      </w:r>
      <w:proofErr w:type="spellStart"/>
      <w:r w:rsidRPr="00F819B2">
        <w:rPr>
          <w:rFonts w:ascii="Arial" w:hAnsi="Arial" w:cs="Arial"/>
          <w:sz w:val="24"/>
          <w:szCs w:val="24"/>
          <w:lang w:val="en-US"/>
        </w:rPr>
        <w:t>Vrontis</w:t>
      </w:r>
      <w:proofErr w:type="spellEnd"/>
      <w:r w:rsidRPr="00F819B2">
        <w:rPr>
          <w:rFonts w:ascii="Arial" w:hAnsi="Arial" w:cs="Arial"/>
          <w:sz w:val="24"/>
          <w:szCs w:val="24"/>
          <w:lang w:val="en-US"/>
        </w:rPr>
        <w:t xml:space="preserve"> et al., 2022). Therefore, rather than viewing technology and human resource management in isolation, I will focus on mastering strategic human-AI synergy, socio-technical systems integration, and change management frameworks (such as Kotter’s 8-step model).</w:t>
      </w:r>
    </w:p>
    <w:p w14:paraId="26FB56FC" w14:textId="77777777" w:rsidR="00B8793E" w:rsidRDefault="00B8793E" w:rsidP="00E50879">
      <w:pPr>
        <w:rPr>
          <w:rFonts w:ascii="Arial" w:hAnsi="Arial" w:cs="Arial"/>
          <w:sz w:val="24"/>
          <w:szCs w:val="24"/>
          <w:lang w:val="en-US"/>
        </w:rPr>
      </w:pPr>
    </w:p>
    <w:p w14:paraId="53A41682" w14:textId="77777777" w:rsidR="00B8793E" w:rsidRPr="00D42E50" w:rsidRDefault="00B8793E" w:rsidP="00E50879">
      <w:pPr>
        <w:rPr>
          <w:rFonts w:ascii="Arial" w:hAnsi="Arial" w:cs="Arial"/>
          <w:sz w:val="24"/>
          <w:szCs w:val="24"/>
          <w:lang w:val="en-US"/>
        </w:rPr>
      </w:pPr>
    </w:p>
    <w:p w14:paraId="1F1B1A9A" w14:textId="3DB3FF43" w:rsidR="002D686A" w:rsidRPr="00D42E50" w:rsidRDefault="00EC4E9E" w:rsidP="00E50879">
      <w:pPr>
        <w:rPr>
          <w:rFonts w:ascii="Arial" w:hAnsi="Arial" w:cs="Arial"/>
          <w:sz w:val="24"/>
          <w:szCs w:val="24"/>
          <w:lang w:val="en-US"/>
        </w:rPr>
      </w:pPr>
      <w:r w:rsidRPr="00D42E50">
        <w:rPr>
          <w:rFonts w:ascii="Arial" w:hAnsi="Arial" w:cs="Arial"/>
          <w:noProof/>
          <w:sz w:val="24"/>
          <w:szCs w:val="24"/>
          <w:lang w:val="en-US"/>
        </w:rPr>
        <w:lastRenderedPageBreak/>
        <w:drawing>
          <wp:inline distT="0" distB="0" distL="0" distR="0" wp14:anchorId="088F4D2F" wp14:editId="6BF349E6">
            <wp:extent cx="5731510" cy="3820795"/>
            <wp:effectExtent l="0" t="0" r="2540" b="8255"/>
            <wp:docPr id="630159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15915" name="Picture 630159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A9E5BBA" w14:textId="047A804A" w:rsidR="002D686A" w:rsidRPr="00D42E50" w:rsidRDefault="00EC4E9E" w:rsidP="000110DC">
      <w:pPr>
        <w:rPr>
          <w:rFonts w:ascii="Arial" w:hAnsi="Arial" w:cs="Arial"/>
          <w:sz w:val="24"/>
          <w:szCs w:val="24"/>
          <w:lang w:val="en-US"/>
        </w:rPr>
      </w:pPr>
      <w:r w:rsidRPr="00D42E50">
        <w:rPr>
          <w:rFonts w:ascii="Arial" w:hAnsi="Arial" w:cs="Arial"/>
          <w:sz w:val="24"/>
          <w:szCs w:val="24"/>
          <w:lang w:val="en-US"/>
        </w:rPr>
        <w:t xml:space="preserve">(figure:3 personal capacity development plan image generated by </w:t>
      </w:r>
      <w:r w:rsidR="00F3347E" w:rsidRPr="00D42E50">
        <w:rPr>
          <w:rFonts w:ascii="Arial" w:hAnsi="Arial" w:cs="Arial"/>
          <w:sz w:val="24"/>
          <w:szCs w:val="24"/>
          <w:lang w:val="en-US"/>
        </w:rPr>
        <w:t>ChatGPT</w:t>
      </w:r>
      <w:r w:rsidRPr="00D42E50">
        <w:rPr>
          <w:rFonts w:ascii="Arial" w:hAnsi="Arial" w:cs="Arial"/>
          <w:sz w:val="24"/>
          <w:szCs w:val="24"/>
          <w:lang w:val="en-US"/>
        </w:rPr>
        <w:t>)</w:t>
      </w:r>
    </w:p>
    <w:p w14:paraId="55D2201D" w14:textId="77777777" w:rsidR="003F0481" w:rsidRPr="00D42E50" w:rsidRDefault="003F0481" w:rsidP="000110DC">
      <w:pPr>
        <w:rPr>
          <w:rFonts w:ascii="Arial" w:hAnsi="Arial" w:cs="Arial"/>
          <w:sz w:val="24"/>
          <w:szCs w:val="24"/>
          <w:lang w:val="en-US"/>
        </w:rPr>
      </w:pPr>
    </w:p>
    <w:p w14:paraId="6155FF10" w14:textId="77777777" w:rsidR="003F0481" w:rsidRPr="00D42E50" w:rsidRDefault="003F0481" w:rsidP="000110DC">
      <w:pPr>
        <w:rPr>
          <w:rFonts w:ascii="Arial" w:hAnsi="Arial" w:cs="Arial"/>
          <w:sz w:val="24"/>
          <w:szCs w:val="24"/>
          <w:lang w:val="en-US"/>
        </w:rPr>
      </w:pPr>
    </w:p>
    <w:p w14:paraId="603ED667" w14:textId="77777777" w:rsidR="003F0481" w:rsidRPr="00D42E50" w:rsidRDefault="003F0481" w:rsidP="000110DC">
      <w:pPr>
        <w:rPr>
          <w:rFonts w:ascii="Arial" w:hAnsi="Arial" w:cs="Arial"/>
          <w:sz w:val="24"/>
          <w:szCs w:val="24"/>
          <w:lang w:val="en-US"/>
        </w:rPr>
      </w:pPr>
    </w:p>
    <w:p w14:paraId="4B0ACCA9" w14:textId="77777777" w:rsidR="003F0481" w:rsidRPr="00D42E50" w:rsidRDefault="003F0481" w:rsidP="000110DC">
      <w:pPr>
        <w:rPr>
          <w:rFonts w:ascii="Arial" w:hAnsi="Arial" w:cs="Arial"/>
          <w:sz w:val="24"/>
          <w:szCs w:val="24"/>
          <w:lang w:val="en-US"/>
        </w:rPr>
      </w:pPr>
    </w:p>
    <w:p w14:paraId="3998E167" w14:textId="77777777" w:rsidR="003F0481" w:rsidRPr="00D42E50" w:rsidRDefault="003F0481" w:rsidP="000110DC">
      <w:pPr>
        <w:rPr>
          <w:rFonts w:ascii="Arial" w:hAnsi="Arial" w:cs="Arial"/>
          <w:sz w:val="24"/>
          <w:szCs w:val="24"/>
          <w:lang w:val="en-US"/>
        </w:rPr>
      </w:pPr>
    </w:p>
    <w:p w14:paraId="1BD1F53D" w14:textId="77777777" w:rsidR="003F0481" w:rsidRPr="00D42E50" w:rsidRDefault="003F0481" w:rsidP="000110DC">
      <w:pPr>
        <w:rPr>
          <w:rFonts w:ascii="Arial" w:hAnsi="Arial" w:cs="Arial"/>
          <w:sz w:val="24"/>
          <w:szCs w:val="24"/>
          <w:lang w:val="en-US"/>
        </w:rPr>
      </w:pPr>
    </w:p>
    <w:p w14:paraId="58284F50" w14:textId="77777777" w:rsidR="003F0481" w:rsidRPr="00D42E50" w:rsidRDefault="003F0481" w:rsidP="000110DC">
      <w:pPr>
        <w:rPr>
          <w:rFonts w:ascii="Arial" w:hAnsi="Arial" w:cs="Arial"/>
          <w:sz w:val="24"/>
          <w:szCs w:val="24"/>
          <w:lang w:val="en-US"/>
        </w:rPr>
      </w:pPr>
    </w:p>
    <w:p w14:paraId="0E9EACD5" w14:textId="77777777" w:rsidR="003F0481" w:rsidRPr="00D42E50" w:rsidRDefault="003F0481" w:rsidP="000110DC">
      <w:pPr>
        <w:rPr>
          <w:rFonts w:ascii="Arial" w:hAnsi="Arial" w:cs="Arial"/>
          <w:sz w:val="24"/>
          <w:szCs w:val="24"/>
          <w:lang w:val="en-US"/>
        </w:rPr>
      </w:pPr>
    </w:p>
    <w:p w14:paraId="10873148" w14:textId="77777777" w:rsidR="003F0481" w:rsidRPr="00D42E50" w:rsidRDefault="003F0481" w:rsidP="000110DC">
      <w:pPr>
        <w:rPr>
          <w:rFonts w:ascii="Arial" w:hAnsi="Arial" w:cs="Arial"/>
          <w:sz w:val="24"/>
          <w:szCs w:val="24"/>
          <w:lang w:val="en-US"/>
        </w:rPr>
      </w:pPr>
    </w:p>
    <w:p w14:paraId="4845F23F" w14:textId="77777777" w:rsidR="003F0481" w:rsidRPr="00D42E50" w:rsidRDefault="003F0481" w:rsidP="000110DC">
      <w:pPr>
        <w:rPr>
          <w:rFonts w:ascii="Arial" w:hAnsi="Arial" w:cs="Arial"/>
          <w:sz w:val="24"/>
          <w:szCs w:val="24"/>
          <w:lang w:val="en-US"/>
        </w:rPr>
      </w:pPr>
    </w:p>
    <w:p w14:paraId="32794DBE" w14:textId="77777777" w:rsidR="003F0481" w:rsidRPr="00D42E50" w:rsidRDefault="003F0481" w:rsidP="000110DC">
      <w:pPr>
        <w:rPr>
          <w:rFonts w:ascii="Arial" w:hAnsi="Arial" w:cs="Arial"/>
          <w:sz w:val="24"/>
          <w:szCs w:val="24"/>
          <w:lang w:val="en-US"/>
        </w:rPr>
      </w:pPr>
    </w:p>
    <w:p w14:paraId="3C0EBEFE" w14:textId="77777777" w:rsidR="003F0481" w:rsidRPr="00D42E50" w:rsidRDefault="003F0481" w:rsidP="000110DC">
      <w:pPr>
        <w:rPr>
          <w:rFonts w:ascii="Arial" w:hAnsi="Arial" w:cs="Arial"/>
          <w:sz w:val="24"/>
          <w:szCs w:val="24"/>
          <w:lang w:val="en-US"/>
        </w:rPr>
      </w:pPr>
    </w:p>
    <w:p w14:paraId="58F14583" w14:textId="77777777" w:rsidR="003F0481" w:rsidRPr="00D42E50" w:rsidRDefault="003F0481" w:rsidP="000110DC">
      <w:pPr>
        <w:rPr>
          <w:rFonts w:ascii="Arial" w:hAnsi="Arial" w:cs="Arial"/>
          <w:sz w:val="24"/>
          <w:szCs w:val="24"/>
          <w:lang w:val="en-US"/>
        </w:rPr>
      </w:pPr>
    </w:p>
    <w:p w14:paraId="3D26B49C" w14:textId="77777777" w:rsidR="003F0481" w:rsidRPr="00D42E50" w:rsidRDefault="003F0481" w:rsidP="000110DC">
      <w:pPr>
        <w:rPr>
          <w:rFonts w:ascii="Arial" w:hAnsi="Arial" w:cs="Arial"/>
          <w:sz w:val="24"/>
          <w:szCs w:val="24"/>
          <w:lang w:val="en-US"/>
        </w:rPr>
      </w:pPr>
    </w:p>
    <w:p w14:paraId="39DC5CE2" w14:textId="77777777" w:rsidR="003F0481" w:rsidRPr="00D42E50" w:rsidRDefault="003F0481" w:rsidP="000110DC">
      <w:pPr>
        <w:rPr>
          <w:rFonts w:ascii="Arial" w:hAnsi="Arial" w:cs="Arial"/>
          <w:sz w:val="24"/>
          <w:szCs w:val="24"/>
          <w:lang w:val="en-US"/>
        </w:rPr>
      </w:pPr>
    </w:p>
    <w:p w14:paraId="2C3DE67C" w14:textId="77777777" w:rsidR="003F0481" w:rsidRPr="00D42E50" w:rsidRDefault="003F0481" w:rsidP="000110DC">
      <w:pPr>
        <w:rPr>
          <w:rFonts w:ascii="Arial" w:hAnsi="Arial" w:cs="Arial"/>
          <w:sz w:val="24"/>
          <w:szCs w:val="24"/>
          <w:lang w:val="en-US"/>
        </w:rPr>
      </w:pPr>
    </w:p>
    <w:p w14:paraId="6FBFC5DF" w14:textId="77777777" w:rsidR="003F0481" w:rsidRPr="00D42E50" w:rsidRDefault="003F0481" w:rsidP="003F0481">
      <w:pPr>
        <w:rPr>
          <w:rFonts w:ascii="Arial" w:hAnsi="Arial" w:cs="Arial"/>
          <w:b/>
          <w:bCs/>
          <w:sz w:val="24"/>
          <w:szCs w:val="24"/>
        </w:rPr>
      </w:pPr>
      <w:r w:rsidRPr="00D42E50">
        <w:rPr>
          <w:rFonts w:ascii="Arial" w:hAnsi="Arial" w:cs="Arial"/>
          <w:b/>
          <w:bCs/>
          <w:sz w:val="24"/>
          <w:szCs w:val="24"/>
        </w:rPr>
        <w:lastRenderedPageBreak/>
        <w:t>4. REFERENCES</w:t>
      </w:r>
    </w:p>
    <w:p w14:paraId="3C3BC1A3" w14:textId="77777777" w:rsidR="00B57EE4" w:rsidRDefault="00B43618" w:rsidP="00D42E50">
      <w:pPr>
        <w:rPr>
          <w:rFonts w:ascii="Arial" w:hAnsi="Arial" w:cs="Arial"/>
          <w:sz w:val="24"/>
          <w:szCs w:val="24"/>
        </w:rPr>
      </w:pPr>
      <w:r w:rsidRPr="00B43618">
        <w:rPr>
          <w:rFonts w:ascii="Arial" w:hAnsi="Arial" w:cs="Arial"/>
          <w:sz w:val="24"/>
          <w:szCs w:val="24"/>
        </w:rPr>
        <w:t xml:space="preserve">1. Boxall, P., &amp; Purcell, J. (2016). Strategy and Human Resource Management (4th Edition). Palgrave Macmillan. </w:t>
      </w:r>
    </w:p>
    <w:p w14:paraId="6599F521" w14:textId="77777777" w:rsidR="00B57EE4" w:rsidRDefault="00B43618" w:rsidP="00D42E50">
      <w:pPr>
        <w:rPr>
          <w:rFonts w:ascii="Arial" w:hAnsi="Arial" w:cs="Arial"/>
          <w:sz w:val="24"/>
          <w:szCs w:val="24"/>
        </w:rPr>
      </w:pPr>
      <w:r w:rsidRPr="00B43618">
        <w:rPr>
          <w:rFonts w:ascii="Arial" w:hAnsi="Arial" w:cs="Arial"/>
          <w:sz w:val="24"/>
          <w:szCs w:val="24"/>
        </w:rPr>
        <w:t xml:space="preserve">2. Dastmalchian, A., et al. (2020). High-performance work systems and organizational performance in societal cultures. Journal of International Business Studies. </w:t>
      </w:r>
    </w:p>
    <w:p w14:paraId="52D1ECCB" w14:textId="77777777" w:rsidR="00B57EE4" w:rsidRDefault="00B43618" w:rsidP="00D42E50">
      <w:pPr>
        <w:rPr>
          <w:rFonts w:ascii="Arial" w:hAnsi="Arial" w:cs="Arial"/>
          <w:sz w:val="24"/>
          <w:szCs w:val="24"/>
        </w:rPr>
      </w:pPr>
      <w:r w:rsidRPr="00B43618">
        <w:rPr>
          <w:rFonts w:ascii="Arial" w:hAnsi="Arial" w:cs="Arial"/>
          <w:sz w:val="24"/>
          <w:szCs w:val="24"/>
        </w:rPr>
        <w:t xml:space="preserve">3. Deci, E. L., &amp; Ryan, R. M. (2000). The "what" and "why" of goal pursuits: Human needs and the self-determination of </w:t>
      </w:r>
      <w:proofErr w:type="spellStart"/>
      <w:r w:rsidRPr="00B43618">
        <w:rPr>
          <w:rFonts w:ascii="Arial" w:hAnsi="Arial" w:cs="Arial"/>
          <w:sz w:val="24"/>
          <w:szCs w:val="24"/>
        </w:rPr>
        <w:t>behavior</w:t>
      </w:r>
      <w:proofErr w:type="spellEnd"/>
      <w:r w:rsidRPr="00B43618">
        <w:rPr>
          <w:rFonts w:ascii="Arial" w:hAnsi="Arial" w:cs="Arial"/>
          <w:sz w:val="24"/>
          <w:szCs w:val="24"/>
        </w:rPr>
        <w:t xml:space="preserve">. Psychological Inquiry. </w:t>
      </w:r>
    </w:p>
    <w:p w14:paraId="7F1BA726" w14:textId="77777777" w:rsidR="00B57EE4" w:rsidRDefault="00B43618" w:rsidP="00D42E50">
      <w:pPr>
        <w:rPr>
          <w:rFonts w:ascii="Arial" w:hAnsi="Arial" w:cs="Arial"/>
          <w:sz w:val="24"/>
          <w:szCs w:val="24"/>
        </w:rPr>
      </w:pPr>
      <w:r w:rsidRPr="00B43618">
        <w:rPr>
          <w:rFonts w:ascii="Arial" w:hAnsi="Arial" w:cs="Arial"/>
          <w:sz w:val="24"/>
          <w:szCs w:val="24"/>
        </w:rPr>
        <w:t xml:space="preserve">4. Dweck, C. S. (2006). Mindset: The New Psychology of Success. Random House. </w:t>
      </w:r>
    </w:p>
    <w:p w14:paraId="05C0D8DC" w14:textId="77777777" w:rsidR="00B57EE4" w:rsidRDefault="00B43618" w:rsidP="00D42E50">
      <w:pPr>
        <w:rPr>
          <w:rFonts w:ascii="Arial" w:hAnsi="Arial" w:cs="Arial"/>
          <w:sz w:val="24"/>
          <w:szCs w:val="24"/>
        </w:rPr>
      </w:pPr>
      <w:r w:rsidRPr="00B43618">
        <w:rPr>
          <w:rFonts w:ascii="Arial" w:hAnsi="Arial" w:cs="Arial"/>
          <w:sz w:val="24"/>
          <w:szCs w:val="24"/>
        </w:rPr>
        <w:t xml:space="preserve">5. Edmondson, A. (1999). Psychological safety and learning </w:t>
      </w:r>
      <w:proofErr w:type="spellStart"/>
      <w:r w:rsidRPr="00B43618">
        <w:rPr>
          <w:rFonts w:ascii="Arial" w:hAnsi="Arial" w:cs="Arial"/>
          <w:sz w:val="24"/>
          <w:szCs w:val="24"/>
        </w:rPr>
        <w:t>behavior</w:t>
      </w:r>
      <w:proofErr w:type="spellEnd"/>
      <w:r w:rsidRPr="00B43618">
        <w:rPr>
          <w:rFonts w:ascii="Arial" w:hAnsi="Arial" w:cs="Arial"/>
          <w:sz w:val="24"/>
          <w:szCs w:val="24"/>
        </w:rPr>
        <w:t xml:space="preserve"> in work teams. Administrative Science Quarterly. </w:t>
      </w:r>
    </w:p>
    <w:p w14:paraId="50C85144" w14:textId="77777777" w:rsidR="00B57EE4" w:rsidRDefault="00B43618" w:rsidP="00D42E50">
      <w:pPr>
        <w:rPr>
          <w:rFonts w:ascii="Arial" w:hAnsi="Arial" w:cs="Arial"/>
          <w:sz w:val="24"/>
          <w:szCs w:val="24"/>
        </w:rPr>
      </w:pPr>
      <w:r w:rsidRPr="00B43618">
        <w:rPr>
          <w:rFonts w:ascii="Arial" w:hAnsi="Arial" w:cs="Arial"/>
          <w:sz w:val="24"/>
          <w:szCs w:val="24"/>
        </w:rPr>
        <w:t xml:space="preserve">6. Gallardo-Gallardo, E., Dries, N., &amp; González-Cruz, T. F. (2013). What is the meaning of 'talent' in the world of work? Human Resource Management Review. </w:t>
      </w:r>
    </w:p>
    <w:p w14:paraId="1E363F7D" w14:textId="77777777" w:rsidR="00B57EE4" w:rsidRDefault="00B43618" w:rsidP="00D42E50">
      <w:pPr>
        <w:rPr>
          <w:rFonts w:ascii="Arial" w:hAnsi="Arial" w:cs="Arial"/>
          <w:sz w:val="24"/>
          <w:szCs w:val="24"/>
        </w:rPr>
      </w:pPr>
      <w:r w:rsidRPr="00B43618">
        <w:rPr>
          <w:rFonts w:ascii="Arial" w:hAnsi="Arial" w:cs="Arial"/>
          <w:sz w:val="24"/>
          <w:szCs w:val="24"/>
        </w:rPr>
        <w:t xml:space="preserve">7. Guzman, F. A., &amp; Davis, M. A. (2023). Psychological safety and agile project management: A socio-technical approach. International Journal of Managing Projects in Business. </w:t>
      </w:r>
    </w:p>
    <w:p w14:paraId="696F3BF3" w14:textId="77777777" w:rsidR="00B57EE4" w:rsidRDefault="00B43618" w:rsidP="00D42E50">
      <w:pPr>
        <w:rPr>
          <w:rFonts w:ascii="Arial" w:hAnsi="Arial" w:cs="Arial"/>
          <w:sz w:val="24"/>
          <w:szCs w:val="24"/>
        </w:rPr>
      </w:pPr>
      <w:r w:rsidRPr="00B43618">
        <w:rPr>
          <w:rFonts w:ascii="Arial" w:hAnsi="Arial" w:cs="Arial"/>
          <w:sz w:val="24"/>
          <w:szCs w:val="24"/>
        </w:rPr>
        <w:t xml:space="preserve">8. Hackman, J. R., and Oldham, G. R. (1976). Motivation through the design of work: Test of a theory. Organizational </w:t>
      </w:r>
      <w:proofErr w:type="spellStart"/>
      <w:r w:rsidRPr="00B43618">
        <w:rPr>
          <w:rFonts w:ascii="Arial" w:hAnsi="Arial" w:cs="Arial"/>
          <w:sz w:val="24"/>
          <w:szCs w:val="24"/>
        </w:rPr>
        <w:t>Behavior</w:t>
      </w:r>
      <w:proofErr w:type="spellEnd"/>
      <w:r w:rsidRPr="00B43618">
        <w:rPr>
          <w:rFonts w:ascii="Arial" w:hAnsi="Arial" w:cs="Arial"/>
          <w:sz w:val="24"/>
          <w:szCs w:val="24"/>
        </w:rPr>
        <w:t xml:space="preserve"> and Human Performance. </w:t>
      </w:r>
    </w:p>
    <w:p w14:paraId="3A7A1A79" w14:textId="77777777" w:rsidR="00B57EE4" w:rsidRDefault="00B43618" w:rsidP="00D42E50">
      <w:pPr>
        <w:rPr>
          <w:rFonts w:ascii="Arial" w:hAnsi="Arial" w:cs="Arial"/>
          <w:sz w:val="24"/>
          <w:szCs w:val="24"/>
        </w:rPr>
      </w:pPr>
      <w:r w:rsidRPr="00B43618">
        <w:rPr>
          <w:rFonts w:ascii="Arial" w:hAnsi="Arial" w:cs="Arial"/>
          <w:sz w:val="24"/>
          <w:szCs w:val="24"/>
        </w:rPr>
        <w:t>9. H</w:t>
      </w:r>
      <w:proofErr w:type="spellStart"/>
      <w:r w:rsidRPr="00B43618">
        <w:rPr>
          <w:rFonts w:ascii="Arial" w:hAnsi="Arial" w:cs="Arial"/>
          <w:sz w:val="24"/>
          <w:szCs w:val="24"/>
        </w:rPr>
        <w:t>uselid</w:t>
      </w:r>
      <w:proofErr w:type="spellEnd"/>
      <w:r w:rsidRPr="00B43618">
        <w:rPr>
          <w:rFonts w:ascii="Arial" w:hAnsi="Arial" w:cs="Arial"/>
          <w:sz w:val="24"/>
          <w:szCs w:val="24"/>
        </w:rPr>
        <w:t xml:space="preserve">, M. A. (1995). The impact of human resource management practices on turnover, productivity, and corporate financial performance. Academy of Management Journal. </w:t>
      </w:r>
    </w:p>
    <w:p w14:paraId="02B688AF" w14:textId="77777777" w:rsidR="00B57EE4" w:rsidRDefault="00B43618" w:rsidP="00D42E50">
      <w:pPr>
        <w:rPr>
          <w:rFonts w:ascii="Arial" w:hAnsi="Arial" w:cs="Arial"/>
          <w:sz w:val="24"/>
          <w:szCs w:val="24"/>
        </w:rPr>
      </w:pPr>
      <w:r w:rsidRPr="00B43618">
        <w:rPr>
          <w:rFonts w:ascii="Arial" w:hAnsi="Arial" w:cs="Arial"/>
          <w:sz w:val="24"/>
          <w:szCs w:val="24"/>
        </w:rPr>
        <w:t xml:space="preserve">10. Marler, J. H., and Boudreau, J. W. (2017). An evidence-based review of e-HRM and analytics. The International Journal of Human Resource Management. </w:t>
      </w:r>
    </w:p>
    <w:p w14:paraId="1A61ADAD" w14:textId="77777777" w:rsidR="00B57EE4" w:rsidRDefault="00B43618" w:rsidP="00D42E50">
      <w:pPr>
        <w:rPr>
          <w:rFonts w:ascii="Arial" w:hAnsi="Arial" w:cs="Arial"/>
          <w:sz w:val="24"/>
          <w:szCs w:val="24"/>
        </w:rPr>
      </w:pPr>
      <w:r w:rsidRPr="00B43618">
        <w:rPr>
          <w:rFonts w:ascii="Arial" w:hAnsi="Arial" w:cs="Arial"/>
          <w:sz w:val="24"/>
          <w:szCs w:val="24"/>
        </w:rPr>
        <w:t xml:space="preserve">11. Morgan, J. (2017). The Employee Experience Advantage: How to Win the War for Talent by Giving Employees the Spaces, Tools, and Culture They Love. John Wiley &amp; Sons. </w:t>
      </w:r>
    </w:p>
    <w:p w14:paraId="1CF4782D" w14:textId="77777777" w:rsidR="00B57EE4" w:rsidRDefault="00B43618" w:rsidP="00D42E50">
      <w:pPr>
        <w:rPr>
          <w:rFonts w:ascii="Arial" w:hAnsi="Arial" w:cs="Arial"/>
          <w:sz w:val="24"/>
          <w:szCs w:val="24"/>
        </w:rPr>
      </w:pPr>
      <w:r w:rsidRPr="00B43618">
        <w:rPr>
          <w:rFonts w:ascii="Arial" w:hAnsi="Arial" w:cs="Arial"/>
          <w:sz w:val="24"/>
          <w:szCs w:val="24"/>
        </w:rPr>
        <w:t xml:space="preserve">12. Rousseau, D. M. (2005). I-Deals: Idiosyncratic Deals Employees Bargain for Themselves. M. E. Sharpe. </w:t>
      </w:r>
    </w:p>
    <w:p w14:paraId="1797B248" w14:textId="77777777" w:rsidR="00B57EE4" w:rsidRDefault="00B43618" w:rsidP="00D42E50">
      <w:pPr>
        <w:rPr>
          <w:rFonts w:ascii="Arial" w:hAnsi="Arial" w:cs="Arial"/>
          <w:sz w:val="24"/>
          <w:szCs w:val="24"/>
        </w:rPr>
      </w:pPr>
      <w:r w:rsidRPr="00B43618">
        <w:rPr>
          <w:rFonts w:ascii="Arial" w:hAnsi="Arial" w:cs="Arial"/>
          <w:sz w:val="24"/>
          <w:szCs w:val="24"/>
        </w:rPr>
        <w:t xml:space="preserve">13. Senge, P. M. (1990). The Fifth Discipline: The Art and Practice of the Learning Organization. Doubleday/Currency. </w:t>
      </w:r>
    </w:p>
    <w:p w14:paraId="410B2BAC" w14:textId="77777777" w:rsidR="00B57EE4" w:rsidRDefault="00B43618" w:rsidP="00D42E50">
      <w:pPr>
        <w:rPr>
          <w:rFonts w:ascii="Arial" w:hAnsi="Arial" w:cs="Arial"/>
          <w:sz w:val="24"/>
          <w:szCs w:val="24"/>
        </w:rPr>
      </w:pPr>
      <w:r w:rsidRPr="00B43618">
        <w:rPr>
          <w:rFonts w:ascii="Arial" w:hAnsi="Arial" w:cs="Arial"/>
          <w:sz w:val="24"/>
          <w:szCs w:val="24"/>
        </w:rPr>
        <w:t xml:space="preserve">14. Strohmeier, S. (2020). Digital Human Resource Management: Towards a conceptual foundation. The International Journal of Human Resource Management. </w:t>
      </w:r>
    </w:p>
    <w:p w14:paraId="17FDD4FE" w14:textId="77777777" w:rsidR="00B57EE4" w:rsidRDefault="00B43618" w:rsidP="00D42E50">
      <w:pPr>
        <w:rPr>
          <w:rFonts w:ascii="Arial" w:hAnsi="Arial" w:cs="Arial"/>
          <w:sz w:val="24"/>
          <w:szCs w:val="24"/>
        </w:rPr>
      </w:pPr>
      <w:r w:rsidRPr="00B43618">
        <w:rPr>
          <w:rFonts w:ascii="Arial" w:hAnsi="Arial" w:cs="Arial"/>
          <w:sz w:val="24"/>
          <w:szCs w:val="24"/>
        </w:rPr>
        <w:t xml:space="preserve">15. Tambe, P., Cappelli, P., and Yakubovich, V. (2019). Artificial Intelligence (AI) in Human Resource Management: Challenges and a path forward. California Management Review. </w:t>
      </w:r>
    </w:p>
    <w:p w14:paraId="6FC026DF" w14:textId="77777777" w:rsidR="00B57EE4" w:rsidRDefault="00B43618" w:rsidP="00D42E50">
      <w:pPr>
        <w:rPr>
          <w:rFonts w:ascii="Arial" w:hAnsi="Arial" w:cs="Arial"/>
          <w:sz w:val="24"/>
          <w:szCs w:val="24"/>
        </w:rPr>
      </w:pPr>
      <w:r w:rsidRPr="00B43618">
        <w:rPr>
          <w:rFonts w:ascii="Arial" w:hAnsi="Arial" w:cs="Arial"/>
          <w:sz w:val="24"/>
          <w:szCs w:val="24"/>
        </w:rPr>
        <w:t xml:space="preserve">16. Trist, E. L., and Bamforth, K. W. (1951). Some social and psychological consequences of the longwall method of coal-getting. Human Relations. </w:t>
      </w:r>
    </w:p>
    <w:p w14:paraId="5360BD7C" w14:textId="77777777" w:rsidR="00B57EE4" w:rsidRDefault="00B43618" w:rsidP="00D42E50">
      <w:pPr>
        <w:rPr>
          <w:rFonts w:ascii="Arial" w:hAnsi="Arial" w:cs="Arial"/>
          <w:sz w:val="24"/>
          <w:szCs w:val="24"/>
        </w:rPr>
      </w:pPr>
      <w:r w:rsidRPr="00B43618">
        <w:rPr>
          <w:rFonts w:ascii="Arial" w:hAnsi="Arial" w:cs="Arial"/>
          <w:sz w:val="24"/>
          <w:szCs w:val="24"/>
        </w:rPr>
        <w:lastRenderedPageBreak/>
        <w:t xml:space="preserve">17. Ulrich, D. (1997). Human Resource Champions: The next agenda for adding value and delivering results. Harvard Business School Press. </w:t>
      </w:r>
    </w:p>
    <w:p w14:paraId="064E46EC" w14:textId="77777777" w:rsidR="00B57EE4" w:rsidRDefault="00B43618" w:rsidP="00D42E50">
      <w:pPr>
        <w:rPr>
          <w:rFonts w:ascii="Arial" w:hAnsi="Arial" w:cs="Arial"/>
          <w:sz w:val="24"/>
          <w:szCs w:val="24"/>
        </w:rPr>
      </w:pPr>
      <w:r w:rsidRPr="00B43618">
        <w:rPr>
          <w:rFonts w:ascii="Arial" w:hAnsi="Arial" w:cs="Arial"/>
          <w:sz w:val="24"/>
          <w:szCs w:val="24"/>
        </w:rPr>
        <w:t>18. V</w:t>
      </w:r>
      <w:proofErr w:type="spellStart"/>
      <w:r w:rsidRPr="00B43618">
        <w:rPr>
          <w:rFonts w:ascii="Arial" w:hAnsi="Arial" w:cs="Arial"/>
          <w:sz w:val="24"/>
          <w:szCs w:val="24"/>
        </w:rPr>
        <w:t>rontis</w:t>
      </w:r>
      <w:proofErr w:type="spellEnd"/>
      <w:r w:rsidRPr="00B43618">
        <w:rPr>
          <w:rFonts w:ascii="Arial" w:hAnsi="Arial" w:cs="Arial"/>
          <w:sz w:val="24"/>
          <w:szCs w:val="24"/>
        </w:rPr>
        <w:t xml:space="preserve">, D., et al. (2022). Artificial intelligence, robotics, advanced technologies and human resource management: A systematic review. The International Journal of Human Resource Management. </w:t>
      </w:r>
    </w:p>
    <w:p w14:paraId="1816CB0E" w14:textId="77777777" w:rsidR="00B57EE4" w:rsidRDefault="00B43618" w:rsidP="00D42E50">
      <w:pPr>
        <w:rPr>
          <w:rFonts w:ascii="Arial" w:hAnsi="Arial" w:cs="Arial"/>
          <w:sz w:val="24"/>
          <w:szCs w:val="24"/>
        </w:rPr>
      </w:pPr>
      <w:r w:rsidRPr="00B43618">
        <w:rPr>
          <w:rFonts w:ascii="Arial" w:hAnsi="Arial" w:cs="Arial"/>
          <w:sz w:val="24"/>
          <w:szCs w:val="24"/>
        </w:rPr>
        <w:t xml:space="preserve">19. Wrzesniewski, A., and Dutton, J. E. (2001). Job crafting: Viewing employees as active crafters of their work. Academy of Management Review. </w:t>
      </w:r>
    </w:p>
    <w:p w14:paraId="56BF6BC4" w14:textId="77777777" w:rsidR="00B57EE4" w:rsidRDefault="00B43618" w:rsidP="00D42E50">
      <w:pPr>
        <w:rPr>
          <w:rFonts w:ascii="Arial" w:hAnsi="Arial" w:cs="Arial"/>
          <w:sz w:val="24"/>
          <w:szCs w:val="24"/>
        </w:rPr>
      </w:pPr>
      <w:r w:rsidRPr="00B43618">
        <w:rPr>
          <w:rFonts w:ascii="Arial" w:hAnsi="Arial" w:cs="Arial"/>
          <w:sz w:val="24"/>
          <w:szCs w:val="24"/>
        </w:rPr>
        <w:t>20. Wright, P. M., and McMahon, G. C. (2011). Exploring human capital: Putting 'human' back into strategic human resource management. Human Resource Management Journal.</w:t>
      </w:r>
      <w:r w:rsidRPr="00B43618">
        <w:rPr>
          <w:rFonts w:ascii="Arial" w:hAnsi="Arial" w:cs="Arial"/>
          <w:sz w:val="24"/>
          <w:szCs w:val="24"/>
        </w:rPr>
        <w:t xml:space="preserve"> </w:t>
      </w:r>
    </w:p>
    <w:p w14:paraId="3681FF34" w14:textId="3D789A2C" w:rsidR="00D42E50" w:rsidRPr="00D42E50" w:rsidRDefault="00D42E50" w:rsidP="00D42E50">
      <w:pPr>
        <w:rPr>
          <w:rFonts w:ascii="Arial" w:hAnsi="Arial" w:cs="Arial"/>
          <w:sz w:val="24"/>
          <w:szCs w:val="24"/>
        </w:rPr>
      </w:pPr>
      <w:r w:rsidRPr="00D42E50">
        <w:rPr>
          <w:rFonts w:ascii="Arial" w:hAnsi="Arial" w:cs="Arial"/>
          <w:b/>
          <w:bCs/>
          <w:sz w:val="24"/>
          <w:szCs w:val="24"/>
        </w:rPr>
        <w:t>Task B - Figure 1:</w:t>
      </w:r>
    </w:p>
    <w:p w14:paraId="34284149" w14:textId="77777777" w:rsidR="00D42E50" w:rsidRPr="00D42E50" w:rsidRDefault="00D42E50" w:rsidP="00D42E50">
      <w:pPr>
        <w:rPr>
          <w:rFonts w:ascii="Arial" w:hAnsi="Arial" w:cs="Arial"/>
          <w:sz w:val="24"/>
          <w:szCs w:val="24"/>
        </w:rPr>
      </w:pPr>
      <w:r w:rsidRPr="00D42E50">
        <w:rPr>
          <w:rFonts w:ascii="Arial" w:hAnsi="Arial" w:cs="Arial"/>
          <w:sz w:val="24"/>
          <w:szCs w:val="24"/>
        </w:rPr>
        <w:t>(Figure 1: Theoretical Talent Ecosystem Framework (Generated by Gemini).)</w:t>
      </w:r>
    </w:p>
    <w:p w14:paraId="075D6DBB" w14:textId="77777777" w:rsidR="00D42E50" w:rsidRPr="00D42E50" w:rsidRDefault="00D42E50" w:rsidP="00D42E50">
      <w:pPr>
        <w:rPr>
          <w:rFonts w:ascii="Arial" w:hAnsi="Arial" w:cs="Arial"/>
          <w:sz w:val="24"/>
          <w:szCs w:val="24"/>
        </w:rPr>
      </w:pPr>
      <w:r w:rsidRPr="00D42E50">
        <w:rPr>
          <w:rFonts w:ascii="Arial" w:hAnsi="Arial" w:cs="Arial"/>
          <w:b/>
          <w:bCs/>
          <w:sz w:val="24"/>
          <w:szCs w:val="24"/>
        </w:rPr>
        <w:t>Task B - Figure 2:</w:t>
      </w:r>
    </w:p>
    <w:p w14:paraId="26475B1A" w14:textId="77777777" w:rsidR="00D42E50" w:rsidRPr="00D42E50" w:rsidRDefault="00D42E50" w:rsidP="00D42E50">
      <w:pPr>
        <w:rPr>
          <w:rFonts w:ascii="Arial" w:hAnsi="Arial" w:cs="Arial"/>
          <w:sz w:val="24"/>
          <w:szCs w:val="24"/>
        </w:rPr>
      </w:pPr>
      <w:r w:rsidRPr="00D42E50">
        <w:rPr>
          <w:rFonts w:ascii="Arial" w:hAnsi="Arial" w:cs="Arial"/>
          <w:sz w:val="24"/>
          <w:szCs w:val="24"/>
        </w:rPr>
        <w:t>(Figure 2: NHSX Talent KPI Dashboard (Generated by Gemini).)</w:t>
      </w:r>
    </w:p>
    <w:p w14:paraId="1A7EC8D1" w14:textId="77777777" w:rsidR="00D42E50" w:rsidRPr="00D42E50" w:rsidRDefault="00D42E50" w:rsidP="00D42E50">
      <w:pPr>
        <w:rPr>
          <w:rFonts w:ascii="Arial" w:hAnsi="Arial" w:cs="Arial"/>
          <w:sz w:val="24"/>
          <w:szCs w:val="24"/>
        </w:rPr>
      </w:pPr>
      <w:r w:rsidRPr="00D42E50">
        <w:rPr>
          <w:rFonts w:ascii="Arial" w:hAnsi="Arial" w:cs="Arial"/>
          <w:b/>
          <w:bCs/>
          <w:sz w:val="24"/>
          <w:szCs w:val="24"/>
        </w:rPr>
        <w:t>Task C - Figure 3:</w:t>
      </w:r>
    </w:p>
    <w:p w14:paraId="0CEAC1A3" w14:textId="6EB1855E" w:rsidR="00D42E50" w:rsidRPr="00D42E50" w:rsidRDefault="00D42E50" w:rsidP="00D42E50">
      <w:pPr>
        <w:rPr>
          <w:rFonts w:ascii="Arial" w:hAnsi="Arial" w:cs="Arial"/>
          <w:sz w:val="24"/>
          <w:szCs w:val="24"/>
        </w:rPr>
      </w:pPr>
      <w:r w:rsidRPr="00D42E50">
        <w:rPr>
          <w:rFonts w:ascii="Arial" w:hAnsi="Arial" w:cs="Arial"/>
          <w:sz w:val="24"/>
          <w:szCs w:val="24"/>
        </w:rPr>
        <w:t>(Figure 3: Personal Capability Development Plan</w:t>
      </w:r>
      <w:r w:rsidR="00B3715C">
        <w:rPr>
          <w:rFonts w:ascii="Arial" w:hAnsi="Arial" w:cs="Arial"/>
          <w:sz w:val="24"/>
          <w:szCs w:val="24"/>
        </w:rPr>
        <w:t xml:space="preserve"> (Generate by </w:t>
      </w:r>
      <w:r w:rsidR="00F3347E">
        <w:rPr>
          <w:rFonts w:ascii="Arial" w:hAnsi="Arial" w:cs="Arial"/>
          <w:sz w:val="24"/>
          <w:szCs w:val="24"/>
        </w:rPr>
        <w:t>ChatGPT</w:t>
      </w:r>
      <w:r w:rsidRPr="00D42E50">
        <w:rPr>
          <w:rFonts w:ascii="Arial" w:hAnsi="Arial" w:cs="Arial"/>
          <w:sz w:val="24"/>
          <w:szCs w:val="24"/>
        </w:rPr>
        <w:t>)</w:t>
      </w:r>
      <w:r w:rsidR="00677369">
        <w:rPr>
          <w:rFonts w:ascii="Arial" w:hAnsi="Arial" w:cs="Arial"/>
          <w:sz w:val="24"/>
          <w:szCs w:val="24"/>
        </w:rPr>
        <w:t>.)</w:t>
      </w:r>
    </w:p>
    <w:p w14:paraId="24C096E7" w14:textId="77777777" w:rsidR="003F0481" w:rsidRPr="00D42E50" w:rsidRDefault="003F0481" w:rsidP="000110DC">
      <w:pPr>
        <w:rPr>
          <w:rFonts w:ascii="Arial" w:hAnsi="Arial" w:cs="Arial"/>
          <w:sz w:val="24"/>
          <w:szCs w:val="24"/>
          <w:lang w:val="en-US"/>
        </w:rPr>
      </w:pPr>
    </w:p>
    <w:sectPr w:rsidR="003F0481" w:rsidRPr="00D42E50" w:rsidSect="005462DE">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A43CA"/>
    <w:multiLevelType w:val="hybridMultilevel"/>
    <w:tmpl w:val="CCD6E3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D8F4FF6"/>
    <w:multiLevelType w:val="hybridMultilevel"/>
    <w:tmpl w:val="9B021E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EB4A7B"/>
    <w:multiLevelType w:val="hybridMultilevel"/>
    <w:tmpl w:val="0428D0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44D0697"/>
    <w:multiLevelType w:val="hybridMultilevel"/>
    <w:tmpl w:val="EF02E1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7E31935"/>
    <w:multiLevelType w:val="hybridMultilevel"/>
    <w:tmpl w:val="6C7436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D70882"/>
    <w:multiLevelType w:val="hybridMultilevel"/>
    <w:tmpl w:val="36583D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01D42F8"/>
    <w:multiLevelType w:val="hybridMultilevel"/>
    <w:tmpl w:val="28BE61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02E3695"/>
    <w:multiLevelType w:val="hybridMultilevel"/>
    <w:tmpl w:val="61D22D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AC0C0D"/>
    <w:multiLevelType w:val="hybridMultilevel"/>
    <w:tmpl w:val="F838119A"/>
    <w:lvl w:ilvl="0" w:tplc="C2BC2390">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6710066"/>
    <w:multiLevelType w:val="hybridMultilevel"/>
    <w:tmpl w:val="0450CE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75657A1"/>
    <w:multiLevelType w:val="hybridMultilevel"/>
    <w:tmpl w:val="ECE0F080"/>
    <w:lvl w:ilvl="0" w:tplc="4009000F">
      <w:start w:val="1"/>
      <w:numFmt w:val="decimal"/>
      <w:lvlText w:val="%1."/>
      <w:lvlJc w:val="left"/>
      <w:pPr>
        <w:ind w:left="1800" w:hanging="360"/>
      </w:pPr>
    </w:lvl>
    <w:lvl w:ilvl="1" w:tplc="40090019">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11" w15:restartNumberingAfterBreak="0">
    <w:nsid w:val="276213BD"/>
    <w:multiLevelType w:val="hybridMultilevel"/>
    <w:tmpl w:val="5E5AF59E"/>
    <w:lvl w:ilvl="0" w:tplc="FFFFFFFF">
      <w:start w:val="1"/>
      <w:numFmt w:val="decimal"/>
      <w:lvlText w:val="%1."/>
      <w:lvlJc w:val="left"/>
      <w:pPr>
        <w:ind w:left="1800" w:hanging="360"/>
      </w:pPr>
    </w:lvl>
    <w:lvl w:ilvl="1" w:tplc="4009000F">
      <w:start w:val="1"/>
      <w:numFmt w:val="decimal"/>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8A20C73"/>
    <w:multiLevelType w:val="hybridMultilevel"/>
    <w:tmpl w:val="EB420428"/>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CEE57F3"/>
    <w:multiLevelType w:val="hybridMultilevel"/>
    <w:tmpl w:val="BF28D3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E15145D"/>
    <w:multiLevelType w:val="hybridMultilevel"/>
    <w:tmpl w:val="DAE411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ED736C2"/>
    <w:multiLevelType w:val="hybridMultilevel"/>
    <w:tmpl w:val="22AEB8D6"/>
    <w:lvl w:ilvl="0" w:tplc="4009000F">
      <w:start w:val="1"/>
      <w:numFmt w:val="decimal"/>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04F7961"/>
    <w:multiLevelType w:val="hybridMultilevel"/>
    <w:tmpl w:val="C29C80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11F40DB"/>
    <w:multiLevelType w:val="hybridMultilevel"/>
    <w:tmpl w:val="D3283C7C"/>
    <w:lvl w:ilvl="0" w:tplc="25DA9216">
      <w:start w:val="10"/>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1832E2C"/>
    <w:multiLevelType w:val="hybridMultilevel"/>
    <w:tmpl w:val="026660DA"/>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9" w15:restartNumberingAfterBreak="0">
    <w:nsid w:val="35B934C0"/>
    <w:multiLevelType w:val="hybridMultilevel"/>
    <w:tmpl w:val="D4124F60"/>
    <w:lvl w:ilvl="0" w:tplc="C2BC2390">
      <w:numFmt w:val="bullet"/>
      <w:lvlText w:val="•"/>
      <w:lvlJc w:val="left"/>
      <w:pPr>
        <w:ind w:left="720" w:hanging="360"/>
      </w:pPr>
      <w:rPr>
        <w:rFonts w:ascii="Arial" w:eastAsiaTheme="minorHAnsi" w:hAnsi="Arial" w:cs="Aria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2C66E40"/>
    <w:multiLevelType w:val="hybridMultilevel"/>
    <w:tmpl w:val="9B684A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4F65774"/>
    <w:multiLevelType w:val="multilevel"/>
    <w:tmpl w:val="99164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52D7C"/>
    <w:multiLevelType w:val="multilevel"/>
    <w:tmpl w:val="3BAEDD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D165D5"/>
    <w:multiLevelType w:val="hybridMultilevel"/>
    <w:tmpl w:val="B0A0561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24" w15:restartNumberingAfterBreak="0">
    <w:nsid w:val="53AC2C5D"/>
    <w:multiLevelType w:val="hybridMultilevel"/>
    <w:tmpl w:val="90F0C2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66E1169"/>
    <w:multiLevelType w:val="hybridMultilevel"/>
    <w:tmpl w:val="3D4036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78375AE"/>
    <w:multiLevelType w:val="hybridMultilevel"/>
    <w:tmpl w:val="B8D2DA2E"/>
    <w:lvl w:ilvl="0" w:tplc="4009000F">
      <w:start w:val="3"/>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B4C4D9C"/>
    <w:multiLevelType w:val="multilevel"/>
    <w:tmpl w:val="31B2C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B748BF"/>
    <w:multiLevelType w:val="hybridMultilevel"/>
    <w:tmpl w:val="392840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8432DD4"/>
    <w:multiLevelType w:val="hybridMultilevel"/>
    <w:tmpl w:val="BB48467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B654F7B"/>
    <w:multiLevelType w:val="hybridMultilevel"/>
    <w:tmpl w:val="B1C6A3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D6E61B8"/>
    <w:multiLevelType w:val="hybridMultilevel"/>
    <w:tmpl w:val="59BE62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EF873E8"/>
    <w:multiLevelType w:val="hybridMultilevel"/>
    <w:tmpl w:val="A55C54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45945EA"/>
    <w:multiLevelType w:val="multilevel"/>
    <w:tmpl w:val="94D898C0"/>
    <w:lvl w:ilvl="0">
      <w:start w:val="1"/>
      <w:numFmt w:val="decimal"/>
      <w:lvlText w:val="%1."/>
      <w:lvlJc w:val="left"/>
      <w:pPr>
        <w:ind w:left="1080" w:hanging="360"/>
      </w:pPr>
      <w:rPr>
        <w:rFonts w:ascii="Arial" w:eastAsiaTheme="minorHAnsi" w:hAnsi="Arial" w:cs="Arial"/>
      </w:rPr>
    </w:lvl>
    <w:lvl w:ilvl="1">
      <w:start w:val="1"/>
      <w:numFmt w:val="decimal"/>
      <w:isLgl/>
      <w:lvlText w:val="%1.%2"/>
      <w:lvlJc w:val="left"/>
      <w:pPr>
        <w:ind w:left="1476" w:hanging="396"/>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34" w15:restartNumberingAfterBreak="0">
    <w:nsid w:val="755B7E1B"/>
    <w:multiLevelType w:val="multilevel"/>
    <w:tmpl w:val="5A5272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DD49B9"/>
    <w:multiLevelType w:val="hybridMultilevel"/>
    <w:tmpl w:val="38740428"/>
    <w:lvl w:ilvl="0" w:tplc="4009000F">
      <w:start w:val="1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EC34E23"/>
    <w:multiLevelType w:val="hybridMultilevel"/>
    <w:tmpl w:val="D95AE2BA"/>
    <w:lvl w:ilvl="0" w:tplc="C2BC2390">
      <w:numFmt w:val="bullet"/>
      <w:lvlText w:val="•"/>
      <w:lvlJc w:val="left"/>
      <w:pPr>
        <w:ind w:left="1080" w:hanging="360"/>
      </w:pPr>
      <w:rPr>
        <w:rFonts w:ascii="Arial" w:eastAsiaTheme="minorHAnsi" w:hAnsi="Arial" w:cs="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684746820">
    <w:abstractNumId w:val="15"/>
  </w:num>
  <w:num w:numId="2" w16cid:durableId="1813907407">
    <w:abstractNumId w:val="23"/>
  </w:num>
  <w:num w:numId="3" w16cid:durableId="2108849087">
    <w:abstractNumId w:val="18"/>
  </w:num>
  <w:num w:numId="4" w16cid:durableId="1832674280">
    <w:abstractNumId w:val="33"/>
  </w:num>
  <w:num w:numId="5" w16cid:durableId="1007244180">
    <w:abstractNumId w:val="10"/>
  </w:num>
  <w:num w:numId="6" w16cid:durableId="1736659914">
    <w:abstractNumId w:val="11"/>
  </w:num>
  <w:num w:numId="7" w16cid:durableId="1044138488">
    <w:abstractNumId w:val="0"/>
  </w:num>
  <w:num w:numId="8" w16cid:durableId="720057841">
    <w:abstractNumId w:val="3"/>
  </w:num>
  <w:num w:numId="9" w16cid:durableId="2079590620">
    <w:abstractNumId w:val="6"/>
  </w:num>
  <w:num w:numId="10" w16cid:durableId="1566717403">
    <w:abstractNumId w:val="29"/>
  </w:num>
  <w:num w:numId="11" w16cid:durableId="1515880167">
    <w:abstractNumId w:val="14"/>
  </w:num>
  <w:num w:numId="12" w16cid:durableId="1261837979">
    <w:abstractNumId w:val="19"/>
  </w:num>
  <w:num w:numId="13" w16cid:durableId="217983421">
    <w:abstractNumId w:val="36"/>
  </w:num>
  <w:num w:numId="14" w16cid:durableId="183059040">
    <w:abstractNumId w:val="8"/>
  </w:num>
  <w:num w:numId="15" w16cid:durableId="842008777">
    <w:abstractNumId w:val="34"/>
  </w:num>
  <w:num w:numId="16" w16cid:durableId="1704204517">
    <w:abstractNumId w:val="22"/>
  </w:num>
  <w:num w:numId="17" w16cid:durableId="1570968394">
    <w:abstractNumId w:val="21"/>
  </w:num>
  <w:num w:numId="18" w16cid:durableId="902374350">
    <w:abstractNumId w:val="27"/>
  </w:num>
  <w:num w:numId="19" w16cid:durableId="522743037">
    <w:abstractNumId w:val="12"/>
  </w:num>
  <w:num w:numId="20" w16cid:durableId="1085998626">
    <w:abstractNumId w:val="30"/>
  </w:num>
  <w:num w:numId="21" w16cid:durableId="433980486">
    <w:abstractNumId w:val="5"/>
  </w:num>
  <w:num w:numId="22" w16cid:durableId="1639846311">
    <w:abstractNumId w:val="26"/>
  </w:num>
  <w:num w:numId="23" w16cid:durableId="1619068257">
    <w:abstractNumId w:val="17"/>
  </w:num>
  <w:num w:numId="24" w16cid:durableId="2109041578">
    <w:abstractNumId w:val="35"/>
  </w:num>
  <w:num w:numId="25" w16cid:durableId="1168401078">
    <w:abstractNumId w:val="13"/>
  </w:num>
  <w:num w:numId="26" w16cid:durableId="1683893501">
    <w:abstractNumId w:val="7"/>
  </w:num>
  <w:num w:numId="27" w16cid:durableId="838037321">
    <w:abstractNumId w:val="2"/>
  </w:num>
  <w:num w:numId="28" w16cid:durableId="1252927906">
    <w:abstractNumId w:val="25"/>
  </w:num>
  <w:num w:numId="29" w16cid:durableId="1466001825">
    <w:abstractNumId w:val="1"/>
  </w:num>
  <w:num w:numId="30" w16cid:durableId="1049374387">
    <w:abstractNumId w:val="24"/>
  </w:num>
  <w:num w:numId="31" w16cid:durableId="1523862024">
    <w:abstractNumId w:val="28"/>
  </w:num>
  <w:num w:numId="32" w16cid:durableId="215356261">
    <w:abstractNumId w:val="16"/>
  </w:num>
  <w:num w:numId="33" w16cid:durableId="1089081111">
    <w:abstractNumId w:val="9"/>
  </w:num>
  <w:num w:numId="34" w16cid:durableId="1751729529">
    <w:abstractNumId w:val="31"/>
  </w:num>
  <w:num w:numId="35" w16cid:durableId="607859746">
    <w:abstractNumId w:val="20"/>
  </w:num>
  <w:num w:numId="36" w16cid:durableId="1991011665">
    <w:abstractNumId w:val="4"/>
  </w:num>
  <w:num w:numId="37" w16cid:durableId="20657163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8FC"/>
    <w:rsid w:val="000110DC"/>
    <w:rsid w:val="00011583"/>
    <w:rsid w:val="00051E69"/>
    <w:rsid w:val="00057C71"/>
    <w:rsid w:val="00090F4B"/>
    <w:rsid w:val="000A79C3"/>
    <w:rsid w:val="000C0BB2"/>
    <w:rsid w:val="000D00B3"/>
    <w:rsid w:val="000D74CC"/>
    <w:rsid w:val="000F41F2"/>
    <w:rsid w:val="00157819"/>
    <w:rsid w:val="001B07AA"/>
    <w:rsid w:val="001C50E4"/>
    <w:rsid w:val="001D6339"/>
    <w:rsid w:val="00201E38"/>
    <w:rsid w:val="0026173A"/>
    <w:rsid w:val="002752CE"/>
    <w:rsid w:val="00290F00"/>
    <w:rsid w:val="002B3A1C"/>
    <w:rsid w:val="002D686A"/>
    <w:rsid w:val="00312237"/>
    <w:rsid w:val="00341268"/>
    <w:rsid w:val="00386A93"/>
    <w:rsid w:val="003B0AFC"/>
    <w:rsid w:val="003C319B"/>
    <w:rsid w:val="003D6080"/>
    <w:rsid w:val="003F0481"/>
    <w:rsid w:val="00443918"/>
    <w:rsid w:val="004A7F1E"/>
    <w:rsid w:val="004E195D"/>
    <w:rsid w:val="005462DE"/>
    <w:rsid w:val="00560C93"/>
    <w:rsid w:val="0062668F"/>
    <w:rsid w:val="00632A6F"/>
    <w:rsid w:val="00677369"/>
    <w:rsid w:val="006A0FBA"/>
    <w:rsid w:val="006A6B6B"/>
    <w:rsid w:val="006C21D1"/>
    <w:rsid w:val="00700B24"/>
    <w:rsid w:val="007304C7"/>
    <w:rsid w:val="007428B1"/>
    <w:rsid w:val="00775362"/>
    <w:rsid w:val="007D449E"/>
    <w:rsid w:val="007F65F1"/>
    <w:rsid w:val="008430B4"/>
    <w:rsid w:val="008A0F7E"/>
    <w:rsid w:val="008A203E"/>
    <w:rsid w:val="008B288B"/>
    <w:rsid w:val="008D4D42"/>
    <w:rsid w:val="008D6CD9"/>
    <w:rsid w:val="00911BA2"/>
    <w:rsid w:val="00930BE0"/>
    <w:rsid w:val="00933890"/>
    <w:rsid w:val="0094468E"/>
    <w:rsid w:val="00966B90"/>
    <w:rsid w:val="0098228E"/>
    <w:rsid w:val="009B078B"/>
    <w:rsid w:val="009E4E11"/>
    <w:rsid w:val="00A01512"/>
    <w:rsid w:val="00A6028F"/>
    <w:rsid w:val="00A719A3"/>
    <w:rsid w:val="00AC102D"/>
    <w:rsid w:val="00B26439"/>
    <w:rsid w:val="00B3715C"/>
    <w:rsid w:val="00B43618"/>
    <w:rsid w:val="00B46040"/>
    <w:rsid w:val="00B57EE4"/>
    <w:rsid w:val="00B63EEB"/>
    <w:rsid w:val="00B63F5A"/>
    <w:rsid w:val="00B8793E"/>
    <w:rsid w:val="00BB6D18"/>
    <w:rsid w:val="00C26533"/>
    <w:rsid w:val="00C7231B"/>
    <w:rsid w:val="00C854C3"/>
    <w:rsid w:val="00C93216"/>
    <w:rsid w:val="00CA2CB1"/>
    <w:rsid w:val="00CB5C28"/>
    <w:rsid w:val="00CD58FC"/>
    <w:rsid w:val="00D42E50"/>
    <w:rsid w:val="00D51307"/>
    <w:rsid w:val="00E07B3E"/>
    <w:rsid w:val="00E14FD6"/>
    <w:rsid w:val="00E50879"/>
    <w:rsid w:val="00E82BDC"/>
    <w:rsid w:val="00E8634F"/>
    <w:rsid w:val="00EA7269"/>
    <w:rsid w:val="00EC4E9E"/>
    <w:rsid w:val="00EE6E3D"/>
    <w:rsid w:val="00F108BE"/>
    <w:rsid w:val="00F23E17"/>
    <w:rsid w:val="00F3347E"/>
    <w:rsid w:val="00F52311"/>
    <w:rsid w:val="00F819B2"/>
    <w:rsid w:val="00FA358E"/>
    <w:rsid w:val="00FA3C0B"/>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2EB30"/>
  <w15:chartTrackingRefBased/>
  <w15:docId w15:val="{BACA5DE6-E375-44E3-9692-8599D21FE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1D1"/>
  </w:style>
  <w:style w:type="paragraph" w:styleId="Heading1">
    <w:name w:val="heading 1"/>
    <w:basedOn w:val="Normal"/>
    <w:next w:val="Normal"/>
    <w:link w:val="Heading1Char"/>
    <w:uiPriority w:val="9"/>
    <w:qFormat/>
    <w:rsid w:val="00CD58FC"/>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CD58FC"/>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CD58FC"/>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CD5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5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5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5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5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5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58FC"/>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CD58FC"/>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CD58FC"/>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CD5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5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5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5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5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58FC"/>
    <w:rPr>
      <w:rFonts w:eastAsiaTheme="majorEastAsia" w:cstheme="majorBidi"/>
      <w:color w:val="272727" w:themeColor="text1" w:themeTint="D8"/>
    </w:rPr>
  </w:style>
  <w:style w:type="paragraph" w:styleId="Title">
    <w:name w:val="Title"/>
    <w:basedOn w:val="Normal"/>
    <w:next w:val="Normal"/>
    <w:link w:val="TitleChar"/>
    <w:uiPriority w:val="10"/>
    <w:qFormat/>
    <w:rsid w:val="00CD58FC"/>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CD58FC"/>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CD58FC"/>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CD58FC"/>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CD58FC"/>
    <w:pPr>
      <w:spacing w:before="160"/>
      <w:jc w:val="center"/>
    </w:pPr>
    <w:rPr>
      <w:i/>
      <w:iCs/>
      <w:color w:val="404040" w:themeColor="text1" w:themeTint="BF"/>
    </w:rPr>
  </w:style>
  <w:style w:type="character" w:customStyle="1" w:styleId="QuoteChar">
    <w:name w:val="Quote Char"/>
    <w:basedOn w:val="DefaultParagraphFont"/>
    <w:link w:val="Quote"/>
    <w:uiPriority w:val="29"/>
    <w:rsid w:val="00CD58FC"/>
    <w:rPr>
      <w:i/>
      <w:iCs/>
      <w:color w:val="404040" w:themeColor="text1" w:themeTint="BF"/>
    </w:rPr>
  </w:style>
  <w:style w:type="paragraph" w:styleId="ListParagraph">
    <w:name w:val="List Paragraph"/>
    <w:basedOn w:val="Normal"/>
    <w:uiPriority w:val="34"/>
    <w:qFormat/>
    <w:rsid w:val="00CD58FC"/>
    <w:pPr>
      <w:ind w:left="720"/>
      <w:contextualSpacing/>
    </w:pPr>
  </w:style>
  <w:style w:type="character" w:styleId="IntenseEmphasis">
    <w:name w:val="Intense Emphasis"/>
    <w:basedOn w:val="DefaultParagraphFont"/>
    <w:uiPriority w:val="21"/>
    <w:qFormat/>
    <w:rsid w:val="00CD58FC"/>
    <w:rPr>
      <w:i/>
      <w:iCs/>
      <w:color w:val="0F4761" w:themeColor="accent1" w:themeShade="BF"/>
    </w:rPr>
  </w:style>
  <w:style w:type="paragraph" w:styleId="IntenseQuote">
    <w:name w:val="Intense Quote"/>
    <w:basedOn w:val="Normal"/>
    <w:next w:val="Normal"/>
    <w:link w:val="IntenseQuoteChar"/>
    <w:uiPriority w:val="30"/>
    <w:qFormat/>
    <w:rsid w:val="00CD5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58FC"/>
    <w:rPr>
      <w:i/>
      <w:iCs/>
      <w:color w:val="0F4761" w:themeColor="accent1" w:themeShade="BF"/>
    </w:rPr>
  </w:style>
  <w:style w:type="character" w:styleId="IntenseReference">
    <w:name w:val="Intense Reference"/>
    <w:basedOn w:val="DefaultParagraphFont"/>
    <w:uiPriority w:val="32"/>
    <w:qFormat/>
    <w:rsid w:val="00CD58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17</Pages>
  <Words>3625</Words>
  <Characters>20669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Leuva</dc:creator>
  <cp:keywords/>
  <dc:description/>
  <cp:lastModifiedBy>Jay Leuva</cp:lastModifiedBy>
  <cp:revision>27</cp:revision>
  <dcterms:created xsi:type="dcterms:W3CDTF">2026-10-09T13:00:00Z</dcterms:created>
  <dcterms:modified xsi:type="dcterms:W3CDTF">2026-10-14T14:29:00Z</dcterms:modified>
</cp:coreProperties>
</file>