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6249CC" w14:textId="7AB606D3" w:rsidR="008921F3" w:rsidRPr="008921F3" w:rsidRDefault="00676C16" w:rsidP="008921F3">
      <w:pPr>
        <w:pStyle w:val="IntenseQuote"/>
        <w:ind w:left="0"/>
        <w:jc w:val="left"/>
        <w:rPr>
          <w:rFonts w:ascii="Amasis MT Pro Black" w:hAnsi="Amasis MT Pro Black"/>
          <w:i w:val="0"/>
          <w:iCs w:val="0"/>
          <w:sz w:val="52"/>
          <w:szCs w:val="52"/>
        </w:rPr>
      </w:pPr>
      <w:r w:rsidRPr="008921F3">
        <w:rPr>
          <w:rFonts w:ascii="Amasis MT Pro Black" w:hAnsi="Amasis MT Pro Black"/>
          <w:i w:val="0"/>
          <w:iCs w:val="0"/>
          <w:sz w:val="52"/>
          <w:szCs w:val="52"/>
        </w:rPr>
        <w:t>D</w:t>
      </w:r>
      <w:r w:rsidR="00094858" w:rsidRPr="008921F3">
        <w:rPr>
          <w:rFonts w:ascii="Amasis MT Pro Black" w:hAnsi="Amasis MT Pro Black"/>
          <w:i w:val="0"/>
          <w:iCs w:val="0"/>
          <w:sz w:val="52"/>
          <w:szCs w:val="52"/>
        </w:rPr>
        <w:t>ementia Care and the Provision for the Elderly in Wales</w:t>
      </w:r>
    </w:p>
    <w:p w14:paraId="4E2FEAE4" w14:textId="0F6F86FA" w:rsidR="008921F3" w:rsidRPr="008921F3" w:rsidRDefault="00094858" w:rsidP="008921F3">
      <w:pPr>
        <w:pStyle w:val="IntenseQuote"/>
        <w:ind w:left="0"/>
        <w:jc w:val="left"/>
        <w:rPr>
          <w:rFonts w:ascii="Amasis MT Pro Black" w:hAnsi="Amasis MT Pro Black"/>
          <w:i w:val="0"/>
          <w:iCs w:val="0"/>
          <w:sz w:val="52"/>
          <w:szCs w:val="52"/>
        </w:rPr>
      </w:pPr>
      <w:r w:rsidRPr="008921F3">
        <w:rPr>
          <w:rFonts w:ascii="Amasis MT Pro Black" w:hAnsi="Amasis MT Pro Black"/>
          <w:i w:val="0"/>
          <w:iCs w:val="0"/>
          <w:sz w:val="52"/>
          <w:szCs w:val="52"/>
        </w:rPr>
        <w:t>Mental Health and Development in Later Life</w:t>
      </w:r>
    </w:p>
    <w:p w14:paraId="19C6CAEE" w14:textId="77777777" w:rsidR="00094858" w:rsidRPr="00B474B9" w:rsidRDefault="00094858" w:rsidP="00676C16">
      <w:pPr>
        <w:pStyle w:val="IntenseQuote"/>
        <w:ind w:left="0"/>
        <w:jc w:val="left"/>
        <w:rPr>
          <w:rFonts w:ascii="Amasis MT Pro Black" w:hAnsi="Amasis MT Pro Black"/>
          <w:i w:val="0"/>
          <w:iCs w:val="0"/>
          <w:sz w:val="36"/>
          <w:szCs w:val="36"/>
        </w:rPr>
      </w:pPr>
      <w:r w:rsidRPr="00B474B9">
        <w:rPr>
          <w:rFonts w:ascii="Amasis MT Pro Black" w:hAnsi="Amasis MT Pro Black"/>
          <w:i w:val="0"/>
          <w:iCs w:val="0"/>
          <w:sz w:val="36"/>
          <w:szCs w:val="36"/>
        </w:rPr>
        <w:t>Module code: ECAP6005</w:t>
      </w:r>
    </w:p>
    <w:p w14:paraId="62CFAEC8" w14:textId="77777777" w:rsidR="00094858" w:rsidRDefault="00094858"/>
    <w:p w14:paraId="41CE1ECB" w14:textId="77777777" w:rsidR="00B474B9" w:rsidRDefault="00B474B9"/>
    <w:p w14:paraId="11F7C3F0" w14:textId="64B76080" w:rsidR="00094858" w:rsidRDefault="00676C16" w:rsidP="00676C16">
      <w:r>
        <w:rPr>
          <w:noProof/>
        </w:rPr>
        <w:drawing>
          <wp:inline distT="0" distB="0" distL="0" distR="0" wp14:anchorId="237CCAF1" wp14:editId="22BEE382">
            <wp:extent cx="2668772" cy="1781448"/>
            <wp:effectExtent l="0" t="0" r="0" b="0"/>
            <wp:docPr id="1457079590" name="Picture 1" descr="Senior couple laughing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079590" name="Picture 1457079590" descr="Senior couple laughing together"/>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86878" cy="1793534"/>
                    </a:xfrm>
                    <a:prstGeom prst="rect">
                      <a:avLst/>
                    </a:prstGeom>
                  </pic:spPr>
                </pic:pic>
              </a:graphicData>
            </a:graphic>
          </wp:inline>
        </w:drawing>
      </w:r>
      <w:r>
        <w:rPr>
          <w:noProof/>
        </w:rPr>
        <w:drawing>
          <wp:inline distT="0" distB="0" distL="0" distR="0" wp14:anchorId="69FE0290" wp14:editId="20922C6C">
            <wp:extent cx="2679911" cy="1783243"/>
            <wp:effectExtent l="0" t="0" r="6350" b="7620"/>
            <wp:docPr id="402649464" name="Picture 2" descr="Person helping old wo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649464" name="Picture 402649464" descr="Person helping old woman"/>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86494" cy="1787623"/>
                    </a:xfrm>
                    <a:prstGeom prst="rect">
                      <a:avLst/>
                    </a:prstGeom>
                  </pic:spPr>
                </pic:pic>
              </a:graphicData>
            </a:graphic>
          </wp:inline>
        </w:drawing>
      </w:r>
    </w:p>
    <w:p w14:paraId="4E2CCDFA" w14:textId="43C3C396" w:rsidR="00094858" w:rsidRDefault="00094858"/>
    <w:p w14:paraId="184126F0" w14:textId="69B9DD04" w:rsidR="00676C16" w:rsidRDefault="00676C16">
      <w:r>
        <w:t xml:space="preserve"> </w:t>
      </w:r>
      <w:r>
        <w:rPr>
          <w:noProof/>
        </w:rPr>
        <w:drawing>
          <wp:inline distT="0" distB="0" distL="0" distR="0" wp14:anchorId="408B0131" wp14:editId="23C64B38">
            <wp:extent cx="2678819" cy="1787859"/>
            <wp:effectExtent l="0" t="0" r="7620" b="3175"/>
            <wp:docPr id="1685786297" name="Picture 5" descr="Person holding h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86297" name="Picture 1685786297" descr="Person holding han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89269" cy="1794833"/>
                    </a:xfrm>
                    <a:prstGeom prst="rect">
                      <a:avLst/>
                    </a:prstGeom>
                  </pic:spPr>
                </pic:pic>
              </a:graphicData>
            </a:graphic>
          </wp:inline>
        </w:drawing>
      </w:r>
      <w:r>
        <w:t xml:space="preserve"> </w:t>
      </w:r>
      <w:r w:rsidR="00B474B9">
        <w:rPr>
          <w:noProof/>
        </w:rPr>
        <w:drawing>
          <wp:inline distT="0" distB="0" distL="0" distR="0" wp14:anchorId="4E05487E" wp14:editId="21A721BE">
            <wp:extent cx="2657816" cy="1771190"/>
            <wp:effectExtent l="0" t="0" r="9525" b="635"/>
            <wp:docPr id="2071103585" name="Picture 6" descr="Couple holding c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103585" name="Picture 2071103585" descr="Couple holding can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64109" cy="1775384"/>
                    </a:xfrm>
                    <a:prstGeom prst="rect">
                      <a:avLst/>
                    </a:prstGeom>
                  </pic:spPr>
                </pic:pic>
              </a:graphicData>
            </a:graphic>
          </wp:inline>
        </w:drawing>
      </w:r>
    </w:p>
    <w:p w14:paraId="2E02BE82" w14:textId="095820E6" w:rsidR="00B474B9" w:rsidRDefault="00B474B9"/>
    <w:p w14:paraId="41910B3A" w14:textId="173897D5" w:rsidR="007C4C93" w:rsidRDefault="007C4C93">
      <w:r>
        <w:br w:type="page"/>
      </w:r>
    </w:p>
    <w:p w14:paraId="4D5BBAAF" w14:textId="272E25C5" w:rsidR="00F078D3" w:rsidRPr="00A059B9" w:rsidRDefault="007C4C93" w:rsidP="002C2E38">
      <w:pPr>
        <w:jc w:val="center"/>
        <w:rPr>
          <w:rFonts w:ascii="Amasis MT Pro Black" w:hAnsi="Amasis MT Pro Black"/>
          <w:b/>
          <w:bCs/>
          <w:color w:val="153D63" w:themeColor="text2" w:themeTint="E6"/>
          <w:sz w:val="68"/>
          <w:szCs w:val="68"/>
        </w:rPr>
      </w:pPr>
      <w:r>
        <w:rPr>
          <w:rFonts w:ascii="Amasis MT Pro Black" w:hAnsi="Amasis MT Pro Black"/>
          <w:b/>
          <w:bCs/>
          <w:noProof/>
          <w:sz w:val="52"/>
          <w:szCs w:val="52"/>
        </w:rPr>
        <w:lastRenderedPageBreak/>
        <mc:AlternateContent>
          <mc:Choice Requires="wpg">
            <w:drawing>
              <wp:anchor distT="0" distB="0" distL="114300" distR="114300" simplePos="0" relativeHeight="251661312" behindDoc="0" locked="0" layoutInCell="1" allowOverlap="1" wp14:anchorId="7F859CFF" wp14:editId="75B4AED7">
                <wp:simplePos x="0" y="0"/>
                <wp:positionH relativeFrom="column">
                  <wp:posOffset>-31750</wp:posOffset>
                </wp:positionH>
                <wp:positionV relativeFrom="paragraph">
                  <wp:posOffset>850513</wp:posOffset>
                </wp:positionV>
                <wp:extent cx="5659821" cy="7630511"/>
                <wp:effectExtent l="0" t="0" r="17145" b="27940"/>
                <wp:wrapTopAndBottom/>
                <wp:docPr id="1554609227" name="Group 10"/>
                <wp:cNvGraphicFramePr/>
                <a:graphic xmlns:a="http://schemas.openxmlformats.org/drawingml/2006/main">
                  <a:graphicData uri="http://schemas.microsoft.com/office/word/2010/wordprocessingGroup">
                    <wpg:wgp>
                      <wpg:cNvGrpSpPr/>
                      <wpg:grpSpPr>
                        <a:xfrm>
                          <a:off x="0" y="0"/>
                          <a:ext cx="5659821" cy="7630511"/>
                          <a:chOff x="0" y="0"/>
                          <a:chExt cx="5659821" cy="7630511"/>
                        </a:xfrm>
                      </wpg:grpSpPr>
                      <wps:wsp>
                        <wps:cNvPr id="1837748067" name="Rectangle: Rounded Corners 7"/>
                        <wps:cNvSpPr/>
                        <wps:spPr>
                          <a:xfrm>
                            <a:off x="0" y="0"/>
                            <a:ext cx="5659821" cy="7630511"/>
                          </a:xfrm>
                          <a:prstGeom prst="round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74263429" name="Text Box 2"/>
                        <wps:cNvSpPr txBox="1"/>
                        <wps:spPr>
                          <a:xfrm>
                            <a:off x="294198" y="469127"/>
                            <a:ext cx="5017274" cy="6368902"/>
                          </a:xfrm>
                          <a:prstGeom prst="rect">
                            <a:avLst/>
                          </a:prstGeom>
                          <a:solidFill>
                            <a:schemeClr val="tx2">
                              <a:lumMod val="10000"/>
                              <a:lumOff val="90000"/>
                            </a:schemeClr>
                          </a:solidFill>
                          <a:ln w="6350">
                            <a:solidFill>
                              <a:prstClr val="black"/>
                            </a:solidFill>
                          </a:ln>
                        </wps:spPr>
                        <wps:txbx>
                          <w:txbxContent>
                            <w:p w14:paraId="55290520" w14:textId="6D705452" w:rsidR="0035453C" w:rsidRPr="006F338A" w:rsidRDefault="0035453C" w:rsidP="0035453C">
                              <w:pPr>
                                <w:rPr>
                                  <w:rFonts w:ascii="Amasis MT Pro" w:hAnsi="Amasis MT Pro"/>
                                  <w:color w:val="153D63" w:themeColor="text2" w:themeTint="E6"/>
                                  <w:sz w:val="36"/>
                                  <w:szCs w:val="36"/>
                                </w:rPr>
                              </w:pPr>
                              <w:r w:rsidRPr="006F338A">
                                <w:rPr>
                                  <w:rFonts w:ascii="Amasis MT Pro" w:hAnsi="Amasis MT Pro"/>
                                  <w:color w:val="153D63" w:themeColor="text2" w:themeTint="E6"/>
                                  <w:sz w:val="36"/>
                                  <w:szCs w:val="36"/>
                                </w:rPr>
                                <w:t>Dementia i</w:t>
                              </w:r>
                              <w:r w:rsidR="006016A0" w:rsidRPr="006F338A">
                                <w:rPr>
                                  <w:rFonts w:ascii="Amasis MT Pro" w:hAnsi="Amasis MT Pro"/>
                                  <w:color w:val="153D63" w:themeColor="text2" w:themeTint="E6"/>
                                  <w:sz w:val="36"/>
                                  <w:szCs w:val="36"/>
                                </w:rPr>
                                <w:t>s one of the leading causes of death in Wales, affecting one in eight women and one in fifteen men. In 2019 it was estimated 46,800 older people (65 years and above) were living with dementia and by 2040 that number is estimated to increase by 70%</w:t>
                              </w:r>
                              <w:r w:rsidR="00110985" w:rsidRPr="006F338A">
                                <w:rPr>
                                  <w:rFonts w:ascii="Amasis MT Pro" w:hAnsi="Amasis MT Pro"/>
                                  <w:color w:val="153D63" w:themeColor="text2" w:themeTint="E6"/>
                                  <w:sz w:val="36"/>
                                  <w:szCs w:val="36"/>
                                </w:rPr>
                                <w:t xml:space="preserve"> (Senedd Research, 2023). </w:t>
                              </w:r>
                            </w:p>
                            <w:p w14:paraId="5A9F01AA" w14:textId="77777777" w:rsidR="00662125" w:rsidRPr="006F338A" w:rsidRDefault="00662125" w:rsidP="0035453C">
                              <w:pPr>
                                <w:rPr>
                                  <w:rFonts w:ascii="Amasis MT Pro" w:hAnsi="Amasis MT Pro"/>
                                  <w:color w:val="153D63" w:themeColor="text2" w:themeTint="E6"/>
                                  <w:sz w:val="36"/>
                                  <w:szCs w:val="36"/>
                                </w:rPr>
                              </w:pPr>
                            </w:p>
                            <w:p w14:paraId="21B68095" w14:textId="77777777" w:rsidR="0035453C" w:rsidRPr="006F338A" w:rsidRDefault="0035453C" w:rsidP="0035453C">
                              <w:pPr>
                                <w:rPr>
                                  <w:rFonts w:ascii="Amasis MT Pro" w:hAnsi="Amasis MT Pro"/>
                                  <w:color w:val="153D63" w:themeColor="text2" w:themeTint="E6"/>
                                  <w:sz w:val="36"/>
                                  <w:szCs w:val="36"/>
                                </w:rPr>
                              </w:pPr>
                              <w:r w:rsidRPr="006F338A">
                                <w:rPr>
                                  <w:rFonts w:ascii="Amasis MT Pro" w:hAnsi="Amasis MT Pro"/>
                                  <w:color w:val="153D63" w:themeColor="text2" w:themeTint="E6"/>
                                  <w:sz w:val="36"/>
                                  <w:szCs w:val="36"/>
                                </w:rPr>
                                <w:t>This portfolio aims to address the provision of dementia services in two parts:</w:t>
                              </w:r>
                            </w:p>
                            <w:p w14:paraId="72F9639D" w14:textId="77777777" w:rsidR="00662125" w:rsidRPr="006F338A" w:rsidRDefault="00662125" w:rsidP="0035453C">
                              <w:pPr>
                                <w:rPr>
                                  <w:rFonts w:ascii="Amasis MT Pro" w:hAnsi="Amasis MT Pro"/>
                                  <w:color w:val="153D63" w:themeColor="text2" w:themeTint="E6"/>
                                  <w:sz w:val="36"/>
                                  <w:szCs w:val="36"/>
                                </w:rPr>
                              </w:pPr>
                            </w:p>
                            <w:p w14:paraId="716F9371" w14:textId="77777777" w:rsidR="0035453C" w:rsidRPr="006F338A" w:rsidRDefault="0035453C" w:rsidP="0035453C">
                              <w:pPr>
                                <w:rPr>
                                  <w:rFonts w:ascii="Amasis MT Pro" w:hAnsi="Amasis MT Pro"/>
                                  <w:color w:val="153D63" w:themeColor="text2" w:themeTint="E6"/>
                                  <w:sz w:val="36"/>
                                  <w:szCs w:val="36"/>
                                </w:rPr>
                              </w:pPr>
                              <w:r w:rsidRPr="006F338A">
                                <w:rPr>
                                  <w:rFonts w:ascii="Amasis MT Pro" w:hAnsi="Amasis MT Pro"/>
                                  <w:b/>
                                  <w:bCs/>
                                  <w:color w:val="153D63" w:themeColor="text2" w:themeTint="E6"/>
                                  <w:sz w:val="36"/>
                                  <w:szCs w:val="36"/>
                                </w:rPr>
                                <w:t>Part 1:</w:t>
                              </w:r>
                              <w:r w:rsidRPr="006F338A">
                                <w:rPr>
                                  <w:rFonts w:ascii="Amasis MT Pro" w:hAnsi="Amasis MT Pro"/>
                                  <w:color w:val="153D63" w:themeColor="text2" w:themeTint="E6"/>
                                  <w:sz w:val="36"/>
                                  <w:szCs w:val="36"/>
                                </w:rPr>
                                <w:t xml:space="preserve"> includes organisational initiatives which focus on supporting the elderly with dementia and what community services and facilities they have to offer</w:t>
                              </w:r>
                            </w:p>
                            <w:p w14:paraId="206268EA" w14:textId="77777777" w:rsidR="00662125" w:rsidRPr="006F338A" w:rsidRDefault="00662125" w:rsidP="0035453C">
                              <w:pPr>
                                <w:rPr>
                                  <w:rFonts w:ascii="Amasis MT Pro" w:hAnsi="Amasis MT Pro"/>
                                  <w:color w:val="153D63" w:themeColor="text2" w:themeTint="E6"/>
                                  <w:sz w:val="36"/>
                                  <w:szCs w:val="36"/>
                                </w:rPr>
                              </w:pPr>
                            </w:p>
                            <w:p w14:paraId="6078428C" w14:textId="77777777" w:rsidR="0035453C" w:rsidRPr="006F338A" w:rsidRDefault="0035453C" w:rsidP="0035453C">
                              <w:pPr>
                                <w:rPr>
                                  <w:rFonts w:ascii="Amasis MT Pro" w:hAnsi="Amasis MT Pro"/>
                                  <w:color w:val="153D63" w:themeColor="text2" w:themeTint="E6"/>
                                  <w:sz w:val="36"/>
                                  <w:szCs w:val="36"/>
                                </w:rPr>
                              </w:pPr>
                              <w:r w:rsidRPr="006F338A">
                                <w:rPr>
                                  <w:rFonts w:ascii="Amasis MT Pro" w:hAnsi="Amasis MT Pro"/>
                                  <w:b/>
                                  <w:bCs/>
                                  <w:color w:val="153D63" w:themeColor="text2" w:themeTint="E6"/>
                                  <w:sz w:val="36"/>
                                  <w:szCs w:val="36"/>
                                </w:rPr>
                                <w:t>Part 2:</w:t>
                              </w:r>
                              <w:r w:rsidRPr="006F338A">
                                <w:rPr>
                                  <w:rFonts w:ascii="Amasis MT Pro" w:hAnsi="Amasis MT Pro"/>
                                  <w:color w:val="153D63" w:themeColor="text2" w:themeTint="E6"/>
                                  <w:sz w:val="36"/>
                                  <w:szCs w:val="36"/>
                                </w:rPr>
                                <w:t xml:space="preserve"> considers empirical evidence to highlight the impact dementia has on an individual as well as their family/caregivers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F859CFF" id="Group 10" o:spid="_x0000_s1026" style="position:absolute;left:0;text-align:left;margin-left:-2.5pt;margin-top:66.95pt;width:445.65pt;height:600.85pt;z-index:251661312" coordsize="56598,763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">
                <v:roundrect id="Rectangle: Rounded Corners 7" o:spid="_x0000_s1027" style="position:absolute;width:56598;height:7630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" fillcolor="#83caeb [1300]" strokecolor="#030e13 [484]" strokeweight="1pt">
                  <v:stroke joinstyle="miter"/>
                </v:roundrect>
                <v:shapetype id="_x0000_t202" coordsize="21600,21600" o:spt="202" path="m,l,21600r21600,l21600,xe">
                  <v:stroke joinstyle="miter"/>
                  <v:path gradientshapeok="t" o:connecttype="rect"/>
                </v:shapetype>
                <v:shape id="Text Box 2" o:spid="_x0000_s1028" type="#_x0000_t202" style="position:absolute;left:2941;top:4691;width:50173;height:63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" fillcolor="#dceaf7 [351]" strokeweight=".5pt">
                  <v:textbox>
                    <w:txbxContent>
                      <w:p w14:paraId="55290520" w14:textId="6D705452" w:rsidR="0035453C" w:rsidRPr="006F338A" w:rsidRDefault="0035453C" w:rsidP="0035453C">
                        <w:pPr>
                          <w:rPr>
                            <w:rFonts w:ascii="Amasis MT Pro" w:hAnsi="Amasis MT Pro"/>
                            <w:color w:val="153D63" w:themeColor="text2" w:themeTint="E6"/>
                            <w:sz w:val="36"/>
                            <w:szCs w:val="36"/>
                          </w:rPr>
                        </w:pPr>
                        <w:r w:rsidRPr="006F338A">
                          <w:rPr>
                            <w:rFonts w:ascii="Amasis MT Pro" w:hAnsi="Amasis MT Pro"/>
                            <w:color w:val="153D63" w:themeColor="text2" w:themeTint="E6"/>
                            <w:sz w:val="36"/>
                            <w:szCs w:val="36"/>
                          </w:rPr>
                          <w:t>Dementia i</w:t>
                        </w:r>
                        <w:r w:rsidR="006016A0" w:rsidRPr="006F338A">
                          <w:rPr>
                            <w:rFonts w:ascii="Amasis MT Pro" w:hAnsi="Amasis MT Pro"/>
                            <w:color w:val="153D63" w:themeColor="text2" w:themeTint="E6"/>
                            <w:sz w:val="36"/>
                            <w:szCs w:val="36"/>
                          </w:rPr>
                          <w:t>s one of the leading causes of death in Wales, affecting one in eight women and one in fifteen men. In 2019 it was estimated 46,800 older people (65 years and above) were living with dementia and by 2040 that number is estimated to increase by 70%</w:t>
                        </w:r>
                        <w:r w:rsidR="00110985" w:rsidRPr="006F338A">
                          <w:rPr>
                            <w:rFonts w:ascii="Amasis MT Pro" w:hAnsi="Amasis MT Pro"/>
                            <w:color w:val="153D63" w:themeColor="text2" w:themeTint="E6"/>
                            <w:sz w:val="36"/>
                            <w:szCs w:val="36"/>
                          </w:rPr>
                          <w:t xml:space="preserve"> (Senedd Research, 2023). </w:t>
                        </w:r>
                      </w:p>
                      <w:p w14:paraId="5A9F01AA" w14:textId="77777777" w:rsidR="00662125" w:rsidRPr="006F338A" w:rsidRDefault="00662125" w:rsidP="0035453C">
                        <w:pPr>
                          <w:rPr>
                            <w:rFonts w:ascii="Amasis MT Pro" w:hAnsi="Amasis MT Pro"/>
                            <w:color w:val="153D63" w:themeColor="text2" w:themeTint="E6"/>
                            <w:sz w:val="36"/>
                            <w:szCs w:val="36"/>
                          </w:rPr>
                        </w:pPr>
                      </w:p>
                      <w:p w14:paraId="21B68095" w14:textId="77777777" w:rsidR="0035453C" w:rsidRPr="006F338A" w:rsidRDefault="0035453C" w:rsidP="0035453C">
                        <w:pPr>
                          <w:rPr>
                            <w:rFonts w:ascii="Amasis MT Pro" w:hAnsi="Amasis MT Pro"/>
                            <w:color w:val="153D63" w:themeColor="text2" w:themeTint="E6"/>
                            <w:sz w:val="36"/>
                            <w:szCs w:val="36"/>
                          </w:rPr>
                        </w:pPr>
                        <w:r w:rsidRPr="006F338A">
                          <w:rPr>
                            <w:rFonts w:ascii="Amasis MT Pro" w:hAnsi="Amasis MT Pro"/>
                            <w:color w:val="153D63" w:themeColor="text2" w:themeTint="E6"/>
                            <w:sz w:val="36"/>
                            <w:szCs w:val="36"/>
                          </w:rPr>
                          <w:t>This portfolio aims to address the provision of dementia services in two parts:</w:t>
                        </w:r>
                      </w:p>
                      <w:p w14:paraId="72F9639D" w14:textId="77777777" w:rsidR="00662125" w:rsidRPr="006F338A" w:rsidRDefault="00662125" w:rsidP="0035453C">
                        <w:pPr>
                          <w:rPr>
                            <w:rFonts w:ascii="Amasis MT Pro" w:hAnsi="Amasis MT Pro"/>
                            <w:color w:val="153D63" w:themeColor="text2" w:themeTint="E6"/>
                            <w:sz w:val="36"/>
                            <w:szCs w:val="36"/>
                          </w:rPr>
                        </w:pPr>
                      </w:p>
                      <w:p w14:paraId="716F9371" w14:textId="77777777" w:rsidR="0035453C" w:rsidRPr="006F338A" w:rsidRDefault="0035453C" w:rsidP="0035453C">
                        <w:pPr>
                          <w:rPr>
                            <w:rFonts w:ascii="Amasis MT Pro" w:hAnsi="Amasis MT Pro"/>
                            <w:color w:val="153D63" w:themeColor="text2" w:themeTint="E6"/>
                            <w:sz w:val="36"/>
                            <w:szCs w:val="36"/>
                          </w:rPr>
                        </w:pPr>
                        <w:r w:rsidRPr="006F338A">
                          <w:rPr>
                            <w:rFonts w:ascii="Amasis MT Pro" w:hAnsi="Amasis MT Pro"/>
                            <w:b/>
                            <w:bCs/>
                            <w:color w:val="153D63" w:themeColor="text2" w:themeTint="E6"/>
                            <w:sz w:val="36"/>
                            <w:szCs w:val="36"/>
                          </w:rPr>
                          <w:t>Part 1:</w:t>
                        </w:r>
                        <w:r w:rsidRPr="006F338A">
                          <w:rPr>
                            <w:rFonts w:ascii="Amasis MT Pro" w:hAnsi="Amasis MT Pro"/>
                            <w:color w:val="153D63" w:themeColor="text2" w:themeTint="E6"/>
                            <w:sz w:val="36"/>
                            <w:szCs w:val="36"/>
                          </w:rPr>
                          <w:t xml:space="preserve"> includes organisational initiatives which focus on supporting the elderly with dementia and what community services and facilities they have to offer</w:t>
                        </w:r>
                      </w:p>
                      <w:p w14:paraId="206268EA" w14:textId="77777777" w:rsidR="00662125" w:rsidRPr="006F338A" w:rsidRDefault="00662125" w:rsidP="0035453C">
                        <w:pPr>
                          <w:rPr>
                            <w:rFonts w:ascii="Amasis MT Pro" w:hAnsi="Amasis MT Pro"/>
                            <w:color w:val="153D63" w:themeColor="text2" w:themeTint="E6"/>
                            <w:sz w:val="36"/>
                            <w:szCs w:val="36"/>
                          </w:rPr>
                        </w:pPr>
                      </w:p>
                      <w:p w14:paraId="6078428C" w14:textId="77777777" w:rsidR="0035453C" w:rsidRPr="006F338A" w:rsidRDefault="0035453C" w:rsidP="0035453C">
                        <w:pPr>
                          <w:rPr>
                            <w:rFonts w:ascii="Amasis MT Pro" w:hAnsi="Amasis MT Pro"/>
                            <w:color w:val="153D63" w:themeColor="text2" w:themeTint="E6"/>
                            <w:sz w:val="36"/>
                            <w:szCs w:val="36"/>
                          </w:rPr>
                        </w:pPr>
                        <w:r w:rsidRPr="006F338A">
                          <w:rPr>
                            <w:rFonts w:ascii="Amasis MT Pro" w:hAnsi="Amasis MT Pro"/>
                            <w:b/>
                            <w:bCs/>
                            <w:color w:val="153D63" w:themeColor="text2" w:themeTint="E6"/>
                            <w:sz w:val="36"/>
                            <w:szCs w:val="36"/>
                          </w:rPr>
                          <w:t>Part 2:</w:t>
                        </w:r>
                        <w:r w:rsidRPr="006F338A">
                          <w:rPr>
                            <w:rFonts w:ascii="Amasis MT Pro" w:hAnsi="Amasis MT Pro"/>
                            <w:color w:val="153D63" w:themeColor="text2" w:themeTint="E6"/>
                            <w:sz w:val="36"/>
                            <w:szCs w:val="36"/>
                          </w:rPr>
                          <w:t xml:space="preserve"> considers empirical evidence to highlight the impact dementia has on an individual as well as their family/caregivers</w:t>
                        </w:r>
                      </w:p>
                    </w:txbxContent>
                  </v:textbox>
                </v:shape>
                <w10:wrap type="topAndBottom"/>
              </v:group>
            </w:pict>
          </mc:Fallback>
        </mc:AlternateContent>
      </w:r>
      <w:r w:rsidR="004903FC" w:rsidRPr="00A059B9">
        <w:rPr>
          <w:rFonts w:ascii="Amasis MT Pro Black" w:hAnsi="Amasis MT Pro Black"/>
          <w:b/>
          <w:bCs/>
          <w:color w:val="153D63" w:themeColor="text2" w:themeTint="E6"/>
          <w:sz w:val="68"/>
          <w:szCs w:val="68"/>
        </w:rPr>
        <w:t>Overview</w:t>
      </w:r>
    </w:p>
    <w:p w14:paraId="47968649" w14:textId="31D98675" w:rsidR="0035453C" w:rsidRDefault="0035453C">
      <w:pPr>
        <w:rPr>
          <w:rFonts w:ascii="Amasis MT Pro Black" w:hAnsi="Amasis MT Pro Black"/>
          <w:b/>
          <w:bCs/>
          <w:sz w:val="40"/>
          <w:szCs w:val="40"/>
        </w:rPr>
      </w:pPr>
      <w:r>
        <w:rPr>
          <w:rFonts w:ascii="Amasis MT Pro Black" w:hAnsi="Amasis MT Pro Black"/>
          <w:b/>
          <w:bCs/>
          <w:sz w:val="40"/>
          <w:szCs w:val="40"/>
        </w:rPr>
        <w:br w:type="page"/>
      </w:r>
    </w:p>
    <w:p w14:paraId="302891B1" w14:textId="011B33FF" w:rsidR="0035453C" w:rsidRPr="002C2E38" w:rsidRDefault="0035453C" w:rsidP="0035453C">
      <w:pPr>
        <w:jc w:val="center"/>
        <w:rPr>
          <w:rFonts w:ascii="Amasis MT Pro Black" w:hAnsi="Amasis MT Pro Black"/>
          <w:b/>
          <w:bCs/>
          <w:color w:val="153D63" w:themeColor="text2" w:themeTint="E6"/>
          <w:sz w:val="72"/>
          <w:szCs w:val="72"/>
        </w:rPr>
      </w:pPr>
      <w:r w:rsidRPr="002C2E38">
        <w:rPr>
          <w:rFonts w:ascii="Amasis MT Pro Black" w:hAnsi="Amasis MT Pro Black"/>
          <w:b/>
          <w:bCs/>
          <w:color w:val="153D63" w:themeColor="text2" w:themeTint="E6"/>
          <w:sz w:val="72"/>
          <w:szCs w:val="72"/>
        </w:rPr>
        <w:lastRenderedPageBreak/>
        <w:t>Part 1</w:t>
      </w:r>
    </w:p>
    <w:p w14:paraId="421093ED" w14:textId="77777777" w:rsidR="0035453C" w:rsidRPr="002C2E38" w:rsidRDefault="0035453C" w:rsidP="0035453C">
      <w:pPr>
        <w:jc w:val="center"/>
        <w:rPr>
          <w:rFonts w:ascii="Amasis MT Pro Black" w:hAnsi="Amasis MT Pro Black"/>
          <w:b/>
          <w:bCs/>
          <w:color w:val="153D63" w:themeColor="text2" w:themeTint="E6"/>
          <w:sz w:val="72"/>
          <w:szCs w:val="72"/>
        </w:rPr>
      </w:pPr>
    </w:p>
    <w:p w14:paraId="0862D8D6" w14:textId="16F76807" w:rsidR="0035453C" w:rsidRPr="002C2E38" w:rsidRDefault="0035453C" w:rsidP="0035453C">
      <w:pPr>
        <w:jc w:val="center"/>
        <w:rPr>
          <w:rFonts w:ascii="Amasis MT Pro Black" w:hAnsi="Amasis MT Pro Black"/>
          <w:b/>
          <w:bCs/>
          <w:color w:val="153D63" w:themeColor="text2" w:themeTint="E6"/>
          <w:sz w:val="80"/>
          <w:szCs w:val="80"/>
        </w:rPr>
      </w:pPr>
      <w:r w:rsidRPr="002C2E38">
        <w:rPr>
          <w:rFonts w:ascii="Amasis MT Pro Black" w:hAnsi="Amasis MT Pro Black"/>
          <w:b/>
          <w:bCs/>
          <w:color w:val="153D63" w:themeColor="text2" w:themeTint="E6"/>
          <w:sz w:val="80"/>
          <w:szCs w:val="80"/>
        </w:rPr>
        <w:t>Organisational initiatives in supporting the elderly with dementia in Wales</w:t>
      </w:r>
    </w:p>
    <w:p w14:paraId="715CA029" w14:textId="77777777" w:rsidR="0035453C" w:rsidRDefault="0035453C" w:rsidP="0035453C">
      <w:pPr>
        <w:jc w:val="center"/>
        <w:rPr>
          <w:rFonts w:ascii="Amasis MT Pro Black" w:hAnsi="Amasis MT Pro Black"/>
          <w:b/>
          <w:bCs/>
          <w:sz w:val="80"/>
          <w:szCs w:val="80"/>
        </w:rPr>
      </w:pPr>
    </w:p>
    <w:p w14:paraId="087A0E94" w14:textId="19B218C1" w:rsidR="0035453C" w:rsidRPr="00AF288C" w:rsidRDefault="00BE0F6E" w:rsidP="0035453C">
      <w:pPr>
        <w:jc w:val="center"/>
        <w:rPr>
          <w:rFonts w:ascii="Amasis MT Pro Black" w:hAnsi="Amasis MT Pro Black"/>
          <w:b/>
          <w:bCs/>
          <w:sz w:val="32"/>
          <w:szCs w:val="32"/>
        </w:rPr>
      </w:pPr>
      <w:r w:rsidRPr="00AF288C">
        <w:rPr>
          <w:rFonts w:ascii="Amasis MT Pro Black" w:hAnsi="Amasis MT Pro Black"/>
          <w:b/>
          <w:bCs/>
          <w:noProof/>
          <w:sz w:val="32"/>
          <w:szCs w:val="32"/>
        </w:rPr>
        <w:drawing>
          <wp:inline distT="0" distB="0" distL="0" distR="0" wp14:anchorId="606C532B" wp14:editId="24DCC7B2">
            <wp:extent cx="2171700" cy="2768641"/>
            <wp:effectExtent l="0" t="0" r="0" b="0"/>
            <wp:docPr id="926255847"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255847" name="Graphic 926255847"/>
                    <pic:cNvPicPr/>
                  </pic:nvPicPr>
                  <pic:blipFill>
                    <a:blip r:embed="rId12">
                      <a:extLst>
                        <a:ext uri="{96DAC541-7B7A-43D3-8B79-37D633B846F1}">
                          <asvg:svgBlip xmlns:asvg="http://schemas.microsoft.com/office/drawing/2016/SVG/main" r:embed="rId13"/>
                        </a:ext>
                        <a:ext uri="{837473B0-CC2E-450A-ABE3-18F120FF3D39}">
                          <a1611:picAttrSrcUrl xmlns:a1611="http://schemas.microsoft.com/office/drawing/2016/11/main" r:id="rId14"/>
                        </a:ext>
                      </a:extLst>
                    </a:blip>
                    <a:stretch>
                      <a:fillRect/>
                    </a:stretch>
                  </pic:blipFill>
                  <pic:spPr>
                    <a:xfrm>
                      <a:off x="0" y="0"/>
                      <a:ext cx="2178804" cy="2777698"/>
                    </a:xfrm>
                    <a:prstGeom prst="rect">
                      <a:avLst/>
                    </a:prstGeom>
                  </pic:spPr>
                </pic:pic>
              </a:graphicData>
            </a:graphic>
          </wp:inline>
        </w:drawing>
      </w:r>
    </w:p>
    <w:p w14:paraId="62E9AD53" w14:textId="0107FB38" w:rsidR="007C4C93" w:rsidRDefault="007C4C93">
      <w:pPr>
        <w:rPr>
          <w:rFonts w:ascii="Amasis MT Pro Black" w:hAnsi="Amasis MT Pro Black"/>
          <w:b/>
          <w:bCs/>
          <w:sz w:val="32"/>
          <w:szCs w:val="32"/>
        </w:rPr>
      </w:pPr>
      <w:r>
        <w:rPr>
          <w:rFonts w:ascii="Amasis MT Pro Black" w:hAnsi="Amasis MT Pro Black"/>
          <w:b/>
          <w:bCs/>
          <w:sz w:val="32"/>
          <w:szCs w:val="32"/>
        </w:rPr>
        <w:br w:type="page"/>
      </w:r>
    </w:p>
    <w:p w14:paraId="743A446A" w14:textId="7CB5BB91" w:rsidR="0035453C" w:rsidRPr="00A059B9" w:rsidRDefault="00AF288C" w:rsidP="0035453C">
      <w:pPr>
        <w:jc w:val="center"/>
        <w:rPr>
          <w:rFonts w:ascii="Amasis MT Pro Black" w:hAnsi="Amasis MT Pro Black"/>
          <w:b/>
          <w:bCs/>
          <w:color w:val="153D63" w:themeColor="text2" w:themeTint="E6"/>
          <w:sz w:val="52"/>
          <w:szCs w:val="52"/>
        </w:rPr>
      </w:pPr>
      <w:r w:rsidRPr="00A059B9">
        <w:rPr>
          <w:rFonts w:ascii="Amasis MT Pro Black" w:hAnsi="Amasis MT Pro Black"/>
          <w:b/>
          <w:bCs/>
          <w:color w:val="153D63" w:themeColor="text2" w:themeTint="E6"/>
          <w:sz w:val="52"/>
          <w:szCs w:val="52"/>
        </w:rPr>
        <w:lastRenderedPageBreak/>
        <w:t>Me, Myself &amp; I</w:t>
      </w:r>
    </w:p>
    <w:p w14:paraId="26164FF4" w14:textId="77777777" w:rsidR="00AF288C" w:rsidRPr="00A059B9" w:rsidRDefault="00AF288C" w:rsidP="0035453C">
      <w:pPr>
        <w:jc w:val="center"/>
        <w:rPr>
          <w:rFonts w:ascii="Amasis MT Pro Black" w:hAnsi="Amasis MT Pro Black"/>
          <w:b/>
          <w:bCs/>
          <w:color w:val="153D63" w:themeColor="text2" w:themeTint="E6"/>
          <w:sz w:val="32"/>
          <w:szCs w:val="32"/>
        </w:rPr>
      </w:pPr>
    </w:p>
    <w:p w14:paraId="6A57C950" w14:textId="7DF1FE81" w:rsidR="00D40F08" w:rsidRDefault="00AF288C" w:rsidP="00D40F08">
      <w:pPr>
        <w:jc w:val="center"/>
        <w:rPr>
          <w:rFonts w:ascii="Amasis MT Pro Black" w:hAnsi="Amasis MT Pro Black"/>
          <w:b/>
          <w:bCs/>
          <w:color w:val="153D63" w:themeColor="text2" w:themeTint="E6"/>
          <w:sz w:val="36"/>
          <w:szCs w:val="36"/>
        </w:rPr>
      </w:pPr>
      <w:r w:rsidRPr="00A059B9">
        <w:rPr>
          <w:rFonts w:ascii="Amasis MT Pro Black" w:hAnsi="Amasis MT Pro Black"/>
          <w:b/>
          <w:bCs/>
          <w:color w:val="153D63" w:themeColor="text2" w:themeTint="E6"/>
          <w:sz w:val="36"/>
          <w:szCs w:val="36"/>
        </w:rPr>
        <w:t>Me, Myself and &amp; I is a government registered charity</w:t>
      </w:r>
      <w:r w:rsidR="002D6E07" w:rsidRPr="00A059B9">
        <w:rPr>
          <w:rFonts w:ascii="Amasis MT Pro Black" w:hAnsi="Amasis MT Pro Black"/>
          <w:b/>
          <w:bCs/>
          <w:color w:val="153D63" w:themeColor="text2" w:themeTint="E6"/>
          <w:sz w:val="36"/>
          <w:szCs w:val="36"/>
        </w:rPr>
        <w:t xml:space="preserve"> established in 2013 which</w:t>
      </w:r>
      <w:r w:rsidRPr="00A059B9">
        <w:rPr>
          <w:rFonts w:ascii="Amasis MT Pro Black" w:hAnsi="Amasis MT Pro Black"/>
          <w:b/>
          <w:bCs/>
          <w:color w:val="153D63" w:themeColor="text2" w:themeTint="E6"/>
          <w:sz w:val="36"/>
          <w:szCs w:val="36"/>
        </w:rPr>
        <w:t xml:space="preserve"> offer</w:t>
      </w:r>
      <w:r w:rsidR="002D6E07" w:rsidRPr="00A059B9">
        <w:rPr>
          <w:rFonts w:ascii="Amasis MT Pro Black" w:hAnsi="Amasis MT Pro Black"/>
          <w:b/>
          <w:bCs/>
          <w:color w:val="153D63" w:themeColor="text2" w:themeTint="E6"/>
          <w:sz w:val="36"/>
          <w:szCs w:val="36"/>
        </w:rPr>
        <w:t>s</w:t>
      </w:r>
      <w:r w:rsidRPr="00A059B9">
        <w:rPr>
          <w:rFonts w:ascii="Amasis MT Pro Black" w:hAnsi="Amasis MT Pro Black"/>
          <w:b/>
          <w:bCs/>
          <w:color w:val="153D63" w:themeColor="text2" w:themeTint="E6"/>
          <w:sz w:val="36"/>
          <w:szCs w:val="36"/>
        </w:rPr>
        <w:t xml:space="preserve"> a friendly </w:t>
      </w:r>
      <w:r w:rsidR="002D6E07" w:rsidRPr="00A059B9">
        <w:rPr>
          <w:rFonts w:ascii="Amasis MT Pro Black" w:hAnsi="Amasis MT Pro Black"/>
          <w:b/>
          <w:bCs/>
          <w:color w:val="153D63" w:themeColor="text2" w:themeTint="E6"/>
          <w:sz w:val="36"/>
          <w:szCs w:val="36"/>
        </w:rPr>
        <w:t xml:space="preserve">and </w:t>
      </w:r>
      <w:r w:rsidRPr="00A059B9">
        <w:rPr>
          <w:rFonts w:ascii="Amasis MT Pro Black" w:hAnsi="Amasis MT Pro Black"/>
          <w:b/>
          <w:bCs/>
          <w:color w:val="153D63" w:themeColor="text2" w:themeTint="E6"/>
          <w:sz w:val="36"/>
          <w:szCs w:val="36"/>
        </w:rPr>
        <w:t>support</w:t>
      </w:r>
      <w:r w:rsidR="002D6E07" w:rsidRPr="00A059B9">
        <w:rPr>
          <w:rFonts w:ascii="Amasis MT Pro Black" w:hAnsi="Amasis MT Pro Black"/>
          <w:b/>
          <w:bCs/>
          <w:color w:val="153D63" w:themeColor="text2" w:themeTint="E6"/>
          <w:sz w:val="36"/>
          <w:szCs w:val="36"/>
        </w:rPr>
        <w:t>ive</w:t>
      </w:r>
      <w:r w:rsidRPr="00A059B9">
        <w:rPr>
          <w:rFonts w:ascii="Amasis MT Pro Black" w:hAnsi="Amasis MT Pro Black"/>
          <w:b/>
          <w:bCs/>
          <w:color w:val="153D63" w:themeColor="text2" w:themeTint="E6"/>
          <w:sz w:val="36"/>
          <w:szCs w:val="36"/>
        </w:rPr>
        <w:t xml:space="preserve"> </w:t>
      </w:r>
      <w:r w:rsidR="002D6E07" w:rsidRPr="00A059B9">
        <w:rPr>
          <w:rFonts w:ascii="Amasis MT Pro Black" w:hAnsi="Amasis MT Pro Black"/>
          <w:b/>
          <w:bCs/>
          <w:color w:val="153D63" w:themeColor="text2" w:themeTint="E6"/>
          <w:sz w:val="36"/>
          <w:szCs w:val="36"/>
        </w:rPr>
        <w:t>safe space</w:t>
      </w:r>
      <w:r w:rsidRPr="00A059B9">
        <w:rPr>
          <w:rFonts w:ascii="Amasis MT Pro Black" w:hAnsi="Amasis MT Pro Black"/>
          <w:b/>
          <w:bCs/>
          <w:color w:val="153D63" w:themeColor="text2" w:themeTint="E6"/>
          <w:sz w:val="36"/>
          <w:szCs w:val="36"/>
        </w:rPr>
        <w:t xml:space="preserve"> for individuals with dementia and their families.</w:t>
      </w:r>
    </w:p>
    <w:p w14:paraId="57BED7B8" w14:textId="77777777" w:rsidR="00D40F08" w:rsidRPr="00A059B9" w:rsidRDefault="00D40F08" w:rsidP="00D40F08">
      <w:pPr>
        <w:jc w:val="center"/>
        <w:rPr>
          <w:rFonts w:ascii="Amasis MT Pro Black" w:hAnsi="Amasis MT Pro Black"/>
          <w:b/>
          <w:bCs/>
          <w:color w:val="153D63" w:themeColor="text2" w:themeTint="E6"/>
          <w:sz w:val="36"/>
          <w:szCs w:val="36"/>
        </w:rPr>
      </w:pPr>
    </w:p>
    <w:p w14:paraId="6AE8C074" w14:textId="7E2C20C4" w:rsidR="00D40F08" w:rsidRDefault="002D6E07" w:rsidP="00D40F08">
      <w:pPr>
        <w:jc w:val="center"/>
        <w:rPr>
          <w:rFonts w:ascii="Amasis MT Pro Black" w:hAnsi="Amasis MT Pro Black"/>
          <w:b/>
          <w:bCs/>
          <w:color w:val="153D63" w:themeColor="text2" w:themeTint="E6"/>
          <w:sz w:val="36"/>
          <w:szCs w:val="36"/>
        </w:rPr>
      </w:pPr>
      <w:r w:rsidRPr="00A059B9">
        <w:rPr>
          <w:rFonts w:ascii="Amasis MT Pro Black" w:hAnsi="Amasis MT Pro Black"/>
          <w:b/>
          <w:bCs/>
          <w:color w:val="153D63" w:themeColor="text2" w:themeTint="E6"/>
          <w:sz w:val="36"/>
          <w:szCs w:val="36"/>
        </w:rPr>
        <w:t>Their dedicated team of volunteer staff members</w:t>
      </w:r>
      <w:r w:rsidR="00F41309" w:rsidRPr="00A059B9">
        <w:rPr>
          <w:rFonts w:ascii="Amasis MT Pro Black" w:hAnsi="Amasis MT Pro Black"/>
          <w:b/>
          <w:bCs/>
          <w:color w:val="153D63" w:themeColor="text2" w:themeTint="E6"/>
          <w:sz w:val="36"/>
          <w:szCs w:val="36"/>
        </w:rPr>
        <w:t xml:space="preserve"> pride themselves in offering professional support, advice and guidance to all individuals wherever they are along their journey with dementia.</w:t>
      </w:r>
    </w:p>
    <w:p w14:paraId="2AF47BCF" w14:textId="77777777" w:rsidR="00D40F08" w:rsidRPr="00A059B9" w:rsidRDefault="00D40F08" w:rsidP="00D40F08">
      <w:pPr>
        <w:jc w:val="center"/>
        <w:rPr>
          <w:rFonts w:ascii="Amasis MT Pro Black" w:hAnsi="Amasis MT Pro Black"/>
          <w:b/>
          <w:bCs/>
          <w:color w:val="153D63" w:themeColor="text2" w:themeTint="E6"/>
          <w:sz w:val="36"/>
          <w:szCs w:val="36"/>
        </w:rPr>
      </w:pPr>
    </w:p>
    <w:p w14:paraId="01C7A6E4" w14:textId="69D314A4" w:rsidR="000A12AF" w:rsidRPr="00A059B9" w:rsidRDefault="007C4C93" w:rsidP="00D40F08">
      <w:pPr>
        <w:jc w:val="center"/>
        <w:rPr>
          <w:rFonts w:ascii="Amasis MT Pro Black" w:hAnsi="Amasis MT Pro Black"/>
          <w:b/>
          <w:bCs/>
          <w:color w:val="153D63" w:themeColor="text2" w:themeTint="E6"/>
          <w:sz w:val="36"/>
          <w:szCs w:val="36"/>
        </w:rPr>
      </w:pPr>
      <w:r w:rsidRPr="0027188E">
        <w:rPr>
          <w:rFonts w:ascii="Amasis MT Pro Black" w:hAnsi="Amasis MT Pro Black"/>
          <w:b/>
          <w:bCs/>
          <w:noProof/>
          <w:sz w:val="40"/>
          <w:szCs w:val="40"/>
        </w:rPr>
        <w:drawing>
          <wp:anchor distT="0" distB="0" distL="114300" distR="114300" simplePos="0" relativeHeight="251662336" behindDoc="0" locked="0" layoutInCell="1" allowOverlap="1" wp14:anchorId="3664E711" wp14:editId="3C595333">
            <wp:simplePos x="0" y="0"/>
            <wp:positionH relativeFrom="column">
              <wp:posOffset>1056502</wp:posOffset>
            </wp:positionH>
            <wp:positionV relativeFrom="paragraph">
              <wp:posOffset>1644844</wp:posOffset>
            </wp:positionV>
            <wp:extent cx="3538220" cy="2033270"/>
            <wp:effectExtent l="0" t="0" r="5080" b="5080"/>
            <wp:wrapTopAndBottom/>
            <wp:docPr id="186300136" name="Picture 1" descr="A blue butterfly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00136" name="Picture 1" descr="A blue butterfly with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3538220" cy="2033270"/>
                    </a:xfrm>
                    <a:prstGeom prst="rect">
                      <a:avLst/>
                    </a:prstGeom>
                  </pic:spPr>
                </pic:pic>
              </a:graphicData>
            </a:graphic>
            <wp14:sizeRelH relativeFrom="margin">
              <wp14:pctWidth>0</wp14:pctWidth>
            </wp14:sizeRelH>
            <wp14:sizeRelV relativeFrom="margin">
              <wp14:pctHeight>0</wp14:pctHeight>
            </wp14:sizeRelV>
          </wp:anchor>
        </w:drawing>
      </w:r>
      <w:r w:rsidR="000A12AF" w:rsidRPr="00A059B9">
        <w:rPr>
          <w:rFonts w:ascii="Amasis MT Pro Black" w:hAnsi="Amasis MT Pro Black"/>
          <w:b/>
          <w:bCs/>
          <w:color w:val="153D63" w:themeColor="text2" w:themeTint="E6"/>
          <w:sz w:val="36"/>
          <w:szCs w:val="36"/>
        </w:rPr>
        <w:t>They provide excellent opportunities for social interaction with friendship groups and day break respite care</w:t>
      </w:r>
      <w:r w:rsidR="00545D30" w:rsidRPr="00A059B9">
        <w:rPr>
          <w:rFonts w:ascii="Amasis MT Pro Black" w:hAnsi="Amasis MT Pro Black"/>
          <w:b/>
          <w:bCs/>
          <w:color w:val="153D63" w:themeColor="text2" w:themeTint="E6"/>
          <w:sz w:val="36"/>
          <w:szCs w:val="36"/>
        </w:rPr>
        <w:t xml:space="preserve">, tailored </w:t>
      </w:r>
      <w:r w:rsidR="0027188E" w:rsidRPr="00A059B9">
        <w:rPr>
          <w:rFonts w:ascii="Amasis MT Pro Black" w:hAnsi="Amasis MT Pro Black"/>
          <w:b/>
          <w:bCs/>
          <w:color w:val="153D63" w:themeColor="text2" w:themeTint="E6"/>
          <w:sz w:val="36"/>
          <w:szCs w:val="36"/>
        </w:rPr>
        <w:t xml:space="preserve">specifically </w:t>
      </w:r>
      <w:r w:rsidR="00545D30" w:rsidRPr="00A059B9">
        <w:rPr>
          <w:rFonts w:ascii="Amasis MT Pro Black" w:hAnsi="Amasis MT Pro Black"/>
          <w:b/>
          <w:bCs/>
          <w:color w:val="153D63" w:themeColor="text2" w:themeTint="E6"/>
          <w:sz w:val="36"/>
          <w:szCs w:val="36"/>
        </w:rPr>
        <w:t xml:space="preserve">to suit the needs of </w:t>
      </w:r>
      <w:r w:rsidR="00D40F08">
        <w:rPr>
          <w:rFonts w:ascii="Amasis MT Pro Black" w:hAnsi="Amasis MT Pro Black"/>
          <w:b/>
          <w:bCs/>
          <w:color w:val="153D63" w:themeColor="text2" w:themeTint="E6"/>
          <w:sz w:val="36"/>
          <w:szCs w:val="36"/>
        </w:rPr>
        <w:t>each</w:t>
      </w:r>
      <w:r w:rsidR="00545D30" w:rsidRPr="00A059B9">
        <w:rPr>
          <w:rFonts w:ascii="Amasis MT Pro Black" w:hAnsi="Amasis MT Pro Black"/>
          <w:b/>
          <w:bCs/>
          <w:color w:val="153D63" w:themeColor="text2" w:themeTint="E6"/>
          <w:sz w:val="36"/>
          <w:szCs w:val="36"/>
        </w:rPr>
        <w:t xml:space="preserve"> individual.</w:t>
      </w:r>
    </w:p>
    <w:p w14:paraId="6267393E" w14:textId="77777777" w:rsidR="007C4C93" w:rsidRDefault="007C4C93">
      <w:pPr>
        <w:rPr>
          <w:rFonts w:ascii="Amasis MT Pro Black" w:hAnsi="Amasis MT Pro Black"/>
          <w:b/>
          <w:bCs/>
          <w:color w:val="153D63" w:themeColor="text2" w:themeTint="E6"/>
          <w:sz w:val="44"/>
          <w:szCs w:val="44"/>
        </w:rPr>
      </w:pPr>
    </w:p>
    <w:p w14:paraId="7E267F50" w14:textId="61CBCC3D" w:rsidR="007C4C93" w:rsidRDefault="007C4C93">
      <w:pPr>
        <w:rPr>
          <w:rFonts w:ascii="Amasis MT Pro Black" w:hAnsi="Amasis MT Pro Black"/>
          <w:b/>
          <w:bCs/>
          <w:color w:val="153D63" w:themeColor="text2" w:themeTint="E6"/>
          <w:sz w:val="44"/>
          <w:szCs w:val="44"/>
        </w:rPr>
      </w:pPr>
      <w:r>
        <w:rPr>
          <w:rFonts w:ascii="Amasis MT Pro Black" w:hAnsi="Amasis MT Pro Black"/>
          <w:b/>
          <w:bCs/>
          <w:color w:val="153D63" w:themeColor="text2" w:themeTint="E6"/>
          <w:sz w:val="44"/>
          <w:szCs w:val="44"/>
        </w:rPr>
        <w:br w:type="page"/>
      </w:r>
    </w:p>
    <w:p w14:paraId="048E8956" w14:textId="4C554435" w:rsidR="000B1BB3" w:rsidRPr="00FF115A" w:rsidRDefault="0027188E" w:rsidP="00FF115A">
      <w:pPr>
        <w:jc w:val="center"/>
        <w:rPr>
          <w:rFonts w:ascii="Amasis MT Pro Black" w:hAnsi="Amasis MT Pro Black"/>
          <w:b/>
          <w:bCs/>
          <w:color w:val="153D63" w:themeColor="text2" w:themeTint="E6"/>
          <w:sz w:val="40"/>
          <w:szCs w:val="40"/>
        </w:rPr>
      </w:pPr>
      <w:r w:rsidRPr="00FF115A">
        <w:rPr>
          <w:rFonts w:ascii="Amasis MT Pro Black" w:hAnsi="Amasis MT Pro Black"/>
          <w:b/>
          <w:bCs/>
          <w:color w:val="153D63" w:themeColor="text2" w:themeTint="E6"/>
          <w:sz w:val="44"/>
          <w:szCs w:val="44"/>
        </w:rPr>
        <w:lastRenderedPageBreak/>
        <w:t xml:space="preserve">Friendship Groups </w:t>
      </w:r>
    </w:p>
    <w:p w14:paraId="046701D7" w14:textId="77777777" w:rsidR="00FF115A" w:rsidRPr="00FF115A" w:rsidRDefault="00FF115A" w:rsidP="00FF115A">
      <w:pPr>
        <w:jc w:val="center"/>
        <w:rPr>
          <w:rFonts w:ascii="Amasis MT Pro Black" w:hAnsi="Amasis MT Pro Black"/>
          <w:b/>
          <w:bCs/>
          <w:color w:val="153D63" w:themeColor="text2" w:themeTint="E6"/>
          <w:sz w:val="40"/>
          <w:szCs w:val="40"/>
        </w:rPr>
      </w:pPr>
    </w:p>
    <w:p w14:paraId="46506D4F" w14:textId="7F683E32" w:rsidR="000B1BB3" w:rsidRPr="00FF115A" w:rsidRDefault="000B1BB3" w:rsidP="000B1BB3">
      <w:pPr>
        <w:tabs>
          <w:tab w:val="center" w:pos="1324"/>
        </w:tabs>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 xml:space="preserve">Friendship groups are held </w:t>
      </w:r>
      <w:r w:rsidR="0098702D" w:rsidRPr="00FF115A">
        <w:rPr>
          <w:rFonts w:ascii="Amasis MT Pro Black" w:hAnsi="Amasis MT Pro Black"/>
          <w:b/>
          <w:bCs/>
          <w:color w:val="153D63" w:themeColor="text2" w:themeTint="E6"/>
          <w:sz w:val="32"/>
          <w:szCs w:val="32"/>
        </w:rPr>
        <w:t>in Briton Ferry every</w:t>
      </w:r>
      <w:r w:rsidRPr="00FF115A">
        <w:rPr>
          <w:rFonts w:ascii="Amasis MT Pro Black" w:hAnsi="Amasis MT Pro Black"/>
          <w:b/>
          <w:bCs/>
          <w:color w:val="153D63" w:themeColor="text2" w:themeTint="E6"/>
          <w:sz w:val="32"/>
          <w:szCs w:val="32"/>
        </w:rPr>
        <w:t xml:space="preserve"> Tuesday, Wednesday and Thursday morning from 1030am-1230pm. There is a small fee which includes bottomless refreshments and snacks. </w:t>
      </w:r>
    </w:p>
    <w:p w14:paraId="40378C70" w14:textId="77777777" w:rsidR="000B1BB3" w:rsidRPr="00FF115A" w:rsidRDefault="000B1BB3" w:rsidP="000B1BB3">
      <w:pPr>
        <w:tabs>
          <w:tab w:val="center" w:pos="1324"/>
        </w:tabs>
        <w:rPr>
          <w:rFonts w:ascii="Amasis MT Pro Black" w:hAnsi="Amasis MT Pro Black"/>
          <w:b/>
          <w:bCs/>
          <w:color w:val="153D63" w:themeColor="text2" w:themeTint="E6"/>
          <w:sz w:val="32"/>
          <w:szCs w:val="32"/>
        </w:rPr>
      </w:pPr>
    </w:p>
    <w:p w14:paraId="7E3C4374" w14:textId="33E991FF" w:rsidR="0027188E" w:rsidRPr="00FF115A" w:rsidRDefault="000B1BB3" w:rsidP="000B1BB3">
      <w:pPr>
        <w:tabs>
          <w:tab w:val="center" w:pos="1324"/>
        </w:tabs>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 xml:space="preserve">Sessions are run on a are semi-structured basis where individuals can choose to take part in the arranged activities as much or as little as they </w:t>
      </w:r>
      <w:r w:rsidR="0098702D" w:rsidRPr="00FF115A">
        <w:rPr>
          <w:rFonts w:ascii="Amasis MT Pro Black" w:hAnsi="Amasis MT Pro Black"/>
          <w:b/>
          <w:bCs/>
          <w:color w:val="153D63" w:themeColor="text2" w:themeTint="E6"/>
          <w:sz w:val="32"/>
          <w:szCs w:val="32"/>
        </w:rPr>
        <w:t>wish or</w:t>
      </w:r>
      <w:r w:rsidRPr="00FF115A">
        <w:rPr>
          <w:rFonts w:ascii="Amasis MT Pro Black" w:hAnsi="Amasis MT Pro Black"/>
          <w:b/>
          <w:bCs/>
          <w:color w:val="153D63" w:themeColor="text2" w:themeTint="E6"/>
          <w:sz w:val="32"/>
          <w:szCs w:val="32"/>
        </w:rPr>
        <w:t xml:space="preserve"> simply come and enjoy catching up with friends in a relaxed environment.</w:t>
      </w:r>
    </w:p>
    <w:p w14:paraId="18BD0ADE" w14:textId="77777777" w:rsidR="000B1BB3" w:rsidRDefault="000B1BB3" w:rsidP="000B1BB3">
      <w:pPr>
        <w:tabs>
          <w:tab w:val="center" w:pos="1324"/>
        </w:tabs>
        <w:rPr>
          <w:rFonts w:ascii="Amasis MT Pro Black" w:hAnsi="Amasis MT Pro Black"/>
          <w:b/>
          <w:bCs/>
          <w:sz w:val="32"/>
          <w:szCs w:val="32"/>
        </w:rPr>
      </w:pPr>
    </w:p>
    <w:p w14:paraId="0C1C2629" w14:textId="5F15F385" w:rsidR="00FF115A" w:rsidRDefault="002E1AA4" w:rsidP="000B1BB3">
      <w:pPr>
        <w:tabs>
          <w:tab w:val="center" w:pos="1324"/>
        </w:tabs>
        <w:rPr>
          <w:rFonts w:ascii="Amasis MT Pro Black" w:hAnsi="Amasis MT Pro Black"/>
          <w:b/>
          <w:bCs/>
          <w:color w:val="153D63" w:themeColor="text2" w:themeTint="E6"/>
          <w:sz w:val="32"/>
          <w:szCs w:val="32"/>
        </w:rPr>
      </w:pPr>
      <w:r w:rsidRPr="00B8644C">
        <w:rPr>
          <w:rFonts w:ascii="Amasis MT Pro Black" w:hAnsi="Amasis MT Pro Black"/>
          <w:b/>
          <w:bCs/>
          <w:color w:val="153D63" w:themeColor="text2" w:themeTint="E6"/>
          <w:sz w:val="32"/>
          <w:szCs w:val="32"/>
        </w:rPr>
        <w:t>Due to their increasing success and demand,</w:t>
      </w:r>
      <w:r w:rsidR="00B8644C" w:rsidRPr="00B8644C">
        <w:rPr>
          <w:rFonts w:ascii="Amasis MT Pro Black" w:hAnsi="Amasis MT Pro Black"/>
          <w:b/>
          <w:bCs/>
          <w:color w:val="153D63" w:themeColor="text2" w:themeTint="E6"/>
          <w:sz w:val="32"/>
          <w:szCs w:val="32"/>
        </w:rPr>
        <w:t xml:space="preserve"> they are now able to reach out to a wider community with</w:t>
      </w:r>
      <w:r w:rsidRPr="00B8644C">
        <w:rPr>
          <w:rFonts w:ascii="Amasis MT Pro Black" w:hAnsi="Amasis MT Pro Black"/>
          <w:b/>
          <w:bCs/>
          <w:color w:val="153D63" w:themeColor="text2" w:themeTint="E6"/>
          <w:sz w:val="32"/>
          <w:szCs w:val="32"/>
        </w:rPr>
        <w:t xml:space="preserve"> a new Friendship Group opened for 2025 in Cilma Community centre (Tuesday mornings 1000am-1200pm).</w:t>
      </w:r>
      <w:r w:rsidR="00431AB7" w:rsidRPr="00B8644C">
        <w:rPr>
          <w:rFonts w:ascii="Amasis MT Pro Black" w:hAnsi="Amasis MT Pro Black"/>
          <w:b/>
          <w:bCs/>
          <w:color w:val="153D63" w:themeColor="text2" w:themeTint="E6"/>
          <w:sz w:val="32"/>
          <w:szCs w:val="32"/>
        </w:rPr>
        <w:t xml:space="preserve"> This additional session if fully funded by the UK Shared Prosperity Fund which covers all transport, attendance and refreshment costs. </w:t>
      </w:r>
    </w:p>
    <w:p w14:paraId="44FADD41" w14:textId="77777777" w:rsidR="007D67EC" w:rsidRPr="00B8644C" w:rsidRDefault="007D67EC" w:rsidP="000B1BB3">
      <w:pPr>
        <w:tabs>
          <w:tab w:val="center" w:pos="1324"/>
        </w:tabs>
        <w:rPr>
          <w:rFonts w:ascii="Amasis MT Pro Black" w:hAnsi="Amasis MT Pro Black"/>
          <w:b/>
          <w:bCs/>
          <w:color w:val="153D63" w:themeColor="text2" w:themeTint="E6"/>
          <w:sz w:val="32"/>
          <w:szCs w:val="32"/>
        </w:rPr>
      </w:pPr>
    </w:p>
    <w:p w14:paraId="65802776" w14:textId="6B7AC356" w:rsidR="00FF115A" w:rsidRDefault="007D67EC" w:rsidP="006B4F3C">
      <w:pPr>
        <w:tabs>
          <w:tab w:val="center" w:pos="1324"/>
          <w:tab w:val="left" w:pos="7250"/>
        </w:tabs>
        <w:rPr>
          <w:rFonts w:ascii="Amasis MT Pro Black" w:hAnsi="Amasis MT Pro Black"/>
          <w:b/>
          <w:bCs/>
          <w:sz w:val="32"/>
          <w:szCs w:val="32"/>
        </w:rPr>
      </w:pPr>
      <w:r w:rsidRPr="007D67EC">
        <w:rPr>
          <w:rFonts w:ascii="Amasis MT Pro Black" w:hAnsi="Amasis MT Pro Black"/>
          <w:b/>
          <w:bCs/>
          <w:noProof/>
          <w:sz w:val="32"/>
          <w:szCs w:val="32"/>
        </w:rPr>
        <w:drawing>
          <wp:inline distT="0" distB="0" distL="0" distR="0" wp14:anchorId="68DBA363" wp14:editId="1C38DE61">
            <wp:extent cx="1481255" cy="1659843"/>
            <wp:effectExtent l="0" t="0" r="5080" b="0"/>
            <wp:docPr id="1481476621" name="Picture 1" descr="A plate of cookies and a cup of coff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476621" name="Picture 1" descr="A plate of cookies and a cup of coffee&#10;&#10;AI-generated content may be incorrect."/>
                    <pic:cNvPicPr/>
                  </pic:nvPicPr>
                  <pic:blipFill rotWithShape="1">
                    <a:blip r:embed="rId16"/>
                    <a:srcRect t="9226" b="6640"/>
                    <a:stretch/>
                  </pic:blipFill>
                  <pic:spPr bwMode="auto">
                    <a:xfrm>
                      <a:off x="0" y="0"/>
                      <a:ext cx="1494822" cy="1675045"/>
                    </a:xfrm>
                    <a:prstGeom prst="rect">
                      <a:avLst/>
                    </a:prstGeom>
                    <a:ln>
                      <a:noFill/>
                    </a:ln>
                    <a:extLst>
                      <a:ext uri="{53640926-AAD7-44D8-BBD7-CCE9431645EC}">
                        <a14:shadowObscured xmlns:a14="http://schemas.microsoft.com/office/drawing/2010/main"/>
                      </a:ext>
                    </a:extLst>
                  </pic:spPr>
                </pic:pic>
              </a:graphicData>
            </a:graphic>
          </wp:inline>
        </w:drawing>
      </w:r>
      <w:r>
        <w:rPr>
          <w:rFonts w:ascii="Amasis MT Pro Black" w:hAnsi="Amasis MT Pro Black"/>
          <w:b/>
          <w:bCs/>
          <w:sz w:val="32"/>
          <w:szCs w:val="32"/>
        </w:rPr>
        <w:t xml:space="preserve"> </w:t>
      </w:r>
      <w:r w:rsidR="006B4F3C" w:rsidRPr="006B4F3C">
        <w:rPr>
          <w:rFonts w:ascii="Amasis MT Pro Black" w:hAnsi="Amasis MT Pro Black"/>
          <w:b/>
          <w:bCs/>
          <w:noProof/>
          <w:sz w:val="32"/>
          <w:szCs w:val="32"/>
        </w:rPr>
        <w:drawing>
          <wp:inline distT="0" distB="0" distL="0" distR="0" wp14:anchorId="5C2AEC41" wp14:editId="7912E0DA">
            <wp:extent cx="2659462" cy="1984215"/>
            <wp:effectExtent l="0" t="0" r="7620" b="0"/>
            <wp:docPr id="502658280" name="Picture 1" descr="Women making a wreath at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658280" name="Picture 1" descr="Women making a wreath at a table&#10;&#10;AI-generated content may be incorrect."/>
                    <pic:cNvPicPr/>
                  </pic:nvPicPr>
                  <pic:blipFill rotWithShape="1">
                    <a:blip r:embed="rId17"/>
                    <a:srcRect l="8792" t="10585"/>
                    <a:stretch/>
                  </pic:blipFill>
                  <pic:spPr bwMode="auto">
                    <a:xfrm>
                      <a:off x="0" y="0"/>
                      <a:ext cx="2669274" cy="1991536"/>
                    </a:xfrm>
                    <a:prstGeom prst="rect">
                      <a:avLst/>
                    </a:prstGeom>
                    <a:ln>
                      <a:noFill/>
                    </a:ln>
                    <a:extLst>
                      <a:ext uri="{53640926-AAD7-44D8-BBD7-CCE9431645EC}">
                        <a14:shadowObscured xmlns:a14="http://schemas.microsoft.com/office/drawing/2010/main"/>
                      </a:ext>
                    </a:extLst>
                  </pic:spPr>
                </pic:pic>
              </a:graphicData>
            </a:graphic>
          </wp:inline>
        </w:drawing>
      </w:r>
      <w:r w:rsidR="006B4F3C">
        <w:rPr>
          <w:rFonts w:ascii="Amasis MT Pro Black" w:hAnsi="Amasis MT Pro Black"/>
          <w:b/>
          <w:bCs/>
          <w:sz w:val="32"/>
          <w:szCs w:val="32"/>
        </w:rPr>
        <w:t xml:space="preserve"> </w:t>
      </w:r>
      <w:r w:rsidR="006B4F3C" w:rsidRPr="006B4F3C">
        <w:rPr>
          <w:rFonts w:ascii="Amasis MT Pro Black" w:hAnsi="Amasis MT Pro Black"/>
          <w:b/>
          <w:bCs/>
          <w:noProof/>
          <w:sz w:val="32"/>
          <w:szCs w:val="32"/>
        </w:rPr>
        <w:drawing>
          <wp:inline distT="0" distB="0" distL="0" distR="0" wp14:anchorId="5FA49BB9" wp14:editId="71B1118D">
            <wp:extent cx="1309979" cy="1767249"/>
            <wp:effectExtent l="0" t="0" r="5080" b="4445"/>
            <wp:docPr id="1243740690" name="Picture 1" descr="A person putting food in a bow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740690" name="Picture 1" descr="A person putting food in a bowl&#10;&#10;AI-generated content may be incorrect."/>
                    <pic:cNvPicPr/>
                  </pic:nvPicPr>
                  <pic:blipFill rotWithShape="1">
                    <a:blip r:embed="rId18"/>
                    <a:srcRect l="6833"/>
                    <a:stretch/>
                  </pic:blipFill>
                  <pic:spPr bwMode="auto">
                    <a:xfrm>
                      <a:off x="0" y="0"/>
                      <a:ext cx="1315319" cy="1774454"/>
                    </a:xfrm>
                    <a:prstGeom prst="rect">
                      <a:avLst/>
                    </a:prstGeom>
                    <a:ln>
                      <a:noFill/>
                    </a:ln>
                    <a:extLst>
                      <a:ext uri="{53640926-AAD7-44D8-BBD7-CCE9431645EC}">
                        <a14:shadowObscured xmlns:a14="http://schemas.microsoft.com/office/drawing/2010/main"/>
                      </a:ext>
                    </a:extLst>
                  </pic:spPr>
                </pic:pic>
              </a:graphicData>
            </a:graphic>
          </wp:inline>
        </w:drawing>
      </w:r>
    </w:p>
    <w:p w14:paraId="7DF55991" w14:textId="77777777" w:rsidR="007C4C93" w:rsidRDefault="007C4C93">
      <w:pPr>
        <w:rPr>
          <w:rFonts w:ascii="Amasis MT Pro Black" w:hAnsi="Amasis MT Pro Black"/>
          <w:b/>
          <w:bCs/>
          <w:sz w:val="32"/>
          <w:szCs w:val="32"/>
        </w:rPr>
      </w:pPr>
      <w:r>
        <w:rPr>
          <w:rFonts w:ascii="Amasis MT Pro Black" w:hAnsi="Amasis MT Pro Black"/>
          <w:b/>
          <w:bCs/>
          <w:sz w:val="32"/>
          <w:szCs w:val="32"/>
        </w:rPr>
        <w:br w:type="page"/>
      </w:r>
    </w:p>
    <w:p w14:paraId="42353A59" w14:textId="10B38DBF" w:rsidR="000B1BB3" w:rsidRPr="007D67EC" w:rsidRDefault="00FF115A" w:rsidP="007D67EC">
      <w:pPr>
        <w:tabs>
          <w:tab w:val="left" w:pos="2905"/>
        </w:tabs>
        <w:rPr>
          <w:rFonts w:ascii="Amasis MT Pro Black" w:hAnsi="Amasis MT Pro Black"/>
          <w:b/>
          <w:bCs/>
          <w:sz w:val="32"/>
          <w:szCs w:val="32"/>
        </w:rPr>
      </w:pPr>
      <w:r w:rsidRPr="00FF115A">
        <w:rPr>
          <w:rFonts w:ascii="Amasis MT Pro Black" w:hAnsi="Amasis MT Pro Black"/>
          <w:b/>
          <w:bCs/>
          <w:color w:val="153D63" w:themeColor="text2" w:themeTint="E6"/>
          <w:sz w:val="40"/>
          <w:szCs w:val="40"/>
        </w:rPr>
        <w:lastRenderedPageBreak/>
        <w:t>A</w:t>
      </w:r>
      <w:r w:rsidR="000B1BB3" w:rsidRPr="00FF115A">
        <w:rPr>
          <w:rFonts w:ascii="Amasis MT Pro Black" w:hAnsi="Amasis MT Pro Black"/>
          <w:b/>
          <w:bCs/>
          <w:color w:val="153D63" w:themeColor="text2" w:themeTint="E6"/>
          <w:sz w:val="40"/>
          <w:szCs w:val="40"/>
        </w:rPr>
        <w:t>ctivities include:</w:t>
      </w:r>
    </w:p>
    <w:p w14:paraId="6C453606" w14:textId="0F9810DD" w:rsidR="00FF115A" w:rsidRPr="00FF115A" w:rsidRDefault="000B1BB3" w:rsidP="00FF115A">
      <w:pPr>
        <w:pStyle w:val="ListParagraph"/>
        <w:numPr>
          <w:ilvl w:val="0"/>
          <w:numId w:val="1"/>
        </w:numPr>
        <w:tabs>
          <w:tab w:val="center" w:pos="1324"/>
        </w:tabs>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Seasonal arts and crafts</w:t>
      </w:r>
    </w:p>
    <w:p w14:paraId="7D00A22F" w14:textId="3FB8B368" w:rsidR="000B1BB3" w:rsidRPr="00FF115A" w:rsidRDefault="000B1BB3" w:rsidP="00FF115A">
      <w:pPr>
        <w:pStyle w:val="ListParagraph"/>
        <w:numPr>
          <w:ilvl w:val="0"/>
          <w:numId w:val="1"/>
        </w:numPr>
        <w:tabs>
          <w:tab w:val="center" w:pos="1324"/>
        </w:tabs>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 xml:space="preserve">Cooking </w:t>
      </w:r>
      <w:r w:rsidR="0098702D" w:rsidRPr="00FF115A">
        <w:rPr>
          <w:rFonts w:ascii="Amasis MT Pro Black" w:hAnsi="Amasis MT Pro Black"/>
          <w:b/>
          <w:bCs/>
          <w:color w:val="153D63" w:themeColor="text2" w:themeTint="E6"/>
          <w:sz w:val="32"/>
          <w:szCs w:val="32"/>
        </w:rPr>
        <w:t>(</w:t>
      </w:r>
      <w:r w:rsidRPr="00FF115A">
        <w:rPr>
          <w:rFonts w:ascii="Amasis MT Pro Black" w:hAnsi="Amasis MT Pro Black"/>
          <w:b/>
          <w:bCs/>
          <w:color w:val="153D63" w:themeColor="text2" w:themeTint="E6"/>
          <w:sz w:val="32"/>
          <w:szCs w:val="32"/>
        </w:rPr>
        <w:t>demonstrations</w:t>
      </w:r>
      <w:r w:rsidR="0098702D" w:rsidRPr="00FF115A">
        <w:rPr>
          <w:rFonts w:ascii="Amasis MT Pro Black" w:hAnsi="Amasis MT Pro Black"/>
          <w:b/>
          <w:bCs/>
          <w:color w:val="153D63" w:themeColor="text2" w:themeTint="E6"/>
          <w:sz w:val="32"/>
          <w:szCs w:val="32"/>
        </w:rPr>
        <w:t xml:space="preserve"> and participatory)</w:t>
      </w:r>
      <w:r w:rsidRPr="00FF115A">
        <w:rPr>
          <w:rFonts w:ascii="Amasis MT Pro Black" w:hAnsi="Amasis MT Pro Black"/>
          <w:b/>
          <w:bCs/>
          <w:color w:val="153D63" w:themeColor="text2" w:themeTint="E6"/>
          <w:sz w:val="32"/>
          <w:szCs w:val="32"/>
        </w:rPr>
        <w:t xml:space="preserve"> </w:t>
      </w:r>
    </w:p>
    <w:p w14:paraId="4F6D143E" w14:textId="242B2538" w:rsidR="000B1BB3" w:rsidRPr="00FF115A" w:rsidRDefault="000B1BB3" w:rsidP="00FF115A">
      <w:pPr>
        <w:pStyle w:val="ListParagraph"/>
        <w:numPr>
          <w:ilvl w:val="0"/>
          <w:numId w:val="1"/>
        </w:numPr>
        <w:tabs>
          <w:tab w:val="center" w:pos="1324"/>
        </w:tabs>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Dancing</w:t>
      </w:r>
    </w:p>
    <w:p w14:paraId="72562515" w14:textId="7D7A2A16" w:rsidR="000B1BB3" w:rsidRPr="00FF115A" w:rsidRDefault="000B1BB3" w:rsidP="00FF115A">
      <w:pPr>
        <w:pStyle w:val="ListParagraph"/>
        <w:numPr>
          <w:ilvl w:val="0"/>
          <w:numId w:val="1"/>
        </w:numPr>
        <w:tabs>
          <w:tab w:val="center" w:pos="1324"/>
        </w:tabs>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Light exercise (standing and seated options available)</w:t>
      </w:r>
    </w:p>
    <w:p w14:paraId="10BC0808" w14:textId="7E6528EC" w:rsidR="0027188E" w:rsidRPr="00FF115A" w:rsidRDefault="000B1BB3" w:rsidP="00FF115A">
      <w:pPr>
        <w:pStyle w:val="ListParagraph"/>
        <w:numPr>
          <w:ilvl w:val="0"/>
          <w:numId w:val="1"/>
        </w:numPr>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Quizzes</w:t>
      </w:r>
    </w:p>
    <w:p w14:paraId="5D5D67E0" w14:textId="08D5C711" w:rsidR="000B1BB3" w:rsidRPr="00FF115A" w:rsidRDefault="000B1BB3" w:rsidP="00FF115A">
      <w:pPr>
        <w:pStyle w:val="ListParagraph"/>
        <w:numPr>
          <w:ilvl w:val="0"/>
          <w:numId w:val="1"/>
        </w:numPr>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Bingo</w:t>
      </w:r>
    </w:p>
    <w:p w14:paraId="280A1681" w14:textId="1B2355BC" w:rsidR="000B1BB3" w:rsidRPr="00FF115A" w:rsidRDefault="000B1BB3" w:rsidP="00FF115A">
      <w:pPr>
        <w:pStyle w:val="ListParagraph"/>
        <w:numPr>
          <w:ilvl w:val="0"/>
          <w:numId w:val="1"/>
        </w:numPr>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Board games</w:t>
      </w:r>
    </w:p>
    <w:p w14:paraId="47694E90" w14:textId="0C6F23F8" w:rsidR="006B4F3C" w:rsidRDefault="00FF115A" w:rsidP="006B4F3C">
      <w:pPr>
        <w:pStyle w:val="ListParagraph"/>
        <w:numPr>
          <w:ilvl w:val="0"/>
          <w:numId w:val="1"/>
        </w:numPr>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 xml:space="preserve">Cards </w:t>
      </w:r>
    </w:p>
    <w:p w14:paraId="4F895DD3" w14:textId="777E0BFE" w:rsidR="006B4F3C" w:rsidRPr="006B4F3C" w:rsidRDefault="006B4F3C" w:rsidP="006B4F3C">
      <w:pPr>
        <w:pStyle w:val="ListParagraph"/>
        <w:numPr>
          <w:ilvl w:val="0"/>
          <w:numId w:val="1"/>
        </w:numPr>
        <w:rPr>
          <w:rFonts w:ascii="Amasis MT Pro Black" w:hAnsi="Amasis MT Pro Black"/>
          <w:b/>
          <w:bCs/>
          <w:color w:val="153D63" w:themeColor="text2" w:themeTint="E6"/>
          <w:sz w:val="32"/>
          <w:szCs w:val="32"/>
        </w:rPr>
      </w:pPr>
      <w:r>
        <w:rPr>
          <w:rFonts w:ascii="Amasis MT Pro Black" w:hAnsi="Amasis MT Pro Black"/>
          <w:b/>
          <w:bCs/>
          <w:color w:val="153D63" w:themeColor="text2" w:themeTint="E6"/>
          <w:sz w:val="32"/>
          <w:szCs w:val="32"/>
        </w:rPr>
        <w:t>Pet therapy</w:t>
      </w:r>
    </w:p>
    <w:p w14:paraId="42804CD5" w14:textId="74A8C1AC" w:rsidR="00FF115A" w:rsidRDefault="00FF115A" w:rsidP="00FF115A">
      <w:pPr>
        <w:pStyle w:val="ListParagraph"/>
        <w:numPr>
          <w:ilvl w:val="0"/>
          <w:numId w:val="1"/>
        </w:numPr>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 xml:space="preserve">Guest speakers </w:t>
      </w:r>
    </w:p>
    <w:p w14:paraId="4489F8C6" w14:textId="70231D71" w:rsidR="005B34F6" w:rsidRDefault="005B34F6" w:rsidP="00FF115A">
      <w:pPr>
        <w:pStyle w:val="ListParagraph"/>
        <w:numPr>
          <w:ilvl w:val="0"/>
          <w:numId w:val="1"/>
        </w:numPr>
        <w:rPr>
          <w:rFonts w:ascii="Amasis MT Pro Black" w:hAnsi="Amasis MT Pro Black"/>
          <w:b/>
          <w:bCs/>
          <w:color w:val="153D63" w:themeColor="text2" w:themeTint="E6"/>
          <w:sz w:val="32"/>
          <w:szCs w:val="32"/>
        </w:rPr>
      </w:pPr>
      <w:r>
        <w:rPr>
          <w:rFonts w:ascii="Amasis MT Pro Black" w:hAnsi="Amasis MT Pro Black"/>
          <w:b/>
          <w:bCs/>
          <w:color w:val="153D63" w:themeColor="text2" w:themeTint="E6"/>
          <w:sz w:val="32"/>
          <w:szCs w:val="32"/>
        </w:rPr>
        <w:t>Emotional support</w:t>
      </w:r>
    </w:p>
    <w:p w14:paraId="7F90DCC5" w14:textId="67FAB848" w:rsidR="005B34F6" w:rsidRDefault="005B34F6" w:rsidP="00FF115A">
      <w:pPr>
        <w:pStyle w:val="ListParagraph"/>
        <w:numPr>
          <w:ilvl w:val="0"/>
          <w:numId w:val="1"/>
        </w:numPr>
        <w:rPr>
          <w:rFonts w:ascii="Amasis MT Pro Black" w:hAnsi="Amasis MT Pro Black"/>
          <w:b/>
          <w:bCs/>
          <w:color w:val="153D63" w:themeColor="text2" w:themeTint="E6"/>
          <w:sz w:val="32"/>
          <w:szCs w:val="32"/>
        </w:rPr>
      </w:pPr>
      <w:r>
        <w:rPr>
          <w:rFonts w:ascii="Amasis MT Pro Black" w:hAnsi="Amasis MT Pro Black"/>
          <w:b/>
          <w:bCs/>
          <w:color w:val="153D63" w:themeColor="text2" w:themeTint="E6"/>
          <w:sz w:val="32"/>
          <w:szCs w:val="32"/>
        </w:rPr>
        <w:t>Sensory activities</w:t>
      </w:r>
    </w:p>
    <w:p w14:paraId="24E45D26" w14:textId="4C5A363F" w:rsidR="00E02733" w:rsidRDefault="00E02733" w:rsidP="007D67EC">
      <w:pPr>
        <w:rPr>
          <w:rFonts w:ascii="Amasis MT Pro Black" w:hAnsi="Amasis MT Pro Black"/>
          <w:b/>
          <w:bCs/>
          <w:sz w:val="32"/>
          <w:szCs w:val="32"/>
        </w:rPr>
      </w:pPr>
      <w:r w:rsidRPr="00FF115A">
        <w:rPr>
          <w:rFonts w:ascii="Amasis MT Pro Black" w:hAnsi="Amasis MT Pro Black"/>
          <w:b/>
          <w:bCs/>
          <w:noProof/>
          <w:sz w:val="32"/>
          <w:szCs w:val="32"/>
        </w:rPr>
        <w:drawing>
          <wp:anchor distT="0" distB="0" distL="114300" distR="114300" simplePos="0" relativeHeight="251663360" behindDoc="0" locked="0" layoutInCell="1" allowOverlap="1" wp14:anchorId="37E322A7" wp14:editId="084DB6F7">
            <wp:simplePos x="0" y="0"/>
            <wp:positionH relativeFrom="column">
              <wp:posOffset>3294380</wp:posOffset>
            </wp:positionH>
            <wp:positionV relativeFrom="paragraph">
              <wp:posOffset>356870</wp:posOffset>
            </wp:positionV>
            <wp:extent cx="2096770" cy="2689225"/>
            <wp:effectExtent l="0" t="0" r="0" b="0"/>
            <wp:wrapSquare wrapText="bothSides"/>
            <wp:docPr id="1455595844" name="Picture 1" descr="A person coloring a picture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595844" name="Picture 1" descr="A person coloring a picture on a paper&#10;&#10;AI-generated content may be incorrect."/>
                    <pic:cNvPicPr/>
                  </pic:nvPicPr>
                  <pic:blipFill rotWithShape="1">
                    <a:blip r:embed="rId19">
                      <a:extLst>
                        <a:ext uri="{28A0092B-C50C-407E-A947-70E740481C1C}">
                          <a14:useLocalDpi xmlns:a14="http://schemas.microsoft.com/office/drawing/2010/main" val="0"/>
                        </a:ext>
                      </a:extLst>
                    </a:blip>
                    <a:srcRect l="8234" t="5709" r="5955" b="9004"/>
                    <a:stretch/>
                  </pic:blipFill>
                  <pic:spPr bwMode="auto">
                    <a:xfrm>
                      <a:off x="0" y="0"/>
                      <a:ext cx="2096770" cy="2689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3A6920" w14:textId="67DFDED8" w:rsidR="007C4C93" w:rsidRDefault="00E02733" w:rsidP="007C4C93">
      <w:pPr>
        <w:jc w:val="center"/>
        <w:rPr>
          <w:rFonts w:ascii="Amasis MT Pro Black" w:hAnsi="Amasis MT Pro Black"/>
          <w:b/>
          <w:bCs/>
          <w:sz w:val="32"/>
          <w:szCs w:val="32"/>
        </w:rPr>
      </w:pPr>
      <w:r w:rsidRPr="00E02733">
        <w:rPr>
          <w:rFonts w:ascii="Amasis MT Pro Black" w:hAnsi="Amasis MT Pro Black"/>
          <w:b/>
          <w:bCs/>
          <w:noProof/>
          <w:sz w:val="32"/>
          <w:szCs w:val="32"/>
        </w:rPr>
        <w:drawing>
          <wp:inline distT="0" distB="0" distL="0" distR="0" wp14:anchorId="7F936D35" wp14:editId="4538A656">
            <wp:extent cx="2002221" cy="2694703"/>
            <wp:effectExtent l="0" t="0" r="0" b="0"/>
            <wp:docPr id="434515087" name="Picture 1" descr="A hand holding a pink fl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515087" name="Picture 1" descr="A hand holding a pink flower&#10;&#10;AI-generated content may be incorrect."/>
                    <pic:cNvPicPr/>
                  </pic:nvPicPr>
                  <pic:blipFill rotWithShape="1">
                    <a:blip r:embed="rId20"/>
                    <a:srcRect t="8917"/>
                    <a:stretch/>
                  </pic:blipFill>
                  <pic:spPr bwMode="auto">
                    <a:xfrm>
                      <a:off x="0" y="0"/>
                      <a:ext cx="2012945" cy="2709136"/>
                    </a:xfrm>
                    <a:prstGeom prst="rect">
                      <a:avLst/>
                    </a:prstGeom>
                    <a:ln>
                      <a:noFill/>
                    </a:ln>
                    <a:extLst>
                      <a:ext uri="{53640926-AAD7-44D8-BBD7-CCE9431645EC}">
                        <a14:shadowObscured xmlns:a14="http://schemas.microsoft.com/office/drawing/2010/main"/>
                      </a:ext>
                    </a:extLst>
                  </pic:spPr>
                </pic:pic>
              </a:graphicData>
            </a:graphic>
          </wp:inline>
        </w:drawing>
      </w:r>
      <w:r w:rsidR="00481F04">
        <w:rPr>
          <w:rFonts w:ascii="Amasis MT Pro Black" w:hAnsi="Amasis MT Pro Black"/>
          <w:b/>
          <w:bCs/>
          <w:sz w:val="32"/>
          <w:szCs w:val="32"/>
        </w:rPr>
        <w:t xml:space="preserve"> </w:t>
      </w:r>
      <w:r w:rsidR="00481F04" w:rsidRPr="00E02733">
        <w:rPr>
          <w:rFonts w:ascii="Amasis MT Pro Black" w:hAnsi="Amasis MT Pro Black"/>
          <w:b/>
          <w:bCs/>
          <w:noProof/>
          <w:sz w:val="32"/>
          <w:szCs w:val="32"/>
        </w:rPr>
        <w:drawing>
          <wp:inline distT="0" distB="0" distL="0" distR="0" wp14:anchorId="2CC024C5" wp14:editId="624F58E1">
            <wp:extent cx="2775923" cy="1702675"/>
            <wp:effectExtent l="0" t="0" r="5715" b="0"/>
            <wp:docPr id="662778771" name="Picture 1" descr="A group of people sitting around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778771" name="Picture 1" descr="A group of people sitting around a table&#10;&#10;AI-generated content may be incorrect."/>
                    <pic:cNvPicPr/>
                  </pic:nvPicPr>
                  <pic:blipFill rotWithShape="1">
                    <a:blip r:embed="rId21"/>
                    <a:srcRect l="4003" t="21861"/>
                    <a:stretch/>
                  </pic:blipFill>
                  <pic:spPr bwMode="auto">
                    <a:xfrm>
                      <a:off x="0" y="0"/>
                      <a:ext cx="2812521" cy="1725123"/>
                    </a:xfrm>
                    <a:prstGeom prst="rect">
                      <a:avLst/>
                    </a:prstGeom>
                    <a:ln>
                      <a:noFill/>
                    </a:ln>
                    <a:extLst>
                      <a:ext uri="{53640926-AAD7-44D8-BBD7-CCE9431645EC}">
                        <a14:shadowObscured xmlns:a14="http://schemas.microsoft.com/office/drawing/2010/main"/>
                      </a:ext>
                    </a:extLst>
                  </pic:spPr>
                </pic:pic>
              </a:graphicData>
            </a:graphic>
          </wp:inline>
        </w:drawing>
      </w:r>
      <w:r w:rsidR="007C4C93">
        <w:rPr>
          <w:rFonts w:ascii="Amasis MT Pro Black" w:hAnsi="Amasis MT Pro Black"/>
          <w:b/>
          <w:bCs/>
          <w:sz w:val="32"/>
          <w:szCs w:val="32"/>
        </w:rPr>
        <w:br w:type="page"/>
      </w:r>
    </w:p>
    <w:p w14:paraId="35895F2E" w14:textId="6A020851" w:rsidR="0027188E" w:rsidRDefault="0027188E" w:rsidP="00711BC6">
      <w:pPr>
        <w:jc w:val="center"/>
        <w:rPr>
          <w:rFonts w:ascii="Amasis MT Pro Black" w:hAnsi="Amasis MT Pro Black"/>
          <w:b/>
          <w:bCs/>
          <w:color w:val="153D63" w:themeColor="text2" w:themeTint="E6"/>
          <w:sz w:val="44"/>
          <w:szCs w:val="44"/>
        </w:rPr>
      </w:pPr>
      <w:r w:rsidRPr="00711BC6">
        <w:rPr>
          <w:rFonts w:ascii="Amasis MT Pro Black" w:hAnsi="Amasis MT Pro Black"/>
          <w:b/>
          <w:bCs/>
          <w:color w:val="153D63" w:themeColor="text2" w:themeTint="E6"/>
          <w:sz w:val="44"/>
          <w:szCs w:val="44"/>
        </w:rPr>
        <w:lastRenderedPageBreak/>
        <w:t xml:space="preserve">Day Break Care </w:t>
      </w:r>
    </w:p>
    <w:p w14:paraId="5F7DADBD" w14:textId="77777777" w:rsidR="00711BC6" w:rsidRDefault="00711BC6" w:rsidP="00711BC6">
      <w:pPr>
        <w:jc w:val="center"/>
        <w:rPr>
          <w:rFonts w:ascii="Amasis MT Pro Black" w:hAnsi="Amasis MT Pro Black"/>
          <w:b/>
          <w:bCs/>
          <w:color w:val="153D63" w:themeColor="text2" w:themeTint="E6"/>
          <w:sz w:val="44"/>
          <w:szCs w:val="44"/>
        </w:rPr>
      </w:pPr>
    </w:p>
    <w:p w14:paraId="6F35E0CD" w14:textId="60A0F90C" w:rsidR="00711BC6" w:rsidRDefault="00BC68A0" w:rsidP="00711BC6">
      <w:pPr>
        <w:rPr>
          <w:rFonts w:ascii="Amasis MT Pro Black" w:hAnsi="Amasis MT Pro Black"/>
          <w:b/>
          <w:bCs/>
          <w:color w:val="153D63" w:themeColor="text2" w:themeTint="E6"/>
          <w:sz w:val="32"/>
          <w:szCs w:val="32"/>
        </w:rPr>
      </w:pPr>
      <w:r>
        <w:rPr>
          <w:rFonts w:ascii="Amasis MT Pro Black" w:hAnsi="Amasis MT Pro Black"/>
          <w:b/>
          <w:bCs/>
          <w:color w:val="153D63" w:themeColor="text2" w:themeTint="E6"/>
          <w:sz w:val="32"/>
          <w:szCs w:val="32"/>
        </w:rPr>
        <w:t xml:space="preserve">Me, Myself &amp; I also offer full of half-day break care provided three days a week. When setting up these sessions, staff members work with individuals and their families to tailor these days to suit individual needs and preferences. </w:t>
      </w:r>
    </w:p>
    <w:p w14:paraId="1BD86775" w14:textId="1D67C326" w:rsidR="00BC68A0" w:rsidRDefault="00BC68A0" w:rsidP="00711BC6">
      <w:pPr>
        <w:rPr>
          <w:rFonts w:ascii="Amasis MT Pro Black" w:hAnsi="Amasis MT Pro Black"/>
          <w:b/>
          <w:bCs/>
          <w:color w:val="153D63" w:themeColor="text2" w:themeTint="E6"/>
          <w:sz w:val="32"/>
          <w:szCs w:val="32"/>
        </w:rPr>
      </w:pPr>
      <w:r>
        <w:rPr>
          <w:rFonts w:ascii="Amasis MT Pro Black" w:hAnsi="Amasis MT Pro Black"/>
          <w:b/>
          <w:bCs/>
          <w:color w:val="153D63" w:themeColor="text2" w:themeTint="E6"/>
          <w:sz w:val="32"/>
          <w:szCs w:val="32"/>
        </w:rPr>
        <w:t xml:space="preserve">In addition to the group activities, the day break service also offers hot and cold home-cooked meals and a chance for some rest and quiet time in between events. </w:t>
      </w:r>
    </w:p>
    <w:p w14:paraId="38EBF680" w14:textId="0806355B" w:rsidR="00BC68A0" w:rsidRDefault="00BC68A0" w:rsidP="00711BC6">
      <w:pPr>
        <w:rPr>
          <w:rFonts w:ascii="Amasis MT Pro Black" w:hAnsi="Amasis MT Pro Black"/>
          <w:b/>
          <w:bCs/>
          <w:color w:val="153D63" w:themeColor="text2" w:themeTint="E6"/>
          <w:sz w:val="32"/>
          <w:szCs w:val="32"/>
        </w:rPr>
      </w:pPr>
      <w:r>
        <w:rPr>
          <w:rFonts w:ascii="Amasis MT Pro Black" w:hAnsi="Amasis MT Pro Black"/>
          <w:b/>
          <w:bCs/>
          <w:color w:val="153D63" w:themeColor="text2" w:themeTint="E6"/>
          <w:sz w:val="32"/>
          <w:szCs w:val="32"/>
        </w:rPr>
        <w:t>Staff members are always on hand to offer specialist care a</w:t>
      </w:r>
      <w:r w:rsidR="003C7F11">
        <w:rPr>
          <w:rFonts w:ascii="Amasis MT Pro Black" w:hAnsi="Amasis MT Pro Black"/>
          <w:b/>
          <w:bCs/>
          <w:color w:val="153D63" w:themeColor="text2" w:themeTint="E6"/>
          <w:sz w:val="32"/>
          <w:szCs w:val="32"/>
        </w:rPr>
        <w:t xml:space="preserve">s well as emotional </w:t>
      </w:r>
      <w:r>
        <w:rPr>
          <w:rFonts w:ascii="Amasis MT Pro Black" w:hAnsi="Amasis MT Pro Black"/>
          <w:b/>
          <w:bCs/>
          <w:color w:val="153D63" w:themeColor="text2" w:themeTint="E6"/>
          <w:sz w:val="32"/>
          <w:szCs w:val="32"/>
        </w:rPr>
        <w:t>support, offering peace of mind to family members</w:t>
      </w:r>
      <w:r w:rsidR="003C7F11">
        <w:rPr>
          <w:rFonts w:ascii="Amasis MT Pro Black" w:hAnsi="Amasis MT Pro Black"/>
          <w:b/>
          <w:bCs/>
          <w:color w:val="153D63" w:themeColor="text2" w:themeTint="E6"/>
          <w:sz w:val="32"/>
          <w:szCs w:val="32"/>
        </w:rPr>
        <w:t>.</w:t>
      </w:r>
    </w:p>
    <w:p w14:paraId="19264E40" w14:textId="0E3F89E2" w:rsidR="00BC68A0" w:rsidRDefault="00BC68A0" w:rsidP="00711BC6">
      <w:pPr>
        <w:rPr>
          <w:rFonts w:ascii="Amasis MT Pro Black" w:hAnsi="Amasis MT Pro Black"/>
          <w:b/>
          <w:bCs/>
          <w:color w:val="153D63" w:themeColor="text2" w:themeTint="E6"/>
          <w:sz w:val="32"/>
          <w:szCs w:val="32"/>
        </w:rPr>
      </w:pPr>
      <w:r>
        <w:rPr>
          <w:rFonts w:ascii="Amasis MT Pro Black" w:hAnsi="Amasis MT Pro Black"/>
          <w:b/>
          <w:bCs/>
          <w:color w:val="153D63" w:themeColor="text2" w:themeTint="E6"/>
          <w:sz w:val="32"/>
          <w:szCs w:val="32"/>
        </w:rPr>
        <w:t>Staff at Me, Myself &amp; I understand that the pressure of comi</w:t>
      </w:r>
      <w:r w:rsidR="00752037">
        <w:rPr>
          <w:rFonts w:ascii="Amasis MT Pro Black" w:hAnsi="Amasis MT Pro Black"/>
          <w:b/>
          <w:bCs/>
          <w:color w:val="153D63" w:themeColor="text2" w:themeTint="E6"/>
          <w:sz w:val="32"/>
          <w:szCs w:val="32"/>
        </w:rPr>
        <w:t>ng to a new environment can be a stressful time for someone with dementia, that’s why they offer to</w:t>
      </w:r>
      <w:r>
        <w:rPr>
          <w:rFonts w:ascii="Amasis MT Pro Black" w:hAnsi="Amasis MT Pro Black"/>
          <w:b/>
          <w:bCs/>
          <w:color w:val="153D63" w:themeColor="text2" w:themeTint="E6"/>
          <w:sz w:val="32"/>
          <w:szCs w:val="32"/>
        </w:rPr>
        <w:t xml:space="preserve"> go out and meet new members at their home</w:t>
      </w:r>
      <w:r w:rsidR="00752037">
        <w:rPr>
          <w:rFonts w:ascii="Amasis MT Pro Black" w:hAnsi="Amasis MT Pro Black"/>
          <w:b/>
          <w:bCs/>
          <w:color w:val="153D63" w:themeColor="text2" w:themeTint="E6"/>
          <w:sz w:val="32"/>
          <w:szCs w:val="32"/>
        </w:rPr>
        <w:t>,</w:t>
      </w:r>
      <w:r>
        <w:rPr>
          <w:rFonts w:ascii="Amasis MT Pro Black" w:hAnsi="Amasis MT Pro Black"/>
          <w:b/>
          <w:bCs/>
          <w:color w:val="153D63" w:themeColor="text2" w:themeTint="E6"/>
          <w:sz w:val="32"/>
          <w:szCs w:val="32"/>
        </w:rPr>
        <w:t xml:space="preserve"> introduc</w:t>
      </w:r>
      <w:r w:rsidR="00752037">
        <w:rPr>
          <w:rFonts w:ascii="Amasis MT Pro Black" w:hAnsi="Amasis MT Pro Black"/>
          <w:b/>
          <w:bCs/>
          <w:color w:val="153D63" w:themeColor="text2" w:themeTint="E6"/>
          <w:sz w:val="32"/>
          <w:szCs w:val="32"/>
        </w:rPr>
        <w:t>ing</w:t>
      </w:r>
      <w:r>
        <w:rPr>
          <w:rFonts w:ascii="Amasis MT Pro Black" w:hAnsi="Amasis MT Pro Black"/>
          <w:b/>
          <w:bCs/>
          <w:color w:val="153D63" w:themeColor="text2" w:themeTint="E6"/>
          <w:sz w:val="32"/>
          <w:szCs w:val="32"/>
        </w:rPr>
        <w:t xml:space="preserve"> themselves and </w:t>
      </w:r>
      <w:r w:rsidR="00752037">
        <w:rPr>
          <w:rFonts w:ascii="Amasis MT Pro Black" w:hAnsi="Amasis MT Pro Black"/>
          <w:b/>
          <w:bCs/>
          <w:color w:val="153D63" w:themeColor="text2" w:themeTint="E6"/>
          <w:sz w:val="32"/>
          <w:szCs w:val="32"/>
        </w:rPr>
        <w:t xml:space="preserve">what they have to offer. </w:t>
      </w:r>
    </w:p>
    <w:p w14:paraId="4F3F8096" w14:textId="77777777" w:rsidR="00BE416E" w:rsidRDefault="00BE416E" w:rsidP="00711BC6">
      <w:pPr>
        <w:rPr>
          <w:rFonts w:ascii="Amasis MT Pro Black" w:hAnsi="Amasis MT Pro Black"/>
          <w:b/>
          <w:bCs/>
          <w:color w:val="153D63" w:themeColor="text2" w:themeTint="E6"/>
          <w:sz w:val="32"/>
          <w:szCs w:val="32"/>
        </w:rPr>
      </w:pPr>
    </w:p>
    <w:p w14:paraId="390F9F6C" w14:textId="2763B718" w:rsidR="007C4C93" w:rsidRDefault="00BE416E" w:rsidP="007C4C93">
      <w:pPr>
        <w:jc w:val="center"/>
        <w:rPr>
          <w:rFonts w:ascii="Amasis MT Pro Black" w:hAnsi="Amasis MT Pro Black"/>
          <w:b/>
          <w:bCs/>
          <w:color w:val="153D63" w:themeColor="text2" w:themeTint="E6"/>
          <w:sz w:val="32"/>
          <w:szCs w:val="32"/>
        </w:rPr>
      </w:pPr>
      <w:r w:rsidRPr="00BE416E">
        <w:rPr>
          <w:rFonts w:ascii="Amasis MT Pro Black" w:hAnsi="Amasis MT Pro Black"/>
          <w:b/>
          <w:bCs/>
          <w:noProof/>
          <w:color w:val="153D63" w:themeColor="text2" w:themeTint="E6"/>
          <w:sz w:val="32"/>
          <w:szCs w:val="32"/>
        </w:rPr>
        <w:drawing>
          <wp:inline distT="0" distB="0" distL="0" distR="0" wp14:anchorId="5D7F0E6C" wp14:editId="6B932F7B">
            <wp:extent cx="3484179" cy="2375577"/>
            <wp:effectExtent l="0" t="0" r="2540" b="5715"/>
            <wp:docPr id="139951212" name="Picture 1" descr="A close-up of a person holding her h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51212" name="Picture 1" descr="A close-up of a person holding her hand&#10;&#10;AI-generated content may be incorrect."/>
                    <pic:cNvPicPr/>
                  </pic:nvPicPr>
                  <pic:blipFill>
                    <a:blip r:embed="rId22"/>
                    <a:stretch>
                      <a:fillRect/>
                    </a:stretch>
                  </pic:blipFill>
                  <pic:spPr>
                    <a:xfrm>
                      <a:off x="0" y="0"/>
                      <a:ext cx="3489393" cy="2379132"/>
                    </a:xfrm>
                    <a:prstGeom prst="rect">
                      <a:avLst/>
                    </a:prstGeom>
                  </pic:spPr>
                </pic:pic>
              </a:graphicData>
            </a:graphic>
          </wp:inline>
        </w:drawing>
      </w:r>
      <w:r w:rsidR="007C4C93">
        <w:rPr>
          <w:rFonts w:ascii="Amasis MT Pro Black" w:hAnsi="Amasis MT Pro Black"/>
          <w:b/>
          <w:bCs/>
          <w:color w:val="153D63" w:themeColor="text2" w:themeTint="E6"/>
          <w:sz w:val="32"/>
          <w:szCs w:val="32"/>
        </w:rPr>
        <w:br w:type="page"/>
      </w:r>
    </w:p>
    <w:p w14:paraId="3FC7D63A" w14:textId="1ED1AC5D" w:rsidR="0027188E" w:rsidRDefault="0027188E">
      <w:pPr>
        <w:rPr>
          <w:rFonts w:ascii="Amasis MT Pro Black" w:hAnsi="Amasis MT Pro Black"/>
          <w:b/>
          <w:bCs/>
          <w:color w:val="153D63" w:themeColor="text2" w:themeTint="E6"/>
          <w:sz w:val="44"/>
          <w:szCs w:val="44"/>
        </w:rPr>
      </w:pPr>
      <w:r w:rsidRPr="003302E2">
        <w:rPr>
          <w:rFonts w:ascii="Amasis MT Pro Black" w:hAnsi="Amasis MT Pro Black"/>
          <w:b/>
          <w:bCs/>
          <w:color w:val="153D63" w:themeColor="text2" w:themeTint="E6"/>
          <w:sz w:val="44"/>
          <w:szCs w:val="44"/>
        </w:rPr>
        <w:lastRenderedPageBreak/>
        <w:t xml:space="preserve">Additional </w:t>
      </w:r>
      <w:r w:rsidR="003302E2" w:rsidRPr="003302E2">
        <w:rPr>
          <w:rFonts w:ascii="Amasis MT Pro Black" w:hAnsi="Amasis MT Pro Black"/>
          <w:b/>
          <w:bCs/>
          <w:color w:val="153D63" w:themeColor="text2" w:themeTint="E6"/>
          <w:sz w:val="44"/>
          <w:szCs w:val="44"/>
        </w:rPr>
        <w:t>Services</w:t>
      </w:r>
      <w:r w:rsidRPr="003302E2">
        <w:rPr>
          <w:rFonts w:ascii="Amasis MT Pro Black" w:hAnsi="Amasis MT Pro Black"/>
          <w:b/>
          <w:bCs/>
          <w:color w:val="153D63" w:themeColor="text2" w:themeTint="E6"/>
          <w:sz w:val="44"/>
          <w:szCs w:val="44"/>
        </w:rPr>
        <w:t xml:space="preserve"> </w:t>
      </w:r>
    </w:p>
    <w:p w14:paraId="7FD5C8CA" w14:textId="727B023D" w:rsidR="003302E2" w:rsidRDefault="003302E2">
      <w:pPr>
        <w:rPr>
          <w:rFonts w:ascii="Amasis MT Pro Black" w:hAnsi="Amasis MT Pro Black"/>
          <w:b/>
          <w:bCs/>
          <w:color w:val="153D63" w:themeColor="text2" w:themeTint="E6"/>
          <w:sz w:val="44"/>
          <w:szCs w:val="44"/>
        </w:rPr>
      </w:pPr>
    </w:p>
    <w:p w14:paraId="69C3879A" w14:textId="1C3A0BB2" w:rsidR="003302E2" w:rsidRDefault="007427B6">
      <w:pPr>
        <w:rPr>
          <w:rFonts w:ascii="Amasis MT Pro Black" w:hAnsi="Amasis MT Pro Black"/>
          <w:b/>
          <w:bCs/>
          <w:color w:val="153D63" w:themeColor="text2" w:themeTint="E6"/>
          <w:sz w:val="32"/>
          <w:szCs w:val="32"/>
        </w:rPr>
      </w:pPr>
      <w:r w:rsidRPr="007427B6">
        <w:rPr>
          <w:rFonts w:ascii="Amasis MT Pro Black" w:hAnsi="Amasis MT Pro Black"/>
          <w:b/>
          <w:bCs/>
          <w:color w:val="153D63" w:themeColor="text2" w:themeTint="E6"/>
          <w:sz w:val="32"/>
          <w:szCs w:val="32"/>
        </w:rPr>
        <w:t xml:space="preserve">Me, Myself &amp; I also provide dementia care training sessions to anyone who would be interested to apply. </w:t>
      </w:r>
      <w:r>
        <w:rPr>
          <w:rFonts w:ascii="Amasis MT Pro Black" w:hAnsi="Amasis MT Pro Black"/>
          <w:b/>
          <w:bCs/>
          <w:color w:val="153D63" w:themeColor="text2" w:themeTint="E6"/>
          <w:sz w:val="32"/>
          <w:szCs w:val="32"/>
        </w:rPr>
        <w:t xml:space="preserve">Sessions vary from 1hr to half a day and </w:t>
      </w:r>
      <w:r w:rsidRPr="007427B6">
        <w:rPr>
          <w:rFonts w:ascii="Amasis MT Pro Black" w:hAnsi="Amasis MT Pro Black"/>
          <w:b/>
          <w:bCs/>
          <w:color w:val="153D63" w:themeColor="text2" w:themeTint="E6"/>
          <w:sz w:val="32"/>
          <w:szCs w:val="32"/>
        </w:rPr>
        <w:t>provide a better understanding of dementia</w:t>
      </w:r>
      <w:r>
        <w:rPr>
          <w:rFonts w:ascii="Amasis MT Pro Black" w:hAnsi="Amasis MT Pro Black"/>
          <w:b/>
          <w:bCs/>
          <w:color w:val="153D63" w:themeColor="text2" w:themeTint="E6"/>
          <w:sz w:val="32"/>
          <w:szCs w:val="32"/>
        </w:rPr>
        <w:t>, what is happening for the individual experiencing it</w:t>
      </w:r>
      <w:r w:rsidRPr="007427B6">
        <w:rPr>
          <w:rFonts w:ascii="Amasis MT Pro Black" w:hAnsi="Amasis MT Pro Black"/>
          <w:b/>
          <w:bCs/>
          <w:color w:val="153D63" w:themeColor="text2" w:themeTint="E6"/>
          <w:sz w:val="32"/>
          <w:szCs w:val="32"/>
        </w:rPr>
        <w:t xml:space="preserve"> and how to keep the</w:t>
      </w:r>
      <w:r>
        <w:rPr>
          <w:rFonts w:ascii="Amasis MT Pro Black" w:hAnsi="Amasis MT Pro Black"/>
          <w:b/>
          <w:bCs/>
          <w:color w:val="153D63" w:themeColor="text2" w:themeTint="E6"/>
          <w:sz w:val="32"/>
          <w:szCs w:val="32"/>
        </w:rPr>
        <w:t>m</w:t>
      </w:r>
      <w:r w:rsidRPr="007427B6">
        <w:rPr>
          <w:rFonts w:ascii="Amasis MT Pro Black" w:hAnsi="Amasis MT Pro Black"/>
          <w:b/>
          <w:bCs/>
          <w:color w:val="153D63" w:themeColor="text2" w:themeTint="E6"/>
          <w:sz w:val="32"/>
          <w:szCs w:val="32"/>
        </w:rPr>
        <w:t xml:space="preserve"> and the</w:t>
      </w:r>
      <w:r>
        <w:rPr>
          <w:rFonts w:ascii="Amasis MT Pro Black" w:hAnsi="Amasis MT Pro Black"/>
          <w:b/>
          <w:bCs/>
          <w:color w:val="153D63" w:themeColor="text2" w:themeTint="E6"/>
          <w:sz w:val="32"/>
          <w:szCs w:val="32"/>
        </w:rPr>
        <w:t xml:space="preserve">ir </w:t>
      </w:r>
      <w:r w:rsidRPr="007427B6">
        <w:rPr>
          <w:rFonts w:ascii="Amasis MT Pro Black" w:hAnsi="Amasis MT Pro Black"/>
          <w:b/>
          <w:bCs/>
          <w:color w:val="153D63" w:themeColor="text2" w:themeTint="E6"/>
          <w:sz w:val="32"/>
          <w:szCs w:val="32"/>
        </w:rPr>
        <w:t xml:space="preserve">family safe. </w:t>
      </w:r>
    </w:p>
    <w:p w14:paraId="4BB1129C" w14:textId="77777777" w:rsidR="000E00F9" w:rsidRDefault="000E00F9">
      <w:pPr>
        <w:rPr>
          <w:rFonts w:ascii="Amasis MT Pro Black" w:hAnsi="Amasis MT Pro Black"/>
          <w:b/>
          <w:bCs/>
          <w:color w:val="153D63" w:themeColor="text2" w:themeTint="E6"/>
          <w:sz w:val="32"/>
          <w:szCs w:val="32"/>
        </w:rPr>
      </w:pPr>
    </w:p>
    <w:p w14:paraId="091DFC15" w14:textId="62FF0C85" w:rsidR="007427B6" w:rsidRDefault="007427B6">
      <w:pPr>
        <w:rPr>
          <w:rFonts w:ascii="Amasis MT Pro Black" w:hAnsi="Amasis MT Pro Black"/>
          <w:b/>
          <w:bCs/>
          <w:color w:val="153D63" w:themeColor="text2" w:themeTint="E6"/>
          <w:sz w:val="32"/>
          <w:szCs w:val="32"/>
        </w:rPr>
      </w:pPr>
      <w:r>
        <w:rPr>
          <w:rFonts w:ascii="Amasis MT Pro Black" w:hAnsi="Amasis MT Pro Black"/>
          <w:b/>
          <w:bCs/>
          <w:color w:val="153D63" w:themeColor="text2" w:themeTint="E6"/>
          <w:sz w:val="32"/>
          <w:szCs w:val="32"/>
        </w:rPr>
        <w:t>Topics include:</w:t>
      </w:r>
    </w:p>
    <w:p w14:paraId="52F228B6" w14:textId="2EE86B34" w:rsidR="007427B6" w:rsidRPr="000E00F9" w:rsidRDefault="007427B6" w:rsidP="000E00F9">
      <w:pPr>
        <w:pStyle w:val="ListParagraph"/>
        <w:numPr>
          <w:ilvl w:val="0"/>
          <w:numId w:val="2"/>
        </w:numPr>
        <w:rPr>
          <w:rFonts w:ascii="Amasis MT Pro Black" w:hAnsi="Amasis MT Pro Black"/>
          <w:b/>
          <w:bCs/>
          <w:color w:val="153D63" w:themeColor="text2" w:themeTint="E6"/>
          <w:sz w:val="32"/>
          <w:szCs w:val="32"/>
        </w:rPr>
      </w:pPr>
      <w:r w:rsidRPr="000E00F9">
        <w:rPr>
          <w:rFonts w:ascii="Amasis MT Pro Black" w:hAnsi="Amasis MT Pro Black"/>
          <w:b/>
          <w:bCs/>
          <w:color w:val="153D63" w:themeColor="text2" w:themeTint="E6"/>
          <w:sz w:val="32"/>
          <w:szCs w:val="32"/>
        </w:rPr>
        <w:t>Introduction to Dementia</w:t>
      </w:r>
    </w:p>
    <w:p w14:paraId="3F1FF546" w14:textId="735F0E17" w:rsidR="007427B6" w:rsidRPr="000E00F9" w:rsidRDefault="007427B6" w:rsidP="000E00F9">
      <w:pPr>
        <w:pStyle w:val="ListParagraph"/>
        <w:numPr>
          <w:ilvl w:val="0"/>
          <w:numId w:val="2"/>
        </w:numPr>
        <w:rPr>
          <w:rFonts w:ascii="Amasis MT Pro Black" w:hAnsi="Amasis MT Pro Black"/>
          <w:b/>
          <w:bCs/>
          <w:color w:val="153D63" w:themeColor="text2" w:themeTint="E6"/>
          <w:sz w:val="32"/>
          <w:szCs w:val="32"/>
        </w:rPr>
      </w:pPr>
      <w:r w:rsidRPr="000E00F9">
        <w:rPr>
          <w:rFonts w:ascii="Amasis MT Pro Black" w:hAnsi="Amasis MT Pro Black"/>
          <w:b/>
          <w:bCs/>
          <w:color w:val="153D63" w:themeColor="text2" w:themeTint="E6"/>
          <w:sz w:val="32"/>
          <w:szCs w:val="32"/>
        </w:rPr>
        <w:t xml:space="preserve">An </w:t>
      </w:r>
      <w:r w:rsidR="000E00F9" w:rsidRPr="000E00F9">
        <w:rPr>
          <w:rFonts w:ascii="Amasis MT Pro Black" w:hAnsi="Amasis MT Pro Black"/>
          <w:b/>
          <w:bCs/>
          <w:color w:val="153D63" w:themeColor="text2" w:themeTint="E6"/>
          <w:sz w:val="32"/>
          <w:szCs w:val="32"/>
        </w:rPr>
        <w:t>i</w:t>
      </w:r>
      <w:r w:rsidRPr="000E00F9">
        <w:rPr>
          <w:rFonts w:ascii="Amasis MT Pro Black" w:hAnsi="Amasis MT Pro Black"/>
          <w:b/>
          <w:bCs/>
          <w:color w:val="153D63" w:themeColor="text2" w:themeTint="E6"/>
          <w:sz w:val="32"/>
          <w:szCs w:val="32"/>
        </w:rPr>
        <w:t xml:space="preserve">nsight into Dementia </w:t>
      </w:r>
    </w:p>
    <w:p w14:paraId="04DD91A7" w14:textId="75DD66CA" w:rsidR="007427B6" w:rsidRPr="000E00F9" w:rsidRDefault="000E00F9" w:rsidP="000E00F9">
      <w:pPr>
        <w:pStyle w:val="ListParagraph"/>
        <w:numPr>
          <w:ilvl w:val="0"/>
          <w:numId w:val="2"/>
        </w:numPr>
        <w:rPr>
          <w:rFonts w:ascii="Amasis MT Pro Black" w:hAnsi="Amasis MT Pro Black"/>
          <w:b/>
          <w:bCs/>
          <w:color w:val="153D63" w:themeColor="text2" w:themeTint="E6"/>
          <w:sz w:val="32"/>
          <w:szCs w:val="32"/>
        </w:rPr>
      </w:pPr>
      <w:r w:rsidRPr="000E00F9">
        <w:rPr>
          <w:rFonts w:ascii="Amasis MT Pro Black" w:hAnsi="Amasis MT Pro Black"/>
          <w:b/>
          <w:bCs/>
          <w:color w:val="153D63" w:themeColor="text2" w:themeTint="E6"/>
          <w:sz w:val="32"/>
          <w:szCs w:val="32"/>
        </w:rPr>
        <w:t>Falls awareness</w:t>
      </w:r>
    </w:p>
    <w:p w14:paraId="153C307E" w14:textId="301E6518" w:rsidR="000E00F9" w:rsidRPr="000E00F9" w:rsidRDefault="000E00F9" w:rsidP="000E00F9">
      <w:pPr>
        <w:pStyle w:val="ListParagraph"/>
        <w:numPr>
          <w:ilvl w:val="0"/>
          <w:numId w:val="2"/>
        </w:numPr>
        <w:rPr>
          <w:rFonts w:ascii="Amasis MT Pro Black" w:hAnsi="Amasis MT Pro Black"/>
          <w:b/>
          <w:bCs/>
          <w:color w:val="153D63" w:themeColor="text2" w:themeTint="E6"/>
          <w:sz w:val="32"/>
          <w:szCs w:val="32"/>
        </w:rPr>
      </w:pPr>
      <w:r w:rsidRPr="000E00F9">
        <w:rPr>
          <w:rFonts w:ascii="Amasis MT Pro Black" w:hAnsi="Amasis MT Pro Black"/>
          <w:b/>
          <w:bCs/>
          <w:color w:val="153D63" w:themeColor="text2" w:themeTint="E6"/>
          <w:sz w:val="32"/>
          <w:szCs w:val="32"/>
        </w:rPr>
        <w:t>Toolkit and tips for families</w:t>
      </w:r>
    </w:p>
    <w:p w14:paraId="70234869" w14:textId="7555C646" w:rsidR="000E00F9" w:rsidRPr="000E00F9" w:rsidRDefault="000E00F9" w:rsidP="000E00F9">
      <w:pPr>
        <w:pStyle w:val="ListParagraph"/>
        <w:numPr>
          <w:ilvl w:val="0"/>
          <w:numId w:val="2"/>
        </w:numPr>
        <w:rPr>
          <w:rFonts w:ascii="Amasis MT Pro Black" w:hAnsi="Amasis MT Pro Black"/>
          <w:b/>
          <w:bCs/>
          <w:color w:val="153D63" w:themeColor="text2" w:themeTint="E6"/>
          <w:sz w:val="32"/>
          <w:szCs w:val="32"/>
        </w:rPr>
      </w:pPr>
      <w:r w:rsidRPr="000E00F9">
        <w:rPr>
          <w:rFonts w:ascii="Amasis MT Pro Black" w:hAnsi="Amasis MT Pro Black"/>
          <w:b/>
          <w:bCs/>
          <w:color w:val="153D63" w:themeColor="text2" w:themeTint="E6"/>
          <w:sz w:val="32"/>
          <w:szCs w:val="32"/>
        </w:rPr>
        <w:t>Support with daily life</w:t>
      </w:r>
    </w:p>
    <w:p w14:paraId="19ED9831" w14:textId="027FB59D" w:rsidR="000E00F9" w:rsidRDefault="000E00F9" w:rsidP="000E00F9">
      <w:pPr>
        <w:pStyle w:val="ListParagraph"/>
        <w:numPr>
          <w:ilvl w:val="0"/>
          <w:numId w:val="2"/>
        </w:numPr>
        <w:rPr>
          <w:rFonts w:ascii="Amasis MT Pro Black" w:hAnsi="Amasis MT Pro Black"/>
          <w:b/>
          <w:bCs/>
          <w:color w:val="153D63" w:themeColor="text2" w:themeTint="E6"/>
          <w:sz w:val="32"/>
          <w:szCs w:val="32"/>
        </w:rPr>
      </w:pPr>
      <w:r w:rsidRPr="000E00F9">
        <w:rPr>
          <w:rFonts w:ascii="Amasis MT Pro Black" w:hAnsi="Amasis MT Pro Black"/>
          <w:b/>
          <w:bCs/>
          <w:color w:val="153D63" w:themeColor="text2" w:themeTint="E6"/>
          <w:sz w:val="32"/>
          <w:szCs w:val="32"/>
        </w:rPr>
        <w:t xml:space="preserve">Dementia and us – our future </w:t>
      </w:r>
    </w:p>
    <w:p w14:paraId="75A617F9" w14:textId="77777777" w:rsidR="000C424F" w:rsidRPr="000C424F" w:rsidRDefault="000C424F" w:rsidP="000C424F">
      <w:pPr>
        <w:rPr>
          <w:rFonts w:ascii="Amasis MT Pro Black" w:hAnsi="Amasis MT Pro Black"/>
          <w:b/>
          <w:bCs/>
          <w:color w:val="153D63" w:themeColor="text2" w:themeTint="E6"/>
          <w:sz w:val="32"/>
          <w:szCs w:val="32"/>
        </w:rPr>
      </w:pPr>
    </w:p>
    <w:p w14:paraId="6D1FD3CE" w14:textId="07D89EBA" w:rsidR="000E00F9" w:rsidRDefault="000E00F9" w:rsidP="000C424F">
      <w:pPr>
        <w:tabs>
          <w:tab w:val="left" w:pos="5388"/>
          <w:tab w:val="left" w:pos="5760"/>
        </w:tabs>
        <w:rPr>
          <w:rFonts w:ascii="Amasis MT Pro Black" w:hAnsi="Amasis MT Pro Black"/>
          <w:b/>
          <w:bCs/>
          <w:color w:val="153D63" w:themeColor="text2" w:themeTint="E6"/>
          <w:sz w:val="32"/>
          <w:szCs w:val="32"/>
        </w:rPr>
      </w:pPr>
      <w:r w:rsidRPr="000E00F9">
        <w:rPr>
          <w:rFonts w:ascii="Amasis MT Pro Black" w:hAnsi="Amasis MT Pro Black"/>
          <w:b/>
          <w:bCs/>
          <w:noProof/>
          <w:color w:val="153D63" w:themeColor="text2" w:themeTint="E6"/>
          <w:sz w:val="32"/>
          <w:szCs w:val="32"/>
        </w:rPr>
        <w:drawing>
          <wp:inline distT="0" distB="0" distL="0" distR="0" wp14:anchorId="0441D970" wp14:editId="02430274">
            <wp:extent cx="2238703" cy="2994444"/>
            <wp:effectExtent l="0" t="0" r="9525" b="0"/>
            <wp:docPr id="957804466" name="Picture 1" descr="A person sitting at a table smi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804466" name="Picture 1" descr="A person sitting at a table smiling&#10;&#10;AI-generated content may be incorrect."/>
                    <pic:cNvPicPr/>
                  </pic:nvPicPr>
                  <pic:blipFill>
                    <a:blip r:embed="rId23"/>
                    <a:stretch>
                      <a:fillRect/>
                    </a:stretch>
                  </pic:blipFill>
                  <pic:spPr>
                    <a:xfrm>
                      <a:off x="0" y="0"/>
                      <a:ext cx="2246581" cy="3004982"/>
                    </a:xfrm>
                    <a:prstGeom prst="rect">
                      <a:avLst/>
                    </a:prstGeom>
                  </pic:spPr>
                </pic:pic>
              </a:graphicData>
            </a:graphic>
          </wp:inline>
        </w:drawing>
      </w:r>
      <w:r w:rsidR="000C424F">
        <w:rPr>
          <w:rFonts w:ascii="Amasis MT Pro Black" w:hAnsi="Amasis MT Pro Black"/>
          <w:b/>
          <w:bCs/>
          <w:color w:val="153D63" w:themeColor="text2" w:themeTint="E6"/>
          <w:sz w:val="32"/>
          <w:szCs w:val="32"/>
        </w:rPr>
        <w:tab/>
      </w:r>
      <w:r w:rsidR="000C424F">
        <w:rPr>
          <w:rFonts w:ascii="Amasis MT Pro Black" w:hAnsi="Amasis MT Pro Black"/>
          <w:b/>
          <w:bCs/>
          <w:noProof/>
          <w:color w:val="0E2841" w:themeColor="text2"/>
          <w:sz w:val="32"/>
          <w:szCs w:val="32"/>
        </w:rPr>
        <w:drawing>
          <wp:inline distT="0" distB="0" distL="0" distR="0" wp14:anchorId="13AC444A" wp14:editId="5DB0190B">
            <wp:extent cx="2016554" cy="1344295"/>
            <wp:effectExtent l="0" t="0" r="3175" b="8255"/>
            <wp:docPr id="1466465828" name="Picture 7" descr="Senior adult working at desk in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465828" name="Picture 1466465828" descr="Senior adult working at desk in library"/>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016554" cy="1344295"/>
                    </a:xfrm>
                    <a:prstGeom prst="rect">
                      <a:avLst/>
                    </a:prstGeom>
                  </pic:spPr>
                </pic:pic>
              </a:graphicData>
            </a:graphic>
          </wp:inline>
        </w:drawing>
      </w:r>
    </w:p>
    <w:p w14:paraId="0ACB2FE9" w14:textId="3773EAC9" w:rsidR="007C4C93" w:rsidRDefault="007C4C93">
      <w:pPr>
        <w:rPr>
          <w:rFonts w:ascii="Amasis MT Pro Black" w:hAnsi="Amasis MT Pro Black"/>
          <w:b/>
          <w:bCs/>
          <w:color w:val="153D63" w:themeColor="text2" w:themeTint="E6"/>
          <w:sz w:val="32"/>
          <w:szCs w:val="32"/>
        </w:rPr>
      </w:pPr>
      <w:r>
        <w:rPr>
          <w:rFonts w:ascii="Amasis MT Pro Black" w:hAnsi="Amasis MT Pro Black"/>
          <w:b/>
          <w:bCs/>
          <w:color w:val="153D63" w:themeColor="text2" w:themeTint="E6"/>
          <w:sz w:val="32"/>
          <w:szCs w:val="32"/>
        </w:rPr>
        <w:br w:type="page"/>
      </w:r>
    </w:p>
    <w:p w14:paraId="6A9B2DFC" w14:textId="3306C9F2" w:rsidR="00982D93" w:rsidRDefault="00255D71" w:rsidP="00982D93">
      <w:pPr>
        <w:jc w:val="center"/>
        <w:rPr>
          <w:rFonts w:ascii="Amasis MT Pro Black" w:hAnsi="Amasis MT Pro Black"/>
          <w:b/>
          <w:bCs/>
          <w:color w:val="153D63" w:themeColor="text2" w:themeTint="E6"/>
          <w:sz w:val="52"/>
          <w:szCs w:val="52"/>
        </w:rPr>
      </w:pPr>
      <w:r w:rsidRPr="00982D93">
        <w:rPr>
          <w:rFonts w:ascii="Amasis MT Pro Black" w:hAnsi="Amasis MT Pro Black"/>
          <w:b/>
          <w:bCs/>
          <w:color w:val="153D63" w:themeColor="text2" w:themeTint="E6"/>
          <w:sz w:val="52"/>
          <w:szCs w:val="52"/>
        </w:rPr>
        <w:lastRenderedPageBreak/>
        <w:t>Churchills Day Centre</w:t>
      </w:r>
    </w:p>
    <w:p w14:paraId="0192166C" w14:textId="77777777" w:rsidR="002A4929" w:rsidRDefault="002A4929" w:rsidP="00982D93">
      <w:pPr>
        <w:jc w:val="center"/>
        <w:rPr>
          <w:rFonts w:ascii="Amasis MT Pro Black" w:hAnsi="Amasis MT Pro Black"/>
          <w:b/>
          <w:bCs/>
          <w:color w:val="153D63" w:themeColor="text2" w:themeTint="E6"/>
          <w:sz w:val="52"/>
          <w:szCs w:val="52"/>
        </w:rPr>
      </w:pPr>
    </w:p>
    <w:p w14:paraId="3E293788" w14:textId="370A4091" w:rsidR="002A4929" w:rsidRDefault="002A4929" w:rsidP="00982D93">
      <w:pPr>
        <w:jc w:val="center"/>
        <w:rPr>
          <w:rFonts w:ascii="Amasis MT Pro Black" w:hAnsi="Amasis MT Pro Black"/>
          <w:b/>
          <w:bCs/>
          <w:color w:val="153D63" w:themeColor="text2" w:themeTint="E6"/>
          <w:sz w:val="32"/>
          <w:szCs w:val="32"/>
        </w:rPr>
      </w:pPr>
      <w:r w:rsidRPr="002A4929">
        <w:rPr>
          <w:rFonts w:ascii="Amasis MT Pro Black" w:hAnsi="Amasis MT Pro Black"/>
          <w:b/>
          <w:bCs/>
          <w:noProof/>
          <w:color w:val="153D63" w:themeColor="text2" w:themeTint="E6"/>
          <w:sz w:val="32"/>
          <w:szCs w:val="32"/>
        </w:rPr>
        <w:drawing>
          <wp:inline distT="0" distB="0" distL="0" distR="0" wp14:anchorId="1F5BC708" wp14:editId="5778B6D3">
            <wp:extent cx="4382067" cy="2743200"/>
            <wp:effectExtent l="0" t="0" r="0" b="0"/>
            <wp:docPr id="1951121741" name="Picture 1" descr="A group of people sitting at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121741" name="Picture 1" descr="A group of people sitting at a table&#10;&#10;AI-generated content may be incorrect."/>
                    <pic:cNvPicPr/>
                  </pic:nvPicPr>
                  <pic:blipFill rotWithShape="1">
                    <a:blip r:embed="rId25"/>
                    <a:srcRect b="10836"/>
                    <a:stretch/>
                  </pic:blipFill>
                  <pic:spPr bwMode="auto">
                    <a:xfrm>
                      <a:off x="0" y="0"/>
                      <a:ext cx="4387609" cy="2746669"/>
                    </a:xfrm>
                    <a:prstGeom prst="rect">
                      <a:avLst/>
                    </a:prstGeom>
                    <a:ln>
                      <a:noFill/>
                    </a:ln>
                    <a:extLst>
                      <a:ext uri="{53640926-AAD7-44D8-BBD7-CCE9431645EC}">
                        <a14:shadowObscured xmlns:a14="http://schemas.microsoft.com/office/drawing/2010/main"/>
                      </a:ext>
                    </a:extLst>
                  </pic:spPr>
                </pic:pic>
              </a:graphicData>
            </a:graphic>
          </wp:inline>
        </w:drawing>
      </w:r>
    </w:p>
    <w:p w14:paraId="58ADB0AF" w14:textId="77777777" w:rsidR="00982D93" w:rsidRDefault="00982D93">
      <w:pPr>
        <w:rPr>
          <w:rFonts w:ascii="Amasis MT Pro Black" w:hAnsi="Amasis MT Pro Black"/>
          <w:b/>
          <w:bCs/>
          <w:color w:val="153D63" w:themeColor="text2" w:themeTint="E6"/>
          <w:sz w:val="32"/>
          <w:szCs w:val="32"/>
        </w:rPr>
      </w:pPr>
    </w:p>
    <w:p w14:paraId="40A64D2A" w14:textId="30E28FFA" w:rsidR="00982D93" w:rsidRDefault="00982D93">
      <w:pPr>
        <w:rPr>
          <w:rFonts w:ascii="Amasis MT Pro Black" w:hAnsi="Amasis MT Pro Black"/>
          <w:b/>
          <w:bCs/>
          <w:color w:val="153D63" w:themeColor="text2" w:themeTint="E6"/>
          <w:sz w:val="40"/>
          <w:szCs w:val="40"/>
        </w:rPr>
      </w:pPr>
      <w:r w:rsidRPr="00982D93">
        <w:rPr>
          <w:rFonts w:ascii="Amasis MT Pro Black" w:hAnsi="Amasis MT Pro Black"/>
          <w:b/>
          <w:bCs/>
          <w:color w:val="153D63" w:themeColor="text2" w:themeTint="E6"/>
          <w:sz w:val="40"/>
          <w:szCs w:val="40"/>
        </w:rPr>
        <w:t xml:space="preserve">Churchills day centre welcome people with Dementia, Alzheimer’s and Parkinson’s disease. They are open </w:t>
      </w:r>
      <w:r w:rsidR="002A4929">
        <w:rPr>
          <w:rFonts w:ascii="Amasis MT Pro Black" w:hAnsi="Amasis MT Pro Black"/>
          <w:b/>
          <w:bCs/>
          <w:color w:val="153D63" w:themeColor="text2" w:themeTint="E6"/>
          <w:sz w:val="40"/>
          <w:szCs w:val="40"/>
        </w:rPr>
        <w:t>Tuesdays, Thursdays and Fridays</w:t>
      </w:r>
      <w:r w:rsidR="00713731">
        <w:rPr>
          <w:rFonts w:ascii="Amasis MT Pro Black" w:hAnsi="Amasis MT Pro Black"/>
          <w:b/>
          <w:bCs/>
          <w:color w:val="153D63" w:themeColor="text2" w:themeTint="E6"/>
          <w:sz w:val="40"/>
          <w:szCs w:val="40"/>
        </w:rPr>
        <w:t xml:space="preserve"> in Pembroke Dock</w:t>
      </w:r>
      <w:r w:rsidR="002A4929">
        <w:rPr>
          <w:rFonts w:ascii="Amasis MT Pro Black" w:hAnsi="Amasis MT Pro Black"/>
          <w:b/>
          <w:bCs/>
          <w:color w:val="153D63" w:themeColor="text2" w:themeTint="E6"/>
          <w:sz w:val="40"/>
          <w:szCs w:val="40"/>
        </w:rPr>
        <w:t>.</w:t>
      </w:r>
    </w:p>
    <w:p w14:paraId="1C8E44A6" w14:textId="77777777" w:rsidR="00982D93" w:rsidRDefault="00982D93">
      <w:pPr>
        <w:rPr>
          <w:rFonts w:ascii="Amasis MT Pro Black" w:hAnsi="Amasis MT Pro Black"/>
          <w:b/>
          <w:bCs/>
          <w:color w:val="153D63" w:themeColor="text2" w:themeTint="E6"/>
          <w:sz w:val="40"/>
          <w:szCs w:val="40"/>
        </w:rPr>
      </w:pPr>
      <w:r w:rsidRPr="00982D93">
        <w:rPr>
          <w:rFonts w:ascii="Amasis MT Pro Black" w:hAnsi="Amasis MT Pro Black"/>
          <w:b/>
          <w:bCs/>
          <w:color w:val="153D63" w:themeColor="text2" w:themeTint="E6"/>
          <w:sz w:val="40"/>
          <w:szCs w:val="40"/>
        </w:rPr>
        <w:t xml:space="preserve">They provide a range of services with easy access to three activity rooms and also have a café. </w:t>
      </w:r>
    </w:p>
    <w:p w14:paraId="5DB7A0E5" w14:textId="3BA4742A" w:rsidR="00AF288C" w:rsidRDefault="00982D93" w:rsidP="00982D93">
      <w:pPr>
        <w:jc w:val="center"/>
        <w:rPr>
          <w:rFonts w:ascii="Amasis MT Pro Black" w:hAnsi="Amasis MT Pro Black"/>
          <w:b/>
          <w:bCs/>
          <w:sz w:val="40"/>
          <w:szCs w:val="40"/>
        </w:rPr>
      </w:pPr>
      <w:r>
        <w:rPr>
          <w:rFonts w:ascii="Amasis MT Pro Black" w:hAnsi="Amasis MT Pro Black"/>
          <w:b/>
          <w:bCs/>
          <w:noProof/>
          <w:sz w:val="40"/>
          <w:szCs w:val="40"/>
        </w:rPr>
        <w:drawing>
          <wp:inline distT="0" distB="0" distL="0" distR="0" wp14:anchorId="2F0949EC" wp14:editId="016855BC">
            <wp:extent cx="1986566" cy="1324304"/>
            <wp:effectExtent l="0" t="0" r="0" b="9525"/>
            <wp:docPr id="1288433432" name="Picture 3" descr="Cropped hand of barista pouring milk into cappuccino to create leaf patte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433432" name="Picture 1288433432" descr="Cropped hand of barista pouring milk into cappuccino to create leaf pattern"/>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999956" cy="1333230"/>
                    </a:xfrm>
                    <a:prstGeom prst="rect">
                      <a:avLst/>
                    </a:prstGeom>
                  </pic:spPr>
                </pic:pic>
              </a:graphicData>
            </a:graphic>
          </wp:inline>
        </w:drawing>
      </w:r>
      <w:r w:rsidR="00AF288C">
        <w:rPr>
          <w:rFonts w:ascii="Amasis MT Pro Black" w:hAnsi="Amasis MT Pro Black"/>
          <w:b/>
          <w:bCs/>
          <w:sz w:val="40"/>
          <w:szCs w:val="40"/>
        </w:rPr>
        <w:br w:type="page"/>
      </w:r>
    </w:p>
    <w:p w14:paraId="73AE89FA" w14:textId="2A84C5F2" w:rsidR="00AF288C" w:rsidRDefault="002A4929" w:rsidP="00F078D3">
      <w:pPr>
        <w:jc w:val="center"/>
        <w:rPr>
          <w:rFonts w:ascii="Amasis MT Pro Black" w:hAnsi="Amasis MT Pro Black"/>
          <w:b/>
          <w:bCs/>
          <w:sz w:val="40"/>
          <w:szCs w:val="40"/>
        </w:rPr>
      </w:pPr>
      <w:r w:rsidRPr="00982D93">
        <w:rPr>
          <w:rFonts w:ascii="Amasis MT Pro Black" w:hAnsi="Amasis MT Pro Black"/>
          <w:b/>
          <w:bCs/>
          <w:noProof/>
          <w:color w:val="153D63" w:themeColor="text2" w:themeTint="E6"/>
          <w:sz w:val="32"/>
          <w:szCs w:val="32"/>
        </w:rPr>
        <w:lastRenderedPageBreak/>
        <w:drawing>
          <wp:inline distT="0" distB="0" distL="0" distR="0" wp14:anchorId="42AA93DB" wp14:editId="16DAA897">
            <wp:extent cx="3894083" cy="2263711"/>
            <wp:effectExtent l="0" t="0" r="0" b="3810"/>
            <wp:docPr id="103146002" name="Picture 1" descr="A room with tables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46002" name="Picture 1" descr="A room with tables and chairs&#10;&#10;AI-generated content may be incorrect."/>
                    <pic:cNvPicPr/>
                  </pic:nvPicPr>
                  <pic:blipFill>
                    <a:blip r:embed="rId27"/>
                    <a:stretch>
                      <a:fillRect/>
                    </a:stretch>
                  </pic:blipFill>
                  <pic:spPr>
                    <a:xfrm>
                      <a:off x="0" y="0"/>
                      <a:ext cx="3917016" cy="2277042"/>
                    </a:xfrm>
                    <a:prstGeom prst="rect">
                      <a:avLst/>
                    </a:prstGeom>
                  </pic:spPr>
                </pic:pic>
              </a:graphicData>
            </a:graphic>
          </wp:inline>
        </w:drawing>
      </w:r>
    </w:p>
    <w:p w14:paraId="1E94410D" w14:textId="3D10A3CB" w:rsidR="002A4929" w:rsidRPr="00554C1D" w:rsidRDefault="003E5182">
      <w:pPr>
        <w:rPr>
          <w:rFonts w:ascii="Amasis MT Pro Black" w:hAnsi="Amasis MT Pro Black"/>
          <w:b/>
          <w:bCs/>
          <w:color w:val="153D63" w:themeColor="text2" w:themeTint="E6"/>
          <w:sz w:val="40"/>
          <w:szCs w:val="40"/>
        </w:rPr>
      </w:pPr>
      <w:r w:rsidRPr="00554C1D">
        <w:rPr>
          <w:rFonts w:ascii="Amasis MT Pro Black" w:hAnsi="Amasis MT Pro Black"/>
          <w:b/>
          <w:bCs/>
          <w:color w:val="153D63" w:themeColor="text2" w:themeTint="E6"/>
          <w:sz w:val="40"/>
          <w:szCs w:val="40"/>
        </w:rPr>
        <w:t>Activities include:</w:t>
      </w:r>
    </w:p>
    <w:p w14:paraId="1E6F2F27" w14:textId="3EA5448D"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Music</w:t>
      </w:r>
    </w:p>
    <w:p w14:paraId="47A51922" w14:textId="6555B793"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Singing</w:t>
      </w:r>
    </w:p>
    <w:p w14:paraId="72EE74B4" w14:textId="77777777"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Glass painting</w:t>
      </w:r>
    </w:p>
    <w:p w14:paraId="62F61652" w14:textId="77777777"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Films</w:t>
      </w:r>
    </w:p>
    <w:p w14:paraId="7651A6A1" w14:textId="77777777"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 xml:space="preserve">Arts and crafts </w:t>
      </w:r>
    </w:p>
    <w:p w14:paraId="1E3659F5" w14:textId="77777777"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 xml:space="preserve">Pottery </w:t>
      </w:r>
    </w:p>
    <w:p w14:paraId="53F5A5C4" w14:textId="221FDBED"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Knitting</w:t>
      </w:r>
    </w:p>
    <w:p w14:paraId="51CE96FD" w14:textId="77777777"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 xml:space="preserve">Bingo </w:t>
      </w:r>
    </w:p>
    <w:p w14:paraId="153CD4EF" w14:textId="77777777"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 xml:space="preserve">Puzzles </w:t>
      </w:r>
    </w:p>
    <w:p w14:paraId="705A665C" w14:textId="77777777" w:rsidR="002A4929" w:rsidRPr="00554C1D" w:rsidRDefault="002A4929">
      <w:pPr>
        <w:rPr>
          <w:rFonts w:ascii="Amasis MT Pro Black" w:hAnsi="Amasis MT Pro Black"/>
          <w:b/>
          <w:bCs/>
          <w:color w:val="153D63" w:themeColor="text2" w:themeTint="E6"/>
          <w:sz w:val="36"/>
          <w:szCs w:val="36"/>
        </w:rPr>
      </w:pPr>
    </w:p>
    <w:p w14:paraId="4F79BE58" w14:textId="77777777" w:rsidR="002A4929" w:rsidRDefault="002A4929">
      <w:p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 xml:space="preserve">Their main ethos is to use key skills to actively keep cognitive function and long and short memory skills in a supportive and safe environment. </w:t>
      </w:r>
    </w:p>
    <w:p w14:paraId="23824BFA" w14:textId="77777777" w:rsidR="00E37E90" w:rsidRDefault="00E37E90">
      <w:pPr>
        <w:rPr>
          <w:rFonts w:ascii="Amasis MT Pro Black" w:hAnsi="Amasis MT Pro Black"/>
          <w:b/>
          <w:bCs/>
          <w:color w:val="153D63" w:themeColor="text2" w:themeTint="E6"/>
          <w:sz w:val="36"/>
          <w:szCs w:val="36"/>
        </w:rPr>
      </w:pPr>
    </w:p>
    <w:p w14:paraId="59F774F0" w14:textId="11B111B0" w:rsidR="00E37E90" w:rsidRPr="00E37E90" w:rsidRDefault="00E37E90" w:rsidP="00E37E90">
      <w:pPr>
        <w:rPr>
          <w:rFonts w:ascii="Amasis MT Pro Black" w:hAnsi="Amasis MT Pro Black"/>
          <w:b/>
          <w:bCs/>
          <w:color w:val="153D63" w:themeColor="text2" w:themeTint="E6"/>
          <w:sz w:val="36"/>
          <w:szCs w:val="36"/>
        </w:rPr>
      </w:pPr>
      <w:r w:rsidRPr="00E37E90">
        <w:rPr>
          <w:rFonts w:ascii="Amasis MT Pro Black" w:hAnsi="Amasis MT Pro Black"/>
          <w:b/>
          <w:bCs/>
          <w:color w:val="153D63" w:themeColor="text2" w:themeTint="E6"/>
          <w:sz w:val="36"/>
          <w:szCs w:val="36"/>
        </w:rPr>
        <w:t>Memory clinics and a one-to-one counsellor are also available on request.</w:t>
      </w:r>
    </w:p>
    <w:p w14:paraId="77502DBC" w14:textId="0EC05733" w:rsidR="007C4C93" w:rsidRDefault="007C4C93">
      <w:pPr>
        <w:rPr>
          <w:rFonts w:ascii="Amasis MT Pro Black" w:hAnsi="Amasis MT Pro Black"/>
          <w:b/>
          <w:bCs/>
          <w:color w:val="153D63" w:themeColor="text2" w:themeTint="E6"/>
          <w:sz w:val="36"/>
          <w:szCs w:val="36"/>
        </w:rPr>
      </w:pPr>
      <w:r>
        <w:rPr>
          <w:rFonts w:ascii="Amasis MT Pro Black" w:hAnsi="Amasis MT Pro Black"/>
          <w:b/>
          <w:bCs/>
          <w:color w:val="153D63" w:themeColor="text2" w:themeTint="E6"/>
          <w:sz w:val="36"/>
          <w:szCs w:val="36"/>
        </w:rPr>
        <w:br w:type="page"/>
      </w:r>
    </w:p>
    <w:p w14:paraId="5E0C44C1" w14:textId="53C054DA" w:rsidR="002A4929" w:rsidRDefault="00A1611D" w:rsidP="00A1611D">
      <w:pPr>
        <w:tabs>
          <w:tab w:val="center" w:pos="4513"/>
        </w:tabs>
        <w:jc w:val="right"/>
        <w:rPr>
          <w:rFonts w:ascii="Amasis MT Pro Black" w:hAnsi="Amasis MT Pro Black"/>
          <w:b/>
          <w:bCs/>
          <w:sz w:val="40"/>
          <w:szCs w:val="40"/>
        </w:rPr>
      </w:pPr>
      <w:r>
        <w:rPr>
          <w:rFonts w:ascii="Amasis MT Pro Black" w:hAnsi="Amasis MT Pro Black"/>
          <w:b/>
          <w:bCs/>
          <w:noProof/>
          <w:sz w:val="40"/>
          <w:szCs w:val="40"/>
        </w:rPr>
        <w:lastRenderedPageBreak/>
        <mc:AlternateContent>
          <mc:Choice Requires="wps">
            <w:drawing>
              <wp:anchor distT="0" distB="0" distL="114300" distR="114300" simplePos="0" relativeHeight="251665408" behindDoc="0" locked="0" layoutInCell="1" allowOverlap="1" wp14:anchorId="3395D17C" wp14:editId="7C8BC9B0">
                <wp:simplePos x="0" y="0"/>
                <wp:positionH relativeFrom="column">
                  <wp:posOffset>92528</wp:posOffset>
                </wp:positionH>
                <wp:positionV relativeFrom="paragraph">
                  <wp:posOffset>182082</wp:posOffset>
                </wp:positionV>
                <wp:extent cx="1497724" cy="1499191"/>
                <wp:effectExtent l="0" t="0" r="26670" b="25400"/>
                <wp:wrapNone/>
                <wp:docPr id="1482224399" name="Text Box 5"/>
                <wp:cNvGraphicFramePr/>
                <a:graphic xmlns:a="http://schemas.openxmlformats.org/drawingml/2006/main">
                  <a:graphicData uri="http://schemas.microsoft.com/office/word/2010/wordprocessingShape">
                    <wps:wsp>
                      <wps:cNvSpPr txBox="1"/>
                      <wps:spPr>
                        <a:xfrm>
                          <a:off x="0" y="0"/>
                          <a:ext cx="1497724" cy="1499191"/>
                        </a:xfrm>
                        <a:prstGeom prst="rect">
                          <a:avLst/>
                        </a:prstGeom>
                        <a:solidFill>
                          <a:schemeClr val="tx2">
                            <a:lumMod val="10000"/>
                            <a:lumOff val="90000"/>
                          </a:schemeClr>
                        </a:solidFill>
                        <a:ln w="6350">
                          <a:solidFill>
                            <a:prstClr val="black"/>
                          </a:solidFill>
                        </a:ln>
                      </wps:spPr>
                      <wps:txbx>
                        <w:txbxContent>
                          <w:p w14:paraId="2846E520" w14:textId="10871AFC" w:rsidR="003E5182" w:rsidRPr="003E5182" w:rsidRDefault="003E5182">
                            <w:pPr>
                              <w:rPr>
                                <w:rFonts w:ascii="Amasis MT Pro" w:hAnsi="Amasis MT Pro"/>
                                <w:sz w:val="28"/>
                                <w:szCs w:val="28"/>
                              </w:rPr>
                            </w:pPr>
                            <w:r w:rsidRPr="003E5182">
                              <w:rPr>
                                <w:rFonts w:ascii="Amasis MT Pro" w:hAnsi="Amasis MT Pro"/>
                                <w:sz w:val="28"/>
                                <w:szCs w:val="28"/>
                              </w:rPr>
                              <w:t xml:space="preserve">They also offer assistance with reading, writing, spelling, maths and simple tech support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95D17C" id="Text Box 5" o:spid="_x0000_s1029" type="#_x0000_t202" style="position:absolute;left:0;text-align:left;margin-left:7.3pt;margin-top:14.35pt;width:117.95pt;height:118.0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" fillcolor="#dceaf7 [351]" strokeweight=".5pt">
                <v:textbox>
                  <w:txbxContent>
                    <w:p w14:paraId="2846E520" w14:textId="10871AFC" w:rsidR="003E5182" w:rsidRPr="003E5182" w:rsidRDefault="003E5182">
                      <w:pPr>
                        <w:rPr>
                          <w:rFonts w:ascii="Amasis MT Pro" w:hAnsi="Amasis MT Pro"/>
                          <w:sz w:val="28"/>
                          <w:szCs w:val="28"/>
                        </w:rPr>
                      </w:pPr>
                      <w:r w:rsidRPr="003E5182">
                        <w:rPr>
                          <w:rFonts w:ascii="Amasis MT Pro" w:hAnsi="Amasis MT Pro"/>
                          <w:sz w:val="28"/>
                          <w:szCs w:val="28"/>
                        </w:rPr>
                        <w:t xml:space="preserve">They also offer assistance with reading, writing, spelling, maths and simple tech support </w:t>
                      </w:r>
                    </w:p>
                  </w:txbxContent>
                </v:textbox>
              </v:shape>
            </w:pict>
          </mc:Fallback>
        </mc:AlternateContent>
      </w:r>
      <w:r>
        <w:rPr>
          <w:rFonts w:ascii="Amasis MT Pro Black" w:hAnsi="Amasis MT Pro Black"/>
          <w:b/>
          <w:bCs/>
          <w:noProof/>
          <w:sz w:val="40"/>
          <w:szCs w:val="40"/>
        </w:rPr>
        <mc:AlternateContent>
          <mc:Choice Requires="wps">
            <w:drawing>
              <wp:anchor distT="0" distB="0" distL="114300" distR="114300" simplePos="0" relativeHeight="251664384" behindDoc="0" locked="0" layoutInCell="1" allowOverlap="1" wp14:anchorId="220E024A" wp14:editId="6A905B44">
                <wp:simplePos x="0" y="0"/>
                <wp:positionH relativeFrom="column">
                  <wp:posOffset>-78740</wp:posOffset>
                </wp:positionH>
                <wp:positionV relativeFrom="paragraph">
                  <wp:posOffset>-95546</wp:posOffset>
                </wp:positionV>
                <wp:extent cx="1844565" cy="1970689"/>
                <wp:effectExtent l="0" t="0" r="22860" b="10795"/>
                <wp:wrapNone/>
                <wp:docPr id="1387871770" name="Rectangle: Rounded Corners 4"/>
                <wp:cNvGraphicFramePr/>
                <a:graphic xmlns:a="http://schemas.openxmlformats.org/drawingml/2006/main">
                  <a:graphicData uri="http://schemas.microsoft.com/office/word/2010/wordprocessingShape">
                    <wps:wsp>
                      <wps:cNvSpPr/>
                      <wps:spPr>
                        <a:xfrm>
                          <a:off x="0" y="0"/>
                          <a:ext cx="1844565" cy="1970689"/>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C54F956" id="Rectangle: Rounded Corners 4" o:spid="_x0000_s1026" style="position:absolute;margin-left:-6.2pt;margin-top:-7.5pt;width:145.25pt;height:155.15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" fillcolor="#156082 [3204]" strokecolor="#030e13 [484]" strokeweight="1pt">
                <v:stroke joinstyle="miter"/>
              </v:roundrect>
            </w:pict>
          </mc:Fallback>
        </mc:AlternateContent>
      </w:r>
      <w:r>
        <w:rPr>
          <w:rFonts w:ascii="Amasis MT Pro Black" w:hAnsi="Amasis MT Pro Black"/>
          <w:b/>
          <w:bCs/>
          <w:sz w:val="40"/>
          <w:szCs w:val="40"/>
        </w:rPr>
        <w:tab/>
      </w:r>
      <w:r>
        <w:rPr>
          <w:rFonts w:ascii="Amasis MT Pro Black" w:hAnsi="Amasis MT Pro Black"/>
          <w:b/>
          <w:bCs/>
          <w:noProof/>
          <w:sz w:val="40"/>
          <w:szCs w:val="40"/>
        </w:rPr>
        <w:drawing>
          <wp:inline distT="0" distB="0" distL="0" distR="0" wp14:anchorId="148423A3" wp14:editId="207437D6">
            <wp:extent cx="2945219" cy="1963371"/>
            <wp:effectExtent l="0" t="0" r="7620" b="0"/>
            <wp:docPr id="609466507" name="Picture 12" descr="Handwriting on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466507" name="Picture 609466507" descr="Handwriting on book"/>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948210" cy="1965365"/>
                    </a:xfrm>
                    <a:prstGeom prst="rect">
                      <a:avLst/>
                    </a:prstGeom>
                  </pic:spPr>
                </pic:pic>
              </a:graphicData>
            </a:graphic>
          </wp:inline>
        </w:drawing>
      </w:r>
    </w:p>
    <w:p w14:paraId="7C123AE2" w14:textId="073D2A6E" w:rsidR="00AF288C" w:rsidRDefault="00AF288C">
      <w:pPr>
        <w:rPr>
          <w:rFonts w:ascii="Amasis MT Pro Black" w:hAnsi="Amasis MT Pro Black"/>
          <w:b/>
          <w:bCs/>
          <w:sz w:val="40"/>
          <w:szCs w:val="40"/>
        </w:rPr>
      </w:pPr>
    </w:p>
    <w:p w14:paraId="6DACB415" w14:textId="221DB936" w:rsidR="002A4929" w:rsidRDefault="00AC4AD0">
      <w:pPr>
        <w:rPr>
          <w:rFonts w:ascii="Amasis MT Pro Black" w:hAnsi="Amasis MT Pro Black"/>
          <w:b/>
          <w:bCs/>
          <w:sz w:val="40"/>
          <w:szCs w:val="40"/>
        </w:rPr>
      </w:pPr>
      <w:r>
        <w:rPr>
          <w:rFonts w:ascii="Amasis MT Pro Black" w:hAnsi="Amasis MT Pro Black"/>
          <w:b/>
          <w:bCs/>
          <w:noProof/>
          <w:sz w:val="40"/>
          <w:szCs w:val="40"/>
        </w:rPr>
        <mc:AlternateContent>
          <mc:Choice Requires="wps">
            <w:drawing>
              <wp:anchor distT="0" distB="0" distL="114300" distR="114300" simplePos="0" relativeHeight="251669504" behindDoc="0" locked="0" layoutInCell="1" allowOverlap="1" wp14:anchorId="534B39F6" wp14:editId="14BE8755">
                <wp:simplePos x="0" y="0"/>
                <wp:positionH relativeFrom="column">
                  <wp:posOffset>3924935</wp:posOffset>
                </wp:positionH>
                <wp:positionV relativeFrom="paragraph">
                  <wp:posOffset>374141</wp:posOffset>
                </wp:positionV>
                <wp:extent cx="1513205" cy="1360968"/>
                <wp:effectExtent l="0" t="0" r="10795" b="10795"/>
                <wp:wrapNone/>
                <wp:docPr id="1600138276" name="Text Box 9"/>
                <wp:cNvGraphicFramePr/>
                <a:graphic xmlns:a="http://schemas.openxmlformats.org/drawingml/2006/main">
                  <a:graphicData uri="http://schemas.microsoft.com/office/word/2010/wordprocessingShape">
                    <wps:wsp>
                      <wps:cNvSpPr txBox="1"/>
                      <wps:spPr>
                        <a:xfrm>
                          <a:off x="0" y="0"/>
                          <a:ext cx="1513205" cy="1360968"/>
                        </a:xfrm>
                        <a:prstGeom prst="rect">
                          <a:avLst/>
                        </a:prstGeom>
                        <a:solidFill>
                          <a:schemeClr val="tx2">
                            <a:lumMod val="10000"/>
                            <a:lumOff val="90000"/>
                          </a:schemeClr>
                        </a:solidFill>
                        <a:ln w="6350">
                          <a:solidFill>
                            <a:prstClr val="black"/>
                          </a:solidFill>
                        </a:ln>
                      </wps:spPr>
                      <wps:txbx>
                        <w:txbxContent>
                          <w:p w14:paraId="73E9F4F3" w14:textId="19718C66" w:rsidR="003E5182" w:rsidRPr="003E5182" w:rsidRDefault="003E5182">
                            <w:pPr>
                              <w:rPr>
                                <w:rFonts w:ascii="Amasis MT Pro" w:hAnsi="Amasis MT Pro"/>
                                <w:sz w:val="28"/>
                                <w:szCs w:val="28"/>
                              </w:rPr>
                            </w:pPr>
                            <w:r w:rsidRPr="003E5182">
                              <w:rPr>
                                <w:rFonts w:ascii="Amasis MT Pro" w:hAnsi="Amasis MT Pro"/>
                                <w:sz w:val="28"/>
                                <w:szCs w:val="28"/>
                              </w:rPr>
                              <w:t>They have a social café where members can volunteer if they wish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4B39F6" id="Text Box 9" o:spid="_x0000_s1030" type="#_x0000_t202" style="position:absolute;margin-left:309.05pt;margin-top:29.45pt;width:119.15pt;height:107.1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" fillcolor="#dceaf7 [351]" strokeweight=".5pt">
                <v:textbox>
                  <w:txbxContent>
                    <w:p w14:paraId="73E9F4F3" w14:textId="19718C66" w:rsidR="003E5182" w:rsidRPr="003E5182" w:rsidRDefault="003E5182">
                      <w:pPr>
                        <w:rPr>
                          <w:rFonts w:ascii="Amasis MT Pro" w:hAnsi="Amasis MT Pro"/>
                          <w:sz w:val="28"/>
                          <w:szCs w:val="28"/>
                        </w:rPr>
                      </w:pPr>
                      <w:r w:rsidRPr="003E5182">
                        <w:rPr>
                          <w:rFonts w:ascii="Amasis MT Pro" w:hAnsi="Amasis MT Pro"/>
                          <w:sz w:val="28"/>
                          <w:szCs w:val="28"/>
                        </w:rPr>
                        <w:t>They have a social café where members can volunteer if they wish</w:t>
                      </w:r>
                    </w:p>
                  </w:txbxContent>
                </v:textbox>
              </v:shape>
            </w:pict>
          </mc:Fallback>
        </mc:AlternateContent>
      </w:r>
      <w:r>
        <w:rPr>
          <w:rFonts w:ascii="Amasis MT Pro Black" w:hAnsi="Amasis MT Pro Black"/>
          <w:b/>
          <w:bCs/>
          <w:noProof/>
          <w:sz w:val="40"/>
          <w:szCs w:val="40"/>
        </w:rPr>
        <mc:AlternateContent>
          <mc:Choice Requires="wps">
            <w:drawing>
              <wp:anchor distT="0" distB="0" distL="114300" distR="114300" simplePos="0" relativeHeight="251668480" behindDoc="0" locked="0" layoutInCell="1" allowOverlap="1" wp14:anchorId="2F33356F" wp14:editId="59082395">
                <wp:simplePos x="0" y="0"/>
                <wp:positionH relativeFrom="column">
                  <wp:posOffset>3614006</wp:posOffset>
                </wp:positionH>
                <wp:positionV relativeFrom="paragraph">
                  <wp:posOffset>64519</wp:posOffset>
                </wp:positionV>
                <wp:extent cx="2112010" cy="2052084"/>
                <wp:effectExtent l="0" t="0" r="21590" b="24765"/>
                <wp:wrapNone/>
                <wp:docPr id="1359968965" name="Rectangle: Rounded Corners 8"/>
                <wp:cNvGraphicFramePr/>
                <a:graphic xmlns:a="http://schemas.openxmlformats.org/drawingml/2006/main">
                  <a:graphicData uri="http://schemas.microsoft.com/office/word/2010/wordprocessingShape">
                    <wps:wsp>
                      <wps:cNvSpPr/>
                      <wps:spPr>
                        <a:xfrm>
                          <a:off x="0" y="0"/>
                          <a:ext cx="2112010" cy="2052084"/>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4CAF3D0" id="Rectangle: Rounded Corners 8" o:spid="_x0000_s1026" style="position:absolute;margin-left:284.55pt;margin-top:5.1pt;width:166.3pt;height:161.6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" fillcolor="#156082 [3204]" strokecolor="#030e13 [484]" strokeweight="1pt">
                <v:stroke joinstyle="miter"/>
              </v:roundrect>
            </w:pict>
          </mc:Fallback>
        </mc:AlternateContent>
      </w:r>
      <w:r>
        <w:rPr>
          <w:rFonts w:ascii="Amasis MT Pro Black" w:hAnsi="Amasis MT Pro Black"/>
          <w:b/>
          <w:bCs/>
          <w:noProof/>
          <w:sz w:val="40"/>
          <w:szCs w:val="40"/>
        </w:rPr>
        <w:drawing>
          <wp:inline distT="0" distB="0" distL="0" distR="0" wp14:anchorId="0F8A0399" wp14:editId="1047833A">
            <wp:extent cx="3179135" cy="2118249"/>
            <wp:effectExtent l="0" t="0" r="2540" b="0"/>
            <wp:docPr id="1681155810" name="Picture 13" descr="People at ca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155810" name="Picture 1681155810" descr="People at caf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90537" cy="2125846"/>
                    </a:xfrm>
                    <a:prstGeom prst="rect">
                      <a:avLst/>
                    </a:prstGeom>
                  </pic:spPr>
                </pic:pic>
              </a:graphicData>
            </a:graphic>
          </wp:inline>
        </w:drawing>
      </w:r>
    </w:p>
    <w:p w14:paraId="03355431" w14:textId="39C3C460" w:rsidR="00AF288C" w:rsidRDefault="00AF288C" w:rsidP="00F078D3">
      <w:pPr>
        <w:jc w:val="center"/>
        <w:rPr>
          <w:rFonts w:ascii="Amasis MT Pro Black" w:hAnsi="Amasis MT Pro Black"/>
          <w:b/>
          <w:bCs/>
          <w:sz w:val="40"/>
          <w:szCs w:val="40"/>
        </w:rPr>
      </w:pPr>
    </w:p>
    <w:p w14:paraId="118A6FD0" w14:textId="135D610B" w:rsidR="00AF288C" w:rsidRDefault="00AC4AD0" w:rsidP="00D269F2">
      <w:pPr>
        <w:jc w:val="right"/>
        <w:rPr>
          <w:rFonts w:ascii="Amasis MT Pro Black" w:hAnsi="Amasis MT Pro Black"/>
          <w:b/>
          <w:bCs/>
          <w:sz w:val="40"/>
          <w:szCs w:val="40"/>
        </w:rPr>
      </w:pPr>
      <w:r>
        <w:rPr>
          <w:rFonts w:ascii="Amasis MT Pro Black" w:hAnsi="Amasis MT Pro Black"/>
          <w:b/>
          <w:bCs/>
          <w:noProof/>
          <w:sz w:val="40"/>
          <w:szCs w:val="40"/>
        </w:rPr>
        <mc:AlternateContent>
          <mc:Choice Requires="wps">
            <w:drawing>
              <wp:anchor distT="0" distB="0" distL="114300" distR="114300" simplePos="0" relativeHeight="251671552" behindDoc="0" locked="0" layoutInCell="1" allowOverlap="1" wp14:anchorId="0B407CB1" wp14:editId="2AEB0883">
                <wp:simplePos x="0" y="0"/>
                <wp:positionH relativeFrom="column">
                  <wp:posOffset>320097</wp:posOffset>
                </wp:positionH>
                <wp:positionV relativeFrom="paragraph">
                  <wp:posOffset>911659</wp:posOffset>
                </wp:positionV>
                <wp:extent cx="1654810" cy="1477925"/>
                <wp:effectExtent l="0" t="0" r="21590" b="27305"/>
                <wp:wrapNone/>
                <wp:docPr id="360209225" name="Text Box 11"/>
                <wp:cNvGraphicFramePr/>
                <a:graphic xmlns:a="http://schemas.openxmlformats.org/drawingml/2006/main">
                  <a:graphicData uri="http://schemas.microsoft.com/office/word/2010/wordprocessingShape">
                    <wps:wsp>
                      <wps:cNvSpPr txBox="1"/>
                      <wps:spPr>
                        <a:xfrm>
                          <a:off x="0" y="0"/>
                          <a:ext cx="1654810" cy="1477925"/>
                        </a:xfrm>
                        <a:prstGeom prst="rect">
                          <a:avLst/>
                        </a:prstGeom>
                        <a:solidFill>
                          <a:schemeClr val="tx2">
                            <a:lumMod val="10000"/>
                            <a:lumOff val="90000"/>
                          </a:schemeClr>
                        </a:solidFill>
                        <a:ln w="6350">
                          <a:solidFill>
                            <a:prstClr val="black"/>
                          </a:solidFill>
                        </a:ln>
                      </wps:spPr>
                      <wps:txbx>
                        <w:txbxContent>
                          <w:p w14:paraId="5E89AC87" w14:textId="78BE1C19" w:rsidR="003E5182" w:rsidRPr="003E5182" w:rsidRDefault="003E5182">
                            <w:pPr>
                              <w:rPr>
                                <w:rFonts w:ascii="Amasis MT Pro" w:hAnsi="Amasis MT Pro"/>
                                <w:sz w:val="28"/>
                                <w:szCs w:val="28"/>
                              </w:rPr>
                            </w:pPr>
                            <w:r w:rsidRPr="003E5182">
                              <w:rPr>
                                <w:rFonts w:ascii="Amasis MT Pro" w:hAnsi="Amasis MT Pro"/>
                                <w:sz w:val="28"/>
                                <w:szCs w:val="28"/>
                              </w:rPr>
                              <w:t>They also have two qualified nail technicians and offer a nail cutting service once a month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407CB1" id="Text Box 11" o:spid="_x0000_s1031" type="#_x0000_t202" style="position:absolute;left:0;text-align:left;margin-left:25.2pt;margin-top:71.8pt;width:130.3pt;height:116.3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" fillcolor="#dceaf7 [351]" strokeweight=".5pt">
                <v:textbox>
                  <w:txbxContent>
                    <w:p w14:paraId="5E89AC87" w14:textId="78BE1C19" w:rsidR="003E5182" w:rsidRPr="003E5182" w:rsidRDefault="003E5182">
                      <w:pPr>
                        <w:rPr>
                          <w:rFonts w:ascii="Amasis MT Pro" w:hAnsi="Amasis MT Pro"/>
                          <w:sz w:val="28"/>
                          <w:szCs w:val="28"/>
                        </w:rPr>
                      </w:pPr>
                      <w:r w:rsidRPr="003E5182">
                        <w:rPr>
                          <w:rFonts w:ascii="Amasis MT Pro" w:hAnsi="Amasis MT Pro"/>
                          <w:sz w:val="28"/>
                          <w:szCs w:val="28"/>
                        </w:rPr>
                        <w:t>They also have two qualified nail technicians and offer a nail cutting service once a month</w:t>
                      </w:r>
                    </w:p>
                  </w:txbxContent>
                </v:textbox>
              </v:shape>
            </w:pict>
          </mc:Fallback>
        </mc:AlternateContent>
      </w:r>
      <w:r>
        <w:rPr>
          <w:rFonts w:ascii="Amasis MT Pro Black" w:hAnsi="Amasis MT Pro Black"/>
          <w:b/>
          <w:bCs/>
          <w:noProof/>
          <w:sz w:val="40"/>
          <w:szCs w:val="40"/>
        </w:rPr>
        <mc:AlternateContent>
          <mc:Choice Requires="wps">
            <w:drawing>
              <wp:anchor distT="0" distB="0" distL="114300" distR="114300" simplePos="0" relativeHeight="251670528" behindDoc="0" locked="0" layoutInCell="1" allowOverlap="1" wp14:anchorId="5539752F" wp14:editId="2358856E">
                <wp:simplePos x="0" y="0"/>
                <wp:positionH relativeFrom="column">
                  <wp:posOffset>-75432</wp:posOffset>
                </wp:positionH>
                <wp:positionV relativeFrom="paragraph">
                  <wp:posOffset>589901</wp:posOffset>
                </wp:positionV>
                <wp:extent cx="2395220" cy="2158409"/>
                <wp:effectExtent l="0" t="0" r="24130" b="13335"/>
                <wp:wrapNone/>
                <wp:docPr id="1686921886" name="Rectangle: Rounded Corners 10"/>
                <wp:cNvGraphicFramePr/>
                <a:graphic xmlns:a="http://schemas.openxmlformats.org/drawingml/2006/main">
                  <a:graphicData uri="http://schemas.microsoft.com/office/word/2010/wordprocessingShape">
                    <wps:wsp>
                      <wps:cNvSpPr/>
                      <wps:spPr>
                        <a:xfrm>
                          <a:off x="0" y="0"/>
                          <a:ext cx="2395220" cy="2158409"/>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F99539D" id="Rectangle: Rounded Corners 10" o:spid="_x0000_s1026" style="position:absolute;margin-left:-5.95pt;margin-top:46.45pt;width:188.6pt;height:169.9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" fillcolor="#156082 [3204]" strokecolor="#030e13 [484]" strokeweight="1pt">
                <v:stroke joinstyle="miter"/>
              </v:roundrect>
            </w:pict>
          </mc:Fallback>
        </mc:AlternateContent>
      </w:r>
      <w:r w:rsidRPr="00AC4AD0">
        <w:rPr>
          <w:noProof/>
        </w:rPr>
        <w:t xml:space="preserve"> </w:t>
      </w:r>
      <w:r w:rsidRPr="00AC4AD0">
        <w:rPr>
          <w:rFonts w:ascii="Amasis MT Pro Black" w:hAnsi="Amasis MT Pro Black"/>
          <w:b/>
          <w:bCs/>
          <w:noProof/>
          <w:sz w:val="40"/>
          <w:szCs w:val="40"/>
        </w:rPr>
        <w:drawing>
          <wp:inline distT="0" distB="0" distL="0" distR="0" wp14:anchorId="7A1CD54B" wp14:editId="79628623">
            <wp:extent cx="2870207" cy="2977515"/>
            <wp:effectExtent l="0" t="0" r="6350" b="0"/>
            <wp:docPr id="194541379" name="Picture 1" descr="A close-up of a person's fo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41379" name="Picture 1" descr="A close-up of a person's foot&#10;&#10;AI-generated content may be incorrect."/>
                    <pic:cNvPicPr/>
                  </pic:nvPicPr>
                  <pic:blipFill rotWithShape="1">
                    <a:blip r:embed="rId30"/>
                    <a:srcRect l="9700"/>
                    <a:stretch/>
                  </pic:blipFill>
                  <pic:spPr bwMode="auto">
                    <a:xfrm>
                      <a:off x="0" y="0"/>
                      <a:ext cx="2877371" cy="2984947"/>
                    </a:xfrm>
                    <a:prstGeom prst="rect">
                      <a:avLst/>
                    </a:prstGeom>
                    <a:ln>
                      <a:noFill/>
                    </a:ln>
                    <a:extLst>
                      <a:ext uri="{53640926-AAD7-44D8-BBD7-CCE9431645EC}">
                        <a14:shadowObscured xmlns:a14="http://schemas.microsoft.com/office/drawing/2010/main"/>
                      </a:ext>
                    </a:extLst>
                  </pic:spPr>
                </pic:pic>
              </a:graphicData>
            </a:graphic>
          </wp:inline>
        </w:drawing>
      </w:r>
      <w:r w:rsidR="00AF288C">
        <w:rPr>
          <w:rFonts w:ascii="Amasis MT Pro Black" w:hAnsi="Amasis MT Pro Black"/>
          <w:b/>
          <w:bCs/>
          <w:sz w:val="40"/>
          <w:szCs w:val="40"/>
        </w:rPr>
        <w:br w:type="page"/>
      </w:r>
    </w:p>
    <w:p w14:paraId="1EAAD7CE" w14:textId="28697888" w:rsidR="00F078D3" w:rsidRPr="00E37E90" w:rsidRDefault="00AF288C" w:rsidP="00F078D3">
      <w:pPr>
        <w:jc w:val="center"/>
        <w:rPr>
          <w:rFonts w:ascii="Amasis MT Pro Black" w:hAnsi="Amasis MT Pro Black"/>
          <w:b/>
          <w:bCs/>
          <w:color w:val="153D63" w:themeColor="text2" w:themeTint="E6"/>
          <w:sz w:val="40"/>
          <w:szCs w:val="40"/>
          <w:u w:val="single"/>
        </w:rPr>
      </w:pPr>
      <w:r w:rsidRPr="00E37E90">
        <w:rPr>
          <w:rFonts w:ascii="Amasis MT Pro Black" w:hAnsi="Amasis MT Pro Black"/>
          <w:b/>
          <w:bCs/>
          <w:color w:val="153D63" w:themeColor="text2" w:themeTint="E6"/>
          <w:sz w:val="40"/>
          <w:szCs w:val="40"/>
          <w:u w:val="single"/>
        </w:rPr>
        <w:lastRenderedPageBreak/>
        <w:t>Reference list.</w:t>
      </w:r>
    </w:p>
    <w:p w14:paraId="03637FCF" w14:textId="77777777" w:rsidR="00AF288C" w:rsidRDefault="00AF288C" w:rsidP="00F078D3">
      <w:pPr>
        <w:jc w:val="center"/>
        <w:rPr>
          <w:rFonts w:ascii="Amasis MT Pro Black" w:hAnsi="Amasis MT Pro Black"/>
          <w:b/>
          <w:bCs/>
          <w:sz w:val="40"/>
          <w:szCs w:val="40"/>
          <w:u w:val="single"/>
        </w:rPr>
      </w:pPr>
    </w:p>
    <w:p w14:paraId="1DB74E47" w14:textId="2C12F817" w:rsidR="00E37E90" w:rsidRPr="00E37E90" w:rsidRDefault="00E37E90" w:rsidP="00E37E90">
      <w:pPr>
        <w:ind w:left="720" w:hanging="720"/>
        <w:rPr>
          <w:rFonts w:ascii="Amasis MT Pro Black" w:hAnsi="Amasis MT Pro Black"/>
          <w:b/>
          <w:bCs/>
          <w:sz w:val="28"/>
          <w:szCs w:val="28"/>
        </w:rPr>
      </w:pPr>
      <w:r w:rsidRPr="00E37E90">
        <w:rPr>
          <w:rFonts w:ascii="Amasis MT Pro Black" w:hAnsi="Amasis MT Pro Black"/>
          <w:b/>
          <w:bCs/>
          <w:color w:val="153D63" w:themeColor="text2" w:themeTint="E6"/>
          <w:sz w:val="28"/>
          <w:szCs w:val="28"/>
        </w:rPr>
        <w:t xml:space="preserve">Alzheimer’s Society. (2025) </w:t>
      </w:r>
      <w:r w:rsidRPr="00E37E90">
        <w:rPr>
          <w:rFonts w:ascii="Amasis MT Pro Black" w:hAnsi="Amasis MT Pro Black"/>
          <w:b/>
          <w:bCs/>
          <w:i/>
          <w:iCs/>
          <w:color w:val="153D63" w:themeColor="text2" w:themeTint="E6"/>
          <w:sz w:val="28"/>
          <w:szCs w:val="28"/>
        </w:rPr>
        <w:t xml:space="preserve">Find support near you. </w:t>
      </w:r>
      <w:hyperlink r:id="rId31" w:history="1">
        <w:r w:rsidRPr="00E37E90">
          <w:rPr>
            <w:rStyle w:val="Hyperlink"/>
            <w:rFonts w:ascii="Amasis MT Pro Black" w:hAnsi="Amasis MT Pro Black"/>
            <w:b/>
            <w:bCs/>
            <w:sz w:val="28"/>
            <w:szCs w:val="28"/>
            <w:u w:val="none"/>
          </w:rPr>
          <w:t>https://www.alzheimers.org.uk/find-support-near-you</w:t>
        </w:r>
      </w:hyperlink>
      <w:r>
        <w:rPr>
          <w:rFonts w:ascii="Amasis MT Pro Black" w:hAnsi="Amasis MT Pro Black"/>
          <w:b/>
          <w:bCs/>
          <w:i/>
          <w:iCs/>
          <w:sz w:val="28"/>
          <w:szCs w:val="28"/>
        </w:rPr>
        <w:t xml:space="preserve"> </w:t>
      </w:r>
    </w:p>
    <w:p w14:paraId="447CA78F" w14:textId="77777777" w:rsidR="00E37E90" w:rsidRDefault="00E37E90" w:rsidP="00E37E90">
      <w:pPr>
        <w:ind w:left="720" w:hanging="720"/>
        <w:rPr>
          <w:rFonts w:ascii="Amasis MT Pro Black" w:hAnsi="Amasis MT Pro Black"/>
          <w:b/>
          <w:bCs/>
          <w:sz w:val="28"/>
          <w:szCs w:val="28"/>
        </w:rPr>
      </w:pPr>
    </w:p>
    <w:p w14:paraId="532C70B2" w14:textId="1C42A9E6" w:rsidR="00AF288C" w:rsidRDefault="00AF288C" w:rsidP="00E37E90">
      <w:pPr>
        <w:ind w:left="720" w:hanging="720"/>
        <w:rPr>
          <w:rFonts w:ascii="Amasis MT Pro Black" w:hAnsi="Amasis MT Pro Black"/>
          <w:b/>
          <w:bCs/>
          <w:i/>
          <w:iCs/>
          <w:sz w:val="28"/>
          <w:szCs w:val="28"/>
          <w:u w:val="single"/>
        </w:rPr>
      </w:pPr>
      <w:r w:rsidRPr="00E37E90">
        <w:rPr>
          <w:rFonts w:ascii="Amasis MT Pro Black" w:hAnsi="Amasis MT Pro Black"/>
          <w:b/>
          <w:bCs/>
          <w:color w:val="153D63" w:themeColor="text2" w:themeTint="E6"/>
          <w:sz w:val="28"/>
          <w:szCs w:val="28"/>
        </w:rPr>
        <w:t xml:space="preserve">Charity Commission for England and Wales. (2023) </w:t>
      </w:r>
      <w:r w:rsidRPr="00E37E90">
        <w:rPr>
          <w:rFonts w:ascii="Amasis MT Pro Black" w:hAnsi="Amasis MT Pro Black"/>
          <w:b/>
          <w:bCs/>
          <w:i/>
          <w:iCs/>
          <w:color w:val="153D63" w:themeColor="text2" w:themeTint="E6"/>
          <w:sz w:val="28"/>
          <w:szCs w:val="28"/>
        </w:rPr>
        <w:t xml:space="preserve">Me, Myself &amp; I Neath Port Talbot. </w:t>
      </w:r>
      <w:hyperlink r:id="rId32" w:history="1">
        <w:r w:rsidRPr="00AF288C">
          <w:rPr>
            <w:rStyle w:val="Hyperlink"/>
            <w:rFonts w:ascii="Amasis MT Pro Black" w:hAnsi="Amasis MT Pro Black"/>
            <w:b/>
            <w:bCs/>
            <w:sz w:val="28"/>
            <w:szCs w:val="28"/>
            <w:u w:val="none"/>
          </w:rPr>
          <w:t>https://register-of-charities.charitycommission.gov.uk/en/charity-search/-/charity-details/5040228</w:t>
        </w:r>
      </w:hyperlink>
      <w:r w:rsidRPr="00AF288C">
        <w:rPr>
          <w:rFonts w:ascii="Amasis MT Pro Black" w:hAnsi="Amasis MT Pro Black"/>
          <w:b/>
          <w:bCs/>
          <w:i/>
          <w:iCs/>
          <w:sz w:val="28"/>
          <w:szCs w:val="28"/>
          <w:u w:val="single"/>
        </w:rPr>
        <w:t xml:space="preserve"> </w:t>
      </w:r>
    </w:p>
    <w:p w14:paraId="248189AB" w14:textId="77777777" w:rsidR="00E37E90" w:rsidRDefault="00E37E90" w:rsidP="00E37E90">
      <w:pPr>
        <w:ind w:left="720" w:hanging="720"/>
        <w:rPr>
          <w:rFonts w:ascii="Amasis MT Pro Black" w:hAnsi="Amasis MT Pro Black"/>
          <w:b/>
          <w:bCs/>
          <w:i/>
          <w:iCs/>
          <w:sz w:val="28"/>
          <w:szCs w:val="28"/>
          <w:u w:val="single"/>
        </w:rPr>
      </w:pPr>
    </w:p>
    <w:p w14:paraId="2E3AF4BA" w14:textId="3ACC2A4C" w:rsidR="00E37E90" w:rsidRPr="00E37E90" w:rsidRDefault="00E37E90" w:rsidP="00E37E90">
      <w:pPr>
        <w:ind w:left="720" w:hanging="720"/>
        <w:rPr>
          <w:rFonts w:ascii="Amasis MT Pro Black" w:hAnsi="Amasis MT Pro Black"/>
          <w:b/>
          <w:bCs/>
          <w:sz w:val="28"/>
          <w:szCs w:val="28"/>
        </w:rPr>
      </w:pPr>
      <w:r w:rsidRPr="00E37E90">
        <w:rPr>
          <w:rFonts w:ascii="Amasis MT Pro Black" w:hAnsi="Amasis MT Pro Black"/>
          <w:b/>
          <w:bCs/>
          <w:color w:val="153D63" w:themeColor="text2" w:themeTint="E6"/>
          <w:sz w:val="28"/>
          <w:szCs w:val="28"/>
        </w:rPr>
        <w:t xml:space="preserve">Churchills Day Centre. (2025) Day services. </w:t>
      </w:r>
      <w:hyperlink r:id="rId33" w:history="1">
        <w:r w:rsidRPr="00E37E90">
          <w:rPr>
            <w:rStyle w:val="Hyperlink"/>
            <w:rFonts w:ascii="Amasis MT Pro Black" w:hAnsi="Amasis MT Pro Black"/>
            <w:b/>
            <w:bCs/>
            <w:sz w:val="28"/>
            <w:szCs w:val="28"/>
            <w:u w:val="none"/>
          </w:rPr>
          <w:t>https://www.churchillsdaycentre.co.uk/</w:t>
        </w:r>
      </w:hyperlink>
      <w:r w:rsidRPr="00E37E90">
        <w:rPr>
          <w:rFonts w:ascii="Amasis MT Pro Black" w:hAnsi="Amasis MT Pro Black"/>
          <w:b/>
          <w:bCs/>
          <w:sz w:val="28"/>
          <w:szCs w:val="28"/>
        </w:rPr>
        <w:t xml:space="preserve"> </w:t>
      </w:r>
    </w:p>
    <w:p w14:paraId="4DF28EE4" w14:textId="77777777" w:rsidR="00B97A47" w:rsidRDefault="00B97A47" w:rsidP="00E37E90">
      <w:pPr>
        <w:ind w:left="720" w:hanging="720"/>
        <w:rPr>
          <w:rFonts w:ascii="Amasis MT Pro Black" w:hAnsi="Amasis MT Pro Black"/>
          <w:b/>
          <w:bCs/>
          <w:i/>
          <w:iCs/>
          <w:sz w:val="28"/>
          <w:szCs w:val="28"/>
          <w:u w:val="single"/>
        </w:rPr>
      </w:pPr>
    </w:p>
    <w:p w14:paraId="2E95FE3C" w14:textId="5682AB25" w:rsidR="00B97A47" w:rsidRPr="003F51CE" w:rsidRDefault="00B97A47" w:rsidP="00E37E90">
      <w:pPr>
        <w:ind w:left="720" w:hanging="720"/>
        <w:rPr>
          <w:rFonts w:ascii="Amasis MT Pro Black" w:hAnsi="Amasis MT Pro Black"/>
          <w:b/>
          <w:bCs/>
          <w:i/>
          <w:iCs/>
          <w:sz w:val="28"/>
          <w:szCs w:val="28"/>
        </w:rPr>
      </w:pPr>
      <w:r w:rsidRPr="00E37E90">
        <w:rPr>
          <w:rFonts w:ascii="Amasis MT Pro Black" w:hAnsi="Amasis MT Pro Black"/>
          <w:b/>
          <w:bCs/>
          <w:color w:val="153D63" w:themeColor="text2" w:themeTint="E6"/>
          <w:sz w:val="28"/>
          <w:szCs w:val="28"/>
        </w:rPr>
        <w:t xml:space="preserve">Me, Myself &amp; I. (2025) </w:t>
      </w:r>
      <w:r w:rsidRPr="00E37E90">
        <w:rPr>
          <w:rFonts w:ascii="Amasis MT Pro Black" w:hAnsi="Amasis MT Pro Black"/>
          <w:b/>
          <w:bCs/>
          <w:i/>
          <w:iCs/>
          <w:color w:val="153D63" w:themeColor="text2" w:themeTint="E6"/>
          <w:sz w:val="28"/>
          <w:szCs w:val="28"/>
        </w:rPr>
        <w:t>Me, myself &amp; I</w:t>
      </w:r>
      <w:r w:rsidRPr="003F51CE">
        <w:rPr>
          <w:rFonts w:ascii="Amasis MT Pro Black" w:hAnsi="Amasis MT Pro Black"/>
          <w:b/>
          <w:bCs/>
          <w:i/>
          <w:iCs/>
          <w:sz w:val="28"/>
          <w:szCs w:val="28"/>
        </w:rPr>
        <w:t xml:space="preserve">. </w:t>
      </w:r>
      <w:hyperlink r:id="rId34" w:history="1">
        <w:r w:rsidRPr="003F51CE">
          <w:rPr>
            <w:rStyle w:val="Hyperlink"/>
            <w:rFonts w:ascii="Amasis MT Pro Black" w:hAnsi="Amasis MT Pro Black"/>
            <w:b/>
            <w:bCs/>
            <w:i/>
            <w:iCs/>
            <w:sz w:val="28"/>
            <w:szCs w:val="28"/>
            <w:u w:val="none"/>
          </w:rPr>
          <w:t>https://mminpt.co.uk/</w:t>
        </w:r>
      </w:hyperlink>
      <w:r w:rsidRPr="003F51CE">
        <w:rPr>
          <w:rFonts w:ascii="Amasis MT Pro Black" w:hAnsi="Amasis MT Pro Black"/>
          <w:b/>
          <w:bCs/>
          <w:i/>
          <w:iCs/>
          <w:sz w:val="28"/>
          <w:szCs w:val="28"/>
        </w:rPr>
        <w:t xml:space="preserve"> </w:t>
      </w:r>
    </w:p>
    <w:p w14:paraId="63CB181C" w14:textId="77777777" w:rsidR="003F51CE" w:rsidRDefault="003F51CE" w:rsidP="00E37E90">
      <w:pPr>
        <w:ind w:left="720" w:hanging="720"/>
        <w:rPr>
          <w:rFonts w:ascii="Amasis MT Pro Black" w:hAnsi="Amasis MT Pro Black"/>
          <w:b/>
          <w:bCs/>
          <w:i/>
          <w:iCs/>
          <w:sz w:val="28"/>
          <w:szCs w:val="28"/>
          <w:u w:val="single"/>
        </w:rPr>
      </w:pPr>
    </w:p>
    <w:p w14:paraId="2E1457A8" w14:textId="57D99D76" w:rsidR="003F51CE" w:rsidRPr="003F51CE" w:rsidRDefault="003F51CE" w:rsidP="00E37E90">
      <w:pPr>
        <w:ind w:left="720" w:hanging="720"/>
        <w:rPr>
          <w:rFonts w:ascii="Amasis MT Pro Black" w:hAnsi="Amasis MT Pro Black"/>
          <w:b/>
          <w:bCs/>
          <w:sz w:val="28"/>
          <w:szCs w:val="28"/>
        </w:rPr>
      </w:pPr>
      <w:r w:rsidRPr="00E37E90">
        <w:rPr>
          <w:rFonts w:ascii="Amasis MT Pro Black" w:hAnsi="Amasis MT Pro Black"/>
          <w:b/>
          <w:bCs/>
          <w:color w:val="153D63" w:themeColor="text2" w:themeTint="E6"/>
          <w:sz w:val="28"/>
          <w:szCs w:val="28"/>
        </w:rPr>
        <w:t>Senedd Research. (2023).</w:t>
      </w:r>
      <w:r w:rsidRPr="00E37E90">
        <w:rPr>
          <w:rFonts w:ascii="Amasis MT Pro Black" w:hAnsi="Amasis MT Pro Black"/>
          <w:b/>
          <w:bCs/>
          <w:i/>
          <w:iCs/>
          <w:color w:val="153D63" w:themeColor="text2" w:themeTint="E6"/>
          <w:sz w:val="28"/>
          <w:szCs w:val="28"/>
        </w:rPr>
        <w:t xml:space="preserve"> Planning ahead: dementia services in Wales. </w:t>
      </w:r>
      <w:hyperlink r:id="rId35" w:history="1">
        <w:r w:rsidRPr="003F51CE">
          <w:rPr>
            <w:rStyle w:val="Hyperlink"/>
            <w:rFonts w:ascii="Amasis MT Pro Black" w:hAnsi="Amasis MT Pro Black"/>
            <w:b/>
            <w:bCs/>
            <w:sz w:val="28"/>
            <w:szCs w:val="28"/>
            <w:u w:val="none"/>
          </w:rPr>
          <w:t>https://research.senedd.wales/research-articles/planning-ahead-dementia-services-in-wales/</w:t>
        </w:r>
      </w:hyperlink>
      <w:r>
        <w:rPr>
          <w:rFonts w:ascii="Amasis MT Pro Black" w:hAnsi="Amasis MT Pro Black"/>
          <w:b/>
          <w:bCs/>
          <w:i/>
          <w:iCs/>
          <w:sz w:val="28"/>
          <w:szCs w:val="28"/>
        </w:rPr>
        <w:t xml:space="preserve"> </w:t>
      </w:r>
    </w:p>
    <w:p w14:paraId="73C0779A" w14:textId="77777777" w:rsidR="00AF288C" w:rsidRDefault="00AF288C" w:rsidP="00F078D3">
      <w:pPr>
        <w:jc w:val="center"/>
        <w:rPr>
          <w:rFonts w:ascii="Amasis MT Pro Black" w:hAnsi="Amasis MT Pro Black"/>
          <w:b/>
          <w:bCs/>
          <w:i/>
          <w:iCs/>
          <w:sz w:val="28"/>
          <w:szCs w:val="28"/>
          <w:u w:val="single"/>
        </w:rPr>
      </w:pPr>
    </w:p>
    <w:p w14:paraId="123E57A9" w14:textId="77777777" w:rsidR="00AF288C" w:rsidRDefault="00AF288C" w:rsidP="00F078D3">
      <w:pPr>
        <w:jc w:val="center"/>
        <w:rPr>
          <w:rFonts w:ascii="Amasis MT Pro Black" w:hAnsi="Amasis MT Pro Black"/>
          <w:b/>
          <w:bCs/>
          <w:sz w:val="28"/>
          <w:szCs w:val="28"/>
          <w:u w:val="single"/>
        </w:rPr>
      </w:pPr>
    </w:p>
    <w:p w14:paraId="3341BB4E" w14:textId="77777777" w:rsidR="00924577" w:rsidRPr="00924577" w:rsidRDefault="00924577" w:rsidP="00924577">
      <w:pPr>
        <w:rPr>
          <w:rFonts w:ascii="Amasis MT Pro Black" w:hAnsi="Amasis MT Pro Black"/>
          <w:sz w:val="28"/>
          <w:szCs w:val="28"/>
        </w:rPr>
      </w:pPr>
    </w:p>
    <w:p w14:paraId="5DE5F5E7" w14:textId="77777777" w:rsidR="00924577" w:rsidRPr="00924577" w:rsidRDefault="00924577" w:rsidP="00924577">
      <w:pPr>
        <w:rPr>
          <w:rFonts w:ascii="Amasis MT Pro Black" w:hAnsi="Amasis MT Pro Black"/>
          <w:sz w:val="28"/>
          <w:szCs w:val="28"/>
        </w:rPr>
      </w:pPr>
    </w:p>
    <w:p w14:paraId="54EA54D5" w14:textId="77777777" w:rsidR="00924577" w:rsidRPr="00924577" w:rsidRDefault="00924577" w:rsidP="00924577">
      <w:pPr>
        <w:rPr>
          <w:rFonts w:ascii="Amasis MT Pro Black" w:hAnsi="Amasis MT Pro Black"/>
          <w:sz w:val="28"/>
          <w:szCs w:val="28"/>
        </w:rPr>
      </w:pPr>
    </w:p>
    <w:p w14:paraId="797F6507" w14:textId="77777777" w:rsidR="00924577" w:rsidRPr="00924577" w:rsidRDefault="00924577" w:rsidP="00924577">
      <w:pPr>
        <w:rPr>
          <w:rFonts w:ascii="Amasis MT Pro Black" w:hAnsi="Amasis MT Pro Black"/>
          <w:sz w:val="28"/>
          <w:szCs w:val="28"/>
        </w:rPr>
      </w:pPr>
    </w:p>
    <w:p w14:paraId="5110AC3D" w14:textId="77777777" w:rsidR="00924577" w:rsidRPr="00924577" w:rsidRDefault="00924577" w:rsidP="00924577">
      <w:pPr>
        <w:rPr>
          <w:rFonts w:ascii="Amasis MT Pro Black" w:hAnsi="Amasis MT Pro Black"/>
          <w:sz w:val="28"/>
          <w:szCs w:val="28"/>
        </w:rPr>
      </w:pPr>
    </w:p>
    <w:p w14:paraId="0004B5D7" w14:textId="77777777" w:rsidR="00924577" w:rsidRDefault="00924577" w:rsidP="00924577">
      <w:pPr>
        <w:rPr>
          <w:rFonts w:ascii="Amasis MT Pro Black" w:hAnsi="Amasis MT Pro Black"/>
          <w:b/>
          <w:bCs/>
          <w:sz w:val="28"/>
          <w:szCs w:val="28"/>
          <w:u w:val="single"/>
        </w:rPr>
      </w:pPr>
    </w:p>
    <w:p w14:paraId="7AA004A7" w14:textId="77777777" w:rsidR="00924577" w:rsidRDefault="00924577" w:rsidP="00924577">
      <w:pPr>
        <w:tabs>
          <w:tab w:val="left" w:pos="2210"/>
        </w:tabs>
        <w:rPr>
          <w:rFonts w:ascii="Amasis MT Pro Black" w:hAnsi="Amasis MT Pro Black"/>
          <w:sz w:val="28"/>
          <w:szCs w:val="28"/>
        </w:rPr>
        <w:sectPr w:rsidR="00924577" w:rsidSect="00094858">
          <w:headerReference w:type="default" r:id="rId36"/>
          <w:footerReference w:type="default" r:id="rId37"/>
          <w:pgSz w:w="11906" w:h="16838"/>
          <w:pgMar w:top="1440" w:right="1440" w:bottom="1440" w:left="1440" w:header="708" w:footer="708" w:gutter="0"/>
          <w:pgBorders w:offsetFrom="page">
            <w:top w:val="single" w:sz="4" w:space="24" w:color="002060"/>
            <w:left w:val="single" w:sz="4" w:space="24" w:color="002060"/>
            <w:bottom w:val="single" w:sz="4" w:space="24" w:color="002060"/>
            <w:right w:val="single" w:sz="4" w:space="24" w:color="002060"/>
          </w:pgBorders>
          <w:cols w:space="708"/>
          <w:docGrid w:linePitch="360"/>
        </w:sectPr>
      </w:pPr>
    </w:p>
    <w:p w14:paraId="3CBD189B" w14:textId="77777777" w:rsidR="007E1362" w:rsidRDefault="007E1362" w:rsidP="002A042B">
      <w:pPr>
        <w:tabs>
          <w:tab w:val="left" w:pos="2210"/>
        </w:tabs>
        <w:jc w:val="center"/>
        <w:rPr>
          <w:rFonts w:ascii="Amasis MT Pro Black" w:hAnsi="Amasis MT Pro Black"/>
          <w:sz w:val="80"/>
          <w:szCs w:val="80"/>
        </w:rPr>
      </w:pPr>
    </w:p>
    <w:p w14:paraId="048988AA" w14:textId="0EE6FA07" w:rsidR="007E1362" w:rsidRDefault="007E1362" w:rsidP="002A042B">
      <w:pPr>
        <w:tabs>
          <w:tab w:val="left" w:pos="2210"/>
        </w:tabs>
        <w:jc w:val="center"/>
        <w:rPr>
          <w:rFonts w:ascii="Amasis MT Pro Black" w:hAnsi="Amasis MT Pro Black"/>
          <w:sz w:val="80"/>
          <w:szCs w:val="80"/>
        </w:rPr>
      </w:pPr>
    </w:p>
    <w:p w14:paraId="76FEB15F" w14:textId="3D65C6D4" w:rsidR="00924577" w:rsidRPr="007E1362" w:rsidRDefault="00924577" w:rsidP="002A042B">
      <w:pPr>
        <w:tabs>
          <w:tab w:val="left" w:pos="2210"/>
        </w:tabs>
        <w:jc w:val="center"/>
        <w:rPr>
          <w:rFonts w:ascii="Amasis MT Pro Black" w:hAnsi="Amasis MT Pro Black"/>
          <w:sz w:val="80"/>
          <w:szCs w:val="80"/>
        </w:rPr>
      </w:pPr>
      <w:r w:rsidRPr="007E1362">
        <w:rPr>
          <w:rFonts w:ascii="Amasis MT Pro Black" w:hAnsi="Amasis MT Pro Black"/>
          <w:sz w:val="80"/>
          <w:szCs w:val="80"/>
        </w:rPr>
        <w:t>Part 2</w:t>
      </w:r>
    </w:p>
    <w:p w14:paraId="385CF910" w14:textId="61CBA776" w:rsidR="002A042B" w:rsidRDefault="002A042B">
      <w:pPr>
        <w:rPr>
          <w:rFonts w:ascii="Amasis MT Pro Black" w:hAnsi="Amasis MT Pro Black"/>
          <w:sz w:val="28"/>
          <w:szCs w:val="28"/>
        </w:rPr>
      </w:pPr>
      <w:r>
        <w:rPr>
          <w:rFonts w:ascii="Amasis MT Pro Black" w:hAnsi="Amasis MT Pro Black"/>
          <w:sz w:val="28"/>
          <w:szCs w:val="28"/>
        </w:rPr>
        <w:br w:type="page"/>
      </w:r>
    </w:p>
    <w:p w14:paraId="75D1908D" w14:textId="77777777" w:rsidR="00924577" w:rsidRDefault="00924577" w:rsidP="00924577">
      <w:pPr>
        <w:rPr>
          <w:b/>
          <w:bCs/>
          <w:u w:val="single"/>
        </w:rPr>
      </w:pPr>
    </w:p>
    <w:p w14:paraId="03A357CE" w14:textId="66D5A89C" w:rsidR="00924577" w:rsidRDefault="00924577" w:rsidP="00924577">
      <w:pPr>
        <w:spacing w:line="360" w:lineRule="auto"/>
      </w:pPr>
      <w:r>
        <w:t>Dementia is the degeneration and loss of cognitive functioning, with Alzheimer’s disease being the most commonly diagnosed form accounting for approximately 50-70% (</w:t>
      </w:r>
      <w:r w:rsidRPr="001047E9">
        <w:rPr>
          <w:color w:val="000000" w:themeColor="text1"/>
        </w:rPr>
        <w:t xml:space="preserve">Lindeza </w:t>
      </w:r>
      <w:r>
        <w:t xml:space="preserve">et al., 2024) compared to vascular dementia (Kivipelto et al., 2018). The symptoms of dementia predominantly affect memory, decline in cognitive processing speed, behavioural changes and speech difficulties are all affected and as the condition progresses, individuals become more dependant, often experiencing difficulties carrying out day-to-day activities (Akyol et al., 2024). However, emerging and consistent research now presents a multifactorial aetiology for such cognitive impairment. In addition, onset of symptoms and diagnosis of dementia are now occurring at a younger age, with early onset dementia typically being identified as between the ages of 45-65 years, although this can also be much earlier (Mayrhofer et al., 2021). </w:t>
      </w:r>
    </w:p>
    <w:p w14:paraId="2C6C2093" w14:textId="77777777" w:rsidR="00924577" w:rsidRDefault="00924577" w:rsidP="00924577">
      <w:pPr>
        <w:spacing w:line="360" w:lineRule="auto"/>
      </w:pPr>
    </w:p>
    <w:p w14:paraId="4B2A7DB8" w14:textId="78CD9F70" w:rsidR="00924577" w:rsidRDefault="00924577" w:rsidP="00924577">
      <w:pPr>
        <w:spacing w:line="360" w:lineRule="auto"/>
        <w:ind w:firstLine="720"/>
      </w:pPr>
      <w:r>
        <w:t>The impact of living with dementia not only has detrimental consequences for the individual impacting their quality of life, their families, support networks and care givers, but also the social, economic and financial burden on public health resources and health care organisations (Wimo et al., 2023). It is estimated that dementia affects over 46 million people worldwide, with predictions expected to reach 131 million by the year 2050. With such high prevalence, it is unsurprising that dementia is one of the leading causes of death</w:t>
      </w:r>
      <w:r w:rsidR="00241F68">
        <w:t>, frailty</w:t>
      </w:r>
      <w:r>
        <w:t xml:space="preserve"> and all-cause mortality (Pham et al., 2018). Consequentially, the financial implications for dementia in the UK have previously been calculated at £23.4 billion and are far and above compared to overall costs of the other leading causes of mortality and morbidity; cancer (£12 billion), coronary heart disease (£7.8 billion) and stroke (£5 billion) (Landeiro et al., 2024).</w:t>
      </w:r>
    </w:p>
    <w:p w14:paraId="3825DF46" w14:textId="77777777" w:rsidR="00924577" w:rsidRDefault="00924577" w:rsidP="00924577">
      <w:pPr>
        <w:spacing w:line="360" w:lineRule="auto"/>
        <w:ind w:firstLine="720"/>
      </w:pPr>
    </w:p>
    <w:p w14:paraId="1FF35BB2" w14:textId="29771C4C" w:rsidR="00924577" w:rsidRDefault="00924577" w:rsidP="00924577">
      <w:pPr>
        <w:spacing w:line="360" w:lineRule="auto"/>
        <w:ind w:firstLine="720"/>
      </w:pPr>
      <w:r>
        <w:t>A cohort study by Merchant et al. (2025) looked at hospital admission outcomes for dementia patients aged 65 years and above over</w:t>
      </w:r>
      <w:r w:rsidR="00241F68">
        <w:t xml:space="preserve"> a</w:t>
      </w:r>
      <w:r>
        <w:t xml:space="preserve"> </w:t>
      </w:r>
      <w:r w:rsidR="00241F68">
        <w:t>two-year period</w:t>
      </w:r>
      <w:r>
        <w:t xml:space="preserve">. They classified frailty as physical and cognitive and found those patients with the most admissions in that time had a greater frailty score. In addition, frailty was also significantly associated with malnutrition, worsening cognitive impairment, delirium, falls, longer length of stay and once discharged, frequent – and often preventable – readmissions. Additionally, individuals were unable to return to their baseline level of activities of daily living, despite specialist nurse, physiotherapy and occupational therapy interventions. Frailty is strongly associated with dementia and often considered an inherent risk factor along with heritability and lifestyle factors. A systematic review by Koria et al. (2022) into the prevalence of frailty and older adults with dementia found </w:t>
      </w:r>
      <w:r>
        <w:lastRenderedPageBreak/>
        <w:t xml:space="preserve">that out of the sixteen papers, 50% - 92% of individuals in the acute setting and 24% - 99% in the community setting had both mild-moderate frailty. </w:t>
      </w:r>
    </w:p>
    <w:p w14:paraId="56117848" w14:textId="77777777" w:rsidR="00924577" w:rsidRDefault="00924577" w:rsidP="00924577">
      <w:pPr>
        <w:spacing w:line="360" w:lineRule="auto"/>
        <w:ind w:firstLine="720"/>
      </w:pPr>
    </w:p>
    <w:p w14:paraId="774039F8" w14:textId="44718E51" w:rsidR="00924577" w:rsidRDefault="00924577" w:rsidP="00924577">
      <w:pPr>
        <w:spacing w:line="360" w:lineRule="auto"/>
        <w:ind w:firstLine="720"/>
      </w:pPr>
      <w:r>
        <w:t>With regards to the impact of dementia upon family and care givers, whilst the majority of the literature reports on the negative impact</w:t>
      </w:r>
      <w:r w:rsidR="00241F68">
        <w:t xml:space="preserve"> - </w:t>
      </w:r>
      <w:r>
        <w:t>namely carer burden and the associated physical and emotional toll</w:t>
      </w:r>
      <w:r w:rsidR="00241F68">
        <w:t xml:space="preserve"> -  </w:t>
      </w:r>
      <w:r>
        <w:t xml:space="preserve">there is some acknowledgement towards positive examples. A systematic literature review by Lindeza et al. (2020) looked at the impact of diagnosed dementia on informal carers. Of the eighty-one qualitative studies, eight families reported receiving a dementia diagnosis as a positive outcome, reporting feelings of relief along with the opportunity to self-educate around the topic and improved accessibility to formal care, appropriate resources and support networks. </w:t>
      </w:r>
    </w:p>
    <w:p w14:paraId="6D8759D1" w14:textId="77777777" w:rsidR="00241F68" w:rsidRDefault="00241F68" w:rsidP="00924577">
      <w:pPr>
        <w:spacing w:line="360" w:lineRule="auto"/>
        <w:ind w:firstLine="720"/>
      </w:pPr>
    </w:p>
    <w:p w14:paraId="75FCDACC" w14:textId="0ABB5A23" w:rsidR="00924577" w:rsidRDefault="00924577" w:rsidP="00924577">
      <w:pPr>
        <w:spacing w:line="360" w:lineRule="auto"/>
        <w:ind w:firstLine="720"/>
      </w:pPr>
      <w:r>
        <w:t xml:space="preserve">The notion of increased support and the impact of caregiver support against caregiver burden was addressed by </w:t>
      </w:r>
      <w:r w:rsidR="00241F68">
        <w:t>Nemcikova</w:t>
      </w:r>
      <w:r>
        <w:t xml:space="preserve"> et al. (2023) in a cross-sectional, quantitative study of 115 informal carers utilising The Positive Aspects of Caring Scale (PACS). Perceived support was defined as psycho-social and educational. A statistically significant relationship was demonstrated for reduced feelings of carer burden linked to greater levels of support received into the family unit, as well as an increase in reported positive caregiver experiences. In addition, increased knowledge and awareness among informal carers </w:t>
      </w:r>
      <w:r w:rsidR="00241F68">
        <w:t xml:space="preserve">is </w:t>
      </w:r>
      <w:r>
        <w:t xml:space="preserve">often linked to increased competence in the caregiver role, improved standards of care and better overall outcomes and quality of life for both the carer and person with dementia (Wang et al., 2022). </w:t>
      </w:r>
    </w:p>
    <w:p w14:paraId="0062C01F" w14:textId="77777777" w:rsidR="00924577" w:rsidRDefault="00924577" w:rsidP="00924577">
      <w:pPr>
        <w:spacing w:line="360" w:lineRule="auto"/>
      </w:pPr>
      <w:r>
        <w:tab/>
        <w:t xml:space="preserve"> </w:t>
      </w:r>
    </w:p>
    <w:p w14:paraId="67710A0D" w14:textId="77777777" w:rsidR="00924577" w:rsidRPr="0076123C" w:rsidRDefault="00924577" w:rsidP="00924577">
      <w:pPr>
        <w:spacing w:line="360" w:lineRule="auto"/>
        <w:rPr>
          <w:color w:val="FF0000"/>
        </w:rPr>
      </w:pPr>
      <w:r>
        <w:tab/>
        <w:t>As a continuation of this</w:t>
      </w:r>
      <w:r w:rsidRPr="00986231">
        <w:t>, Stamou et al. (2020) conducted thematic analysis regarding responses from individuals with dementia addressing post-diagnostic support for themselves and family caregivers. Data analysis of the 233 participants demonstrated 856 positive comments of the importance of family care and support. This was identified in terms of maintaining dignity, opportunities to take part in social activities and events, feeling included in society, upholding independence, enhanced well-being and feeling that they had someone they could trust.  These elements, along with the importance of peer support and feeling like they have a voice are emphasised by dementia management NICE Guidelines (</w:t>
      </w:r>
      <w:r w:rsidRPr="00E545E4">
        <w:t>NICE</w:t>
      </w:r>
      <w:r w:rsidRPr="00986231">
        <w:t xml:space="preserve">, 2018) as being a fundamental aspect of delivering dignity, along with the day-to-day care needs. However, </w:t>
      </w:r>
      <w:r>
        <w:t xml:space="preserve">it is </w:t>
      </w:r>
      <w:r w:rsidRPr="00986231">
        <w:t xml:space="preserve">important to note that responses from this study were from those with early-onset dementia </w:t>
      </w:r>
      <w:r w:rsidRPr="00986231">
        <w:lastRenderedPageBreak/>
        <w:t>alone</w:t>
      </w:r>
      <w:r>
        <w:t xml:space="preserve"> and </w:t>
      </w:r>
      <w:r w:rsidRPr="00986231">
        <w:t>all under the age of 65 years. Due to ethical considerations</w:t>
      </w:r>
      <w:r>
        <w:t xml:space="preserve"> and inconsistencies</w:t>
      </w:r>
      <w:r w:rsidRPr="00986231">
        <w:t xml:space="preserve">, there is little existing literature regarding responses and lived experiences of older individuals with dementia and the importance of family caregivers from their point of view.  </w:t>
      </w:r>
    </w:p>
    <w:p w14:paraId="769B75AE" w14:textId="77777777" w:rsidR="00924577" w:rsidRDefault="00924577" w:rsidP="00924577">
      <w:pPr>
        <w:spacing w:line="360" w:lineRule="auto"/>
        <w:ind w:firstLine="720"/>
      </w:pPr>
    </w:p>
    <w:p w14:paraId="44FE7E16" w14:textId="6F8BB31C" w:rsidR="00924577" w:rsidRDefault="00924577" w:rsidP="00924577">
      <w:pPr>
        <w:spacing w:line="360" w:lineRule="auto"/>
        <w:ind w:firstLine="720"/>
      </w:pPr>
      <w:r>
        <w:t>Nevertheless, the positive impact is also echoed by Van Wezel et al. (201</w:t>
      </w:r>
      <w:r w:rsidR="00B30681">
        <w:t>6</w:t>
      </w:r>
      <w:r>
        <w:t xml:space="preserve">) who considered the impact of looking after a close family relative with dementia from 28 female carers. While all individuals experienced negative aspects of the role, they also reported the privilege of looking after their loved one and the fulfilment and satisfaction it brings as outweighing the challenging times. Moreover, several responses felt that family care was far superior to formal care and was even found to strengthen family bonds and relationships. Zhao et al. (2020) expands on this and reported positive care experiences enhanced the </w:t>
      </w:r>
      <w:r w:rsidR="00B30681">
        <w:t>caregivers’</w:t>
      </w:r>
      <w:r>
        <w:t xml:space="preserve"> feelings of self-worth and appreciation for their role from other family members. </w:t>
      </w:r>
    </w:p>
    <w:p w14:paraId="7237DECA" w14:textId="77777777" w:rsidR="00924577" w:rsidRDefault="00924577" w:rsidP="00924577">
      <w:pPr>
        <w:spacing w:line="360" w:lineRule="auto"/>
      </w:pPr>
    </w:p>
    <w:p w14:paraId="646AF28D" w14:textId="77777777" w:rsidR="00924577" w:rsidRDefault="00924577" w:rsidP="00924577">
      <w:pPr>
        <w:spacing w:line="360" w:lineRule="auto"/>
        <w:ind w:firstLine="720"/>
      </w:pPr>
      <w:r>
        <w:t xml:space="preserve">Undeniably, and in the early stages of the disease it is often family members who take on the majority of the care giver role, often occurring as a gradual accumulation over time.  As the disease progresses, individuals become more dependant requiring increased help and support with daily activities, by which point many families have adopted the role of informal carers with little, if any, help or support. It is estimated that there are around 700,000 unpaid carers in the UK alone, reflecting a huge proportion of people affected by dementia (Alzheimer’s Society, 2025). </w:t>
      </w:r>
    </w:p>
    <w:p w14:paraId="75E7FF22" w14:textId="77777777" w:rsidR="00924577" w:rsidRDefault="00924577" w:rsidP="00924577">
      <w:pPr>
        <w:spacing w:line="360" w:lineRule="auto"/>
        <w:ind w:firstLine="720"/>
      </w:pPr>
    </w:p>
    <w:p w14:paraId="6033BB7A" w14:textId="408EE137" w:rsidR="00924577" w:rsidRDefault="00924577" w:rsidP="00924577">
      <w:pPr>
        <w:spacing w:line="360" w:lineRule="auto"/>
        <w:ind w:firstLine="720"/>
      </w:pPr>
      <w:r>
        <w:t xml:space="preserve">With this, comes a great deal of carer burden and perhaps not unsurprisingly, depression. The prevalence of depression amongst dementia caregivers is significantly higher than that of the general population as a whole and due to the high demands of the role, the cause of which is often multi-factorial in nature (Huang, 2022). Many carers are required to make major life adjustments in order to care for a loved one, for instance changing work roles, financial adjustments, altered living arrangements, poor sleep quality, having less time for other family commitments or personal interests, not to mention compromising their own physical and psychological health. Furthermore, and something of great concern is that caregiver depression is also suggested as an external, environmental influence for exacerbation of symptoms and cognitive decline (Norton et al., 2013). </w:t>
      </w:r>
    </w:p>
    <w:p w14:paraId="3BAC288A" w14:textId="77777777" w:rsidR="00924577" w:rsidRDefault="00924577" w:rsidP="00924577">
      <w:pPr>
        <w:spacing w:line="360" w:lineRule="auto"/>
        <w:ind w:firstLine="720"/>
      </w:pPr>
    </w:p>
    <w:p w14:paraId="569BFB37" w14:textId="77777777" w:rsidR="00924577" w:rsidRDefault="00924577" w:rsidP="00924577">
      <w:pPr>
        <w:spacing w:line="360" w:lineRule="auto"/>
        <w:ind w:firstLine="720"/>
      </w:pPr>
      <w:r>
        <w:lastRenderedPageBreak/>
        <w:t xml:space="preserve">One study by </w:t>
      </w:r>
      <w:r w:rsidRPr="007F49C9">
        <w:rPr>
          <w:color w:val="000000" w:themeColor="text1"/>
        </w:rPr>
        <w:t xml:space="preserve">Jiminez-Gonzalo et al. (2021) </w:t>
      </w:r>
      <w:r>
        <w:t>explored sleep disturbance and associated problems among 264 dementia caregivers. As hypothesised, they found a statistically significant relationship between disruptive behaviours of the person with dementia and exacerbated sleep problems, predominantly related to frequent night wakings and anxiety induced insomnia surrounding their loved one. It is evidenced that sleep disturbances are a common secondary symptom of dementia, with increased daytime sleep and shorter periods of restful sleep overnight, due to a disordered circadian rhythm (Elder et al., 2022). Sadly, the long-term consequences of this for the person living with dementia can often result in increased co-morbidities and all-cause mortality, more frequent hospital and care home admissions and increased frailty (Montgomery et al., 2018).</w:t>
      </w:r>
    </w:p>
    <w:p w14:paraId="03BE58AB" w14:textId="77777777" w:rsidR="00924577" w:rsidRDefault="00924577" w:rsidP="00924577">
      <w:pPr>
        <w:spacing w:line="360" w:lineRule="auto"/>
      </w:pPr>
    </w:p>
    <w:p w14:paraId="385C4B4C" w14:textId="77777777" w:rsidR="00924577" w:rsidRDefault="00924577" w:rsidP="00924577">
      <w:pPr>
        <w:spacing w:line="360" w:lineRule="auto"/>
        <w:ind w:firstLine="720"/>
      </w:pPr>
      <w:r>
        <w:t xml:space="preserve">From examining the current literature, loneliness and social isolation is commonly associated with the caregiver role and often worsens with advanced stages of the disease. An integrative review by </w:t>
      </w:r>
      <w:r w:rsidRPr="002E4EEE">
        <w:t xml:space="preserve">Zhao </w:t>
      </w:r>
      <w:r>
        <w:t>et al. (2020) explored knowledge and attitudes towards dementia and the role of family caregivers. Loneliness and social restriction emerged as a powerful theme with carers reporting that they spend the majority of their time with the person with dementia, leaving little or no time for other social activities. Furthermore, some individuals reported that if they did have a break from caring responsibilities, they were often too exhausted to engage in any leisure or social activities (</w:t>
      </w:r>
      <w:r w:rsidRPr="002E4EEE">
        <w:t xml:space="preserve">Liao et al., 2024). </w:t>
      </w:r>
    </w:p>
    <w:p w14:paraId="47C17EC5" w14:textId="77777777" w:rsidR="00924577" w:rsidRDefault="00924577" w:rsidP="00924577">
      <w:pPr>
        <w:spacing w:line="360" w:lineRule="auto"/>
        <w:ind w:firstLine="720"/>
      </w:pPr>
    </w:p>
    <w:p w14:paraId="65293570" w14:textId="67EBB2CF" w:rsidR="00924577" w:rsidRDefault="00924577" w:rsidP="00924577">
      <w:pPr>
        <w:spacing w:line="360" w:lineRule="auto"/>
        <w:ind w:firstLine="720"/>
      </w:pPr>
      <w:r>
        <w:t>Dementia is a debilitating and cruel condition, and while treatments are available to slow and hamper its progression,</w:t>
      </w:r>
      <w:r w:rsidR="00B30681">
        <w:t xml:space="preserve"> </w:t>
      </w:r>
      <w:r>
        <w:t>unfortunately</w:t>
      </w:r>
      <w:r w:rsidR="00B30681">
        <w:t xml:space="preserve"> there is</w:t>
      </w:r>
      <w:r>
        <w:t xml:space="preserve"> no cure. Projections are estimated to rise exponentially and coupled with the rise in ageing population in Western societies there is to be real concern around provisions to look after people with dementia. Carers who are unsupported in their role are often, and through no fault of their own, unable to sustain caring responsibilities long-term, resulting in negative outcomes for both themselves and the person living with dementia. Caregiving is a stressful and challenging process, so focusing on any positive aspect is essential for overall efficacy and dignity of the person with dementia (Wang et al., 2022). Therefore, healthcare delivery and standards should indeed be a priority area for stakeholders and healthcare organisations (Delgado et al., 2022). </w:t>
      </w:r>
    </w:p>
    <w:p w14:paraId="78F3FCC6" w14:textId="77777777" w:rsidR="00924577" w:rsidRDefault="00924577" w:rsidP="00924577">
      <w:pPr>
        <w:rPr>
          <w:b/>
          <w:bCs/>
          <w:u w:val="single"/>
        </w:rPr>
      </w:pPr>
      <w:r>
        <w:rPr>
          <w:b/>
          <w:bCs/>
          <w:u w:val="single"/>
        </w:rPr>
        <w:br w:type="page"/>
      </w:r>
    </w:p>
    <w:p w14:paraId="43353822" w14:textId="77777777" w:rsidR="00924577" w:rsidRDefault="00924577" w:rsidP="00924577">
      <w:pPr>
        <w:rPr>
          <w:b/>
          <w:bCs/>
          <w:u w:val="single"/>
        </w:rPr>
      </w:pPr>
      <w:r w:rsidRPr="000477F2">
        <w:rPr>
          <w:b/>
          <w:bCs/>
          <w:u w:val="single"/>
        </w:rPr>
        <w:lastRenderedPageBreak/>
        <w:t>Reference list</w:t>
      </w:r>
    </w:p>
    <w:p w14:paraId="6BB74219" w14:textId="77777777" w:rsidR="00924577" w:rsidRDefault="00924577" w:rsidP="00924577">
      <w:pPr>
        <w:rPr>
          <w:b/>
          <w:bCs/>
          <w:u w:val="single"/>
        </w:rPr>
      </w:pPr>
    </w:p>
    <w:p w14:paraId="706F9970" w14:textId="77777777" w:rsidR="00924577" w:rsidRDefault="00924577" w:rsidP="00924577">
      <w:pPr>
        <w:ind w:left="720" w:hanging="720"/>
      </w:pPr>
      <w:r w:rsidRPr="00A67191">
        <w:t>Akyol, M. A., Güney, S., Özgül, E., Akpinar Söylemez, B., &amp; Küçükgüçlü, Ö. (2024). What does the public really know about dementia? A community</w:t>
      </w:r>
      <w:r w:rsidRPr="00A67191">
        <w:rPr>
          <w:rFonts w:ascii="Cambria Math" w:hAnsi="Cambria Math" w:cs="Cambria Math"/>
        </w:rPr>
        <w:t>‐</w:t>
      </w:r>
      <w:r w:rsidRPr="00A67191">
        <w:t>based cross</w:t>
      </w:r>
      <w:r w:rsidRPr="00A67191">
        <w:rPr>
          <w:rFonts w:ascii="Cambria Math" w:hAnsi="Cambria Math" w:cs="Cambria Math"/>
        </w:rPr>
        <w:t>‐</w:t>
      </w:r>
      <w:r w:rsidRPr="00A67191">
        <w:t>sectional survey in Turkiye.</w:t>
      </w:r>
      <w:r w:rsidRPr="00A67191">
        <w:rPr>
          <w:rFonts w:ascii="Aptos" w:hAnsi="Aptos" w:cs="Aptos"/>
        </w:rPr>
        <w:t> </w:t>
      </w:r>
      <w:r w:rsidRPr="00A67191">
        <w:rPr>
          <w:i/>
          <w:iCs/>
        </w:rPr>
        <w:t>Public Health Nursing</w:t>
      </w:r>
      <w:r w:rsidRPr="00A67191">
        <w:t>, </w:t>
      </w:r>
      <w:r w:rsidRPr="00A67191">
        <w:rPr>
          <w:i/>
          <w:iCs/>
        </w:rPr>
        <w:t>41</w:t>
      </w:r>
      <w:r w:rsidRPr="00A67191">
        <w:t xml:space="preserve">(6), 1322-1330. </w:t>
      </w:r>
      <w:hyperlink r:id="rId38" w:history="1">
        <w:r w:rsidRPr="00A67191">
          <w:rPr>
            <w:rStyle w:val="Hyperlink"/>
          </w:rPr>
          <w:t>https://doi.org/10.1111/phn.13398</w:t>
        </w:r>
      </w:hyperlink>
      <w:r w:rsidRPr="00A67191">
        <w:t xml:space="preserve"> </w:t>
      </w:r>
    </w:p>
    <w:p w14:paraId="045E4E4F" w14:textId="77777777" w:rsidR="00924577" w:rsidRDefault="00924577" w:rsidP="00924577">
      <w:pPr>
        <w:ind w:left="720" w:hanging="720"/>
      </w:pPr>
    </w:p>
    <w:p w14:paraId="30EEE07A" w14:textId="77777777" w:rsidR="00924577" w:rsidRDefault="00924577" w:rsidP="00924577">
      <w:pPr>
        <w:ind w:left="720" w:hanging="720"/>
        <w:rPr>
          <w:i/>
          <w:iCs/>
        </w:rPr>
      </w:pPr>
      <w:r>
        <w:t xml:space="preserve">Alzheimer’s Society. (2025). </w:t>
      </w:r>
      <w:r>
        <w:rPr>
          <w:i/>
          <w:iCs/>
        </w:rPr>
        <w:t xml:space="preserve">Carers UK’s ‘Statement of Caring 2021’ report – Alzheimer’s Society responds. </w:t>
      </w:r>
      <w:hyperlink r:id="rId39" w:history="1">
        <w:r w:rsidRPr="005F6A39">
          <w:rPr>
            <w:rStyle w:val="Hyperlink"/>
          </w:rPr>
          <w:t>https://www.alzheimers.org.uk/news/2024-11-22/carers-uks-state-caring-2021-report-alzheimers-society-responds</w:t>
        </w:r>
      </w:hyperlink>
      <w:r>
        <w:rPr>
          <w:i/>
          <w:iCs/>
        </w:rPr>
        <w:t xml:space="preserve"> </w:t>
      </w:r>
    </w:p>
    <w:p w14:paraId="57266F80" w14:textId="77777777" w:rsidR="00924577" w:rsidRDefault="00924577" w:rsidP="00924577">
      <w:pPr>
        <w:ind w:left="720" w:hanging="720"/>
        <w:rPr>
          <w:i/>
          <w:iCs/>
        </w:rPr>
      </w:pPr>
    </w:p>
    <w:p w14:paraId="789070C4" w14:textId="77777777" w:rsidR="00924577" w:rsidRDefault="00924577" w:rsidP="00924577">
      <w:pPr>
        <w:ind w:left="720" w:hanging="720"/>
      </w:pPr>
      <w:r w:rsidRPr="00413E08">
        <w:t>Delgado, J., Evans, P. H., Gray, D. P., Sidaway-Lee, K., Allan, L., Clare, L., ... &amp; Melzer, D. (2022). Continuity of GP care for patients with dementia: impact on prescribing and the health of patients. </w:t>
      </w:r>
      <w:r w:rsidRPr="00413E08">
        <w:rPr>
          <w:i/>
          <w:iCs/>
        </w:rPr>
        <w:t>British Journal of General Practice</w:t>
      </w:r>
      <w:r w:rsidRPr="00413E08">
        <w:t>. </w:t>
      </w:r>
      <w:hyperlink r:id="rId40" w:history="1">
        <w:r w:rsidRPr="00020E27">
          <w:rPr>
            <w:rStyle w:val="Hyperlink"/>
          </w:rPr>
          <w:t>https://doi.org/10.3399/BJGP.2021.0413</w:t>
        </w:r>
      </w:hyperlink>
      <w:r>
        <w:t xml:space="preserve"> </w:t>
      </w:r>
    </w:p>
    <w:p w14:paraId="5843054A" w14:textId="77777777" w:rsidR="00924577" w:rsidRDefault="00924577" w:rsidP="00924577">
      <w:pPr>
        <w:ind w:left="720" w:hanging="720"/>
      </w:pPr>
    </w:p>
    <w:p w14:paraId="1E2ECBEA" w14:textId="77777777" w:rsidR="00924577" w:rsidRDefault="00924577" w:rsidP="00924577">
      <w:pPr>
        <w:ind w:left="720" w:hanging="720"/>
      </w:pPr>
      <w:r w:rsidRPr="00AC260E">
        <w:t>Elder, G. J., Lazar, A. S., Alfonso</w:t>
      </w:r>
      <w:r w:rsidRPr="00AC260E">
        <w:rPr>
          <w:rFonts w:ascii="Cambria Math" w:hAnsi="Cambria Math" w:cs="Cambria Math"/>
        </w:rPr>
        <w:t>‐</w:t>
      </w:r>
      <w:r w:rsidRPr="00AC260E">
        <w:t>Miller, P., &amp; Taylor, J. P. (2022). Sleep disturbances in Lewy body dementia: a systematic review.</w:t>
      </w:r>
      <w:r w:rsidRPr="00AC260E">
        <w:rPr>
          <w:rFonts w:ascii="Aptos" w:hAnsi="Aptos" w:cs="Aptos"/>
        </w:rPr>
        <w:t> </w:t>
      </w:r>
      <w:r w:rsidRPr="00AC260E">
        <w:rPr>
          <w:i/>
          <w:iCs/>
        </w:rPr>
        <w:t>International journal of geriatric psychiatry</w:t>
      </w:r>
      <w:r w:rsidRPr="00AC260E">
        <w:t>, </w:t>
      </w:r>
      <w:r w:rsidRPr="00AC260E">
        <w:rPr>
          <w:i/>
          <w:iCs/>
        </w:rPr>
        <w:t>37</w:t>
      </w:r>
      <w:r w:rsidRPr="00AC260E">
        <w:t>(10).</w:t>
      </w:r>
      <w:r>
        <w:t xml:space="preserve"> </w:t>
      </w:r>
      <w:hyperlink r:id="rId41" w:history="1">
        <w:r w:rsidRPr="005112D7">
          <w:rPr>
            <w:rStyle w:val="Hyperlink"/>
          </w:rPr>
          <w:t>https://doi.org/10.1002/gps.5814</w:t>
        </w:r>
      </w:hyperlink>
      <w:r>
        <w:t xml:space="preserve"> </w:t>
      </w:r>
    </w:p>
    <w:p w14:paraId="0451964B" w14:textId="77777777" w:rsidR="00924577" w:rsidRDefault="00924577" w:rsidP="00924577">
      <w:pPr>
        <w:ind w:left="720" w:hanging="720"/>
      </w:pPr>
    </w:p>
    <w:p w14:paraId="48FF7D42" w14:textId="77777777" w:rsidR="00924577" w:rsidRDefault="00924577" w:rsidP="00924577">
      <w:pPr>
        <w:ind w:left="720" w:hanging="720"/>
      </w:pPr>
      <w:r w:rsidRPr="00AE21B7">
        <w:t>Huang, S. S. (2022). Depression among caregivers of patients with dementia: Associative factors and management approaches. </w:t>
      </w:r>
      <w:r w:rsidRPr="00AE21B7">
        <w:rPr>
          <w:i/>
          <w:iCs/>
        </w:rPr>
        <w:t>World Journal of Psychiatry</w:t>
      </w:r>
      <w:r w:rsidRPr="00AE21B7">
        <w:t>, </w:t>
      </w:r>
      <w:r w:rsidRPr="00AE21B7">
        <w:rPr>
          <w:i/>
          <w:iCs/>
        </w:rPr>
        <w:t>12</w:t>
      </w:r>
      <w:r w:rsidRPr="00AE21B7">
        <w:t>(1), 59. https://doi.org/</w:t>
      </w:r>
      <w:hyperlink r:id="rId42" w:tgtFrame="_blank" w:history="1">
        <w:r w:rsidRPr="00AE21B7">
          <w:rPr>
            <w:rStyle w:val="Hyperlink"/>
          </w:rPr>
          <w:t>10.5498/wjp.v12.i1.59</w:t>
        </w:r>
      </w:hyperlink>
      <w:r w:rsidRPr="00AE21B7">
        <w:t xml:space="preserve">   </w:t>
      </w:r>
    </w:p>
    <w:p w14:paraId="0C7527CB" w14:textId="77777777" w:rsidR="00924577" w:rsidRDefault="00924577" w:rsidP="00924577">
      <w:pPr>
        <w:ind w:left="720" w:hanging="720"/>
      </w:pPr>
    </w:p>
    <w:p w14:paraId="05844FEC" w14:textId="77777777" w:rsidR="00924577" w:rsidRPr="00AE21B7" w:rsidRDefault="00924577" w:rsidP="00924577">
      <w:pPr>
        <w:ind w:left="720" w:hanging="720"/>
      </w:pPr>
      <w:r w:rsidRPr="003258AA">
        <w:t>Jiménez-Gonzalo, L., Romero-Moreno, R., Pedroso-Chaparro, M. D. S., Fernandes-Pires, J. A., Barrera-Caballero, S., Olazarán, J., &amp; Losada-Baltar, A. (2021). The role of caregivers’ sleep problems in the association between behavioral symptoms of dementia and caregiving depression and anxiety. </w:t>
      </w:r>
      <w:r w:rsidRPr="003258AA">
        <w:rPr>
          <w:i/>
          <w:iCs/>
        </w:rPr>
        <w:t>Behavioral Sleep Medicine</w:t>
      </w:r>
      <w:r w:rsidRPr="003258AA">
        <w:t>, </w:t>
      </w:r>
      <w:r w:rsidRPr="003258AA">
        <w:rPr>
          <w:i/>
          <w:iCs/>
        </w:rPr>
        <w:t>19</w:t>
      </w:r>
      <w:r w:rsidRPr="003258AA">
        <w:t>(5), 640-651.</w:t>
      </w:r>
      <w:r>
        <w:t xml:space="preserve"> </w:t>
      </w:r>
      <w:hyperlink r:id="rId43" w:history="1">
        <w:r w:rsidRPr="00020E27">
          <w:rPr>
            <w:rStyle w:val="Hyperlink"/>
          </w:rPr>
          <w:t>https://doi.org/10.1080/15402002.2020.1835662</w:t>
        </w:r>
      </w:hyperlink>
      <w:r>
        <w:t xml:space="preserve"> </w:t>
      </w:r>
    </w:p>
    <w:p w14:paraId="3FFAB48D" w14:textId="77777777" w:rsidR="00924577" w:rsidRDefault="00924577" w:rsidP="00924577">
      <w:pPr>
        <w:ind w:left="720" w:hanging="720"/>
      </w:pPr>
    </w:p>
    <w:p w14:paraId="0FED5852" w14:textId="77777777" w:rsidR="00924577" w:rsidRDefault="00924577" w:rsidP="00924577">
      <w:pPr>
        <w:ind w:left="720" w:hanging="720"/>
      </w:pPr>
      <w:r w:rsidRPr="003625FD">
        <w:t>Kivipelto, M., Mangialasche, F., &amp; Ngandu, T. (2018). Lifestyle interventions to prevent cognitive impairment, dementia and Alzheimer disease. </w:t>
      </w:r>
      <w:r w:rsidRPr="003625FD">
        <w:rPr>
          <w:i/>
          <w:iCs/>
        </w:rPr>
        <w:t>Nature Reviews Neurology</w:t>
      </w:r>
      <w:r w:rsidRPr="003625FD">
        <w:t>, </w:t>
      </w:r>
      <w:r w:rsidRPr="003625FD">
        <w:rPr>
          <w:i/>
          <w:iCs/>
        </w:rPr>
        <w:t>14</w:t>
      </w:r>
      <w:r w:rsidRPr="003625FD">
        <w:t>(11), 653-666.</w:t>
      </w:r>
      <w:r>
        <w:t xml:space="preserve"> </w:t>
      </w:r>
      <w:hyperlink r:id="rId44" w:history="1">
        <w:r w:rsidRPr="00B71B68">
          <w:rPr>
            <w:rStyle w:val="Hyperlink"/>
          </w:rPr>
          <w:t>https://doi.org/10.1038/s41582-018-0070-3</w:t>
        </w:r>
      </w:hyperlink>
      <w:r>
        <w:t xml:space="preserve"> </w:t>
      </w:r>
    </w:p>
    <w:p w14:paraId="1F620620" w14:textId="77777777" w:rsidR="00924577" w:rsidRDefault="00924577" w:rsidP="00924577">
      <w:pPr>
        <w:ind w:left="720" w:hanging="720"/>
      </w:pPr>
    </w:p>
    <w:p w14:paraId="0E91C648" w14:textId="77777777" w:rsidR="00924577" w:rsidRDefault="00924577" w:rsidP="00924577">
      <w:pPr>
        <w:ind w:left="720" w:hanging="720"/>
      </w:pPr>
      <w:r w:rsidRPr="007A3495">
        <w:t>Koria, L. G., Sawan, M. J., Redston, M. R., &amp; Gnjidic, D. (2022). The prevalence of frailty among older adults living with dementia: a systematic review. </w:t>
      </w:r>
      <w:r w:rsidRPr="007A3495">
        <w:rPr>
          <w:i/>
          <w:iCs/>
        </w:rPr>
        <w:t>Journal of the American Medical Directors Association</w:t>
      </w:r>
      <w:r w:rsidRPr="007A3495">
        <w:t>, </w:t>
      </w:r>
      <w:r w:rsidRPr="007A3495">
        <w:rPr>
          <w:i/>
          <w:iCs/>
        </w:rPr>
        <w:t>23</w:t>
      </w:r>
      <w:r w:rsidRPr="007A3495">
        <w:t>(11), 1807-1814.</w:t>
      </w:r>
      <w:r>
        <w:t xml:space="preserve"> </w:t>
      </w:r>
      <w:hyperlink r:id="rId45" w:history="1">
        <w:r w:rsidRPr="00CC5B94">
          <w:rPr>
            <w:rStyle w:val="Hyperlink"/>
          </w:rPr>
          <w:t>https://doi.org/10.1016/j.jamda.2022.01.084</w:t>
        </w:r>
      </w:hyperlink>
      <w:r>
        <w:t xml:space="preserve"> </w:t>
      </w:r>
    </w:p>
    <w:p w14:paraId="097064AB" w14:textId="77777777" w:rsidR="00924577" w:rsidRPr="00A67191" w:rsidRDefault="00924577" w:rsidP="00924577">
      <w:pPr>
        <w:ind w:left="720" w:hanging="720"/>
      </w:pPr>
    </w:p>
    <w:p w14:paraId="37D2A38D" w14:textId="77777777" w:rsidR="00924577" w:rsidRDefault="00924577" w:rsidP="00924577">
      <w:pPr>
        <w:ind w:left="720" w:hanging="720"/>
      </w:pPr>
      <w:r w:rsidRPr="002B2640">
        <w:t xml:space="preserve">Landeiro, F., Harris, C., Groves, D., O’Neill, S., Jandu, K. S., Tacconi, E. M., ... &amp; Luengo-Fernández, R. (2024). The economic burden of cancer, coronary heart disease, </w:t>
      </w:r>
      <w:r w:rsidRPr="002B2640">
        <w:lastRenderedPageBreak/>
        <w:t>dementia, and stroke in England in 2018, with projection to 2050: an evaluation of two cohort studies. </w:t>
      </w:r>
      <w:r w:rsidRPr="002B2640">
        <w:rPr>
          <w:i/>
          <w:iCs/>
        </w:rPr>
        <w:t>The Lancet Healthy Longevity</w:t>
      </w:r>
      <w:r w:rsidRPr="002B2640">
        <w:t>, </w:t>
      </w:r>
      <w:r w:rsidRPr="002B2640">
        <w:rPr>
          <w:i/>
          <w:iCs/>
        </w:rPr>
        <w:t>5</w:t>
      </w:r>
      <w:r w:rsidRPr="002B2640">
        <w:t xml:space="preserve">(8), e514-e523. </w:t>
      </w:r>
      <w:hyperlink r:id="rId46" w:history="1">
        <w:r w:rsidRPr="002B2640">
          <w:rPr>
            <w:rStyle w:val="Hyperlink"/>
          </w:rPr>
          <w:t>https://doi.org/10.1016/S2666-7568(24)00108-9</w:t>
        </w:r>
      </w:hyperlink>
      <w:r w:rsidRPr="002B2640">
        <w:t xml:space="preserve"> </w:t>
      </w:r>
    </w:p>
    <w:p w14:paraId="26D9313D" w14:textId="77777777" w:rsidR="00924577" w:rsidRDefault="00924577" w:rsidP="00924577">
      <w:pPr>
        <w:ind w:left="720" w:hanging="720"/>
      </w:pPr>
    </w:p>
    <w:p w14:paraId="7542C2E7" w14:textId="77777777" w:rsidR="00924577" w:rsidRDefault="00924577" w:rsidP="00924577">
      <w:pPr>
        <w:ind w:left="720" w:hanging="720"/>
      </w:pPr>
      <w:r w:rsidRPr="001860A4">
        <w:t>Liao, X., Wang, Z., Zeng, Q., &amp; Zeng, Y. (2024). Loneliness and social isolation among informal carers of individuals with dementia: A systematic review and meta</w:t>
      </w:r>
      <w:r w:rsidRPr="001860A4">
        <w:rPr>
          <w:rFonts w:ascii="Cambria Math" w:hAnsi="Cambria Math" w:cs="Cambria Math"/>
        </w:rPr>
        <w:t>‐</w:t>
      </w:r>
      <w:r w:rsidRPr="001860A4">
        <w:t>analysis.</w:t>
      </w:r>
      <w:r w:rsidRPr="001860A4">
        <w:rPr>
          <w:rFonts w:ascii="Aptos" w:hAnsi="Aptos" w:cs="Aptos"/>
        </w:rPr>
        <w:t> </w:t>
      </w:r>
      <w:r w:rsidRPr="001860A4">
        <w:rPr>
          <w:i/>
          <w:iCs/>
        </w:rPr>
        <w:t>International Journal of Geriatric Psychiatry</w:t>
      </w:r>
      <w:r w:rsidRPr="001860A4">
        <w:t>, </w:t>
      </w:r>
      <w:r w:rsidRPr="001860A4">
        <w:rPr>
          <w:i/>
          <w:iCs/>
        </w:rPr>
        <w:t>39</w:t>
      </w:r>
      <w:r w:rsidRPr="001860A4">
        <w:t>(5), e6101.</w:t>
      </w:r>
      <w:r>
        <w:t xml:space="preserve"> </w:t>
      </w:r>
      <w:hyperlink r:id="rId47" w:history="1">
        <w:r w:rsidRPr="005112D7">
          <w:rPr>
            <w:rStyle w:val="Hyperlink"/>
          </w:rPr>
          <w:t>https://doi.org/10.1002/gps.6101</w:t>
        </w:r>
      </w:hyperlink>
      <w:r>
        <w:t xml:space="preserve"> </w:t>
      </w:r>
    </w:p>
    <w:p w14:paraId="1D3C1EA4" w14:textId="77777777" w:rsidR="00924577" w:rsidRDefault="00924577" w:rsidP="00924577">
      <w:pPr>
        <w:ind w:left="720" w:hanging="720"/>
      </w:pPr>
    </w:p>
    <w:p w14:paraId="267043D5" w14:textId="77777777" w:rsidR="00924577" w:rsidRDefault="00924577" w:rsidP="00924577">
      <w:pPr>
        <w:ind w:left="720" w:hanging="720"/>
      </w:pPr>
      <w:r w:rsidRPr="00DA5BBF">
        <w:t>Lindeza, P., Rodrigues, M., Costa, J., Guerreiro, M., &amp; Rosa, M. M. (2020). Impact of dementia on informal care: a systematic review of family caregivers’ perceptions. </w:t>
      </w:r>
      <w:r w:rsidRPr="00DA5BBF">
        <w:rPr>
          <w:i/>
          <w:iCs/>
        </w:rPr>
        <w:t>BMJ supportive &amp; palliative care</w:t>
      </w:r>
      <w:r w:rsidRPr="00DA5BBF">
        <w:t>, </w:t>
      </w:r>
      <w:r w:rsidRPr="00DA5BBF">
        <w:rPr>
          <w:i/>
          <w:iCs/>
        </w:rPr>
        <w:t>14</w:t>
      </w:r>
      <w:r w:rsidRPr="00DA5BBF">
        <w:t>(e1), e38-e49.</w:t>
      </w:r>
      <w:r>
        <w:t xml:space="preserve"> </w:t>
      </w:r>
      <w:hyperlink r:id="rId48" w:history="1">
        <w:r w:rsidRPr="00B71B68">
          <w:rPr>
            <w:rStyle w:val="Hyperlink"/>
          </w:rPr>
          <w:t>https://doi.org/10.1136/bmjspcare-2020-002242</w:t>
        </w:r>
      </w:hyperlink>
      <w:r>
        <w:t xml:space="preserve"> </w:t>
      </w:r>
    </w:p>
    <w:p w14:paraId="3BE71C71" w14:textId="77777777" w:rsidR="00924577" w:rsidRDefault="00924577" w:rsidP="00924577">
      <w:pPr>
        <w:ind w:left="720" w:hanging="720"/>
      </w:pPr>
    </w:p>
    <w:p w14:paraId="2C3B01A1" w14:textId="77777777" w:rsidR="00924577" w:rsidRDefault="00924577" w:rsidP="00924577">
      <w:pPr>
        <w:ind w:left="720" w:hanging="720"/>
      </w:pPr>
    </w:p>
    <w:p w14:paraId="6EBA4A83" w14:textId="77777777" w:rsidR="00924577" w:rsidRDefault="00924577" w:rsidP="00924577">
      <w:pPr>
        <w:ind w:left="720" w:hanging="720"/>
      </w:pPr>
      <w:r w:rsidRPr="00957444">
        <w:t>Mayrhofer, A. M., Greenwood, N., Smeeton, N., Almack, K., Buckingham, L., Shora, S., &amp; Goodman, C. (2021). Understanding the financial impact of a diagnosis of young onset dementia on individuals and families in the United Kingdom: Results of an online survey. </w:t>
      </w:r>
      <w:r w:rsidRPr="00957444">
        <w:rPr>
          <w:i/>
          <w:iCs/>
        </w:rPr>
        <w:t>Health &amp; social care in the community</w:t>
      </w:r>
      <w:r w:rsidRPr="00957444">
        <w:t>, </w:t>
      </w:r>
      <w:r w:rsidRPr="00957444">
        <w:rPr>
          <w:i/>
          <w:iCs/>
        </w:rPr>
        <w:t>29</w:t>
      </w:r>
      <w:r w:rsidRPr="00957444">
        <w:t>(3), 664-671.</w:t>
      </w:r>
      <w:r>
        <w:t xml:space="preserve"> </w:t>
      </w:r>
      <w:hyperlink r:id="rId49" w:history="1">
        <w:r w:rsidRPr="00B71B68">
          <w:rPr>
            <w:rStyle w:val="Hyperlink"/>
          </w:rPr>
          <w:t>https://doi.org/10.1111/hsc.13334</w:t>
        </w:r>
      </w:hyperlink>
      <w:r>
        <w:t xml:space="preserve"> </w:t>
      </w:r>
    </w:p>
    <w:p w14:paraId="7BC9794D" w14:textId="77777777" w:rsidR="00924577" w:rsidRDefault="00924577" w:rsidP="00924577">
      <w:pPr>
        <w:ind w:left="720" w:hanging="720"/>
      </w:pPr>
    </w:p>
    <w:p w14:paraId="7B3F6698" w14:textId="77777777" w:rsidR="00924577" w:rsidRDefault="00924577" w:rsidP="00924577">
      <w:pPr>
        <w:ind w:left="720" w:hanging="720"/>
      </w:pPr>
      <w:r w:rsidRPr="006036F4">
        <w:t>Merchant, R. A., Dong, Y. Q., Kumari, S., &amp; Murphy, D. (2025). Frailty, malnutrition, healthcare utilization, and mortality in patients with dementia and cognitive impairment obtained from hospital administrative data. </w:t>
      </w:r>
      <w:r w:rsidRPr="006036F4">
        <w:rPr>
          <w:i/>
          <w:iCs/>
        </w:rPr>
        <w:t>Frontiers in Medicine</w:t>
      </w:r>
      <w:r w:rsidRPr="006036F4">
        <w:t>, </w:t>
      </w:r>
      <w:r w:rsidRPr="006036F4">
        <w:rPr>
          <w:i/>
          <w:iCs/>
        </w:rPr>
        <w:t>12</w:t>
      </w:r>
      <w:r w:rsidRPr="006036F4">
        <w:t>, 1540050.</w:t>
      </w:r>
      <w:r>
        <w:t xml:space="preserve"> </w:t>
      </w:r>
      <w:hyperlink r:id="rId50" w:history="1">
        <w:r w:rsidRPr="00CC5B94">
          <w:rPr>
            <w:rStyle w:val="Hyperlink"/>
          </w:rPr>
          <w:t>https://doi.org/10.3389/fmed.2025.1540050</w:t>
        </w:r>
      </w:hyperlink>
      <w:r>
        <w:t xml:space="preserve"> </w:t>
      </w:r>
    </w:p>
    <w:p w14:paraId="4A4FDD83" w14:textId="77777777" w:rsidR="00924577" w:rsidRDefault="00924577" w:rsidP="00924577">
      <w:pPr>
        <w:ind w:left="720" w:hanging="720"/>
      </w:pPr>
    </w:p>
    <w:p w14:paraId="74F1D403" w14:textId="77777777" w:rsidR="00924577" w:rsidRDefault="00924577" w:rsidP="00924577">
      <w:pPr>
        <w:ind w:left="720" w:hanging="720"/>
      </w:pPr>
      <w:r w:rsidRPr="009D6CBA">
        <w:t>Montgomery, W., Goren, A., Kahle-Wrobleski, K., Nakamura, T., &amp; Ueda, K. (2018). Alzheimer’s disease severity and its association with patient and caregiver quality of life in Japan: results of a community-based survey. </w:t>
      </w:r>
      <w:r w:rsidRPr="009D6CBA">
        <w:rPr>
          <w:i/>
          <w:iCs/>
        </w:rPr>
        <w:t>BMC geriatrics</w:t>
      </w:r>
      <w:r w:rsidRPr="009D6CBA">
        <w:t>, </w:t>
      </w:r>
      <w:r w:rsidRPr="009D6CBA">
        <w:rPr>
          <w:i/>
          <w:iCs/>
        </w:rPr>
        <w:t>18</w:t>
      </w:r>
      <w:r w:rsidRPr="009D6CBA">
        <w:t>, 1-12.</w:t>
      </w:r>
      <w:r>
        <w:t xml:space="preserve"> </w:t>
      </w:r>
      <w:hyperlink r:id="rId51" w:history="1">
        <w:r w:rsidRPr="00020E27">
          <w:rPr>
            <w:rStyle w:val="Hyperlink"/>
          </w:rPr>
          <w:t>https://doi.org/10.1186/s12877-018-0831-2</w:t>
        </w:r>
      </w:hyperlink>
      <w:r>
        <w:t xml:space="preserve"> </w:t>
      </w:r>
    </w:p>
    <w:p w14:paraId="7C5F66BB" w14:textId="77777777" w:rsidR="00924577" w:rsidRDefault="00924577" w:rsidP="00924577">
      <w:pPr>
        <w:ind w:left="720" w:hanging="720"/>
      </w:pPr>
    </w:p>
    <w:p w14:paraId="72F506A5" w14:textId="77777777" w:rsidR="00924577" w:rsidRDefault="00924577" w:rsidP="00924577">
      <w:pPr>
        <w:ind w:left="720" w:hanging="720"/>
      </w:pPr>
      <w:r w:rsidRPr="00D52CFD">
        <w:t>Nemcikova, M., Katreniakova, Z., &amp; Nagyova, I. (2023). Social support, positive caregiving experience, and caregiver burden in informal caregivers of older adults with dementia. </w:t>
      </w:r>
      <w:r w:rsidRPr="00D52CFD">
        <w:rPr>
          <w:i/>
          <w:iCs/>
        </w:rPr>
        <w:t>Frontiers in Public Health</w:t>
      </w:r>
      <w:r w:rsidRPr="00D52CFD">
        <w:t>, </w:t>
      </w:r>
      <w:r w:rsidRPr="00D52CFD">
        <w:rPr>
          <w:i/>
          <w:iCs/>
        </w:rPr>
        <w:t>11</w:t>
      </w:r>
      <w:r w:rsidRPr="00D52CFD">
        <w:t>, 1104250</w:t>
      </w:r>
      <w:r>
        <w:t xml:space="preserve">. </w:t>
      </w:r>
      <w:hyperlink r:id="rId52" w:history="1">
        <w:r w:rsidRPr="00020E27">
          <w:rPr>
            <w:rStyle w:val="Hyperlink"/>
          </w:rPr>
          <w:t>https://doi.org/10.3389/fpubh.2023.1104250</w:t>
        </w:r>
      </w:hyperlink>
      <w:r>
        <w:t xml:space="preserve"> </w:t>
      </w:r>
    </w:p>
    <w:p w14:paraId="3D0CEBBE" w14:textId="77777777" w:rsidR="00924577" w:rsidRDefault="00924577" w:rsidP="00924577">
      <w:pPr>
        <w:ind w:left="720" w:hanging="720"/>
      </w:pPr>
    </w:p>
    <w:p w14:paraId="33BC9EFB" w14:textId="77777777" w:rsidR="00924577" w:rsidRPr="000B0A95" w:rsidRDefault="00924577" w:rsidP="00924577">
      <w:pPr>
        <w:ind w:left="720" w:hanging="720"/>
      </w:pPr>
      <w:r>
        <w:t xml:space="preserve">National institute for Health and Care Excellence. (2018). </w:t>
      </w:r>
      <w:r>
        <w:rPr>
          <w:i/>
          <w:iCs/>
        </w:rPr>
        <w:t xml:space="preserve">Dementia: assessment, management and support for people living with dementia and their carers. </w:t>
      </w:r>
      <w:hyperlink r:id="rId53" w:history="1">
        <w:r w:rsidRPr="000B0A95">
          <w:rPr>
            <w:rStyle w:val="Hyperlink"/>
          </w:rPr>
          <w:t>https://www.nice.org.uk/guidance/ng97</w:t>
        </w:r>
      </w:hyperlink>
      <w:r>
        <w:rPr>
          <w:i/>
          <w:iCs/>
        </w:rPr>
        <w:t xml:space="preserve"> </w:t>
      </w:r>
    </w:p>
    <w:p w14:paraId="662BDD8C" w14:textId="77777777" w:rsidR="00924577" w:rsidRDefault="00924577" w:rsidP="00924577">
      <w:pPr>
        <w:ind w:left="720" w:hanging="720"/>
      </w:pPr>
    </w:p>
    <w:p w14:paraId="3BDF1FF2" w14:textId="77777777" w:rsidR="00924577" w:rsidRPr="002B2640" w:rsidRDefault="00924577" w:rsidP="00924577">
      <w:pPr>
        <w:ind w:left="720" w:hanging="720"/>
      </w:pPr>
      <w:r w:rsidRPr="007E6D7E">
        <w:lastRenderedPageBreak/>
        <w:t>Norton, M. C., Clark, C., Fauth, E. B., Piercy, K. W., Pfister, R., Green, R. C., ... &amp; Tschanz, J. T. (2013). Caregiver personality predicts rate of cognitive decline in a community sample of persons with Alzheimer's disease. The Cache County Dementia Progression Study. </w:t>
      </w:r>
      <w:r w:rsidRPr="007E6D7E">
        <w:rPr>
          <w:i/>
          <w:iCs/>
        </w:rPr>
        <w:t>International Psychogeriatrics</w:t>
      </w:r>
      <w:r w:rsidRPr="007E6D7E">
        <w:t>, </w:t>
      </w:r>
      <w:r w:rsidRPr="007E6D7E">
        <w:rPr>
          <w:i/>
          <w:iCs/>
        </w:rPr>
        <w:t>25</w:t>
      </w:r>
      <w:r w:rsidRPr="007E6D7E">
        <w:t>(10), 1629-1637.</w:t>
      </w:r>
      <w:r>
        <w:t xml:space="preserve"> </w:t>
      </w:r>
      <w:hyperlink r:id="rId54" w:history="1">
        <w:r w:rsidRPr="00020E27">
          <w:rPr>
            <w:rStyle w:val="Hyperlink"/>
          </w:rPr>
          <w:t>https://doi:10.1017/S1041610213001105</w:t>
        </w:r>
      </w:hyperlink>
      <w:r>
        <w:t xml:space="preserve"> </w:t>
      </w:r>
    </w:p>
    <w:p w14:paraId="79D969D1" w14:textId="77777777" w:rsidR="00924577" w:rsidRPr="002B2640" w:rsidRDefault="00924577" w:rsidP="00924577">
      <w:pPr>
        <w:ind w:left="720" w:hanging="720"/>
      </w:pPr>
    </w:p>
    <w:p w14:paraId="24BD6E24" w14:textId="77777777" w:rsidR="00924577" w:rsidRDefault="00924577" w:rsidP="00924577">
      <w:pPr>
        <w:ind w:left="720" w:hanging="720"/>
      </w:pPr>
      <w:r w:rsidRPr="002B2640">
        <w:t>Pham, T. M., Petersen, I., Walters, K., Raine, R., Manthorpe, J., Mukadam, N., &amp; Cooper, C. (2018). Trends in dementia diagnosis rates in UK ethnic groups: analysis of UK primary care data. </w:t>
      </w:r>
      <w:r w:rsidRPr="002B2640">
        <w:rPr>
          <w:i/>
          <w:iCs/>
        </w:rPr>
        <w:t>Clinical epidemiology</w:t>
      </w:r>
      <w:r w:rsidRPr="002B2640">
        <w:t xml:space="preserve">, 949-960. </w:t>
      </w:r>
      <w:hyperlink r:id="rId55" w:history="1">
        <w:r w:rsidRPr="002B2640">
          <w:rPr>
            <w:rStyle w:val="Hyperlink"/>
          </w:rPr>
          <w:t>https://doi.org/10.2147/CLEP.S152647</w:t>
        </w:r>
      </w:hyperlink>
    </w:p>
    <w:p w14:paraId="12370E42" w14:textId="77777777" w:rsidR="00924577" w:rsidRDefault="00924577" w:rsidP="00924577">
      <w:pPr>
        <w:ind w:left="720" w:hanging="720"/>
      </w:pPr>
    </w:p>
    <w:p w14:paraId="652AAFC6" w14:textId="77777777" w:rsidR="00924577" w:rsidRDefault="00924577" w:rsidP="00924577">
      <w:pPr>
        <w:ind w:left="720" w:hanging="720"/>
      </w:pPr>
      <w:r w:rsidRPr="0037505C">
        <w:t>Stamou, V., Fontaine, J. L., O’Malley, M., Jones, B., Gage, H., Parkes, J., ... &amp; Oyebode, J. (2021). The nature of positive post-diagnostic support as experienced by people with young onset dementia. </w:t>
      </w:r>
      <w:r w:rsidRPr="0037505C">
        <w:rPr>
          <w:i/>
          <w:iCs/>
        </w:rPr>
        <w:t>Aging &amp; mental health</w:t>
      </w:r>
      <w:r w:rsidRPr="0037505C">
        <w:t>, </w:t>
      </w:r>
      <w:r w:rsidRPr="0037505C">
        <w:rPr>
          <w:i/>
          <w:iCs/>
        </w:rPr>
        <w:t>25</w:t>
      </w:r>
      <w:r w:rsidRPr="0037505C">
        <w:t>(6), 1125-1133.</w:t>
      </w:r>
      <w:r>
        <w:t xml:space="preserve"> </w:t>
      </w:r>
      <w:hyperlink r:id="rId56" w:history="1">
        <w:r w:rsidRPr="005112D7">
          <w:rPr>
            <w:rStyle w:val="Hyperlink"/>
          </w:rPr>
          <w:t>https://doi.org/10.1080/13607863.2020.1727854</w:t>
        </w:r>
      </w:hyperlink>
      <w:r>
        <w:t xml:space="preserve"> </w:t>
      </w:r>
    </w:p>
    <w:p w14:paraId="31A628CE" w14:textId="77777777" w:rsidR="00924577" w:rsidRDefault="00924577" w:rsidP="00924577">
      <w:pPr>
        <w:ind w:left="720" w:hanging="720"/>
      </w:pPr>
    </w:p>
    <w:p w14:paraId="4E783390" w14:textId="77777777" w:rsidR="00924577" w:rsidRPr="002B2640" w:rsidRDefault="00924577" w:rsidP="00924577">
      <w:pPr>
        <w:ind w:left="720" w:hanging="720"/>
      </w:pPr>
      <w:r>
        <w:t>V</w:t>
      </w:r>
      <w:r w:rsidRPr="00750EC9">
        <w:t>an Wezel, N., Francke, A. L., Kayan-Acun, E., LJM Devillé, W., van Grondelle, N. J., &amp; Blom, M. M. (2016). Family care for immigrants with dementia: The perspectives of female family carers living in the Netherlands. </w:t>
      </w:r>
      <w:r w:rsidRPr="00750EC9">
        <w:rPr>
          <w:i/>
          <w:iCs/>
        </w:rPr>
        <w:t>Dementia</w:t>
      </w:r>
      <w:r w:rsidRPr="00750EC9">
        <w:t>, </w:t>
      </w:r>
      <w:r w:rsidRPr="00750EC9">
        <w:rPr>
          <w:i/>
          <w:iCs/>
        </w:rPr>
        <w:t>15</w:t>
      </w:r>
      <w:r w:rsidRPr="00750EC9">
        <w:t>(1), 69-84.</w:t>
      </w:r>
      <w:r>
        <w:t xml:space="preserve"> </w:t>
      </w:r>
      <w:hyperlink r:id="rId57" w:history="1">
        <w:r w:rsidRPr="00951C09">
          <w:rPr>
            <w:rStyle w:val="Hyperlink"/>
          </w:rPr>
          <w:t>https://doi.org/10.1177/1471301213517703</w:t>
        </w:r>
      </w:hyperlink>
      <w:r>
        <w:t xml:space="preserve"> </w:t>
      </w:r>
    </w:p>
    <w:p w14:paraId="745EF526" w14:textId="77777777" w:rsidR="00924577" w:rsidRDefault="00924577" w:rsidP="00924577">
      <w:pPr>
        <w:rPr>
          <w:b/>
          <w:bCs/>
          <w:u w:val="single"/>
        </w:rPr>
      </w:pPr>
    </w:p>
    <w:p w14:paraId="79EFAAD6" w14:textId="77777777" w:rsidR="00924577" w:rsidRPr="001233EA" w:rsidRDefault="00924577" w:rsidP="00924577">
      <w:pPr>
        <w:ind w:left="720" w:hanging="720"/>
      </w:pPr>
      <w:r w:rsidRPr="001233EA">
        <w:t>Wang, J., Li, X., Liu, W., Yang, B., Zhao, Q., Lü, Y., &amp; Xiao, M. (2022). The positive aspects of caregiving in dementia: a scoping review and bibliometric analysis. </w:t>
      </w:r>
      <w:r w:rsidRPr="001233EA">
        <w:rPr>
          <w:i/>
          <w:iCs/>
        </w:rPr>
        <w:t>Frontiers in Public Health</w:t>
      </w:r>
      <w:r w:rsidRPr="001233EA">
        <w:t>, </w:t>
      </w:r>
      <w:r w:rsidRPr="001233EA">
        <w:rPr>
          <w:i/>
          <w:iCs/>
        </w:rPr>
        <w:t>10</w:t>
      </w:r>
      <w:r w:rsidRPr="001233EA">
        <w:t xml:space="preserve">, 985391. </w:t>
      </w:r>
      <w:hyperlink r:id="rId58" w:history="1">
        <w:r w:rsidRPr="001233EA">
          <w:rPr>
            <w:rStyle w:val="Hyperlink"/>
          </w:rPr>
          <w:t>https://doi.org/10.3389/fpubh.2022.985391</w:t>
        </w:r>
      </w:hyperlink>
      <w:r w:rsidRPr="001233EA">
        <w:t xml:space="preserve"> </w:t>
      </w:r>
    </w:p>
    <w:p w14:paraId="7A79D3A4" w14:textId="77777777" w:rsidR="00924577" w:rsidRDefault="00924577" w:rsidP="00924577">
      <w:pPr>
        <w:rPr>
          <w:b/>
          <w:bCs/>
          <w:u w:val="single"/>
        </w:rPr>
      </w:pPr>
    </w:p>
    <w:p w14:paraId="2EB93D2E" w14:textId="77777777" w:rsidR="00924577" w:rsidRPr="000477F2" w:rsidRDefault="00924577" w:rsidP="00924577">
      <w:pPr>
        <w:spacing w:line="276" w:lineRule="auto"/>
        <w:ind w:left="720" w:hanging="720"/>
      </w:pPr>
      <w:r w:rsidRPr="000477F2">
        <w:t>Wimo, A., Seeher, K., Cataldi, R., Cyhlarova, E., Dielemann, J. L., Frisell, O., ... &amp; Dua, T. (2023). The worldwide costs of dementia in 2019. </w:t>
      </w:r>
      <w:r w:rsidRPr="000477F2">
        <w:rPr>
          <w:i/>
          <w:iCs/>
        </w:rPr>
        <w:t>Alzheimer's &amp; dementia</w:t>
      </w:r>
      <w:r w:rsidRPr="000477F2">
        <w:t>, </w:t>
      </w:r>
      <w:r w:rsidRPr="000477F2">
        <w:rPr>
          <w:i/>
          <w:iCs/>
        </w:rPr>
        <w:t>19</w:t>
      </w:r>
      <w:r w:rsidRPr="000477F2">
        <w:t>(7), 2865-2873.</w:t>
      </w:r>
      <w:r>
        <w:t xml:space="preserve"> </w:t>
      </w:r>
      <w:hyperlink r:id="rId59" w:history="1">
        <w:r w:rsidRPr="00020E27">
          <w:rPr>
            <w:rStyle w:val="Hyperlink"/>
          </w:rPr>
          <w:t>https://doi.org/10.1002/alz.12901</w:t>
        </w:r>
      </w:hyperlink>
      <w:r>
        <w:t xml:space="preserve"> </w:t>
      </w:r>
    </w:p>
    <w:p w14:paraId="136CD845" w14:textId="77777777" w:rsidR="00924577" w:rsidRDefault="00924577" w:rsidP="00924577"/>
    <w:p w14:paraId="51B17847" w14:textId="77777777" w:rsidR="00924577" w:rsidRPr="000477F2" w:rsidRDefault="00924577" w:rsidP="00924577">
      <w:pPr>
        <w:ind w:left="720" w:hanging="720"/>
      </w:pPr>
      <w:r w:rsidRPr="001860A4">
        <w:t>Zhao, W., Jones, C., Wu, M. L., &amp; Moyle, W. (2022). Healthcare professionals' dementia knowledge and attitudes towards dementia care and family carers' perceptions of dementia care in China: An integrative review. </w:t>
      </w:r>
      <w:r w:rsidRPr="001860A4">
        <w:rPr>
          <w:i/>
          <w:iCs/>
        </w:rPr>
        <w:t>Journal of Clinical Nursing</w:t>
      </w:r>
      <w:r w:rsidRPr="001860A4">
        <w:t>, </w:t>
      </w:r>
      <w:r w:rsidRPr="001860A4">
        <w:rPr>
          <w:i/>
          <w:iCs/>
        </w:rPr>
        <w:t>31</w:t>
      </w:r>
      <w:r w:rsidRPr="001860A4">
        <w:t>(13-14), 1753-1775.</w:t>
      </w:r>
      <w:r>
        <w:t xml:space="preserve"> </w:t>
      </w:r>
      <w:hyperlink r:id="rId60" w:history="1">
        <w:r w:rsidRPr="005112D7">
          <w:rPr>
            <w:rStyle w:val="Hyperlink"/>
          </w:rPr>
          <w:t>https://doi.org/10.1111/jocn.15451</w:t>
        </w:r>
      </w:hyperlink>
      <w:r>
        <w:t xml:space="preserve"> </w:t>
      </w:r>
    </w:p>
    <w:p w14:paraId="206011E3" w14:textId="77777777" w:rsidR="00924577" w:rsidRDefault="00924577" w:rsidP="00924577"/>
    <w:p w14:paraId="209AFFFE" w14:textId="77777777" w:rsidR="00924577" w:rsidRDefault="00924577" w:rsidP="00924577"/>
    <w:p w14:paraId="7361517A" w14:textId="77777777" w:rsidR="00924577" w:rsidRPr="00924577" w:rsidRDefault="00924577" w:rsidP="00924577">
      <w:pPr>
        <w:tabs>
          <w:tab w:val="left" w:pos="2210"/>
        </w:tabs>
        <w:jc w:val="center"/>
        <w:rPr>
          <w:rFonts w:ascii="Amasis MT Pro Black" w:hAnsi="Amasis MT Pro Black"/>
          <w:sz w:val="28"/>
          <w:szCs w:val="28"/>
        </w:rPr>
      </w:pPr>
    </w:p>
    <w:sectPr w:rsidR="00924577" w:rsidRPr="00924577" w:rsidSect="002A042B">
      <w:headerReference w:type="default" r:id="rId61"/>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14ACA0" w14:textId="77777777" w:rsidR="00D61975" w:rsidRDefault="00D61975" w:rsidP="00676C16">
      <w:pPr>
        <w:spacing w:after="0" w:line="240" w:lineRule="auto"/>
      </w:pPr>
      <w:r>
        <w:separator/>
      </w:r>
    </w:p>
  </w:endnote>
  <w:endnote w:type="continuationSeparator" w:id="0">
    <w:p w14:paraId="2FFDF04C" w14:textId="77777777" w:rsidR="00D61975" w:rsidRDefault="00D61975" w:rsidP="00676C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Amasis MT Pro">
    <w:charset w:val="00"/>
    <w:family w:val="roman"/>
    <w:pitch w:val="variable"/>
    <w:sig w:usb0="A00000AF" w:usb1="4000205B"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14757A" w14:textId="77777777" w:rsidR="0035453C" w:rsidRDefault="0035453C">
    <w:pPr>
      <w:pStyle w:val="Footer"/>
    </w:pPr>
  </w:p>
  <w:p w14:paraId="6F385D09" w14:textId="77777777" w:rsidR="0035453C" w:rsidRDefault="003545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0B6B4A" w14:textId="77777777" w:rsidR="00D61975" w:rsidRDefault="00D61975" w:rsidP="00676C16">
      <w:pPr>
        <w:spacing w:after="0" w:line="240" w:lineRule="auto"/>
      </w:pPr>
      <w:r>
        <w:separator/>
      </w:r>
    </w:p>
  </w:footnote>
  <w:footnote w:type="continuationSeparator" w:id="0">
    <w:p w14:paraId="7B0E28B9" w14:textId="77777777" w:rsidR="00D61975" w:rsidRDefault="00D61975" w:rsidP="00676C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571E88" w14:textId="59BB380C" w:rsidR="002A042B" w:rsidRDefault="002A042B">
    <w:pPr>
      <w:pStyle w:val="Header"/>
    </w:pPr>
    <w:r>
      <w:rPr>
        <w:noProof/>
      </w:rPr>
      <mc:AlternateContent>
        <mc:Choice Requires="wps">
          <w:drawing>
            <wp:anchor distT="0" distB="0" distL="114300" distR="114300" simplePos="0" relativeHeight="251659264" behindDoc="0" locked="0" layoutInCell="1" allowOverlap="1" wp14:anchorId="7E620EC1" wp14:editId="3E6644A7">
              <wp:simplePos x="0" y="0"/>
              <wp:positionH relativeFrom="column">
                <wp:posOffset>-905347</wp:posOffset>
              </wp:positionH>
              <wp:positionV relativeFrom="paragraph">
                <wp:posOffset>-458634</wp:posOffset>
              </wp:positionV>
              <wp:extent cx="7604911" cy="10674035"/>
              <wp:effectExtent l="0" t="0" r="15240" b="13335"/>
              <wp:wrapNone/>
              <wp:docPr id="1720200686" name="Rectangle 10"/>
              <wp:cNvGraphicFramePr/>
              <a:graphic xmlns:a="http://schemas.openxmlformats.org/drawingml/2006/main">
                <a:graphicData uri="http://schemas.microsoft.com/office/word/2010/wordprocessingShape">
                  <wps:wsp>
                    <wps:cNvSpPr/>
                    <wps:spPr>
                      <a:xfrm>
                        <a:off x="0" y="0"/>
                        <a:ext cx="7604911" cy="10674035"/>
                      </a:xfrm>
                      <a:prstGeom prst="rect">
                        <a:avLst/>
                      </a:prstGeom>
                      <a:solidFill>
                        <a:schemeClr val="accent1">
                          <a:lumMod val="20000"/>
                          <a:lumOff val="80000"/>
                        </a:schemeClr>
                      </a:solidFill>
                      <a:ln>
                        <a:solidFill>
                          <a:schemeClr val="accent1">
                            <a:lumMod val="20000"/>
                            <a:lumOff val="8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29605" id="Rectangle 10" o:spid="_x0000_s1026" style="position:absolute;margin-left:-71.3pt;margin-top:-36.1pt;width:598.8pt;height:84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" fillcolor="#c1e4f5 [660]" strokecolor="#c1e4f5 [660]" strokeweight="1p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E2B2FA" w14:textId="4F661F41" w:rsidR="002A042B" w:rsidRDefault="002A04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A60E1"/>
    <w:multiLevelType w:val="hybridMultilevel"/>
    <w:tmpl w:val="89D2A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A74D9E"/>
    <w:multiLevelType w:val="hybridMultilevel"/>
    <w:tmpl w:val="4F305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62067C"/>
    <w:multiLevelType w:val="hybridMultilevel"/>
    <w:tmpl w:val="9E2C8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5836698">
    <w:abstractNumId w:val="0"/>
  </w:num>
  <w:num w:numId="2" w16cid:durableId="172257992">
    <w:abstractNumId w:val="1"/>
  </w:num>
  <w:num w:numId="3" w16cid:durableId="12156956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defaultTabStop w:val="720"/>
  <w:characterSpacingControl w:val="doNotCompress"/>
  <w:hdrShapeDefaults>
    <o:shapedefaults v:ext="edit" spidmax="2050">
      <o:colormru v:ext="edit" colors="#fcc"/>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858"/>
    <w:rsid w:val="00094858"/>
    <w:rsid w:val="000A12AF"/>
    <w:rsid w:val="000B1BB3"/>
    <w:rsid w:val="000C424F"/>
    <w:rsid w:val="000D6E33"/>
    <w:rsid w:val="000E00F9"/>
    <w:rsid w:val="00110985"/>
    <w:rsid w:val="001460AA"/>
    <w:rsid w:val="00160B62"/>
    <w:rsid w:val="00241F68"/>
    <w:rsid w:val="00255D71"/>
    <w:rsid w:val="0027188E"/>
    <w:rsid w:val="002A042B"/>
    <w:rsid w:val="002A4929"/>
    <w:rsid w:val="002C2E38"/>
    <w:rsid w:val="002D6E07"/>
    <w:rsid w:val="002E1AA4"/>
    <w:rsid w:val="003302E2"/>
    <w:rsid w:val="0035453C"/>
    <w:rsid w:val="003C7F11"/>
    <w:rsid w:val="003E5182"/>
    <w:rsid w:val="003F51CE"/>
    <w:rsid w:val="00431AB7"/>
    <w:rsid w:val="00481F04"/>
    <w:rsid w:val="004903FC"/>
    <w:rsid w:val="00494C24"/>
    <w:rsid w:val="00545D30"/>
    <w:rsid w:val="00554C1D"/>
    <w:rsid w:val="005B34F6"/>
    <w:rsid w:val="005C429E"/>
    <w:rsid w:val="006016A0"/>
    <w:rsid w:val="00617BBC"/>
    <w:rsid w:val="00631800"/>
    <w:rsid w:val="00662125"/>
    <w:rsid w:val="00676C16"/>
    <w:rsid w:val="006B4F3C"/>
    <w:rsid w:val="006E2BBE"/>
    <w:rsid w:val="006F338A"/>
    <w:rsid w:val="00711BC6"/>
    <w:rsid w:val="00713731"/>
    <w:rsid w:val="007427B6"/>
    <w:rsid w:val="00752037"/>
    <w:rsid w:val="007C4C93"/>
    <w:rsid w:val="007D67EC"/>
    <w:rsid w:val="007E1362"/>
    <w:rsid w:val="008534C0"/>
    <w:rsid w:val="008542AD"/>
    <w:rsid w:val="008921F3"/>
    <w:rsid w:val="00924577"/>
    <w:rsid w:val="00982D93"/>
    <w:rsid w:val="0098702D"/>
    <w:rsid w:val="00A059B9"/>
    <w:rsid w:val="00A1611D"/>
    <w:rsid w:val="00AC4AD0"/>
    <w:rsid w:val="00AF288C"/>
    <w:rsid w:val="00B14630"/>
    <w:rsid w:val="00B30681"/>
    <w:rsid w:val="00B42F2D"/>
    <w:rsid w:val="00B474B9"/>
    <w:rsid w:val="00B8644C"/>
    <w:rsid w:val="00B97A47"/>
    <w:rsid w:val="00BC68A0"/>
    <w:rsid w:val="00BE0F6E"/>
    <w:rsid w:val="00BE416E"/>
    <w:rsid w:val="00BF4896"/>
    <w:rsid w:val="00D269F2"/>
    <w:rsid w:val="00D40F08"/>
    <w:rsid w:val="00D61975"/>
    <w:rsid w:val="00DC020F"/>
    <w:rsid w:val="00E02733"/>
    <w:rsid w:val="00E37E90"/>
    <w:rsid w:val="00E61258"/>
    <w:rsid w:val="00EA277E"/>
    <w:rsid w:val="00F078D3"/>
    <w:rsid w:val="00F41309"/>
    <w:rsid w:val="00F726E0"/>
    <w:rsid w:val="00FE719C"/>
    <w:rsid w:val="00FF1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cc"/>
    </o:shapedefaults>
    <o:shapelayout v:ext="edit">
      <o:idmap v:ext="edit" data="2"/>
    </o:shapelayout>
  </w:shapeDefaults>
  <w:decimalSymbol w:val="."/>
  <w:listSeparator w:val=","/>
  <w14:docId w14:val="64210949"/>
  <w15:chartTrackingRefBased/>
  <w15:docId w15:val="{F0EB0055-4638-4F2F-8C2F-FDD646444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4577"/>
  </w:style>
  <w:style w:type="paragraph" w:styleId="Heading1">
    <w:name w:val="heading 1"/>
    <w:basedOn w:val="Normal"/>
    <w:next w:val="Normal"/>
    <w:link w:val="Heading1Char"/>
    <w:uiPriority w:val="9"/>
    <w:qFormat/>
    <w:rsid w:val="000948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48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48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48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48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48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48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48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48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8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48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48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48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48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48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48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48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4858"/>
    <w:rPr>
      <w:rFonts w:eastAsiaTheme="majorEastAsia" w:cstheme="majorBidi"/>
      <w:color w:val="272727" w:themeColor="text1" w:themeTint="D8"/>
    </w:rPr>
  </w:style>
  <w:style w:type="paragraph" w:styleId="Title">
    <w:name w:val="Title"/>
    <w:basedOn w:val="Normal"/>
    <w:next w:val="Normal"/>
    <w:link w:val="TitleChar"/>
    <w:uiPriority w:val="10"/>
    <w:qFormat/>
    <w:rsid w:val="000948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8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8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48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4858"/>
    <w:pPr>
      <w:spacing w:before="160"/>
      <w:jc w:val="center"/>
    </w:pPr>
    <w:rPr>
      <w:i/>
      <w:iCs/>
      <w:color w:val="404040" w:themeColor="text1" w:themeTint="BF"/>
    </w:rPr>
  </w:style>
  <w:style w:type="character" w:customStyle="1" w:styleId="QuoteChar">
    <w:name w:val="Quote Char"/>
    <w:basedOn w:val="DefaultParagraphFont"/>
    <w:link w:val="Quote"/>
    <w:uiPriority w:val="29"/>
    <w:rsid w:val="00094858"/>
    <w:rPr>
      <w:i/>
      <w:iCs/>
      <w:color w:val="404040" w:themeColor="text1" w:themeTint="BF"/>
    </w:rPr>
  </w:style>
  <w:style w:type="paragraph" w:styleId="ListParagraph">
    <w:name w:val="List Paragraph"/>
    <w:basedOn w:val="Normal"/>
    <w:uiPriority w:val="34"/>
    <w:qFormat/>
    <w:rsid w:val="00094858"/>
    <w:pPr>
      <w:ind w:left="720"/>
      <w:contextualSpacing/>
    </w:pPr>
  </w:style>
  <w:style w:type="character" w:styleId="IntenseEmphasis">
    <w:name w:val="Intense Emphasis"/>
    <w:basedOn w:val="DefaultParagraphFont"/>
    <w:uiPriority w:val="21"/>
    <w:qFormat/>
    <w:rsid w:val="00094858"/>
    <w:rPr>
      <w:i/>
      <w:iCs/>
      <w:color w:val="0F4761" w:themeColor="accent1" w:themeShade="BF"/>
    </w:rPr>
  </w:style>
  <w:style w:type="paragraph" w:styleId="IntenseQuote">
    <w:name w:val="Intense Quote"/>
    <w:basedOn w:val="Normal"/>
    <w:next w:val="Normal"/>
    <w:link w:val="IntenseQuoteChar"/>
    <w:uiPriority w:val="30"/>
    <w:qFormat/>
    <w:rsid w:val="000948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4858"/>
    <w:rPr>
      <w:i/>
      <w:iCs/>
      <w:color w:val="0F4761" w:themeColor="accent1" w:themeShade="BF"/>
    </w:rPr>
  </w:style>
  <w:style w:type="character" w:styleId="IntenseReference">
    <w:name w:val="Intense Reference"/>
    <w:basedOn w:val="DefaultParagraphFont"/>
    <w:uiPriority w:val="32"/>
    <w:qFormat/>
    <w:rsid w:val="00094858"/>
    <w:rPr>
      <w:b/>
      <w:bCs/>
      <w:smallCaps/>
      <w:color w:val="0F4761" w:themeColor="accent1" w:themeShade="BF"/>
      <w:spacing w:val="5"/>
    </w:rPr>
  </w:style>
  <w:style w:type="paragraph" w:styleId="Header">
    <w:name w:val="header"/>
    <w:basedOn w:val="Normal"/>
    <w:link w:val="HeaderChar"/>
    <w:uiPriority w:val="99"/>
    <w:unhideWhenUsed/>
    <w:rsid w:val="00676C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6C16"/>
  </w:style>
  <w:style w:type="paragraph" w:styleId="Footer">
    <w:name w:val="footer"/>
    <w:basedOn w:val="Normal"/>
    <w:link w:val="FooterChar"/>
    <w:uiPriority w:val="99"/>
    <w:unhideWhenUsed/>
    <w:rsid w:val="00676C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6C16"/>
  </w:style>
  <w:style w:type="character" w:styleId="Hyperlink">
    <w:name w:val="Hyperlink"/>
    <w:basedOn w:val="DefaultParagraphFont"/>
    <w:uiPriority w:val="99"/>
    <w:unhideWhenUsed/>
    <w:rsid w:val="00AF288C"/>
    <w:rPr>
      <w:color w:val="467886" w:themeColor="hyperlink"/>
      <w:u w:val="single"/>
    </w:rPr>
  </w:style>
  <w:style w:type="character" w:styleId="UnresolvedMention">
    <w:name w:val="Unresolved Mention"/>
    <w:basedOn w:val="DefaultParagraphFont"/>
    <w:uiPriority w:val="99"/>
    <w:semiHidden/>
    <w:unhideWhenUsed/>
    <w:rsid w:val="00AF28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hyperlink" Target="https://www.alzheimers.org.uk/news/2024-11-22/carers-uks-state-caring-2021-report-alzheimers-society-responds" TargetMode="External"/><Relationship Id="rId21" Type="http://schemas.openxmlformats.org/officeDocument/2006/relationships/image" Target="media/image13.png"/><Relationship Id="rId34" Type="http://schemas.openxmlformats.org/officeDocument/2006/relationships/hyperlink" Target="https://mminpt.co.uk/" TargetMode="External"/><Relationship Id="rId42" Type="http://schemas.openxmlformats.org/officeDocument/2006/relationships/hyperlink" Target="https://doi.org/10.5498/wjp.v12.i1.59" TargetMode="External"/><Relationship Id="rId47" Type="http://schemas.openxmlformats.org/officeDocument/2006/relationships/hyperlink" Target="https://doi.org/10.1002/gps.6101" TargetMode="External"/><Relationship Id="rId50" Type="http://schemas.openxmlformats.org/officeDocument/2006/relationships/hyperlink" Target="https://doi.org/10.3389/fmed.2025.1540050" TargetMode="External"/><Relationship Id="rId55" Type="http://schemas.openxmlformats.org/officeDocument/2006/relationships/hyperlink" Target="https://doi.org/10.2147/CLEP.S152647"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jpeg"/><Relationship Id="rId41" Type="http://schemas.openxmlformats.org/officeDocument/2006/relationships/hyperlink" Target="https://doi.org/10.1002/gps.5814" TargetMode="External"/><Relationship Id="rId54" Type="http://schemas.openxmlformats.org/officeDocument/2006/relationships/hyperlink" Target="https://doi:10.1017/S1041610213001105"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6.jpeg"/><Relationship Id="rId32" Type="http://schemas.openxmlformats.org/officeDocument/2006/relationships/hyperlink" Target="https://register-of-charities.charitycommission.gov.uk/en/charity-search/-/charity-details/5040228" TargetMode="External"/><Relationship Id="rId37" Type="http://schemas.openxmlformats.org/officeDocument/2006/relationships/footer" Target="footer1.xml"/><Relationship Id="rId40" Type="http://schemas.openxmlformats.org/officeDocument/2006/relationships/hyperlink" Target="https://doi.org/10.3399/BJGP.2021.0413" TargetMode="External"/><Relationship Id="rId45" Type="http://schemas.openxmlformats.org/officeDocument/2006/relationships/hyperlink" Target="https://doi.org/10.1016/j.jamda.2022.01.084" TargetMode="External"/><Relationship Id="rId53" Type="http://schemas.openxmlformats.org/officeDocument/2006/relationships/hyperlink" Target="https://www.nice.org.uk/guidance/ng97" TargetMode="External"/><Relationship Id="rId58" Type="http://schemas.openxmlformats.org/officeDocument/2006/relationships/hyperlink" Target="https://doi.org/10.3389/fpubh.2022.985391"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header" Target="header1.xml"/><Relationship Id="rId49" Type="http://schemas.openxmlformats.org/officeDocument/2006/relationships/hyperlink" Target="https://doi.org/10.1111/hsc.13334" TargetMode="External"/><Relationship Id="rId57" Type="http://schemas.openxmlformats.org/officeDocument/2006/relationships/hyperlink" Target="https://doi.org/10.1177/1471301213517703" TargetMode="External"/><Relationship Id="rId61"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image" Target="media/image11.png"/><Relationship Id="rId31" Type="http://schemas.openxmlformats.org/officeDocument/2006/relationships/hyperlink" Target="https://www.alzheimers.org.uk/find-support-near-you" TargetMode="External"/><Relationship Id="rId44" Type="http://schemas.openxmlformats.org/officeDocument/2006/relationships/hyperlink" Target="https://doi.org/10.1038/s41582-018-0070-3" TargetMode="External"/><Relationship Id="rId52" Type="http://schemas.openxmlformats.org/officeDocument/2006/relationships/hyperlink" Target="https://doi.org/10.3389/fpubh.2023.1104250" TargetMode="External"/><Relationship Id="rId60" Type="http://schemas.openxmlformats.org/officeDocument/2006/relationships/hyperlink" Target="https://doi.org/10.1111/jocn.1545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svgsilh.com/image/149314.html" TargetMode="External"/><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research.senedd.wales/research-articles/planning-ahead-dementia-services-in-wales/" TargetMode="External"/><Relationship Id="rId43" Type="http://schemas.openxmlformats.org/officeDocument/2006/relationships/hyperlink" Target="https://doi.org/10.1080/15402002.2020.1835662" TargetMode="External"/><Relationship Id="rId48" Type="http://schemas.openxmlformats.org/officeDocument/2006/relationships/hyperlink" Target="https://doi.org/10.1136/bmjspcare-2020-002242" TargetMode="External"/><Relationship Id="rId56" Type="http://schemas.openxmlformats.org/officeDocument/2006/relationships/hyperlink" Target="https://doi.org/10.1080/13607863.2020.1727854" TargetMode="External"/><Relationship Id="rId8" Type="http://schemas.openxmlformats.org/officeDocument/2006/relationships/image" Target="media/image1.jpeg"/><Relationship Id="rId51" Type="http://schemas.openxmlformats.org/officeDocument/2006/relationships/hyperlink" Target="https://doi.org/10.1186/s12877-018-0831-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churchillsdaycentre.co.uk/" TargetMode="External"/><Relationship Id="rId38" Type="http://schemas.openxmlformats.org/officeDocument/2006/relationships/hyperlink" Target="https://doi.org/10.1111/phn.13398" TargetMode="External"/><Relationship Id="rId46" Type="http://schemas.openxmlformats.org/officeDocument/2006/relationships/hyperlink" Target="https://doi.org/10.1016/S2666-7568(24)00108-9" TargetMode="External"/><Relationship Id="rId59" Type="http://schemas.openxmlformats.org/officeDocument/2006/relationships/hyperlink" Target="https://doi.org/10.1002/alz.129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4EFB9B-2F24-41E9-8D66-33007B10E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20</Pages>
  <Words>3395</Words>
  <Characters>19352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Reynolds (2015091)</dc:creator>
  <cp:keywords/>
  <dc:description/>
  <cp:lastModifiedBy>Stephanie Reynolds (2015091)</cp:lastModifiedBy>
  <cp:revision>53</cp:revision>
  <dcterms:created xsi:type="dcterms:W3CDTF">2025-03-06T19:45:00Z</dcterms:created>
  <dcterms:modified xsi:type="dcterms:W3CDTF">2025-05-12T19:51:00Z</dcterms:modified>
</cp:coreProperties>
</file>