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1A3360" w14:textId="77777777" w:rsidR="008F6437" w:rsidRDefault="008F6437" w:rsidP="003A726C">
      <w:pPr>
        <w:spacing w:line="259" w:lineRule="auto"/>
        <w:jc w:val="center"/>
        <w:rPr>
          <w:b/>
          <w:bCs/>
          <w:sz w:val="28"/>
          <w:szCs w:val="24"/>
        </w:rPr>
      </w:pPr>
      <w:r w:rsidRPr="00A67584">
        <w:rPr>
          <w:rFonts w:ascii="Times New Roman" w:eastAsia="Arial MT" w:hAnsi="Arial MT" w:cs="Arial MT"/>
          <w:noProof/>
          <w:sz w:val="20"/>
          <w:lang w:eastAsia="en-GB"/>
        </w:rPr>
        <w:drawing>
          <wp:inline distT="0" distB="0" distL="0" distR="0" wp14:anchorId="51A3AAE3" wp14:editId="0EDF9DAF">
            <wp:extent cx="1814516" cy="6000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1814516" cy="600075"/>
                    </a:xfrm>
                    <a:prstGeom prst="rect">
                      <a:avLst/>
                    </a:prstGeom>
                  </pic:spPr>
                </pic:pic>
              </a:graphicData>
            </a:graphic>
          </wp:inline>
        </w:drawing>
      </w:r>
    </w:p>
    <w:p w14:paraId="2650939A" w14:textId="77777777" w:rsidR="008F6437" w:rsidRDefault="008F6437" w:rsidP="003A726C">
      <w:pPr>
        <w:spacing w:line="259" w:lineRule="auto"/>
        <w:jc w:val="center"/>
        <w:rPr>
          <w:b/>
          <w:bCs/>
          <w:sz w:val="28"/>
          <w:szCs w:val="24"/>
        </w:rPr>
      </w:pPr>
    </w:p>
    <w:p w14:paraId="0975C89C" w14:textId="77777777" w:rsidR="008F6437" w:rsidRDefault="008F6437" w:rsidP="003A726C">
      <w:pPr>
        <w:spacing w:line="259" w:lineRule="auto"/>
        <w:jc w:val="center"/>
        <w:rPr>
          <w:b/>
          <w:bCs/>
          <w:sz w:val="28"/>
          <w:szCs w:val="24"/>
        </w:rPr>
      </w:pPr>
    </w:p>
    <w:p w14:paraId="47A619E5" w14:textId="7C3B493E" w:rsidR="003A726C" w:rsidRDefault="003A726C" w:rsidP="003A726C">
      <w:pPr>
        <w:spacing w:line="259" w:lineRule="auto"/>
        <w:jc w:val="center"/>
        <w:rPr>
          <w:b/>
          <w:bCs/>
          <w:sz w:val="28"/>
          <w:szCs w:val="24"/>
        </w:rPr>
      </w:pPr>
      <w:r w:rsidRPr="003A726C">
        <w:rPr>
          <w:b/>
          <w:bCs/>
          <w:sz w:val="28"/>
          <w:szCs w:val="24"/>
        </w:rPr>
        <w:t xml:space="preserve">BMHP6021- Health, Wellbeing and Sustainable Development </w:t>
      </w:r>
    </w:p>
    <w:p w14:paraId="19412575" w14:textId="77777777" w:rsidR="003A726C" w:rsidRDefault="003A726C" w:rsidP="003A726C"/>
    <w:p w14:paraId="2E8C10D5" w14:textId="0362AB7E" w:rsidR="003A726C" w:rsidRDefault="003A726C" w:rsidP="003A726C">
      <w:r>
        <w:t>Student name:</w:t>
      </w:r>
      <w:r w:rsidR="005B014D">
        <w:t xml:space="preserve"> Jessica </w:t>
      </w:r>
      <w:proofErr w:type="spellStart"/>
      <w:r w:rsidR="005B014D">
        <w:t>Nmadume</w:t>
      </w:r>
      <w:proofErr w:type="spellEnd"/>
    </w:p>
    <w:p w14:paraId="233D6C1A" w14:textId="09699985" w:rsidR="003A0447" w:rsidRDefault="003A726C" w:rsidP="003A726C">
      <w:r>
        <w:t xml:space="preserve">Student Id: </w:t>
      </w:r>
      <w:r w:rsidR="005B014D">
        <w:t>2008179</w:t>
      </w:r>
    </w:p>
    <w:p w14:paraId="01E4EF12" w14:textId="77777777" w:rsidR="003A0447" w:rsidRDefault="003A0447" w:rsidP="003A726C"/>
    <w:p w14:paraId="5DB8DA31" w14:textId="12270F12" w:rsidR="00BB7DFA" w:rsidRPr="003A726C" w:rsidRDefault="003A0447" w:rsidP="003A0447">
      <w:pPr>
        <w:jc w:val="center"/>
      </w:pPr>
      <w:r>
        <w:t>Word Count: 4393</w:t>
      </w:r>
      <w:r w:rsidR="00BB7DFA" w:rsidRPr="003A726C">
        <w:br w:type="page"/>
      </w:r>
    </w:p>
    <w:sdt>
      <w:sdtPr>
        <w:rPr>
          <w:rFonts w:ascii="Arial" w:eastAsiaTheme="minorHAnsi" w:hAnsi="Arial" w:cstheme="minorBidi"/>
          <w:color w:val="auto"/>
          <w:kern w:val="2"/>
          <w:sz w:val="24"/>
          <w:szCs w:val="22"/>
          <w14:ligatures w14:val="standardContextual"/>
        </w:rPr>
        <w:id w:val="104775308"/>
        <w:docPartObj>
          <w:docPartGallery w:val="Table of Contents"/>
          <w:docPartUnique/>
        </w:docPartObj>
      </w:sdtPr>
      <w:sdtEndPr>
        <w:rPr>
          <w:b/>
          <w:bCs/>
          <w:noProof/>
        </w:rPr>
      </w:sdtEndPr>
      <w:sdtContent>
        <w:p w14:paraId="0F02493E" w14:textId="4F90DA9A" w:rsidR="003A726C" w:rsidRDefault="003A726C">
          <w:pPr>
            <w:pStyle w:val="TOCHeading"/>
          </w:pPr>
          <w:r>
            <w:t>Table of Contents</w:t>
          </w:r>
        </w:p>
        <w:p w14:paraId="510FC103" w14:textId="3F29D97D" w:rsidR="00452616" w:rsidRDefault="003A726C">
          <w:pPr>
            <w:pStyle w:val="TOC1"/>
            <w:tabs>
              <w:tab w:val="right" w:leader="dot" w:pos="9350"/>
            </w:tabs>
            <w:rPr>
              <w:rFonts w:asciiTheme="minorHAnsi" w:eastAsiaTheme="minorEastAsia" w:hAnsiTheme="minorHAnsi"/>
              <w:noProof/>
              <w:kern w:val="0"/>
              <w:sz w:val="22"/>
              <w14:ligatures w14:val="none"/>
            </w:rPr>
          </w:pPr>
          <w:r>
            <w:fldChar w:fldCharType="begin"/>
          </w:r>
          <w:r>
            <w:instrText xml:space="preserve"> TOC \o "1-3" \h \z \u </w:instrText>
          </w:r>
          <w:r>
            <w:fldChar w:fldCharType="separate"/>
          </w:r>
          <w:hyperlink w:anchor="_Toc141748183" w:history="1">
            <w:r w:rsidR="00452616" w:rsidRPr="00D71B60">
              <w:rPr>
                <w:rStyle w:val="Hyperlink"/>
                <w:noProof/>
              </w:rPr>
              <w:t>Introduction</w:t>
            </w:r>
            <w:r w:rsidR="00452616">
              <w:rPr>
                <w:noProof/>
                <w:webHidden/>
              </w:rPr>
              <w:tab/>
            </w:r>
            <w:r w:rsidR="00452616">
              <w:rPr>
                <w:noProof/>
                <w:webHidden/>
              </w:rPr>
              <w:fldChar w:fldCharType="begin"/>
            </w:r>
            <w:r w:rsidR="00452616">
              <w:rPr>
                <w:noProof/>
                <w:webHidden/>
              </w:rPr>
              <w:instrText xml:space="preserve"> PAGEREF _Toc141748183 \h </w:instrText>
            </w:r>
            <w:r w:rsidR="00452616">
              <w:rPr>
                <w:noProof/>
                <w:webHidden/>
              </w:rPr>
            </w:r>
            <w:r w:rsidR="00452616">
              <w:rPr>
                <w:noProof/>
                <w:webHidden/>
              </w:rPr>
              <w:fldChar w:fldCharType="separate"/>
            </w:r>
            <w:r w:rsidR="00452616">
              <w:rPr>
                <w:noProof/>
                <w:webHidden/>
              </w:rPr>
              <w:t>3</w:t>
            </w:r>
            <w:r w:rsidR="00452616">
              <w:rPr>
                <w:noProof/>
                <w:webHidden/>
              </w:rPr>
              <w:fldChar w:fldCharType="end"/>
            </w:r>
          </w:hyperlink>
        </w:p>
        <w:p w14:paraId="646C6F06" w14:textId="4DCB971E" w:rsidR="00452616" w:rsidRDefault="008F6437">
          <w:pPr>
            <w:pStyle w:val="TOC1"/>
            <w:tabs>
              <w:tab w:val="right" w:leader="dot" w:pos="9350"/>
            </w:tabs>
            <w:rPr>
              <w:rFonts w:asciiTheme="minorHAnsi" w:eastAsiaTheme="minorEastAsia" w:hAnsiTheme="minorHAnsi"/>
              <w:noProof/>
              <w:kern w:val="0"/>
              <w:sz w:val="22"/>
              <w14:ligatures w14:val="none"/>
            </w:rPr>
          </w:pPr>
          <w:hyperlink w:anchor="_Toc141748184" w:history="1">
            <w:r w:rsidR="00452616" w:rsidRPr="00D71B60">
              <w:rPr>
                <w:rStyle w:val="Hyperlink"/>
                <w:noProof/>
              </w:rPr>
              <w:t>Discussion of Sustainable Development Goals</w:t>
            </w:r>
            <w:r w:rsidR="00452616">
              <w:rPr>
                <w:noProof/>
                <w:webHidden/>
              </w:rPr>
              <w:tab/>
            </w:r>
            <w:r w:rsidR="00452616">
              <w:rPr>
                <w:noProof/>
                <w:webHidden/>
              </w:rPr>
              <w:fldChar w:fldCharType="begin"/>
            </w:r>
            <w:r w:rsidR="00452616">
              <w:rPr>
                <w:noProof/>
                <w:webHidden/>
              </w:rPr>
              <w:instrText xml:space="preserve"> PAGEREF _Toc141748184 \h </w:instrText>
            </w:r>
            <w:r w:rsidR="00452616">
              <w:rPr>
                <w:noProof/>
                <w:webHidden/>
              </w:rPr>
            </w:r>
            <w:r w:rsidR="00452616">
              <w:rPr>
                <w:noProof/>
                <w:webHidden/>
              </w:rPr>
              <w:fldChar w:fldCharType="separate"/>
            </w:r>
            <w:r w:rsidR="00452616">
              <w:rPr>
                <w:noProof/>
                <w:webHidden/>
              </w:rPr>
              <w:t>4</w:t>
            </w:r>
            <w:r w:rsidR="00452616">
              <w:rPr>
                <w:noProof/>
                <w:webHidden/>
              </w:rPr>
              <w:fldChar w:fldCharType="end"/>
            </w:r>
          </w:hyperlink>
        </w:p>
        <w:p w14:paraId="2EEC1857" w14:textId="4064EFBF" w:rsidR="00452616" w:rsidRDefault="008F6437">
          <w:pPr>
            <w:pStyle w:val="TOC1"/>
            <w:tabs>
              <w:tab w:val="right" w:leader="dot" w:pos="9350"/>
            </w:tabs>
            <w:rPr>
              <w:rFonts w:asciiTheme="minorHAnsi" w:eastAsiaTheme="minorEastAsia" w:hAnsiTheme="minorHAnsi"/>
              <w:noProof/>
              <w:kern w:val="0"/>
              <w:sz w:val="22"/>
              <w14:ligatures w14:val="none"/>
            </w:rPr>
          </w:pPr>
          <w:hyperlink w:anchor="_Toc141748185" w:history="1">
            <w:r w:rsidR="00452616" w:rsidRPr="00D71B60">
              <w:rPr>
                <w:rStyle w:val="Hyperlink"/>
                <w:noProof/>
              </w:rPr>
              <w:t>Detailed discussion of the 3 SDGs</w:t>
            </w:r>
            <w:r w:rsidR="00452616">
              <w:rPr>
                <w:noProof/>
                <w:webHidden/>
              </w:rPr>
              <w:tab/>
            </w:r>
            <w:r w:rsidR="00452616">
              <w:rPr>
                <w:noProof/>
                <w:webHidden/>
              </w:rPr>
              <w:fldChar w:fldCharType="begin"/>
            </w:r>
            <w:r w:rsidR="00452616">
              <w:rPr>
                <w:noProof/>
                <w:webHidden/>
              </w:rPr>
              <w:instrText xml:space="preserve"> PAGEREF _Toc141748185 \h </w:instrText>
            </w:r>
            <w:r w:rsidR="00452616">
              <w:rPr>
                <w:noProof/>
                <w:webHidden/>
              </w:rPr>
            </w:r>
            <w:r w:rsidR="00452616">
              <w:rPr>
                <w:noProof/>
                <w:webHidden/>
              </w:rPr>
              <w:fldChar w:fldCharType="separate"/>
            </w:r>
            <w:r w:rsidR="00452616">
              <w:rPr>
                <w:noProof/>
                <w:webHidden/>
              </w:rPr>
              <w:t>5</w:t>
            </w:r>
            <w:r w:rsidR="00452616">
              <w:rPr>
                <w:noProof/>
                <w:webHidden/>
              </w:rPr>
              <w:fldChar w:fldCharType="end"/>
            </w:r>
          </w:hyperlink>
        </w:p>
        <w:p w14:paraId="326E8F4F" w14:textId="23BBA2EF" w:rsidR="00452616" w:rsidRDefault="008F6437">
          <w:pPr>
            <w:pStyle w:val="TOC2"/>
            <w:tabs>
              <w:tab w:val="right" w:leader="dot" w:pos="9350"/>
            </w:tabs>
            <w:rPr>
              <w:rFonts w:asciiTheme="minorHAnsi" w:eastAsiaTheme="minorEastAsia" w:hAnsiTheme="minorHAnsi"/>
              <w:noProof/>
              <w:kern w:val="0"/>
              <w:sz w:val="22"/>
              <w14:ligatures w14:val="none"/>
            </w:rPr>
          </w:pPr>
          <w:hyperlink w:anchor="_Toc141748186" w:history="1">
            <w:r w:rsidR="00452616" w:rsidRPr="00D71B60">
              <w:rPr>
                <w:rStyle w:val="Hyperlink"/>
                <w:noProof/>
              </w:rPr>
              <w:t>Goal 3 Good Health and Wellbeing</w:t>
            </w:r>
            <w:r w:rsidR="00452616">
              <w:rPr>
                <w:noProof/>
                <w:webHidden/>
              </w:rPr>
              <w:tab/>
            </w:r>
            <w:r w:rsidR="00452616">
              <w:rPr>
                <w:noProof/>
                <w:webHidden/>
              </w:rPr>
              <w:fldChar w:fldCharType="begin"/>
            </w:r>
            <w:r w:rsidR="00452616">
              <w:rPr>
                <w:noProof/>
                <w:webHidden/>
              </w:rPr>
              <w:instrText xml:space="preserve"> PAGEREF _Toc141748186 \h </w:instrText>
            </w:r>
            <w:r w:rsidR="00452616">
              <w:rPr>
                <w:noProof/>
                <w:webHidden/>
              </w:rPr>
            </w:r>
            <w:r w:rsidR="00452616">
              <w:rPr>
                <w:noProof/>
                <w:webHidden/>
              </w:rPr>
              <w:fldChar w:fldCharType="separate"/>
            </w:r>
            <w:r w:rsidR="00452616">
              <w:rPr>
                <w:noProof/>
                <w:webHidden/>
              </w:rPr>
              <w:t>5</w:t>
            </w:r>
            <w:r w:rsidR="00452616">
              <w:rPr>
                <w:noProof/>
                <w:webHidden/>
              </w:rPr>
              <w:fldChar w:fldCharType="end"/>
            </w:r>
          </w:hyperlink>
        </w:p>
        <w:p w14:paraId="567C8B09" w14:textId="0880CED9" w:rsidR="00452616" w:rsidRDefault="008F6437">
          <w:pPr>
            <w:pStyle w:val="TOC2"/>
            <w:tabs>
              <w:tab w:val="right" w:leader="dot" w:pos="9350"/>
            </w:tabs>
            <w:rPr>
              <w:rFonts w:asciiTheme="minorHAnsi" w:eastAsiaTheme="minorEastAsia" w:hAnsiTheme="minorHAnsi"/>
              <w:noProof/>
              <w:kern w:val="0"/>
              <w:sz w:val="22"/>
              <w14:ligatures w14:val="none"/>
            </w:rPr>
          </w:pPr>
          <w:hyperlink w:anchor="_Toc141748187" w:history="1">
            <w:r w:rsidR="00452616" w:rsidRPr="00D71B60">
              <w:rPr>
                <w:rStyle w:val="Hyperlink"/>
                <w:noProof/>
              </w:rPr>
              <w:t>Goal 4 Quality Education</w:t>
            </w:r>
            <w:r w:rsidR="00452616">
              <w:rPr>
                <w:noProof/>
                <w:webHidden/>
              </w:rPr>
              <w:tab/>
            </w:r>
            <w:r w:rsidR="00452616">
              <w:rPr>
                <w:noProof/>
                <w:webHidden/>
              </w:rPr>
              <w:fldChar w:fldCharType="begin"/>
            </w:r>
            <w:r w:rsidR="00452616">
              <w:rPr>
                <w:noProof/>
                <w:webHidden/>
              </w:rPr>
              <w:instrText xml:space="preserve"> PAGEREF _Toc141748187 \h </w:instrText>
            </w:r>
            <w:r w:rsidR="00452616">
              <w:rPr>
                <w:noProof/>
                <w:webHidden/>
              </w:rPr>
            </w:r>
            <w:r w:rsidR="00452616">
              <w:rPr>
                <w:noProof/>
                <w:webHidden/>
              </w:rPr>
              <w:fldChar w:fldCharType="separate"/>
            </w:r>
            <w:r w:rsidR="00452616">
              <w:rPr>
                <w:noProof/>
                <w:webHidden/>
              </w:rPr>
              <w:t>8</w:t>
            </w:r>
            <w:r w:rsidR="00452616">
              <w:rPr>
                <w:noProof/>
                <w:webHidden/>
              </w:rPr>
              <w:fldChar w:fldCharType="end"/>
            </w:r>
          </w:hyperlink>
        </w:p>
        <w:p w14:paraId="02EEC119" w14:textId="2CEEBD7A" w:rsidR="00452616" w:rsidRDefault="008F6437">
          <w:pPr>
            <w:pStyle w:val="TOC2"/>
            <w:tabs>
              <w:tab w:val="right" w:leader="dot" w:pos="9350"/>
            </w:tabs>
            <w:rPr>
              <w:rFonts w:asciiTheme="minorHAnsi" w:eastAsiaTheme="minorEastAsia" w:hAnsiTheme="minorHAnsi"/>
              <w:noProof/>
              <w:kern w:val="0"/>
              <w:sz w:val="22"/>
              <w14:ligatures w14:val="none"/>
            </w:rPr>
          </w:pPr>
          <w:hyperlink w:anchor="_Toc141748188" w:history="1">
            <w:r w:rsidR="00452616" w:rsidRPr="00D71B60">
              <w:rPr>
                <w:rStyle w:val="Hyperlink"/>
                <w:noProof/>
              </w:rPr>
              <w:t>Goal 17 Partnerships to achieve the Goals</w:t>
            </w:r>
            <w:r w:rsidR="00452616">
              <w:rPr>
                <w:noProof/>
                <w:webHidden/>
              </w:rPr>
              <w:tab/>
            </w:r>
            <w:r w:rsidR="00452616">
              <w:rPr>
                <w:noProof/>
                <w:webHidden/>
              </w:rPr>
              <w:fldChar w:fldCharType="begin"/>
            </w:r>
            <w:r w:rsidR="00452616">
              <w:rPr>
                <w:noProof/>
                <w:webHidden/>
              </w:rPr>
              <w:instrText xml:space="preserve"> PAGEREF _Toc141748188 \h </w:instrText>
            </w:r>
            <w:r w:rsidR="00452616">
              <w:rPr>
                <w:noProof/>
                <w:webHidden/>
              </w:rPr>
            </w:r>
            <w:r w:rsidR="00452616">
              <w:rPr>
                <w:noProof/>
                <w:webHidden/>
              </w:rPr>
              <w:fldChar w:fldCharType="separate"/>
            </w:r>
            <w:r w:rsidR="00452616">
              <w:rPr>
                <w:noProof/>
                <w:webHidden/>
              </w:rPr>
              <w:t>10</w:t>
            </w:r>
            <w:r w:rsidR="00452616">
              <w:rPr>
                <w:noProof/>
                <w:webHidden/>
              </w:rPr>
              <w:fldChar w:fldCharType="end"/>
            </w:r>
          </w:hyperlink>
        </w:p>
        <w:p w14:paraId="1C7293FB" w14:textId="73FF9D76" w:rsidR="00452616" w:rsidRDefault="008F6437">
          <w:pPr>
            <w:pStyle w:val="TOC1"/>
            <w:tabs>
              <w:tab w:val="right" w:leader="dot" w:pos="9350"/>
            </w:tabs>
            <w:rPr>
              <w:rFonts w:asciiTheme="minorHAnsi" w:eastAsiaTheme="minorEastAsia" w:hAnsiTheme="minorHAnsi"/>
              <w:noProof/>
              <w:kern w:val="0"/>
              <w:sz w:val="22"/>
              <w14:ligatures w14:val="none"/>
            </w:rPr>
          </w:pPr>
          <w:hyperlink w:anchor="_Toc141748189" w:history="1">
            <w:r w:rsidR="00452616" w:rsidRPr="00D71B60">
              <w:rPr>
                <w:rStyle w:val="Hyperlink"/>
                <w:noProof/>
              </w:rPr>
              <w:t>Local Policies and Statistics Identified to Meet The 3 SDGs</w:t>
            </w:r>
            <w:r w:rsidR="00452616">
              <w:rPr>
                <w:noProof/>
                <w:webHidden/>
              </w:rPr>
              <w:tab/>
            </w:r>
            <w:r w:rsidR="00452616">
              <w:rPr>
                <w:noProof/>
                <w:webHidden/>
              </w:rPr>
              <w:fldChar w:fldCharType="begin"/>
            </w:r>
            <w:r w:rsidR="00452616">
              <w:rPr>
                <w:noProof/>
                <w:webHidden/>
              </w:rPr>
              <w:instrText xml:space="preserve"> PAGEREF _Toc141748189 \h </w:instrText>
            </w:r>
            <w:r w:rsidR="00452616">
              <w:rPr>
                <w:noProof/>
                <w:webHidden/>
              </w:rPr>
            </w:r>
            <w:r w:rsidR="00452616">
              <w:rPr>
                <w:noProof/>
                <w:webHidden/>
              </w:rPr>
              <w:fldChar w:fldCharType="separate"/>
            </w:r>
            <w:r w:rsidR="00452616">
              <w:rPr>
                <w:noProof/>
                <w:webHidden/>
              </w:rPr>
              <w:t>13</w:t>
            </w:r>
            <w:r w:rsidR="00452616">
              <w:rPr>
                <w:noProof/>
                <w:webHidden/>
              </w:rPr>
              <w:fldChar w:fldCharType="end"/>
            </w:r>
          </w:hyperlink>
        </w:p>
        <w:p w14:paraId="72A3CAFE" w14:textId="700D5854" w:rsidR="00452616" w:rsidRDefault="008F6437">
          <w:pPr>
            <w:pStyle w:val="TOC1"/>
            <w:tabs>
              <w:tab w:val="right" w:leader="dot" w:pos="9350"/>
            </w:tabs>
            <w:rPr>
              <w:rFonts w:asciiTheme="minorHAnsi" w:eastAsiaTheme="minorEastAsia" w:hAnsiTheme="minorHAnsi"/>
              <w:noProof/>
              <w:kern w:val="0"/>
              <w:sz w:val="22"/>
              <w14:ligatures w14:val="none"/>
            </w:rPr>
          </w:pPr>
          <w:hyperlink w:anchor="_Toc141748190" w:history="1">
            <w:r w:rsidR="00452616" w:rsidRPr="00D71B60">
              <w:rPr>
                <w:rStyle w:val="Hyperlink"/>
                <w:noProof/>
              </w:rPr>
              <w:t>London Borough of Tower Hamlet</w:t>
            </w:r>
            <w:r w:rsidR="00452616">
              <w:rPr>
                <w:noProof/>
                <w:webHidden/>
              </w:rPr>
              <w:tab/>
            </w:r>
            <w:r w:rsidR="00452616">
              <w:rPr>
                <w:noProof/>
                <w:webHidden/>
              </w:rPr>
              <w:fldChar w:fldCharType="begin"/>
            </w:r>
            <w:r w:rsidR="00452616">
              <w:rPr>
                <w:noProof/>
                <w:webHidden/>
              </w:rPr>
              <w:instrText xml:space="preserve"> PAGEREF _Toc141748190 \h </w:instrText>
            </w:r>
            <w:r w:rsidR="00452616">
              <w:rPr>
                <w:noProof/>
                <w:webHidden/>
              </w:rPr>
            </w:r>
            <w:r w:rsidR="00452616">
              <w:rPr>
                <w:noProof/>
                <w:webHidden/>
              </w:rPr>
              <w:fldChar w:fldCharType="separate"/>
            </w:r>
            <w:r w:rsidR="00452616">
              <w:rPr>
                <w:noProof/>
                <w:webHidden/>
              </w:rPr>
              <w:t>14</w:t>
            </w:r>
            <w:r w:rsidR="00452616">
              <w:rPr>
                <w:noProof/>
                <w:webHidden/>
              </w:rPr>
              <w:fldChar w:fldCharType="end"/>
            </w:r>
          </w:hyperlink>
        </w:p>
        <w:p w14:paraId="10AF55B5" w14:textId="3615AEB0" w:rsidR="00452616" w:rsidRDefault="008F6437">
          <w:pPr>
            <w:pStyle w:val="TOC1"/>
            <w:tabs>
              <w:tab w:val="right" w:leader="dot" w:pos="9350"/>
            </w:tabs>
            <w:rPr>
              <w:rFonts w:asciiTheme="minorHAnsi" w:eastAsiaTheme="minorEastAsia" w:hAnsiTheme="minorHAnsi"/>
              <w:noProof/>
              <w:kern w:val="0"/>
              <w:sz w:val="22"/>
              <w14:ligatures w14:val="none"/>
            </w:rPr>
          </w:pPr>
          <w:hyperlink w:anchor="_Toc141748191" w:history="1">
            <w:r w:rsidR="00452616" w:rsidRPr="00D71B60">
              <w:rPr>
                <w:rStyle w:val="Hyperlink"/>
                <w:noProof/>
              </w:rPr>
              <w:t>Critical Examination of Benefits of SDGs</w:t>
            </w:r>
            <w:r w:rsidR="00452616">
              <w:rPr>
                <w:noProof/>
                <w:webHidden/>
              </w:rPr>
              <w:tab/>
            </w:r>
            <w:r w:rsidR="00452616">
              <w:rPr>
                <w:noProof/>
                <w:webHidden/>
              </w:rPr>
              <w:fldChar w:fldCharType="begin"/>
            </w:r>
            <w:r w:rsidR="00452616">
              <w:rPr>
                <w:noProof/>
                <w:webHidden/>
              </w:rPr>
              <w:instrText xml:space="preserve"> PAGEREF _Toc141748191 \h </w:instrText>
            </w:r>
            <w:r w:rsidR="00452616">
              <w:rPr>
                <w:noProof/>
                <w:webHidden/>
              </w:rPr>
            </w:r>
            <w:r w:rsidR="00452616">
              <w:rPr>
                <w:noProof/>
                <w:webHidden/>
              </w:rPr>
              <w:fldChar w:fldCharType="separate"/>
            </w:r>
            <w:r w:rsidR="00452616">
              <w:rPr>
                <w:noProof/>
                <w:webHidden/>
              </w:rPr>
              <w:t>16</w:t>
            </w:r>
            <w:r w:rsidR="00452616">
              <w:rPr>
                <w:noProof/>
                <w:webHidden/>
              </w:rPr>
              <w:fldChar w:fldCharType="end"/>
            </w:r>
          </w:hyperlink>
        </w:p>
        <w:p w14:paraId="3177B5BB" w14:textId="4508F692" w:rsidR="00452616" w:rsidRDefault="008F6437">
          <w:pPr>
            <w:pStyle w:val="TOC1"/>
            <w:tabs>
              <w:tab w:val="right" w:leader="dot" w:pos="9350"/>
            </w:tabs>
            <w:rPr>
              <w:rFonts w:asciiTheme="minorHAnsi" w:eastAsiaTheme="minorEastAsia" w:hAnsiTheme="minorHAnsi"/>
              <w:noProof/>
              <w:kern w:val="0"/>
              <w:sz w:val="22"/>
              <w14:ligatures w14:val="none"/>
            </w:rPr>
          </w:pPr>
          <w:hyperlink w:anchor="_Toc141748192" w:history="1">
            <w:r w:rsidR="00452616" w:rsidRPr="00D71B60">
              <w:rPr>
                <w:rStyle w:val="Hyperlink"/>
                <w:noProof/>
              </w:rPr>
              <w:t>Recommendations</w:t>
            </w:r>
            <w:r w:rsidR="00452616">
              <w:rPr>
                <w:noProof/>
                <w:webHidden/>
              </w:rPr>
              <w:tab/>
            </w:r>
            <w:r w:rsidR="00452616">
              <w:rPr>
                <w:noProof/>
                <w:webHidden/>
              </w:rPr>
              <w:fldChar w:fldCharType="begin"/>
            </w:r>
            <w:r w:rsidR="00452616">
              <w:rPr>
                <w:noProof/>
                <w:webHidden/>
              </w:rPr>
              <w:instrText xml:space="preserve"> PAGEREF _Toc141748192 \h </w:instrText>
            </w:r>
            <w:r w:rsidR="00452616">
              <w:rPr>
                <w:noProof/>
                <w:webHidden/>
              </w:rPr>
            </w:r>
            <w:r w:rsidR="00452616">
              <w:rPr>
                <w:noProof/>
                <w:webHidden/>
              </w:rPr>
              <w:fldChar w:fldCharType="separate"/>
            </w:r>
            <w:r w:rsidR="00452616">
              <w:rPr>
                <w:noProof/>
                <w:webHidden/>
              </w:rPr>
              <w:t>18</w:t>
            </w:r>
            <w:r w:rsidR="00452616">
              <w:rPr>
                <w:noProof/>
                <w:webHidden/>
              </w:rPr>
              <w:fldChar w:fldCharType="end"/>
            </w:r>
          </w:hyperlink>
        </w:p>
        <w:p w14:paraId="58838A85" w14:textId="724918FC" w:rsidR="00452616" w:rsidRDefault="008F6437">
          <w:pPr>
            <w:pStyle w:val="TOC1"/>
            <w:tabs>
              <w:tab w:val="right" w:leader="dot" w:pos="9350"/>
            </w:tabs>
            <w:rPr>
              <w:rFonts w:asciiTheme="minorHAnsi" w:eastAsiaTheme="minorEastAsia" w:hAnsiTheme="minorHAnsi"/>
              <w:noProof/>
              <w:kern w:val="0"/>
              <w:sz w:val="22"/>
              <w14:ligatures w14:val="none"/>
            </w:rPr>
          </w:pPr>
          <w:hyperlink w:anchor="_Toc141748193" w:history="1">
            <w:r w:rsidR="00452616" w:rsidRPr="00D71B60">
              <w:rPr>
                <w:rStyle w:val="Hyperlink"/>
                <w:noProof/>
              </w:rPr>
              <w:t>Conclusion</w:t>
            </w:r>
            <w:r w:rsidR="00452616">
              <w:rPr>
                <w:noProof/>
                <w:webHidden/>
              </w:rPr>
              <w:tab/>
            </w:r>
            <w:r w:rsidR="00452616">
              <w:rPr>
                <w:noProof/>
                <w:webHidden/>
              </w:rPr>
              <w:fldChar w:fldCharType="begin"/>
            </w:r>
            <w:r w:rsidR="00452616">
              <w:rPr>
                <w:noProof/>
                <w:webHidden/>
              </w:rPr>
              <w:instrText xml:space="preserve"> PAGEREF _Toc141748193 \h </w:instrText>
            </w:r>
            <w:r w:rsidR="00452616">
              <w:rPr>
                <w:noProof/>
                <w:webHidden/>
              </w:rPr>
            </w:r>
            <w:r w:rsidR="00452616">
              <w:rPr>
                <w:noProof/>
                <w:webHidden/>
              </w:rPr>
              <w:fldChar w:fldCharType="separate"/>
            </w:r>
            <w:r w:rsidR="00452616">
              <w:rPr>
                <w:noProof/>
                <w:webHidden/>
              </w:rPr>
              <w:t>19</w:t>
            </w:r>
            <w:r w:rsidR="00452616">
              <w:rPr>
                <w:noProof/>
                <w:webHidden/>
              </w:rPr>
              <w:fldChar w:fldCharType="end"/>
            </w:r>
          </w:hyperlink>
        </w:p>
        <w:p w14:paraId="4965E403" w14:textId="074D0385" w:rsidR="00452616" w:rsidRDefault="008F6437">
          <w:pPr>
            <w:pStyle w:val="TOC1"/>
            <w:tabs>
              <w:tab w:val="right" w:leader="dot" w:pos="9350"/>
            </w:tabs>
            <w:rPr>
              <w:rFonts w:asciiTheme="minorHAnsi" w:eastAsiaTheme="minorEastAsia" w:hAnsiTheme="minorHAnsi"/>
              <w:noProof/>
              <w:kern w:val="0"/>
              <w:sz w:val="22"/>
              <w14:ligatures w14:val="none"/>
            </w:rPr>
          </w:pPr>
          <w:hyperlink w:anchor="_Toc141748194" w:history="1">
            <w:r w:rsidR="00452616" w:rsidRPr="00D71B60">
              <w:rPr>
                <w:rStyle w:val="Hyperlink"/>
                <w:noProof/>
              </w:rPr>
              <w:t>References</w:t>
            </w:r>
            <w:r w:rsidR="00452616">
              <w:rPr>
                <w:noProof/>
                <w:webHidden/>
              </w:rPr>
              <w:tab/>
            </w:r>
            <w:r w:rsidR="00452616">
              <w:rPr>
                <w:noProof/>
                <w:webHidden/>
              </w:rPr>
              <w:fldChar w:fldCharType="begin"/>
            </w:r>
            <w:r w:rsidR="00452616">
              <w:rPr>
                <w:noProof/>
                <w:webHidden/>
              </w:rPr>
              <w:instrText xml:space="preserve"> PAGEREF _Toc141748194 \h </w:instrText>
            </w:r>
            <w:r w:rsidR="00452616">
              <w:rPr>
                <w:noProof/>
                <w:webHidden/>
              </w:rPr>
            </w:r>
            <w:r w:rsidR="00452616">
              <w:rPr>
                <w:noProof/>
                <w:webHidden/>
              </w:rPr>
              <w:fldChar w:fldCharType="separate"/>
            </w:r>
            <w:r w:rsidR="00452616">
              <w:rPr>
                <w:noProof/>
                <w:webHidden/>
              </w:rPr>
              <w:t>20</w:t>
            </w:r>
            <w:r w:rsidR="00452616">
              <w:rPr>
                <w:noProof/>
                <w:webHidden/>
              </w:rPr>
              <w:fldChar w:fldCharType="end"/>
            </w:r>
          </w:hyperlink>
        </w:p>
        <w:p w14:paraId="65C07908" w14:textId="64E91CCE" w:rsidR="003A726C" w:rsidRDefault="003A726C">
          <w:r>
            <w:rPr>
              <w:b/>
              <w:bCs/>
              <w:noProof/>
            </w:rPr>
            <w:fldChar w:fldCharType="end"/>
          </w:r>
        </w:p>
      </w:sdtContent>
    </w:sdt>
    <w:p w14:paraId="134B3CAA" w14:textId="77777777" w:rsidR="00BB7DFA" w:rsidRDefault="00BB7DFA">
      <w:pPr>
        <w:spacing w:line="259" w:lineRule="auto"/>
        <w:jc w:val="left"/>
      </w:pPr>
      <w:r>
        <w:br w:type="page"/>
      </w:r>
    </w:p>
    <w:p w14:paraId="2C9D3AD9" w14:textId="22C87211" w:rsidR="00555545" w:rsidRDefault="00BB7DFA" w:rsidP="00BB7DFA">
      <w:pPr>
        <w:pStyle w:val="Heading1"/>
      </w:pPr>
      <w:bookmarkStart w:id="0" w:name="_Toc141748183"/>
      <w:r>
        <w:lastRenderedPageBreak/>
        <w:t>Introduction</w:t>
      </w:r>
      <w:bookmarkEnd w:id="0"/>
    </w:p>
    <w:p w14:paraId="241E4643" w14:textId="1F7CD5FC" w:rsidR="00837FCE" w:rsidRDefault="00805C60" w:rsidP="00837FCE">
      <w:r w:rsidRPr="00805C60">
        <w:t>The objective of this study is to explore the concept of happiness. The attainment of the goals through the provision of high-quality education and the implementation of Target 17. The objective of this study is to examine the current condition of healthcare in the United Kingdom in relation to health, wellbeing, and sustainable development. This study presents a comprehensive analysis of Goal 3: Health and Partnership, building upon a concise introduction to the Sustainable Development Goals. The study also examines the policies and actions undertaken by the government of the United Kingdom in pursuit of these objectives. This section provides an explanation of the selection process for Tower Hamlets, the designated borough of London. Subsequently, an examination is conducted on the strategies implemented by Tower Hamlets in order to attain each of the Sustainable Development Goals (SDGs). The research also encompasses a comprehensive analysis of Tower Hamlets' advancements towards these objectives, along with recommendations for enhancing its overall performance.</w:t>
      </w:r>
    </w:p>
    <w:p w14:paraId="2FC5E602" w14:textId="77777777" w:rsidR="00837FCE" w:rsidRDefault="00837FCE">
      <w:pPr>
        <w:spacing w:line="259" w:lineRule="auto"/>
        <w:jc w:val="left"/>
      </w:pPr>
      <w:r>
        <w:br w:type="page"/>
      </w:r>
    </w:p>
    <w:p w14:paraId="7B567964" w14:textId="6B134EA2" w:rsidR="00837FCE" w:rsidRDefault="00837FCE" w:rsidP="00706D25">
      <w:pPr>
        <w:pStyle w:val="Heading1"/>
      </w:pPr>
      <w:bookmarkStart w:id="1" w:name="_Toc141748184"/>
      <w:r>
        <w:lastRenderedPageBreak/>
        <w:t xml:space="preserve">Discussion of </w:t>
      </w:r>
      <w:bookmarkStart w:id="2" w:name="_Hlk141747833"/>
      <w:r>
        <w:t>Sustainable Development Goals</w:t>
      </w:r>
      <w:bookmarkEnd w:id="1"/>
      <w:bookmarkEnd w:id="2"/>
    </w:p>
    <w:p w14:paraId="15AF2405" w14:textId="29854305" w:rsidR="00805C60" w:rsidRDefault="00805C60" w:rsidP="00805C60">
      <w:r>
        <w:t xml:space="preserve">The Sustainable Development Agenda comprises 17 goals and 169 targets, which are inherently interconnected and possess a universal scope. These objectives are aligned with national interests and strategies, taking into consideration the diverse realities, levels, and capabilities of development across different countries. Aspirational objectives at the global level serve as a foundational framework for governments worldwide, enabling them to establish their respective domestic objectives in alignment with these overarching aspirations. Each government will also determine the manner in which these international and idealistic goals should be incorporated into their respective national planning procedures and approaches. It is imperative to establish sustainable development and other pertinent ongoing </w:t>
      </w:r>
      <w:r w:rsidR="00B068F8">
        <w:t>endeavors</w:t>
      </w:r>
      <w:r>
        <w:t xml:space="preserve"> in the social, economic, and environmental domains, as </w:t>
      </w:r>
      <w:proofErr w:type="spellStart"/>
      <w:r>
        <w:t>emphasised</w:t>
      </w:r>
      <w:proofErr w:type="spellEnd"/>
      <w:r>
        <w:t xml:space="preserve"> by the </w:t>
      </w:r>
      <w:r w:rsidR="000264A3" w:rsidRPr="000264A3">
        <w:t>United Nations (2023)</w:t>
      </w:r>
      <w:r>
        <w:t>.</w:t>
      </w:r>
    </w:p>
    <w:p w14:paraId="66FB311B" w14:textId="77777777" w:rsidR="009C134F" w:rsidRDefault="009C134F" w:rsidP="009C134F">
      <w:pPr>
        <w:keepNext/>
        <w:jc w:val="center"/>
      </w:pPr>
      <w:r>
        <w:rPr>
          <w:noProof/>
        </w:rPr>
        <w:drawing>
          <wp:inline distT="0" distB="0" distL="0" distR="0" wp14:anchorId="63C85834" wp14:editId="73D418F1">
            <wp:extent cx="4474210" cy="26955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0193" b="11840"/>
                    <a:stretch/>
                  </pic:blipFill>
                  <pic:spPr bwMode="auto">
                    <a:xfrm>
                      <a:off x="0" y="0"/>
                      <a:ext cx="4483567" cy="2701212"/>
                    </a:xfrm>
                    <a:prstGeom prst="rect">
                      <a:avLst/>
                    </a:prstGeom>
                    <a:noFill/>
                    <a:ln>
                      <a:noFill/>
                    </a:ln>
                    <a:extLst>
                      <a:ext uri="{53640926-AAD7-44D8-BBD7-CCE9431645EC}">
                        <a14:shadowObscured xmlns:a14="http://schemas.microsoft.com/office/drawing/2010/main"/>
                      </a:ext>
                    </a:extLst>
                  </pic:spPr>
                </pic:pic>
              </a:graphicData>
            </a:graphic>
          </wp:inline>
        </w:drawing>
      </w:r>
    </w:p>
    <w:p w14:paraId="20D8BAAC" w14:textId="33A286B9" w:rsidR="009C134F" w:rsidRDefault="009C134F" w:rsidP="009C134F">
      <w:pPr>
        <w:pStyle w:val="Caption"/>
        <w:jc w:val="center"/>
      </w:pPr>
      <w:r>
        <w:t xml:space="preserve">Figure </w:t>
      </w:r>
      <w:r w:rsidR="008F6437">
        <w:fldChar w:fldCharType="begin"/>
      </w:r>
      <w:r w:rsidR="008F6437">
        <w:instrText xml:space="preserve"> SEQ Figure \* ARABIC </w:instrText>
      </w:r>
      <w:r w:rsidR="008F6437">
        <w:fldChar w:fldCharType="separate"/>
      </w:r>
      <w:r w:rsidR="00452616">
        <w:rPr>
          <w:noProof/>
        </w:rPr>
        <w:t>1</w:t>
      </w:r>
      <w:r w:rsidR="008F6437">
        <w:rPr>
          <w:noProof/>
        </w:rPr>
        <w:fldChar w:fldCharType="end"/>
      </w:r>
      <w:r>
        <w:t>:</w:t>
      </w:r>
      <w:r w:rsidRPr="009C134F">
        <w:t xml:space="preserve"> Sustainable Development Goals</w:t>
      </w:r>
      <w:r>
        <w:t xml:space="preserve">. Source: </w:t>
      </w:r>
      <w:r w:rsidRPr="000264A3">
        <w:t>United Nations (2023)</w:t>
      </w:r>
      <w:r>
        <w:t>.</w:t>
      </w:r>
    </w:p>
    <w:p w14:paraId="7B058292" w14:textId="5D3F3974" w:rsidR="00805C60" w:rsidRDefault="00805C60" w:rsidP="00805C60">
      <w:r>
        <w:t xml:space="preserve">During the process of determining these goals and targets, it became evident that all nations encounter challenges in their </w:t>
      </w:r>
      <w:proofErr w:type="spellStart"/>
      <w:r>
        <w:t>endeavour</w:t>
      </w:r>
      <w:proofErr w:type="spellEnd"/>
      <w:r>
        <w:t xml:space="preserve"> to achieve sustainable development, with certain nations exhibiting greater vulnerability than others. This observation holds particular relevance for landlocked developing nations, African nations, small island developing states, least developed nations, and middle-income nations. It is imperative </w:t>
      </w:r>
      <w:r>
        <w:lastRenderedPageBreak/>
        <w:t xml:space="preserve">for the nations embroiled in the conflict to exercise utmost vigilance, as </w:t>
      </w:r>
      <w:proofErr w:type="spellStart"/>
      <w:r>
        <w:t>emphasised</w:t>
      </w:r>
      <w:proofErr w:type="spellEnd"/>
      <w:r>
        <w:t xml:space="preserve"> by the </w:t>
      </w:r>
      <w:r w:rsidR="000264A3" w:rsidRPr="000264A3">
        <w:t>United Nations (2023)</w:t>
      </w:r>
      <w:r>
        <w:t>.</w:t>
      </w:r>
    </w:p>
    <w:p w14:paraId="1D6F0211" w14:textId="3719323B" w:rsidR="00805C60" w:rsidRDefault="00805C60" w:rsidP="00805C60">
      <w:r>
        <w:t>The Sustainable Development Goals (SDGs) represent the overarching objectives of the international agreement to eliminate extreme poverty, protect the Earth's ecosystems essential for sustaining life, and ensure universal well-being and security for all individuals. In 20</w:t>
      </w:r>
      <w:r w:rsidR="000264A3">
        <w:t>23</w:t>
      </w:r>
      <w:r>
        <w:t xml:space="preserve">, all member nations of the United Nations unanimously adopted the Goals. From the period of 2106 to 2030, there was an official recognition of the imperative to adopt a comprehensive sustainable approach, driven by a substantial body of scientific and empirical evidence. In order to ensure a future that is </w:t>
      </w:r>
      <w:proofErr w:type="spellStart"/>
      <w:r>
        <w:t>characterised</w:t>
      </w:r>
      <w:proofErr w:type="spellEnd"/>
      <w:r>
        <w:t xml:space="preserve"> by good health, fairness, and success for future generations, it is imperative to establish objectives that </w:t>
      </w:r>
      <w:proofErr w:type="spellStart"/>
      <w:r>
        <w:t>maximise</w:t>
      </w:r>
      <w:proofErr w:type="spellEnd"/>
      <w:r>
        <w:t xml:space="preserve"> the likelihood of achieving the required alignment and collaboration, while also employing global strategies (Morton, </w:t>
      </w:r>
      <w:proofErr w:type="spellStart"/>
      <w:r>
        <w:t>Pencheon</w:t>
      </w:r>
      <w:proofErr w:type="spellEnd"/>
      <w:r>
        <w:t xml:space="preserve">, </w:t>
      </w:r>
      <w:r w:rsidR="009C134F">
        <w:t>and</w:t>
      </w:r>
      <w:r>
        <w:t xml:space="preserve"> S. </w:t>
      </w:r>
      <w:proofErr w:type="spellStart"/>
      <w:r>
        <w:t>uites</w:t>
      </w:r>
      <w:proofErr w:type="spellEnd"/>
      <w:r>
        <w:t>, 2017).</w:t>
      </w:r>
    </w:p>
    <w:p w14:paraId="26F5CDEE" w14:textId="46079B29" w:rsidR="003C581C" w:rsidRDefault="00805C60" w:rsidP="003C581C">
      <w:r>
        <w:t xml:space="preserve">The 17 Sustainable Development Goals (SDGs), accompanied by 169 specific targets, possess a broader scope and exhibit a more comprehensive approach in addressing the underlying factors contributing to poverty and the imperative for inclusive development. The objectives encompass the domains of the environment, economic growth, and social inclusion, which are widely </w:t>
      </w:r>
      <w:proofErr w:type="spellStart"/>
      <w:r>
        <w:t>recognised</w:t>
      </w:r>
      <w:proofErr w:type="spellEnd"/>
      <w:r>
        <w:t xml:space="preserve"> as the fundamental components of sustainable development. The new objectives encompass a range of important topics, including economic development, inequality, human and urban settlements, employment opportunities, energy, industrialization, sustainable consumption and production, ecological systems, marine environments, peace, equity, and climate change. The most notable characteristic of the Sustainable Development Goals (SDGs) lies in its significant emphasis on the formulation and execution of implementation strategies. These strategies encompass various key elements such as resource </w:t>
      </w:r>
      <w:proofErr w:type="spellStart"/>
      <w:r>
        <w:t>mobilisation</w:t>
      </w:r>
      <w:proofErr w:type="spellEnd"/>
      <w:r>
        <w:t>, data and institution sharing, as well as the advancement of novel skills and technological solutions.</w:t>
      </w:r>
    </w:p>
    <w:p w14:paraId="06283D88" w14:textId="3CF164D4" w:rsidR="00FA24C0" w:rsidRDefault="009A26DB" w:rsidP="009A26DB">
      <w:pPr>
        <w:pStyle w:val="Heading1"/>
      </w:pPr>
      <w:bookmarkStart w:id="3" w:name="_Toc141748185"/>
      <w:r w:rsidRPr="007144F1">
        <w:t>Detailed discussion of the 3 SDGs</w:t>
      </w:r>
      <w:bookmarkEnd w:id="3"/>
    </w:p>
    <w:p w14:paraId="6A7F1F70" w14:textId="50C66E15" w:rsidR="009A26DB" w:rsidRDefault="009A26DB" w:rsidP="009A26DB">
      <w:pPr>
        <w:pStyle w:val="Heading2"/>
      </w:pPr>
      <w:bookmarkStart w:id="4" w:name="_Toc141748186"/>
      <w:r>
        <w:t xml:space="preserve">Goal 3 Good Health </w:t>
      </w:r>
      <w:r w:rsidR="009C134F">
        <w:t>and</w:t>
      </w:r>
      <w:r>
        <w:t xml:space="preserve"> Wellbeing</w:t>
      </w:r>
      <w:bookmarkEnd w:id="4"/>
      <w:r>
        <w:t xml:space="preserve"> </w:t>
      </w:r>
    </w:p>
    <w:p w14:paraId="4E03D69C" w14:textId="069A38E4" w:rsidR="00805C60" w:rsidRDefault="00805C60" w:rsidP="00805C60">
      <w:r>
        <w:t xml:space="preserve">The enhancement, promotion, and protection of SDG 3 encompass more than just the realm of health. Consequently, advancements made in achieving Sustainable </w:t>
      </w:r>
      <w:r>
        <w:lastRenderedPageBreak/>
        <w:t xml:space="preserve">Development Goal 3, which focuses on health and wellbeing, will have extensive implications for the progress made in attaining the remaining goals, and conversely. The concept of "maternal mortality" pertains to the unfortunate occurrence of a mother's demise either during the period of pregnancy or the process of childbirth. In order to achieve the Sustainable Development Goal (SDG) 3.l of attaining a maternal mortality rate of less than 70 deaths per 100,000 live births by the year 2030, it is imperative to allocate greater financial resources and direct attention towards enhancing efforts aimed at reducing maternal mortality by 75% annually. According to the </w:t>
      </w:r>
      <w:r w:rsidR="000264A3" w:rsidRPr="000264A3">
        <w:t>United Nations (2023)</w:t>
      </w:r>
      <w:r>
        <w:t>, it is projected that over one million lives could potentially be saved within the next ten years.</w:t>
      </w:r>
    </w:p>
    <w:p w14:paraId="20F6FC6A" w14:textId="77777777" w:rsidR="009C134F" w:rsidRDefault="009C134F" w:rsidP="009C134F">
      <w:pPr>
        <w:keepNext/>
      </w:pPr>
      <w:r>
        <w:rPr>
          <w:noProof/>
        </w:rPr>
        <w:drawing>
          <wp:inline distT="0" distB="0" distL="0" distR="0" wp14:anchorId="1F792EC9" wp14:editId="1F50DBC7">
            <wp:extent cx="5619750" cy="3162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19750" cy="3162300"/>
                    </a:xfrm>
                    <a:prstGeom prst="rect">
                      <a:avLst/>
                    </a:prstGeom>
                    <a:noFill/>
                  </pic:spPr>
                </pic:pic>
              </a:graphicData>
            </a:graphic>
          </wp:inline>
        </w:drawing>
      </w:r>
    </w:p>
    <w:p w14:paraId="65854909" w14:textId="45AA3387" w:rsidR="009C134F" w:rsidRDefault="009C134F" w:rsidP="009C134F">
      <w:pPr>
        <w:pStyle w:val="Caption"/>
        <w:jc w:val="center"/>
      </w:pPr>
      <w:r>
        <w:t xml:space="preserve">Figure </w:t>
      </w:r>
      <w:r w:rsidR="008F6437">
        <w:fldChar w:fldCharType="begin"/>
      </w:r>
      <w:r w:rsidR="008F6437">
        <w:instrText xml:space="preserve"> SEQ Figure \* ARABIC </w:instrText>
      </w:r>
      <w:r w:rsidR="008F6437">
        <w:fldChar w:fldCharType="separate"/>
      </w:r>
      <w:r w:rsidR="00452616">
        <w:rPr>
          <w:noProof/>
        </w:rPr>
        <w:t>2</w:t>
      </w:r>
      <w:r w:rsidR="008F6437">
        <w:rPr>
          <w:noProof/>
        </w:rPr>
        <w:fldChar w:fldCharType="end"/>
      </w:r>
      <w:r>
        <w:t>:</w:t>
      </w:r>
      <w:r w:rsidRPr="009C134F">
        <w:t xml:space="preserve"> Goal 3 Good Health and Wellbeing</w:t>
      </w:r>
      <w:r>
        <w:t xml:space="preserve">. Source: </w:t>
      </w:r>
      <w:r w:rsidRPr="009C134F">
        <w:t>United Nations (2023</w:t>
      </w:r>
      <w:r>
        <w:t>).</w:t>
      </w:r>
    </w:p>
    <w:p w14:paraId="044CF811" w14:textId="05A63089" w:rsidR="00805C60" w:rsidRDefault="00805C60" w:rsidP="00805C60">
      <w:r>
        <w:t xml:space="preserve">According to the SDG 2019 report, there has been a significant decline in the infant mortality rate, with the number of infant fatalities per 1,000 live births decreasing from 77 in 2000 to 39 in 2019. Enhancing suction in child mortality rates can be achieved through a heightened emphasis on the initial 28 days of life, a critical phase </w:t>
      </w:r>
      <w:proofErr w:type="spellStart"/>
      <w:r>
        <w:t>characterised</w:t>
      </w:r>
      <w:proofErr w:type="spellEnd"/>
      <w:r>
        <w:t xml:space="preserve"> by frequently sluggish development. In order to achieve a newborn mortality rate below 12 per 1,000 live births, it is imperative to expedite the reduction of such rates at a more accelerated pace. Further efforts are required in the most impoverished regions of the </w:t>
      </w:r>
      <w:r>
        <w:lastRenderedPageBreak/>
        <w:t xml:space="preserve">world in order to achieve this objective, given that the primary factors contributing to infant mortality can be effectively addressed or mitigated through the </w:t>
      </w:r>
      <w:proofErr w:type="spellStart"/>
      <w:r>
        <w:t>utilisation</w:t>
      </w:r>
      <w:proofErr w:type="spellEnd"/>
      <w:r>
        <w:t xml:space="preserve"> of easily accessible and affordable interventions. The reduction of infant mortality rates on a global scale is of utmost importance, as </w:t>
      </w:r>
      <w:proofErr w:type="spellStart"/>
      <w:r>
        <w:t>emphasised</w:t>
      </w:r>
      <w:proofErr w:type="spellEnd"/>
      <w:r>
        <w:t xml:space="preserve"> by the United Nations in 202</w:t>
      </w:r>
      <w:r w:rsidR="000264A3">
        <w:t>3</w:t>
      </w:r>
      <w:r>
        <w:t>.</w:t>
      </w:r>
    </w:p>
    <w:p w14:paraId="17D54C0A" w14:textId="6CC6F11A" w:rsidR="00805C60" w:rsidRDefault="00805C60" w:rsidP="00805C60">
      <w:r>
        <w:t xml:space="preserve">Considerable advancements have been achieved in diminishing the incidence of communicable diseases such as tuberculosis, malaria, and AIDS/HIV through the enhancement of clean water and sanitation accessibility. The global prevalence of HIV infection among adult individuals experienced a reduction of 22% during the period from 2010 to 2017. However, this decline falls short of the target set for the year 2030. The escalating occurrence of noncommunicable diseases in low and middle-income nations presents a significant challenge to the sustainability of their healthcare systems, necessitating urgent and substantial investments in disease prevention and health promotion. The allocation of financial resources towards addressing non-communicable diseases (NCDs) on a global scale has not been commensurate with the funding dedicated to other significant health crises, such as the AIDS epidemic. The incorporation of mental health promotion within the Sustainable Development Goals (SDGs) signifies a significant shift in global perspectives regarding the importance of emotional and psychological well-being. Individuals who encounter challenges related to their mental well-being exhibit a heightened propensity to experience disability and premature mortality </w:t>
      </w:r>
      <w:r w:rsidR="000264A3" w:rsidRPr="000264A3">
        <w:t>United Nations (2023)</w:t>
      </w:r>
      <w:r>
        <w:t>.</w:t>
      </w:r>
    </w:p>
    <w:p w14:paraId="07591F0F" w14:textId="58C868A9" w:rsidR="007C65B3" w:rsidRDefault="00805C60" w:rsidP="007C65B3">
      <w:r>
        <w:t xml:space="preserve">The issue of targeted enhancement in the identification and management of substance abuse, encompassing the inappropriate </w:t>
      </w:r>
      <w:proofErr w:type="spellStart"/>
      <w:r>
        <w:t>utilisation</w:t>
      </w:r>
      <w:proofErr w:type="spellEnd"/>
      <w:r>
        <w:t xml:space="preserve"> of narcotics and harmful consumption of alcohol, is predominantly perceived as a concern that impacts developed nations. This is due to the fact that alcohol is regarded with greater gravity in these countries, in contrast to the other health-related challenges associated with the Sustainable Development Goals (SDGs) and Goal 3. According to the World Health </w:t>
      </w:r>
      <w:proofErr w:type="spellStart"/>
      <w:r>
        <w:t>Organisation's</w:t>
      </w:r>
      <w:proofErr w:type="spellEnd"/>
      <w:r>
        <w:t xml:space="preserve"> projections, if no intervention is implemented, traffic accidents are expected to become the seventh leading cause of mortality globally by the year 2030. Approximately 19% of global childbirths transpire in individuals below the age of 18, with a further 3% occurring in those below the age of 15. If provided with modern contraception, a majority of adolescent girls in Sub-</w:t>
      </w:r>
      <w:r>
        <w:lastRenderedPageBreak/>
        <w:t>Saharan Africa, Southeast Asia, and Central Asia express a preference to avoid pregnancy, with the percentage exceeding 60%.</w:t>
      </w:r>
    </w:p>
    <w:p w14:paraId="0DEBB7AE" w14:textId="77777777" w:rsidR="005102AB" w:rsidRDefault="005102AB" w:rsidP="005102AB">
      <w:pPr>
        <w:pStyle w:val="Heading2"/>
      </w:pPr>
      <w:bookmarkStart w:id="5" w:name="_Toc141748187"/>
      <w:r>
        <w:t>Goal 4 Quality Education</w:t>
      </w:r>
      <w:bookmarkEnd w:id="5"/>
      <w:r>
        <w:t xml:space="preserve"> </w:t>
      </w:r>
    </w:p>
    <w:p w14:paraId="04367E27" w14:textId="077C3502" w:rsidR="00EC73B5" w:rsidRDefault="00EC73B5" w:rsidP="00EC73B5">
      <w:r>
        <w:t>Education, and the achievement of SDG 4, promotes enduring learning opportunities for all persons and ensures fair and inclusive quality education, both of which are essential to the growth of inclusive, environmentally friendly, and resilient communities.The goal of Sustainable Development Goal 4 is to make education a major driver of progress towards a more sustainable world. Human dignity rests on the foundational right to an education. It is also claimed that SDG 4 has recursive connections with other goals in the 2030 agenda. Sustainable Development (2019) argues that lowering poverty and expanding opportunity for all may be achieved by making high-quality education more widely available.</w:t>
      </w:r>
    </w:p>
    <w:p w14:paraId="3EFF0684" w14:textId="77777777" w:rsidR="00BE22CE" w:rsidRDefault="00BE22CE" w:rsidP="00BE22CE">
      <w:pPr>
        <w:keepNext/>
        <w:jc w:val="center"/>
      </w:pPr>
      <w:r>
        <w:rPr>
          <w:noProof/>
        </w:rPr>
        <w:drawing>
          <wp:inline distT="0" distB="0" distL="0" distR="0" wp14:anchorId="27238EF0" wp14:editId="36508CA1">
            <wp:extent cx="6045200" cy="34004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6047247" cy="3401576"/>
                    </a:xfrm>
                    <a:prstGeom prst="rect">
                      <a:avLst/>
                    </a:prstGeom>
                    <a:noFill/>
                  </pic:spPr>
                </pic:pic>
              </a:graphicData>
            </a:graphic>
          </wp:inline>
        </w:drawing>
      </w:r>
    </w:p>
    <w:p w14:paraId="430A3CEE" w14:textId="688179D5" w:rsidR="00BE22CE" w:rsidRDefault="00BE22CE" w:rsidP="00BE22CE">
      <w:pPr>
        <w:pStyle w:val="Caption"/>
        <w:jc w:val="center"/>
      </w:pPr>
      <w:r>
        <w:t xml:space="preserve">Figure </w:t>
      </w:r>
      <w:r w:rsidR="008F6437">
        <w:fldChar w:fldCharType="begin"/>
      </w:r>
      <w:r w:rsidR="008F6437">
        <w:instrText xml:space="preserve"> SEQ Figure \* ARABIC </w:instrText>
      </w:r>
      <w:r w:rsidR="008F6437">
        <w:fldChar w:fldCharType="separate"/>
      </w:r>
      <w:r w:rsidR="00452616">
        <w:rPr>
          <w:noProof/>
        </w:rPr>
        <w:t>3</w:t>
      </w:r>
      <w:r w:rsidR="008F6437">
        <w:rPr>
          <w:noProof/>
        </w:rPr>
        <w:fldChar w:fldCharType="end"/>
      </w:r>
      <w:r>
        <w:t xml:space="preserve">: </w:t>
      </w:r>
      <w:r w:rsidRPr="00CB7BB3">
        <w:t>Goal 4 Quality Education</w:t>
      </w:r>
      <w:r>
        <w:t>. Source:</w:t>
      </w:r>
      <w:r w:rsidRPr="00BE22CE">
        <w:t xml:space="preserve"> Sustainable Development (2019)</w:t>
      </w:r>
      <w:r>
        <w:t>.</w:t>
      </w:r>
    </w:p>
    <w:p w14:paraId="3992443C" w14:textId="77777777" w:rsidR="00EC73B5" w:rsidRDefault="00EC73B5" w:rsidP="00EC73B5">
      <w:r>
        <w:t xml:space="preserve">In order to face urgent problems like climate change, it is crucial to have the education necessary to do so. Young people will benefit from education in terms of their readiness for the high-skilled jobs of the fourth industrialization. Likewise, effective </w:t>
      </w:r>
      <w:proofErr w:type="spellStart"/>
      <w:r>
        <w:t>organisations</w:t>
      </w:r>
      <w:proofErr w:type="spellEnd"/>
      <w:r>
        <w:t xml:space="preserve"> and harmonious communities have education as their foundation. Education is crucial for </w:t>
      </w:r>
      <w:r>
        <w:lastRenderedPageBreak/>
        <w:t>sustainable development; nevertheless, if progress is not made in other areas of humanity at the same time, it will not be possible for all people to reach their full potential (</w:t>
      </w:r>
      <w:proofErr w:type="spellStart"/>
      <w:r>
        <w:t>Sustainabledevelopment</w:t>
      </w:r>
      <w:proofErr w:type="spellEnd"/>
      <w:r>
        <w:t>, 2019).</w:t>
      </w:r>
    </w:p>
    <w:p w14:paraId="3B507B43" w14:textId="77777777" w:rsidR="00EC73B5" w:rsidRDefault="00EC73B5" w:rsidP="00EC73B5">
      <w:r>
        <w:t>A student's health and nutrition have an important role in their ability to study, both in terms of their physical presence in the classroom and their academic performance. Similarly, reducing poverty and the associated incentives to employ children can be extremely important for vulnerable populations at risk of experiencing multiple disadvantages and, thus, for achieving the overarching goal of ensuring that no one is left behind. While SDG 4 specifically addresses education, several of the other SDGs have indicators or targets that are directly or indirectly connected to education as well. Equality between the sexes, good health, economic progress, fair treatment of workers, protection of the environment, and limiting the effects of climate change are all part of this list (</w:t>
      </w:r>
      <w:proofErr w:type="spellStart"/>
      <w:r>
        <w:t>Sustainablcdevelopment</w:t>
      </w:r>
      <w:proofErr w:type="spellEnd"/>
      <w:r>
        <w:t>, 2019).</w:t>
      </w:r>
    </w:p>
    <w:p w14:paraId="19957C2E" w14:textId="77777777" w:rsidR="00EC73B5" w:rsidRDefault="00EC73B5" w:rsidP="00EC73B5">
      <w:r>
        <w:t>The goal of creating and improving inclusive and safe schools took into account the need for accessible buildings and spaces that welcome and support students of all backgrounds and abilities in their pursuit of education. Scholarship initiatives can be crucial in giving young people and adults who otherwise couldn't afford higher education the chance to do so. Although wealthy nations do award fellowships to students from underdeveloped countries, these grants need to be designed with the developing nation's capacity in mind. Knowing the value of scholarships, however, encourages donor nations to provide other forms of assistance for education. Young people from low-income families should be given priority for the scholarships in a transparent manner (SDG 4, 2022).</w:t>
      </w:r>
    </w:p>
    <w:p w14:paraId="5BF2E4AF" w14:textId="0B86B2F9" w:rsidR="008E2F15" w:rsidRDefault="00EC73B5" w:rsidP="008E2F15">
      <w:r>
        <w:t>All of SDG 4's goals can only be reached with the help of educators. Due to the disparate distribution and lack of properly prepared instructors, the equity gap in education is exacerbated, especially in underprivileged communities, making the impending deadline all the more pressing. Educators and instructors need to be given autonomy within well-resourced, effective, and effectively administered systems in order to ensure that students get a high-quality education (SDG 4, 2022).</w:t>
      </w:r>
      <w:r w:rsidR="008E2F15">
        <w:t xml:space="preserve"> </w:t>
      </w:r>
    </w:p>
    <w:p w14:paraId="103BFC65" w14:textId="77777777" w:rsidR="008E2F15" w:rsidRDefault="008E2F15" w:rsidP="008E2F15">
      <w:pPr>
        <w:pStyle w:val="Heading2"/>
      </w:pPr>
      <w:bookmarkStart w:id="6" w:name="_Toc141748188"/>
      <w:r>
        <w:lastRenderedPageBreak/>
        <w:t>Goal 17 Partnerships to achieve the Goals</w:t>
      </w:r>
      <w:bookmarkEnd w:id="6"/>
      <w:r>
        <w:t xml:space="preserve"> </w:t>
      </w:r>
    </w:p>
    <w:p w14:paraId="39C33362" w14:textId="2049CC2D" w:rsidR="00EC73B5" w:rsidRDefault="00EC73B5" w:rsidP="00EC73B5">
      <w:r>
        <w:t xml:space="preserve">Goal 17 of the Sustainable Development Agenda (SDG) entails the enhancement of strategies for the effective implementation of Agenda 2030. The comprehension of sustainable development on a global scale necessitates a dedicated commitment to international collaboration. In order to achieve the goals outlined in Agenda 2030, it is imperative that there is increased collaboration among the government, civil society, and corporate sector partners. Additionally, it will promote the expansion of the multinational corporation and enhance uniformity in projects and policies at both the global and national levels. Goal 17 of the Sustainable Development Goals pertains to the need for action and the necessary measures to enhance the capacity for implementing the SDGs across various levels of society. The achievement of the overall SDG agenda is inherently dependent on the </w:t>
      </w:r>
      <w:proofErr w:type="spellStart"/>
      <w:r>
        <w:t>realisation</w:t>
      </w:r>
      <w:proofErr w:type="spellEnd"/>
      <w:r>
        <w:t xml:space="preserve"> of the aspirations and aims outlined in SDG 17 </w:t>
      </w:r>
      <w:r w:rsidR="00E47972" w:rsidRPr="00E47972">
        <w:t>(</w:t>
      </w:r>
      <w:proofErr w:type="spellStart"/>
      <w:r w:rsidR="00E47972" w:rsidRPr="00E47972">
        <w:t>Sibanda</w:t>
      </w:r>
      <w:proofErr w:type="spellEnd"/>
      <w:r w:rsidR="00E47972" w:rsidRPr="00E47972">
        <w:t xml:space="preserve"> and </w:t>
      </w:r>
      <w:proofErr w:type="spellStart"/>
      <w:r w:rsidR="00E47972" w:rsidRPr="00E47972">
        <w:t>Mwamakamba</w:t>
      </w:r>
      <w:proofErr w:type="spellEnd"/>
      <w:r w:rsidR="00E47972" w:rsidRPr="00E47972">
        <w:t>, 2021)</w:t>
      </w:r>
      <w:r>
        <w:t>.</w:t>
      </w:r>
    </w:p>
    <w:p w14:paraId="74BA6E95" w14:textId="77777777" w:rsidR="00452616" w:rsidRDefault="00BE22CE" w:rsidP="00452616">
      <w:pPr>
        <w:keepNext/>
      </w:pPr>
      <w:r>
        <w:rPr>
          <w:noProof/>
        </w:rPr>
        <w:drawing>
          <wp:inline distT="0" distB="0" distL="0" distR="0" wp14:anchorId="01024980" wp14:editId="6F914663">
            <wp:extent cx="5863584" cy="2826634"/>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5863584" cy="2826634"/>
                    </a:xfrm>
                    <a:prstGeom prst="rect">
                      <a:avLst/>
                    </a:prstGeom>
                    <a:noFill/>
                  </pic:spPr>
                </pic:pic>
              </a:graphicData>
            </a:graphic>
          </wp:inline>
        </w:drawing>
      </w:r>
    </w:p>
    <w:p w14:paraId="059810F9" w14:textId="4628F1DE" w:rsidR="00BE22CE" w:rsidRDefault="00452616" w:rsidP="00452616">
      <w:pPr>
        <w:pStyle w:val="Caption"/>
        <w:jc w:val="center"/>
      </w:pPr>
      <w:r>
        <w:t xml:space="preserve">Figure </w:t>
      </w:r>
      <w:r w:rsidR="008F6437">
        <w:fldChar w:fldCharType="begin"/>
      </w:r>
      <w:r w:rsidR="008F6437">
        <w:instrText xml:space="preserve"> SEQ Figure \* ARABIC </w:instrText>
      </w:r>
      <w:r w:rsidR="008F6437">
        <w:fldChar w:fldCharType="separate"/>
      </w:r>
      <w:r>
        <w:rPr>
          <w:noProof/>
        </w:rPr>
        <w:t>4</w:t>
      </w:r>
      <w:r w:rsidR="008F6437">
        <w:rPr>
          <w:noProof/>
        </w:rPr>
        <w:fldChar w:fldCharType="end"/>
      </w:r>
      <w:r>
        <w:t xml:space="preserve">: </w:t>
      </w:r>
      <w:r w:rsidRPr="00452616">
        <w:t>Goal 17 Partnerships to achieve the Goals</w:t>
      </w:r>
      <w:r>
        <w:t xml:space="preserve">. Source: </w:t>
      </w:r>
      <w:proofErr w:type="spellStart"/>
      <w:r w:rsidRPr="00452616">
        <w:t>Sibanda</w:t>
      </w:r>
      <w:proofErr w:type="spellEnd"/>
      <w:r w:rsidRPr="00452616">
        <w:t xml:space="preserve"> and </w:t>
      </w:r>
      <w:proofErr w:type="spellStart"/>
      <w:r w:rsidRPr="00452616">
        <w:t>Mwamakamba</w:t>
      </w:r>
      <w:proofErr w:type="spellEnd"/>
      <w:r>
        <w:t xml:space="preserve"> (</w:t>
      </w:r>
      <w:r w:rsidRPr="00452616">
        <w:t>2021).</w:t>
      </w:r>
    </w:p>
    <w:p w14:paraId="1096FEC3" w14:textId="45AFD556" w:rsidR="00EC73B5" w:rsidRDefault="00EC73B5" w:rsidP="00EC73B5">
      <w:r>
        <w:t xml:space="preserve">Goal 17 of the Sustainable Development Agenda has been widely </w:t>
      </w:r>
      <w:proofErr w:type="spellStart"/>
      <w:r>
        <w:t>recognised</w:t>
      </w:r>
      <w:proofErr w:type="spellEnd"/>
      <w:r>
        <w:t xml:space="preserve"> as the key driver for global engagement and </w:t>
      </w:r>
      <w:proofErr w:type="spellStart"/>
      <w:r>
        <w:t>mobilisation</w:t>
      </w:r>
      <w:proofErr w:type="spellEnd"/>
      <w:r>
        <w:t xml:space="preserve"> of various stakeholders essential for the attainment of the Sustainable Development Goals (SDGs). The portrayal of multi-stakeholder partnerships solely as limited instruments for promoting international development cooperation is deemed unacceptable, considering their expected </w:t>
      </w:r>
      <w:r>
        <w:lastRenderedPageBreak/>
        <w:t xml:space="preserve">transformative role in accomplishing the ambitious objectives of the Sustainable Development Goals (SDGs) Agenda </w:t>
      </w:r>
      <w:r w:rsidR="00E47972" w:rsidRPr="00E47972">
        <w:t>(</w:t>
      </w:r>
      <w:proofErr w:type="spellStart"/>
      <w:r w:rsidR="00E47972" w:rsidRPr="00E47972">
        <w:t>Sibanda</w:t>
      </w:r>
      <w:proofErr w:type="spellEnd"/>
      <w:r w:rsidR="00E47972" w:rsidRPr="00E47972">
        <w:t xml:space="preserve"> and </w:t>
      </w:r>
      <w:proofErr w:type="spellStart"/>
      <w:r w:rsidR="00E47972" w:rsidRPr="00E47972">
        <w:t>Mwamakamba</w:t>
      </w:r>
      <w:proofErr w:type="spellEnd"/>
      <w:r w:rsidR="00E47972" w:rsidRPr="00E47972">
        <w:t>, 2021)</w:t>
      </w:r>
      <w:r>
        <w:t>.</w:t>
      </w:r>
    </w:p>
    <w:p w14:paraId="0BB82F3F" w14:textId="4C008E18" w:rsidR="00EC73B5" w:rsidRDefault="00EC73B5" w:rsidP="00EC73B5">
      <w:r>
        <w:t xml:space="preserve">SDG 17 aims to facilitate the attainment of the Sustainable Development Goals (SDGs) through its emphasis on trade, financial services, policy coherence, technological advancements, capacity building, statistics, and partnerships. The proposal for achieving sustainable development and enhancing international cooperation and development aid is through the establishment of the Global Partnership for Sustainable Development, which is led by governing bodies. Another approach suggested is the formation of multi-stakeholder partnerships at various levels, including regional, global, subnational, and national scales. These partnerships aim to facilitate the exchange and </w:t>
      </w:r>
      <w:proofErr w:type="spellStart"/>
      <w:r>
        <w:t>mobilisation</w:t>
      </w:r>
      <w:proofErr w:type="spellEnd"/>
      <w:r>
        <w:t xml:space="preserve"> of skills, expertise, assets, and technology to support the implementation of the Sustainable Development Goals (SDGs)</w:t>
      </w:r>
      <w:r w:rsidR="006E745B">
        <w:t xml:space="preserve"> </w:t>
      </w:r>
      <w:r w:rsidR="00710F2F" w:rsidRPr="00710F2F">
        <w:t xml:space="preserve">(Fonseca, Domingues and </w:t>
      </w:r>
      <w:proofErr w:type="spellStart"/>
      <w:r w:rsidR="00710F2F" w:rsidRPr="00710F2F">
        <w:t>Dima</w:t>
      </w:r>
      <w:proofErr w:type="spellEnd"/>
      <w:r w:rsidR="00710F2F" w:rsidRPr="00710F2F">
        <w:t>, 2020)</w:t>
      </w:r>
      <w:r>
        <w:t>.</w:t>
      </w:r>
    </w:p>
    <w:p w14:paraId="33F94467" w14:textId="20BD29AE" w:rsidR="00EC73B5" w:rsidRDefault="00EC73B5" w:rsidP="00EC73B5">
      <w:r>
        <w:t xml:space="preserve">The Global Partnership </w:t>
      </w:r>
      <w:proofErr w:type="spellStart"/>
      <w:r>
        <w:t>emphasises</w:t>
      </w:r>
      <w:proofErr w:type="spellEnd"/>
      <w:r>
        <w:t xml:space="preserve"> several key principles, including increased financial aid, technology transfer, support for long-term debt relief, and promotion of a fair and universal trading system within the framework of the World Trade </w:t>
      </w:r>
      <w:proofErr w:type="spellStart"/>
      <w:r>
        <w:t>Organisation</w:t>
      </w:r>
      <w:proofErr w:type="spellEnd"/>
      <w:r>
        <w:t xml:space="preserve">. These principles aim to foster collaboration between wealthier developed nations and developing as well as least developed countries. Multi-stakeholder partnerships have compiled a comprehensive list of systematic issues that necessitate improvement in order for economically disadvantaged nations to achieve the Sustainable Development Goals (SDGs) (Stott </w:t>
      </w:r>
      <w:r w:rsidR="009C134F">
        <w:t>and</w:t>
      </w:r>
      <w:r>
        <w:t xml:space="preserve"> </w:t>
      </w:r>
      <w:proofErr w:type="spellStart"/>
      <w:r>
        <w:t>Scopvxtta</w:t>
      </w:r>
      <w:proofErr w:type="spellEnd"/>
      <w:r>
        <w:t>, 2020). The aforementioned concerns encompass matters pertaining to policy and institutional consistency, as well as data management, accountability, and monitoring.</w:t>
      </w:r>
    </w:p>
    <w:p w14:paraId="05F28747" w14:textId="48B0FB50" w:rsidR="00452616" w:rsidRPr="003A0447" w:rsidRDefault="00EC73B5" w:rsidP="003A0447">
      <w:pPr>
        <w:rPr>
          <w:rStyle w:val="Heading1Char"/>
          <w:rFonts w:eastAsiaTheme="minorHAnsi" w:cstheme="minorBidi"/>
          <w:b w:val="0"/>
          <w:color w:val="auto"/>
          <w:sz w:val="24"/>
          <w:szCs w:val="22"/>
        </w:rPr>
      </w:pPr>
      <w:r>
        <w:t>Despite the emphasis placed by the Sustainable Development Goals (SDGs) on the indivisibility, universality, and interconnectedness of their implementation strategies, it can be argued that SDG 17 primarily underscores the economic underpinnings of Sustainable Development.There has been an endorsement of a growth model that is more focused and aims to reduce social and environmental issues. This has raised concerns regarding the potential of collaborations to contribute to the promotion of development solutions that are both ecologically sustainable and socially just (Stott, 2020).</w:t>
      </w:r>
      <w:r w:rsidR="00452616">
        <w:rPr>
          <w:rStyle w:val="Heading1Char"/>
        </w:rPr>
        <w:br w:type="page"/>
      </w:r>
    </w:p>
    <w:p w14:paraId="3AC28DB6" w14:textId="3AD7DAD2" w:rsidR="008E2F15" w:rsidRPr="00452616" w:rsidRDefault="001F09CF" w:rsidP="00452616">
      <w:pPr>
        <w:pStyle w:val="Heading1"/>
        <w:rPr>
          <w:rStyle w:val="Heading1Char"/>
          <w:b/>
        </w:rPr>
      </w:pPr>
      <w:bookmarkStart w:id="7" w:name="_Toc141748189"/>
      <w:r w:rsidRPr="00452616">
        <w:rPr>
          <w:rStyle w:val="Heading1Char"/>
          <w:b/>
        </w:rPr>
        <w:lastRenderedPageBreak/>
        <w:t xml:space="preserve">Local Policies </w:t>
      </w:r>
      <w:r w:rsidR="0033267B" w:rsidRPr="00452616">
        <w:rPr>
          <w:rStyle w:val="Heading1Char"/>
          <w:b/>
        </w:rPr>
        <w:t>a</w:t>
      </w:r>
      <w:r w:rsidRPr="00452616">
        <w:rPr>
          <w:rStyle w:val="Heading1Char"/>
          <w:b/>
        </w:rPr>
        <w:t xml:space="preserve">nd Statistics Identified </w:t>
      </w:r>
      <w:r w:rsidR="00C21CAB" w:rsidRPr="00452616">
        <w:rPr>
          <w:rStyle w:val="Heading1Char"/>
          <w:b/>
        </w:rPr>
        <w:t>t</w:t>
      </w:r>
      <w:r w:rsidRPr="00452616">
        <w:rPr>
          <w:rStyle w:val="Heading1Char"/>
          <w:b/>
        </w:rPr>
        <w:t>o Meet The 3 SDGs</w:t>
      </w:r>
      <w:bookmarkEnd w:id="7"/>
    </w:p>
    <w:p w14:paraId="2DE99515" w14:textId="721730DE" w:rsidR="00EC73B5" w:rsidRDefault="00EC73B5" w:rsidP="00EC73B5">
      <w:r>
        <w:t xml:space="preserve">The long-term objective of Goal 3 is to ensure the provision of universal health care. The primary objective of universal health coverage (UHC) is to guarantee equitable access to high-quality healthcare services at affordable costs, irrespective of an individual's socioeconomic standing or geographical location, without being contingent upon their personal or familial financial capacity. The United Kingdom has strategically </w:t>
      </w:r>
      <w:proofErr w:type="spellStart"/>
      <w:r>
        <w:t>emphasised</w:t>
      </w:r>
      <w:proofErr w:type="spellEnd"/>
      <w:r>
        <w:t xml:space="preserve"> health Official Development Assistance (ODA) through its development investment entity, the CDC Group, with the aim of generating returns on the invested capital. This allocation is projected to represent approximately 8 percent of the Official Development Assistance (ODA) budget in the United Kingdom for the upcoming four-year period. According to the CIX strategy plan for the period of 2017-2021, it is asserted that the involvement of for-profit private healthcare providers can contribute to the establishment of standards and the process of selection. Nevertheless, the accessibility of clinics and hospitals under for-profit healthcare models is often limited to a majority of individuals as a result of their dependence on expensive private insurance models and fees (Bond, 20</w:t>
      </w:r>
      <w:r w:rsidR="00356627">
        <w:t>23</w:t>
      </w:r>
      <w:r>
        <w:t>).</w:t>
      </w:r>
    </w:p>
    <w:p w14:paraId="75090DCF" w14:textId="745D5F34" w:rsidR="00EC73B5" w:rsidRDefault="00EC73B5" w:rsidP="00EC73B5">
      <w:r>
        <w:t xml:space="preserve">Despite encountering challenges and inherent risks during its initial years, the Global Financing Facility for Every Woman and Every Child (GFF) remains a priority for the United Kingdom, which is dedicated to offering fresh subsidies for the improvement of maternal, neonatal, child, and adolescent health.The United Kingdom (UK) ought to leverage its position within the Global Financing Facility (GFF) to enhance its commitment towards promoting universal sexual and reproductive health and rights (SRHR) for </w:t>
      </w:r>
      <w:proofErr w:type="spellStart"/>
      <w:r>
        <w:t>marginalised</w:t>
      </w:r>
      <w:proofErr w:type="spellEnd"/>
      <w:r>
        <w:t xml:space="preserve"> women and girls. Additionally, the UK should strive to reinforce extensive engagement of civil society in this </w:t>
      </w:r>
      <w:proofErr w:type="spellStart"/>
      <w:r>
        <w:t>endeavour</w:t>
      </w:r>
      <w:proofErr w:type="spellEnd"/>
      <w:r>
        <w:t xml:space="preserve">. The </w:t>
      </w:r>
      <w:proofErr w:type="spellStart"/>
      <w:r>
        <w:t>prioritisation</w:t>
      </w:r>
      <w:proofErr w:type="spellEnd"/>
      <w:r>
        <w:t xml:space="preserve"> of family planning on a global scale has been spearheaded by the United Kingdom government, as evidenced by their involvement in initiatives such as the Family Planning 2020 global collaboration and the 2017 Family Planning Summit (Bond, 20</w:t>
      </w:r>
      <w:r w:rsidR="00356627">
        <w:t>23</w:t>
      </w:r>
      <w:r>
        <w:t>).</w:t>
      </w:r>
    </w:p>
    <w:p w14:paraId="64974152" w14:textId="6AA263C6" w:rsidR="00EB1900" w:rsidRDefault="00EC73B5" w:rsidP="00987A2B">
      <w:r>
        <w:t xml:space="preserve">The United Kingdom holds the distinction of being the primary contributor to the Global Partnership for Education (GPE), a prominent financial mechanism aimed at supporting international education efforts and facilitating the development of efficient national school systems in various countries. In 2017, the United Kingdom made a financial commitment </w:t>
      </w:r>
      <w:r>
        <w:lastRenderedPageBreak/>
        <w:t>of €225 million to the Global Partnership for Education (GPE) for a duration of three years. Nevertheless, the aforementioned amount proved to be insufficient in meeting the expectations of certain individuals within the global civil society's education sector. Based on the findings of the Platform for Girls' Education and the Girls' Education Campaign, it can be asserted that the United Kingdom holds a prominent position globally in terms of its efforts towards the education of girls. According to Bond (20</w:t>
      </w:r>
      <w:r w:rsidR="00356627">
        <w:t>23</w:t>
      </w:r>
      <w:r>
        <w:t>), the former foreign secretary made a commitment to allocate £212 million in UK funding towards supporting the education of one million disadvantaged girls, with the objective of enabling them to successfully complete a 12-year education by the year 2030. This financial contribution has played a significant role in facilitating the implementation of these educational initiatives.</w:t>
      </w:r>
    </w:p>
    <w:p w14:paraId="24E7980A" w14:textId="1FFCC61F" w:rsidR="003A515A" w:rsidRDefault="00374D81" w:rsidP="00452616">
      <w:bookmarkStart w:id="8" w:name="_Toc141748190"/>
      <w:r w:rsidRPr="00452616">
        <w:rPr>
          <w:rStyle w:val="Heading1Char"/>
        </w:rPr>
        <w:t>London Borough of Tower Hamlet</w:t>
      </w:r>
      <w:bookmarkEnd w:id="8"/>
      <w:r w:rsidRPr="00452616">
        <w:rPr>
          <w:rStyle w:val="Heading1Char"/>
        </w:rPr>
        <w:t xml:space="preserve"> </w:t>
      </w:r>
      <w:r w:rsidRPr="00452616">
        <w:rPr>
          <w:rStyle w:val="Heading1Char"/>
        </w:rPr>
        <w:cr/>
      </w:r>
      <w:r w:rsidR="003A515A">
        <w:t xml:space="preserve">The population of Tower Hamlets, located in England and Wales, has experienced a substantial increase in recent years, surpassing a growth rate of 22 percent. With a population density of 15,695 inhabitants per square </w:t>
      </w:r>
      <w:proofErr w:type="spellStart"/>
      <w:r w:rsidR="003A515A">
        <w:t>kilometre</w:t>
      </w:r>
      <w:proofErr w:type="spellEnd"/>
      <w:r w:rsidR="003A515A">
        <w:t xml:space="preserve">, this borough significantly exceeds the average population density of 424 inhabitants per square </w:t>
      </w:r>
      <w:proofErr w:type="spellStart"/>
      <w:r w:rsidR="003A515A">
        <w:t>kilometre</w:t>
      </w:r>
      <w:proofErr w:type="spellEnd"/>
      <w:r w:rsidR="003A515A">
        <w:t xml:space="preserve"> in England, thus establishing itself as the most densely populated borough in the country. Tower Hamlets has made diligent efforts to accommodate the rapid increase in London's population and to develop a greater number of affordable housing units compared to other boroughs in the city. However, additional financial resources are still required to address this ongoing challenge. The council of Tower Hamlets (202</w:t>
      </w:r>
      <w:r w:rsidR="00710F2F">
        <w:t>3</w:t>
      </w:r>
      <w:r w:rsidR="003A515A">
        <w:t>) conducts regular assessments of various service factors, including population shifts and the demand for new elementary and secondary schools.</w:t>
      </w:r>
    </w:p>
    <w:p w14:paraId="63C08F72" w14:textId="3973F66F" w:rsidR="003A515A" w:rsidRDefault="003A515A" w:rsidP="00452616">
      <w:r>
        <w:t xml:space="preserve">The region is advertised as offering a wide range of attractions and activities to cater to diverse interests and preferences. Nevertheless, the London Borough of Tower Hamlets encounters comparable difficulties to other urban local authorities, </w:t>
      </w:r>
      <w:proofErr w:type="spellStart"/>
      <w:r>
        <w:t>characterised</w:t>
      </w:r>
      <w:proofErr w:type="spellEnd"/>
      <w:r>
        <w:t xml:space="preserve"> by heightened service requirements stemming from poverty and population expansion. Moreover, a higher proportion of young individuals, exceeding the average rate for England, are experiencing extreme poverty. The rate of unemployment among adults exceeds the average rate in London by a margin of at least 1.9%. Tower Hamlets exhibits </w:t>
      </w:r>
      <w:r>
        <w:lastRenderedPageBreak/>
        <w:t xml:space="preserve">a life expectancy that is over four years inferior to its adjacent region of Chelsea and Kensington. Consequently, the local plan has been formulated to adapt to the changing circumstances, ensuring equitable distribution of the benefits arising from this growth throughout the entire borough and effectively addressing the needs of the communities in a coordinated manner </w:t>
      </w:r>
      <w:r w:rsidR="005C2BF5" w:rsidRPr="005C2BF5">
        <w:t>(Greater London Authority, 2023)</w:t>
      </w:r>
      <w:r>
        <w:t>.</w:t>
      </w:r>
    </w:p>
    <w:p w14:paraId="6D4C041E" w14:textId="2378C74B" w:rsidR="003A515A" w:rsidRDefault="003A515A" w:rsidP="003A515A">
      <w:pPr>
        <w:spacing w:after="0"/>
      </w:pPr>
      <w:r>
        <w:t xml:space="preserve">The Tower Hamlet Borough, located in the city of London, is a significant administrative division within the greater metropolitan area. The policy pertaining to the Sustainable Development Goals. The health impact assessment policy ensures that new construction contributes to the preservation of a healthy built environment, in alignment with the London Plan and the objectives outlined in Tower Hamlets' Health and Wellbeing Strategy. In order to conduct a health impact assessment, it is imperative to possess knowledge regarding the specific uses associated with various developments or their respective locations, as these factors are likely to have a significant impact on health outcomes. The </w:t>
      </w:r>
      <w:proofErr w:type="spellStart"/>
      <w:r>
        <w:t>utilisation</w:t>
      </w:r>
      <w:proofErr w:type="spellEnd"/>
      <w:r>
        <w:t xml:space="preserve"> of the proposed guidance from the public health service is imperative for the conduction of health impact evaluations. An example of a readily accessible health impact assessment tool can be found in the latest iteration of the Health Urban Planning Checklist, as provided by the </w:t>
      </w:r>
      <w:r w:rsidR="00163D8E" w:rsidRPr="00163D8E">
        <w:t>Greater London Authority (2023)</w:t>
      </w:r>
      <w:r>
        <w:t>.</w:t>
      </w:r>
    </w:p>
    <w:p w14:paraId="2A8AECB1" w14:textId="0A06B7C3" w:rsidR="006C27FC" w:rsidRDefault="003A515A" w:rsidP="003A515A">
      <w:pPr>
        <w:spacing w:after="0"/>
      </w:pPr>
      <w:r>
        <w:t xml:space="preserve">Section I primarily examines the notable progressions in sub-stranded air quality areas, which are </w:t>
      </w:r>
      <w:proofErr w:type="spellStart"/>
      <w:r>
        <w:t>characterised</w:t>
      </w:r>
      <w:proofErr w:type="spellEnd"/>
      <w:r>
        <w:t xml:space="preserve"> by nitrogen dioxide concentrations exceeding 40 g/m3. This also encompasses areas wherein the concentrations of PM2.5 exceed 10 g/m3. In Part 2, the anticipated scale of growth preferred by the Greater London Authority is examined in relation to the completion of a more comprehensive health impact evaluation. The public health service offers additional guidance regarding the implementation of these assessments. The comprehensive impact assessment may encompass the evaluation of health impacts. The health impact assessment should encompass an examination of both the potential positive and negative effects on various health determinants. Additionally, it should consider the strategies that can be implemented to enhance the positive impacts and mitigate the adverse consequences of the development. Furthermore, it is imperative to provide a clear delineation of the expected outcomes of the application</w:t>
      </w:r>
      <w:r w:rsidR="00C124D5" w:rsidRPr="00C124D5">
        <w:t xml:space="preserve"> (Greater London Authority, 2023)</w:t>
      </w:r>
      <w:r>
        <w:t>.</w:t>
      </w:r>
      <w:r w:rsidR="008066C1" w:rsidRPr="008066C1">
        <w:cr/>
      </w:r>
    </w:p>
    <w:p w14:paraId="0D4D12D4" w14:textId="77777777" w:rsidR="003A515A" w:rsidRDefault="000576C4" w:rsidP="003A515A">
      <w:pPr>
        <w:spacing w:after="0"/>
      </w:pPr>
      <w:bookmarkStart w:id="9" w:name="_Toc141748191"/>
      <w:r w:rsidRPr="000576C4">
        <w:rPr>
          <w:rStyle w:val="Heading1Char"/>
        </w:rPr>
        <w:lastRenderedPageBreak/>
        <w:t>Critical Examination of Benefits of SDGs</w:t>
      </w:r>
      <w:bookmarkEnd w:id="9"/>
      <w:r w:rsidRPr="000576C4">
        <w:rPr>
          <w:rStyle w:val="Heading1Char"/>
        </w:rPr>
        <w:t xml:space="preserve"> </w:t>
      </w:r>
      <w:r w:rsidRPr="000576C4">
        <w:rPr>
          <w:rStyle w:val="Heading1Char"/>
        </w:rPr>
        <w:cr/>
      </w:r>
      <w:r w:rsidR="003A515A">
        <w:t>The life expectancy at birth in Tower Hamlets is approximately 10 years lower compared to the combined average of England and London, indicating a significant disparity in overall health outcomes within the region. When examining the borough in relation to other areas within London and England, it becomes evident that it exhibits a significantly elevated prevalence of childhood obesity, particularly among children aged 10 and 11. Tower Hamlets exhibits poor air quality, similar to the majority of central London. The annual mortality rate in Tower Hamlets due to the exposure to fine particulate matter (PM 2.5) and Nitrogen Dioxide (NO) is estimated to be 195. According to projections, the population of the borough is expected to increase by approximately 100,000 individuals by the year 2031, thereby establishing it as the most populous borough within the city of New York. According to the findings of Tower Hamlets Council, a significant proportion of households on the waiting list, specifically 52.3%, are comprised of Bangladeshi families. Furthermore, it has been observed that within this subset, approximately 37% of the homes are experiencing overcrowded conditions.</w:t>
      </w:r>
    </w:p>
    <w:p w14:paraId="58F5D82E" w14:textId="5E0E269E" w:rsidR="003A515A" w:rsidRDefault="003A515A" w:rsidP="003A515A">
      <w:pPr>
        <w:spacing w:after="0"/>
      </w:pPr>
      <w:r>
        <w:t xml:space="preserve">Furthermore, it is worth noting that the employment rate among individuals with limited skills residing in the London Borough of Tower Hamlets is considerably lower compared to the average employment rate in London. The occupational landscape within the borough exhibits a comparable level of segregation as observed in other areas of the city. Currently, there has been an increase in the availability of entry-level positions, as well as a relatively higher proportion of highly remunerative positions. However, opportunities for career progression remain limited. According to </w:t>
      </w:r>
      <w:r w:rsidR="005D11E5" w:rsidRPr="005D11E5">
        <w:t>Clark (2019)</w:t>
      </w:r>
      <w:r>
        <w:t>, there has been a general increase in secondary school completion rates since 2011.</w:t>
      </w:r>
      <w:r w:rsidR="00A94027">
        <w:t xml:space="preserve"> </w:t>
      </w:r>
      <w:r>
        <w:t xml:space="preserve">The secondary school graduation rate in Tower Hamlets during the later years of the previous educational framework surpassed the national average, as nearly 66% of students achieved five or more GCSEs at grade C or higher. The initial results additionally indicate that the performance for this year is notably below the national average. The anomaly has been brought to the attention of the council, despite the overall success and positive trends. The full extent of the implications of these changes cannot be accurately determined at this early stage </w:t>
      </w:r>
      <w:r w:rsidR="009640E5">
        <w:t>(</w:t>
      </w:r>
      <w:r w:rsidR="00A94027" w:rsidRPr="00A94027">
        <w:t>Clark</w:t>
      </w:r>
      <w:r w:rsidR="009640E5">
        <w:t xml:space="preserve">, </w:t>
      </w:r>
      <w:r w:rsidR="00A94027" w:rsidRPr="00A94027">
        <w:t>2019)</w:t>
      </w:r>
      <w:r>
        <w:t>.</w:t>
      </w:r>
    </w:p>
    <w:p w14:paraId="6A7332E0" w14:textId="0AFFA9FA" w:rsidR="003A515A" w:rsidRDefault="003A515A" w:rsidP="003A515A">
      <w:pPr>
        <w:spacing w:after="0"/>
      </w:pPr>
      <w:r>
        <w:lastRenderedPageBreak/>
        <w:t xml:space="preserve">According to </w:t>
      </w:r>
      <w:r w:rsidR="00D72A3F" w:rsidRPr="00D72A3F">
        <w:t>Clark (2019)</w:t>
      </w:r>
      <w:r>
        <w:t xml:space="preserve">, Tower Hamlets is home to a number of highly regarded secondary schools in the United Kingdom. Within the borough, there exists a range of postsecondary education opportunities available to students aged 14–19. These options encompass a general further education college, a music and arts college, an alternative education college, a pre-employment training college, and a technical college. The high school students in the area have consistently demonstrated exceptional performance. Nevertheless, the implementation of the Key Stage 5 grading system in 2016 has encountered certain challenges. </w:t>
      </w:r>
      <w:r w:rsidR="00D72A3F">
        <w:t>An</w:t>
      </w:r>
      <w:r>
        <w:t xml:space="preserve"> Enhancement of performance can be observed in certain disciplines, while the level of achievement is frequently weaker compared to its outcomes. Nevertheless, it is crucial to </w:t>
      </w:r>
      <w:proofErr w:type="spellStart"/>
      <w:r>
        <w:t>emphasise</w:t>
      </w:r>
      <w:proofErr w:type="spellEnd"/>
      <w:r>
        <w:t xml:space="preserve"> that specific educational institutions have achieved </w:t>
      </w:r>
      <w:proofErr w:type="spellStart"/>
      <w:r>
        <w:t>favourable</w:t>
      </w:r>
      <w:proofErr w:type="spellEnd"/>
      <w:r>
        <w:t xml:space="preserve"> results. The London Borough of Tower Hamlets offers a diverse range of educational, training, and career prospects for individuals beyond the age of 16 and 18. Nevertheless, there has been a gradual reduction in the range of post-16 courses available in recent years </w:t>
      </w:r>
      <w:r w:rsidR="00D72A3F">
        <w:t>(</w:t>
      </w:r>
      <w:r w:rsidR="00D72A3F" w:rsidRPr="00D72A3F">
        <w:t>Clark</w:t>
      </w:r>
      <w:r w:rsidR="00D72A3F">
        <w:t xml:space="preserve">, </w:t>
      </w:r>
      <w:r w:rsidR="00D72A3F" w:rsidRPr="00D72A3F">
        <w:t>2019)</w:t>
      </w:r>
      <w:r>
        <w:t>.</w:t>
      </w:r>
    </w:p>
    <w:p w14:paraId="7136B2A3" w14:textId="1BB46C88" w:rsidR="006C27FC" w:rsidRDefault="003A515A" w:rsidP="003A515A">
      <w:pPr>
        <w:spacing w:after="0"/>
      </w:pPr>
      <w:r>
        <w:t>Tower Hamlets has dedicated significant time and effort towards adhering to industry standards. However, the absence of significant tangible progress in addressing obesity implies that the task is more intricate than initially perceived. Consequently, there is a need for a novel approach at the local level to effectively combat this issue. In collaboration with its affiliated entities, the Public Health sector has formulated a set of logical frameworks that delineate the foremost measures to be undertaken in addressing the issue of childhood obesity within a specific locality. Nevertheless, it is imperative to acknowledge that these interventions in isolation may not suffice to effectively address the multifaceted challenges entailed in combating obesity (Banerjee, 2020).</w:t>
      </w:r>
      <w:r w:rsidR="000306AF">
        <w:t xml:space="preserve"> </w:t>
      </w:r>
    </w:p>
    <w:p w14:paraId="72A4120B" w14:textId="77777777" w:rsidR="00452616" w:rsidRDefault="00452616">
      <w:pPr>
        <w:spacing w:line="259" w:lineRule="auto"/>
        <w:jc w:val="left"/>
        <w:rPr>
          <w:rFonts w:eastAsiaTheme="majorEastAsia" w:cstheme="majorBidi"/>
          <w:b/>
          <w:color w:val="2F5496" w:themeColor="accent1" w:themeShade="BF"/>
          <w:sz w:val="32"/>
          <w:szCs w:val="32"/>
        </w:rPr>
      </w:pPr>
      <w:r>
        <w:br w:type="page"/>
      </w:r>
    </w:p>
    <w:p w14:paraId="507CAFE5" w14:textId="7234E78D" w:rsidR="000306AF" w:rsidRDefault="00CB0F42" w:rsidP="00CB0F42">
      <w:pPr>
        <w:pStyle w:val="Heading1"/>
      </w:pPr>
      <w:bookmarkStart w:id="10" w:name="_Toc141748192"/>
      <w:r>
        <w:lastRenderedPageBreak/>
        <w:t>Recommendations</w:t>
      </w:r>
      <w:bookmarkEnd w:id="10"/>
    </w:p>
    <w:p w14:paraId="2A445456" w14:textId="101C5718" w:rsidR="008D4829" w:rsidRDefault="000E0127" w:rsidP="003A515A">
      <w:r w:rsidRPr="000E0127">
        <w:t>As a health and wellbeing consultant for the local council in London, UK,</w:t>
      </w:r>
      <w:r>
        <w:t xml:space="preserve"> </w:t>
      </w:r>
      <w:r w:rsidR="008D4829">
        <w:t>here</w:t>
      </w:r>
      <w:r>
        <w:t xml:space="preserve"> are some recommendations</w:t>
      </w:r>
      <w:r w:rsidR="008D4829">
        <w:t xml:space="preserve"> </w:t>
      </w:r>
      <w:r w:rsidRPr="000E0127">
        <w:t>to improve the city/borough's performance on the Sustainable Development Goals (SDGs)</w:t>
      </w:r>
      <w:r w:rsidR="008D4829">
        <w:t xml:space="preserve">: </w:t>
      </w:r>
    </w:p>
    <w:p w14:paraId="61BC35EF" w14:textId="047C38EC" w:rsidR="008D4829" w:rsidRPr="008D4829" w:rsidRDefault="008D4829" w:rsidP="008D4829">
      <w:r w:rsidRPr="008D4829">
        <w:rPr>
          <w:b/>
          <w:bCs/>
        </w:rPr>
        <w:t>Goal 5: Gender Equality</w:t>
      </w:r>
      <w:r w:rsidRPr="008D4829">
        <w:t xml:space="preserve">: </w:t>
      </w:r>
      <w:r w:rsidR="00A031AB">
        <w:t xml:space="preserve">The administration must evaluate the status of women in key economic, political, and social spheres. Inequalities or instances of bias will be easier to spot as a result. Then, you should create </w:t>
      </w:r>
      <w:proofErr w:type="spellStart"/>
      <w:r w:rsidR="00A031AB">
        <w:t>programmes</w:t>
      </w:r>
      <w:proofErr w:type="spellEnd"/>
      <w:r w:rsidR="00A031AB">
        <w:t xml:space="preserve"> that encourage equal rights and participation for people of both sexes.</w:t>
      </w:r>
    </w:p>
    <w:p w14:paraId="0C6DF2B6" w14:textId="4918A532" w:rsidR="008D4829" w:rsidRPr="008D4829" w:rsidRDefault="008D4829" w:rsidP="008D4829">
      <w:r w:rsidRPr="008D4829">
        <w:rPr>
          <w:b/>
          <w:bCs/>
        </w:rPr>
        <w:t>Goal 6: Clean Water and Sanitation</w:t>
      </w:r>
      <w:r w:rsidRPr="008D4829">
        <w:t>:</w:t>
      </w:r>
      <w:r w:rsidR="00A031AB">
        <w:t xml:space="preserve"> </w:t>
      </w:r>
      <w:r w:rsidR="00A031AB" w:rsidRPr="00A031AB">
        <w:t xml:space="preserve">Assessing the state of the city's water supply and sewage system. To guarantee that all citizens have access to potable water, the government should invest in </w:t>
      </w:r>
      <w:proofErr w:type="spellStart"/>
      <w:r w:rsidR="00A031AB" w:rsidRPr="00A031AB">
        <w:t>modernising</w:t>
      </w:r>
      <w:proofErr w:type="spellEnd"/>
      <w:r w:rsidR="00A031AB" w:rsidRPr="00A031AB">
        <w:t xml:space="preserve"> and maintaining water treatment facilities and sewage infrastructure.</w:t>
      </w:r>
    </w:p>
    <w:p w14:paraId="7104DE45" w14:textId="150BDBB7" w:rsidR="008D4829" w:rsidRPr="008D4829" w:rsidRDefault="008D4829" w:rsidP="008D4829">
      <w:r w:rsidRPr="008D4829">
        <w:rPr>
          <w:b/>
          <w:bCs/>
        </w:rPr>
        <w:t>Goal 7: Affordable and Clean Energy</w:t>
      </w:r>
      <w:r w:rsidRPr="008D4829">
        <w:t xml:space="preserve">: </w:t>
      </w:r>
      <w:r w:rsidR="00A031AB" w:rsidRPr="00A031AB">
        <w:t xml:space="preserve">Renewable energy and energy efficiency are two topics that the borough government should </w:t>
      </w:r>
      <w:proofErr w:type="spellStart"/>
      <w:r w:rsidR="00A031AB" w:rsidRPr="00A031AB">
        <w:t>prioritise</w:t>
      </w:r>
      <w:proofErr w:type="spellEnd"/>
      <w:r w:rsidR="00A031AB" w:rsidRPr="00A031AB">
        <w:t>. Promote environmentally friendly methods of energy production including solar panels, wind turbines, and more. In addition, they need to offer incentives for using less energy.</w:t>
      </w:r>
    </w:p>
    <w:p w14:paraId="4E460A91" w14:textId="74BA775E" w:rsidR="008D4829" w:rsidRPr="008D4829" w:rsidRDefault="008D4829" w:rsidP="008D4829">
      <w:r w:rsidRPr="008D4829">
        <w:rPr>
          <w:b/>
          <w:bCs/>
        </w:rPr>
        <w:t>Goal 13: Climate Action</w:t>
      </w:r>
      <w:r w:rsidRPr="008D4829">
        <w:t xml:space="preserve">: </w:t>
      </w:r>
      <w:r w:rsidR="00A031AB" w:rsidRPr="00A031AB">
        <w:t>The government should prepare a thorough climate action plan in collaboration with key stakeholders and set lofty goals for reducing greenhouse gas emissions. The world has to put more money into renewable energy, green technologies, and climate resiliency.</w:t>
      </w:r>
    </w:p>
    <w:p w14:paraId="6C866D49" w14:textId="4D2F4A5B" w:rsidR="008A654E" w:rsidRDefault="008A654E" w:rsidP="003A515A">
      <w:r>
        <w:br w:type="page"/>
      </w:r>
    </w:p>
    <w:p w14:paraId="0C17CDE2" w14:textId="41E35AF1" w:rsidR="00C64846" w:rsidRDefault="008A654E" w:rsidP="008A654E">
      <w:pPr>
        <w:pStyle w:val="Heading1"/>
      </w:pPr>
      <w:bookmarkStart w:id="11" w:name="_Toc141748193"/>
      <w:r>
        <w:lastRenderedPageBreak/>
        <w:t>Conclusion</w:t>
      </w:r>
      <w:bookmarkEnd w:id="11"/>
    </w:p>
    <w:p w14:paraId="31941917" w14:textId="63BD561C" w:rsidR="00DD3F75" w:rsidRDefault="004B4739" w:rsidP="008A654E">
      <w:r w:rsidRPr="004B4739">
        <w:t>Overall, London Borough has done well in adhering to the Sustainable Development Goals; nevertheless, there are some remaining gaps that must be closed using the supplied recommendations. The United Kingdom's progress towards SDGs 3, 4, and 17 demonstrates the government's commitment to sustainable development and the creation of a more equitable, educated, and healthy society. Camden can make even more progress on the designated SDGs and contribute to greater national and global efforts towards a sustainable future by drawing on the United Kingdom's excellent policies and initiatives. Camden has the ability to make a difference and become a model for sustainable development in the UK with careful planning, strong partnerships, and community involvement.</w:t>
      </w:r>
      <w:r w:rsidR="00A736C7">
        <w:t xml:space="preserve"> </w:t>
      </w:r>
    </w:p>
    <w:p w14:paraId="719D6941" w14:textId="77777777" w:rsidR="00DD3F75" w:rsidRDefault="00DD3F75">
      <w:pPr>
        <w:spacing w:line="259" w:lineRule="auto"/>
        <w:jc w:val="left"/>
      </w:pPr>
      <w:r>
        <w:br w:type="page"/>
      </w:r>
    </w:p>
    <w:p w14:paraId="44008A10" w14:textId="6062C210" w:rsidR="006A7DA9" w:rsidRDefault="00DD3F75" w:rsidP="004551A7">
      <w:pPr>
        <w:pStyle w:val="Heading1"/>
      </w:pPr>
      <w:bookmarkStart w:id="12" w:name="_Toc141748194"/>
      <w:r>
        <w:lastRenderedPageBreak/>
        <w:t>References</w:t>
      </w:r>
      <w:bookmarkEnd w:id="12"/>
    </w:p>
    <w:p w14:paraId="102DAAFF" w14:textId="77777777" w:rsidR="005711B4" w:rsidRPr="005711B4" w:rsidRDefault="005711B4" w:rsidP="005711B4">
      <w:r w:rsidRPr="005711B4">
        <w:t xml:space="preserve">Banerjee, S. (2020). </w:t>
      </w:r>
      <w:r w:rsidRPr="005711B4">
        <w:rPr>
          <w:i/>
          <w:iCs/>
        </w:rPr>
        <w:t xml:space="preserve">Childhood Obesity – proposals to develop a whole system approach to tackling childhood obesity in Tower Hamlets </w:t>
      </w:r>
      <w:r w:rsidRPr="005711B4">
        <w:t>. London Borough Of Tower Hamlets.</w:t>
      </w:r>
    </w:p>
    <w:p w14:paraId="4305B6C1" w14:textId="77777777" w:rsidR="005711B4" w:rsidRPr="005711B4" w:rsidRDefault="005711B4" w:rsidP="005711B4">
      <w:r w:rsidRPr="005711B4">
        <w:t xml:space="preserve">Bond (2023). </w:t>
      </w:r>
      <w:r w:rsidRPr="005711B4">
        <w:rPr>
          <w:i/>
          <w:iCs/>
        </w:rPr>
        <w:t>The UK’s global contribution to the Sustainable Development Goals | Bond</w:t>
      </w:r>
      <w:r w:rsidRPr="005711B4">
        <w:t>. [online] Bond | The international development network. Available at: https://www.bond.org.uk/resources/the-uks-global-contribution-to-the-sustainable-development-goals/.</w:t>
      </w:r>
    </w:p>
    <w:p w14:paraId="4D40D3D8" w14:textId="77777777" w:rsidR="005711B4" w:rsidRPr="005711B4" w:rsidRDefault="005711B4" w:rsidP="005711B4">
      <w:r w:rsidRPr="005711B4">
        <w:t xml:space="preserve">Clark, V. (2019). </w:t>
      </w:r>
      <w:r w:rsidRPr="005711B4">
        <w:rPr>
          <w:i/>
          <w:iCs/>
        </w:rPr>
        <w:t>Decision - Growth and Economic Development Plan 2018-2023</w:t>
      </w:r>
      <w:r w:rsidRPr="005711B4">
        <w:t>. [online] democracy.towerhamlets.gov.uk. Available at: https://democracy.towerhamlets.gov.uk/ieDecisionDetails.aspx?AIId=99595 [Accessed 31 Jul. 2023].</w:t>
      </w:r>
    </w:p>
    <w:p w14:paraId="4B0BD51E" w14:textId="77777777" w:rsidR="005711B4" w:rsidRPr="005711B4" w:rsidRDefault="005711B4" w:rsidP="005711B4">
      <w:r w:rsidRPr="005711B4">
        <w:t xml:space="preserve">Fonseca, L.M., Domingues, J.P. and </w:t>
      </w:r>
      <w:proofErr w:type="spellStart"/>
      <w:r w:rsidRPr="005711B4">
        <w:t>Dima</w:t>
      </w:r>
      <w:proofErr w:type="spellEnd"/>
      <w:r w:rsidRPr="005711B4">
        <w:t xml:space="preserve">, A.M. (2020). Mapping the Sustainable Development Goals Relationships. </w:t>
      </w:r>
      <w:r w:rsidRPr="005711B4">
        <w:rPr>
          <w:i/>
          <w:iCs/>
        </w:rPr>
        <w:t>Sustainability</w:t>
      </w:r>
      <w:r w:rsidRPr="005711B4">
        <w:t>, [online] 12(8), p.3359. Available at: https://www.mdpi.com/2071-1050/12/8/3359.</w:t>
      </w:r>
    </w:p>
    <w:p w14:paraId="1FFBBCF6" w14:textId="77777777" w:rsidR="005711B4" w:rsidRPr="005711B4" w:rsidRDefault="005711B4" w:rsidP="005711B4">
      <w:r w:rsidRPr="005711B4">
        <w:t xml:space="preserve">Greater London Authority (2023). </w:t>
      </w:r>
      <w:r w:rsidRPr="005711B4">
        <w:rPr>
          <w:i/>
          <w:iCs/>
        </w:rPr>
        <w:t>Mayor’s green fund helps schools fight toxic air | London City Hall</w:t>
      </w:r>
      <w:r w:rsidRPr="005711B4">
        <w:t>. [online] www.london.gov.uk. Available at: https://www.london.gov.uk/press-releases/mayoral/mayors-green-fund-helps-schools-fight-toxic-air-0.</w:t>
      </w:r>
    </w:p>
    <w:p w14:paraId="178CF3C6" w14:textId="77777777" w:rsidR="005711B4" w:rsidRPr="005711B4" w:rsidRDefault="005711B4" w:rsidP="005711B4">
      <w:proofErr w:type="spellStart"/>
      <w:r w:rsidRPr="005711B4">
        <w:t>Luyckx</w:t>
      </w:r>
      <w:proofErr w:type="spellEnd"/>
      <w:r w:rsidRPr="005711B4">
        <w:t xml:space="preserve">, V.A., Al-Aly, Z., Bello, A.K., </w:t>
      </w:r>
      <w:proofErr w:type="spellStart"/>
      <w:r w:rsidRPr="005711B4">
        <w:t>Bellorin-Font</w:t>
      </w:r>
      <w:proofErr w:type="spellEnd"/>
      <w:r w:rsidRPr="005711B4">
        <w:t xml:space="preserve">, E., </w:t>
      </w:r>
      <w:proofErr w:type="spellStart"/>
      <w:r w:rsidRPr="005711B4">
        <w:t>Carlini</w:t>
      </w:r>
      <w:proofErr w:type="spellEnd"/>
      <w:r w:rsidRPr="005711B4">
        <w:t xml:space="preserve">, R.G., Fabian, J., Garcia-Garcia, G., </w:t>
      </w:r>
      <w:proofErr w:type="spellStart"/>
      <w:r w:rsidRPr="005711B4">
        <w:t>Iyengar</w:t>
      </w:r>
      <w:proofErr w:type="spellEnd"/>
      <w:r w:rsidRPr="005711B4">
        <w:t xml:space="preserve">, A., </w:t>
      </w:r>
      <w:proofErr w:type="spellStart"/>
      <w:r w:rsidRPr="005711B4">
        <w:t>Sekkarie</w:t>
      </w:r>
      <w:proofErr w:type="spellEnd"/>
      <w:r w:rsidRPr="005711B4">
        <w:t xml:space="preserve">, M., van </w:t>
      </w:r>
      <w:proofErr w:type="spellStart"/>
      <w:r w:rsidRPr="005711B4">
        <w:t>Biesen</w:t>
      </w:r>
      <w:proofErr w:type="spellEnd"/>
      <w:r w:rsidRPr="005711B4">
        <w:t xml:space="preserve">, W., </w:t>
      </w:r>
      <w:proofErr w:type="spellStart"/>
      <w:r w:rsidRPr="005711B4">
        <w:t>Ulasi</w:t>
      </w:r>
      <w:proofErr w:type="spellEnd"/>
      <w:r w:rsidRPr="005711B4">
        <w:t xml:space="preserve">, I., </w:t>
      </w:r>
      <w:proofErr w:type="spellStart"/>
      <w:r w:rsidRPr="005711B4">
        <w:t>Yeates</w:t>
      </w:r>
      <w:proofErr w:type="spellEnd"/>
      <w:r w:rsidRPr="005711B4">
        <w:t xml:space="preserve">, K. and </w:t>
      </w:r>
      <w:proofErr w:type="spellStart"/>
      <w:r w:rsidRPr="005711B4">
        <w:t>Stanifer</w:t>
      </w:r>
      <w:proofErr w:type="spellEnd"/>
      <w:r w:rsidRPr="005711B4">
        <w:t xml:space="preserve">, J. (2020). Sustainable Development Goals relevant to kidney health: an update on progress. </w:t>
      </w:r>
      <w:r w:rsidRPr="005711B4">
        <w:rPr>
          <w:i/>
          <w:iCs/>
        </w:rPr>
        <w:t>Nature Reviews Nephrology</w:t>
      </w:r>
      <w:r w:rsidRPr="005711B4">
        <w:t xml:space="preserve">, 17(1), pp.15–32. </w:t>
      </w:r>
      <w:proofErr w:type="spellStart"/>
      <w:r w:rsidRPr="005711B4">
        <w:t>doi:https</w:t>
      </w:r>
      <w:proofErr w:type="spellEnd"/>
      <w:r w:rsidRPr="005711B4">
        <w:t>://doi.org/10.1038/s41581-020-00363-6.</w:t>
      </w:r>
    </w:p>
    <w:p w14:paraId="1570B492" w14:textId="77777777" w:rsidR="005711B4" w:rsidRPr="005711B4" w:rsidRDefault="005711B4" w:rsidP="005711B4">
      <w:r w:rsidRPr="005711B4">
        <w:t xml:space="preserve">Morton, S., </w:t>
      </w:r>
      <w:proofErr w:type="spellStart"/>
      <w:r w:rsidRPr="005711B4">
        <w:t>Pencheon</w:t>
      </w:r>
      <w:proofErr w:type="spellEnd"/>
      <w:r w:rsidRPr="005711B4">
        <w:t xml:space="preserve">, D. and Squires, N. (2017). Sustainable Development Goals (SDGs), and their implementation. </w:t>
      </w:r>
      <w:r w:rsidRPr="005711B4">
        <w:rPr>
          <w:i/>
          <w:iCs/>
        </w:rPr>
        <w:t>British Medical Bulletin</w:t>
      </w:r>
      <w:r w:rsidRPr="005711B4">
        <w:t xml:space="preserve">, [online] 124(1), pp.1–10. </w:t>
      </w:r>
      <w:proofErr w:type="spellStart"/>
      <w:r w:rsidRPr="005711B4">
        <w:t>doi:https</w:t>
      </w:r>
      <w:proofErr w:type="spellEnd"/>
      <w:r w:rsidRPr="005711B4">
        <w:t>://doi.org/10.1093/bmb/ldx031.</w:t>
      </w:r>
    </w:p>
    <w:p w14:paraId="1FCBFD03" w14:textId="77777777" w:rsidR="005711B4" w:rsidRPr="005711B4" w:rsidRDefault="005711B4" w:rsidP="005711B4">
      <w:proofErr w:type="spellStart"/>
      <w:r w:rsidRPr="005711B4">
        <w:t>Sibanda</w:t>
      </w:r>
      <w:proofErr w:type="spellEnd"/>
      <w:r w:rsidRPr="005711B4">
        <w:t xml:space="preserve">, L.M. and </w:t>
      </w:r>
      <w:proofErr w:type="spellStart"/>
      <w:r w:rsidRPr="005711B4">
        <w:t>Mwamakamba</w:t>
      </w:r>
      <w:proofErr w:type="spellEnd"/>
      <w:r w:rsidRPr="005711B4">
        <w:t xml:space="preserve">, S.N. (2021). Policy Considerations for African Food Systems: Towards the United Nations 2021 Food Systems Summit. </w:t>
      </w:r>
      <w:r w:rsidRPr="005711B4">
        <w:rPr>
          <w:i/>
          <w:iCs/>
        </w:rPr>
        <w:t>Sustainability</w:t>
      </w:r>
      <w:r w:rsidRPr="005711B4">
        <w:t xml:space="preserve">, 13(16), p.9018. </w:t>
      </w:r>
      <w:proofErr w:type="spellStart"/>
      <w:r w:rsidRPr="005711B4">
        <w:t>doi:https</w:t>
      </w:r>
      <w:proofErr w:type="spellEnd"/>
      <w:r w:rsidRPr="005711B4">
        <w:t>://doi.org/10.3390/su13169018.</w:t>
      </w:r>
    </w:p>
    <w:p w14:paraId="6FB629DD" w14:textId="77777777" w:rsidR="005711B4" w:rsidRPr="005711B4" w:rsidRDefault="005711B4" w:rsidP="005711B4">
      <w:r w:rsidRPr="005711B4">
        <w:lastRenderedPageBreak/>
        <w:t xml:space="preserve">Tower Hamlets council (2023a). </w:t>
      </w:r>
      <w:r w:rsidRPr="005711B4">
        <w:rPr>
          <w:i/>
          <w:iCs/>
        </w:rPr>
        <w:t>Health Impact Assessment</w:t>
      </w:r>
      <w:r w:rsidRPr="005711B4">
        <w:t>. [online] www.towerhamlets.gov.uk. Available at: https://www.towerhamlets.gov.uk/lgnl/planning_and_building_control/planning_applications/Making_a_planning_application/Local_validation_list/Health_Impact_Assessment.aspx [Accessed 31 Jul. 2023].</w:t>
      </w:r>
    </w:p>
    <w:p w14:paraId="3A70F1F4" w14:textId="77777777" w:rsidR="005711B4" w:rsidRPr="005711B4" w:rsidRDefault="005711B4" w:rsidP="005711B4">
      <w:r w:rsidRPr="005711B4">
        <w:t xml:space="preserve">Tower Hamlets council (2023b). </w:t>
      </w:r>
      <w:r w:rsidRPr="005711B4">
        <w:rPr>
          <w:i/>
          <w:iCs/>
        </w:rPr>
        <w:t>Local plan</w:t>
      </w:r>
      <w:r w:rsidRPr="005711B4">
        <w:t>. [online] www.towerhamlets.gov.uk. Available at: https://www.towerhamlets.gov.uk/lgnl/planning_and_building_control/planning_policy_guidance/Local_plan/local_plan.aspx.</w:t>
      </w:r>
    </w:p>
    <w:p w14:paraId="19FF026C" w14:textId="7D50BAFE" w:rsidR="005711B4" w:rsidRPr="005711B4" w:rsidRDefault="005711B4" w:rsidP="005711B4">
      <w:r w:rsidRPr="005711B4">
        <w:t xml:space="preserve">UNITED NATIONS (2023). </w:t>
      </w:r>
      <w:r w:rsidRPr="005711B4">
        <w:rPr>
          <w:i/>
          <w:iCs/>
        </w:rPr>
        <w:t>Review of SDG implementation and interrelations among goals: Discussion on SDG 4 - Quality education .:. Sustainable Development Knowledge Platform</w:t>
      </w:r>
      <w:r w:rsidRPr="005711B4">
        <w:t>. [online] sustainabledevelopment.un.org. Available at: https://sustainabledevelopment.un.org/index.php?page=view</w:t>
      </w:r>
      <w:r w:rsidR="009C134F">
        <w:t>and</w:t>
      </w:r>
      <w:r w:rsidRPr="005711B4">
        <w:t>type=20000</w:t>
      </w:r>
      <w:r w:rsidR="009C134F">
        <w:t>and</w:t>
      </w:r>
      <w:r w:rsidRPr="005711B4">
        <w:t>nr=5690</w:t>
      </w:r>
      <w:r w:rsidR="009C134F">
        <w:t>and</w:t>
      </w:r>
      <w:r w:rsidRPr="005711B4">
        <w:t>menu=2993 [Accessed 31 Jul. 2023].</w:t>
      </w:r>
    </w:p>
    <w:p w14:paraId="670CA879" w14:textId="77777777" w:rsidR="005711B4" w:rsidRPr="005711B4" w:rsidRDefault="005711B4" w:rsidP="005711B4">
      <w:r w:rsidRPr="005711B4">
        <w:t xml:space="preserve">United Nations (2015). </w:t>
      </w:r>
      <w:r w:rsidRPr="005711B4">
        <w:rPr>
          <w:i/>
          <w:iCs/>
        </w:rPr>
        <w:t>Transforming our world: The 2030 agenda for sustainable development</w:t>
      </w:r>
      <w:r w:rsidRPr="005711B4">
        <w:t>. [online] United Nations. Available at: https://sdgs.un.org/2030agenda.</w:t>
      </w:r>
    </w:p>
    <w:p w14:paraId="6BA80F7C" w14:textId="77777777" w:rsidR="005711B4" w:rsidRPr="005711B4" w:rsidRDefault="005711B4" w:rsidP="005711B4">
      <w:r w:rsidRPr="005711B4">
        <w:t xml:space="preserve">United Nations (2022). </w:t>
      </w:r>
      <w:r w:rsidRPr="005711B4">
        <w:rPr>
          <w:i/>
          <w:iCs/>
        </w:rPr>
        <w:t>Goal 3: Ensure Healthy Lives and Promote well-being for All at All Ages</w:t>
      </w:r>
      <w:r w:rsidRPr="005711B4">
        <w:t>. [online] United Nations Sustainable Development. Available at: https://www.un.org/sustainabledevelopment/health/.</w:t>
      </w:r>
    </w:p>
    <w:p w14:paraId="2966E69C" w14:textId="77777777" w:rsidR="005711B4" w:rsidRPr="005711B4" w:rsidRDefault="005711B4" w:rsidP="005711B4">
      <w:r w:rsidRPr="005711B4">
        <w:t xml:space="preserve">United Nations (2023). </w:t>
      </w:r>
      <w:r w:rsidRPr="005711B4">
        <w:rPr>
          <w:i/>
          <w:iCs/>
        </w:rPr>
        <w:t>Goal 4 | Department of Economic and Social Affairs</w:t>
      </w:r>
      <w:r w:rsidRPr="005711B4">
        <w:t>. [online] United Nations. Available at: https://sdgs.un.org/goals/goal4.</w:t>
      </w:r>
    </w:p>
    <w:p w14:paraId="446367C7" w14:textId="472BD58C" w:rsidR="004551A7" w:rsidRPr="004551A7" w:rsidRDefault="004551A7" w:rsidP="004551A7"/>
    <w:sectPr w:rsidR="004551A7" w:rsidRPr="004551A7">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409F87" w14:textId="77777777" w:rsidR="005C7BE3" w:rsidRDefault="005C7BE3" w:rsidP="003A726C">
      <w:pPr>
        <w:spacing w:after="0" w:line="240" w:lineRule="auto"/>
      </w:pPr>
      <w:r>
        <w:separator/>
      </w:r>
    </w:p>
  </w:endnote>
  <w:endnote w:type="continuationSeparator" w:id="0">
    <w:p w14:paraId="175395E6" w14:textId="77777777" w:rsidR="005C7BE3" w:rsidRDefault="005C7BE3" w:rsidP="003A72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MT">
    <w:altName w:val="Arial"/>
    <w:panose1 w:val="020B0604020202020204"/>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3779952"/>
      <w:docPartObj>
        <w:docPartGallery w:val="Page Numbers (Bottom of Page)"/>
        <w:docPartUnique/>
      </w:docPartObj>
    </w:sdtPr>
    <w:sdtEndPr>
      <w:rPr>
        <w:noProof/>
      </w:rPr>
    </w:sdtEndPr>
    <w:sdtContent>
      <w:p w14:paraId="0B94C811" w14:textId="1A0E1CBE" w:rsidR="003A726C" w:rsidRDefault="003A726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BECE9E" w14:textId="77777777" w:rsidR="003A726C" w:rsidRDefault="003A72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FCB0C8" w14:textId="77777777" w:rsidR="005C7BE3" w:rsidRDefault="005C7BE3" w:rsidP="003A726C">
      <w:pPr>
        <w:spacing w:after="0" w:line="240" w:lineRule="auto"/>
      </w:pPr>
      <w:r>
        <w:separator/>
      </w:r>
    </w:p>
  </w:footnote>
  <w:footnote w:type="continuationSeparator" w:id="0">
    <w:p w14:paraId="2711E5CE" w14:textId="77777777" w:rsidR="005C7BE3" w:rsidRDefault="005C7BE3" w:rsidP="003A72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7A69C8"/>
    <w:multiLevelType w:val="multilevel"/>
    <w:tmpl w:val="D730F8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450149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5545"/>
    <w:rsid w:val="000264A3"/>
    <w:rsid w:val="000306AF"/>
    <w:rsid w:val="00055998"/>
    <w:rsid w:val="000576C4"/>
    <w:rsid w:val="000A3A01"/>
    <w:rsid w:val="000E0127"/>
    <w:rsid w:val="00163D8E"/>
    <w:rsid w:val="001F09CF"/>
    <w:rsid w:val="00296F79"/>
    <w:rsid w:val="0033267B"/>
    <w:rsid w:val="00356627"/>
    <w:rsid w:val="00374D81"/>
    <w:rsid w:val="003A0447"/>
    <w:rsid w:val="003A515A"/>
    <w:rsid w:val="003A726C"/>
    <w:rsid w:val="003C581C"/>
    <w:rsid w:val="003E1281"/>
    <w:rsid w:val="003E2961"/>
    <w:rsid w:val="004061F4"/>
    <w:rsid w:val="00452616"/>
    <w:rsid w:val="004551A7"/>
    <w:rsid w:val="004B4739"/>
    <w:rsid w:val="004E6FE0"/>
    <w:rsid w:val="005102AB"/>
    <w:rsid w:val="00555545"/>
    <w:rsid w:val="005711B4"/>
    <w:rsid w:val="005B014D"/>
    <w:rsid w:val="005C2BF5"/>
    <w:rsid w:val="005C7BE3"/>
    <w:rsid w:val="005D11E5"/>
    <w:rsid w:val="006129A3"/>
    <w:rsid w:val="006A7DA9"/>
    <w:rsid w:val="006B531F"/>
    <w:rsid w:val="006C27FC"/>
    <w:rsid w:val="006E745B"/>
    <w:rsid w:val="00706D25"/>
    <w:rsid w:val="00710F2F"/>
    <w:rsid w:val="007C65B3"/>
    <w:rsid w:val="00805C60"/>
    <w:rsid w:val="008066C1"/>
    <w:rsid w:val="00837FCE"/>
    <w:rsid w:val="008A654E"/>
    <w:rsid w:val="008D4829"/>
    <w:rsid w:val="008E2F15"/>
    <w:rsid w:val="008F6437"/>
    <w:rsid w:val="009640E5"/>
    <w:rsid w:val="00987A2B"/>
    <w:rsid w:val="009A26DB"/>
    <w:rsid w:val="009C134F"/>
    <w:rsid w:val="00A031AB"/>
    <w:rsid w:val="00A736C7"/>
    <w:rsid w:val="00A94027"/>
    <w:rsid w:val="00B068F8"/>
    <w:rsid w:val="00B42EE5"/>
    <w:rsid w:val="00BB7DFA"/>
    <w:rsid w:val="00BE22CE"/>
    <w:rsid w:val="00C124D5"/>
    <w:rsid w:val="00C21CAB"/>
    <w:rsid w:val="00C64846"/>
    <w:rsid w:val="00CB0F42"/>
    <w:rsid w:val="00CE4681"/>
    <w:rsid w:val="00D72A3F"/>
    <w:rsid w:val="00DD3F75"/>
    <w:rsid w:val="00E2505C"/>
    <w:rsid w:val="00E47972"/>
    <w:rsid w:val="00E60988"/>
    <w:rsid w:val="00EB1900"/>
    <w:rsid w:val="00EC73B5"/>
    <w:rsid w:val="00ED3A9F"/>
    <w:rsid w:val="00FA24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C9858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7DFA"/>
    <w:pPr>
      <w:spacing w:line="360" w:lineRule="auto"/>
      <w:jc w:val="both"/>
    </w:pPr>
    <w:rPr>
      <w:rFonts w:ascii="Arial" w:hAnsi="Arial"/>
      <w:sz w:val="24"/>
    </w:rPr>
  </w:style>
  <w:style w:type="paragraph" w:styleId="Heading1">
    <w:name w:val="heading 1"/>
    <w:basedOn w:val="Normal"/>
    <w:next w:val="Normal"/>
    <w:link w:val="Heading1Char"/>
    <w:uiPriority w:val="9"/>
    <w:qFormat/>
    <w:rsid w:val="00452616"/>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452616"/>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2616"/>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452616"/>
    <w:rPr>
      <w:rFonts w:ascii="Arial" w:eastAsiaTheme="majorEastAsia" w:hAnsi="Arial" w:cstheme="majorBidi"/>
      <w:b/>
      <w:sz w:val="28"/>
      <w:szCs w:val="26"/>
    </w:rPr>
  </w:style>
  <w:style w:type="paragraph" w:styleId="Header">
    <w:name w:val="header"/>
    <w:basedOn w:val="Normal"/>
    <w:link w:val="HeaderChar"/>
    <w:uiPriority w:val="99"/>
    <w:unhideWhenUsed/>
    <w:rsid w:val="003A726C"/>
    <w:pPr>
      <w:tabs>
        <w:tab w:val="center" w:pos="4680"/>
        <w:tab w:val="right" w:pos="9360"/>
      </w:tabs>
      <w:spacing w:after="0" w:line="240" w:lineRule="auto"/>
    </w:pPr>
  </w:style>
  <w:style w:type="character" w:customStyle="1" w:styleId="HeaderChar">
    <w:name w:val="Header Char"/>
    <w:basedOn w:val="DefaultParagraphFont"/>
    <w:link w:val="Header"/>
    <w:uiPriority w:val="99"/>
    <w:rsid w:val="003A726C"/>
    <w:rPr>
      <w:rFonts w:ascii="Arial" w:hAnsi="Arial"/>
      <w:sz w:val="24"/>
    </w:rPr>
  </w:style>
  <w:style w:type="paragraph" w:styleId="Footer">
    <w:name w:val="footer"/>
    <w:basedOn w:val="Normal"/>
    <w:link w:val="FooterChar"/>
    <w:uiPriority w:val="99"/>
    <w:unhideWhenUsed/>
    <w:rsid w:val="003A726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726C"/>
    <w:rPr>
      <w:rFonts w:ascii="Arial" w:hAnsi="Arial"/>
      <w:sz w:val="24"/>
    </w:rPr>
  </w:style>
  <w:style w:type="paragraph" w:styleId="TOCHeading">
    <w:name w:val="TOC Heading"/>
    <w:basedOn w:val="Heading1"/>
    <w:next w:val="Normal"/>
    <w:uiPriority w:val="39"/>
    <w:unhideWhenUsed/>
    <w:qFormat/>
    <w:rsid w:val="003A726C"/>
    <w:pPr>
      <w:spacing w:line="259" w:lineRule="auto"/>
      <w:jc w:val="left"/>
      <w:outlineLvl w:val="9"/>
    </w:pPr>
    <w:rPr>
      <w:rFonts w:asciiTheme="majorHAnsi" w:hAnsiTheme="majorHAnsi"/>
      <w:b w:val="0"/>
      <w:kern w:val="0"/>
      <w14:ligatures w14:val="none"/>
    </w:rPr>
  </w:style>
  <w:style w:type="paragraph" w:styleId="TOC1">
    <w:name w:val="toc 1"/>
    <w:basedOn w:val="Normal"/>
    <w:next w:val="Normal"/>
    <w:autoRedefine/>
    <w:uiPriority w:val="39"/>
    <w:unhideWhenUsed/>
    <w:rsid w:val="003A726C"/>
    <w:pPr>
      <w:spacing w:after="100"/>
    </w:pPr>
  </w:style>
  <w:style w:type="paragraph" w:styleId="TOC2">
    <w:name w:val="toc 2"/>
    <w:basedOn w:val="Normal"/>
    <w:next w:val="Normal"/>
    <w:autoRedefine/>
    <w:uiPriority w:val="39"/>
    <w:unhideWhenUsed/>
    <w:rsid w:val="003A726C"/>
    <w:pPr>
      <w:spacing w:after="100"/>
      <w:ind w:left="240"/>
    </w:pPr>
  </w:style>
  <w:style w:type="character" w:styleId="Hyperlink">
    <w:name w:val="Hyperlink"/>
    <w:basedOn w:val="DefaultParagraphFont"/>
    <w:uiPriority w:val="99"/>
    <w:unhideWhenUsed/>
    <w:rsid w:val="003A726C"/>
    <w:rPr>
      <w:color w:val="0563C1" w:themeColor="hyperlink"/>
      <w:u w:val="single"/>
    </w:rPr>
  </w:style>
  <w:style w:type="paragraph" w:styleId="Caption">
    <w:name w:val="caption"/>
    <w:basedOn w:val="Normal"/>
    <w:next w:val="Normal"/>
    <w:uiPriority w:val="35"/>
    <w:unhideWhenUsed/>
    <w:qFormat/>
    <w:rsid w:val="009C134F"/>
    <w:pPr>
      <w:spacing w:after="200" w:line="240" w:lineRule="auto"/>
    </w:pPr>
    <w:rPr>
      <w:i/>
      <w:iCs/>
      <w:color w:val="44546A" w:themeColor="text2"/>
      <w:sz w:val="18"/>
      <w:szCs w:val="18"/>
    </w:rPr>
  </w:style>
  <w:style w:type="paragraph" w:styleId="NoSpacing">
    <w:name w:val="No Spacing"/>
    <w:uiPriority w:val="1"/>
    <w:qFormat/>
    <w:rsid w:val="00452616"/>
    <w:pPr>
      <w:spacing w:after="0" w:line="240" w:lineRule="auto"/>
      <w:jc w:val="both"/>
    </w:pPr>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4240520">
      <w:bodyDiv w:val="1"/>
      <w:marLeft w:val="0"/>
      <w:marRight w:val="0"/>
      <w:marTop w:val="0"/>
      <w:marBottom w:val="0"/>
      <w:divBdr>
        <w:top w:val="none" w:sz="0" w:space="0" w:color="auto"/>
        <w:left w:val="none" w:sz="0" w:space="0" w:color="auto"/>
        <w:bottom w:val="none" w:sz="0" w:space="0" w:color="auto"/>
        <w:right w:val="none" w:sz="0" w:space="0" w:color="auto"/>
      </w:divBdr>
      <w:divsChild>
        <w:div w:id="1366910452">
          <w:marLeft w:val="0"/>
          <w:marRight w:val="0"/>
          <w:marTop w:val="0"/>
          <w:marBottom w:val="0"/>
          <w:divBdr>
            <w:top w:val="none" w:sz="0" w:space="0" w:color="auto"/>
            <w:left w:val="none" w:sz="0" w:space="0" w:color="auto"/>
            <w:bottom w:val="none" w:sz="0" w:space="0" w:color="auto"/>
            <w:right w:val="none" w:sz="0" w:space="0" w:color="auto"/>
          </w:divBdr>
        </w:div>
      </w:divsChild>
    </w:div>
    <w:div w:id="2012105091">
      <w:bodyDiv w:val="1"/>
      <w:marLeft w:val="0"/>
      <w:marRight w:val="0"/>
      <w:marTop w:val="0"/>
      <w:marBottom w:val="0"/>
      <w:divBdr>
        <w:top w:val="none" w:sz="0" w:space="0" w:color="auto"/>
        <w:left w:val="none" w:sz="0" w:space="0" w:color="auto"/>
        <w:bottom w:val="none" w:sz="0" w:space="0" w:color="auto"/>
        <w:right w:val="none" w:sz="0" w:space="0" w:color="auto"/>
      </w:divBdr>
      <w:divsChild>
        <w:div w:id="723338508">
          <w:marLeft w:val="0"/>
          <w:marRight w:val="0"/>
          <w:marTop w:val="0"/>
          <w:marBottom w:val="0"/>
          <w:divBdr>
            <w:top w:val="single" w:sz="2" w:space="0" w:color="D9D9E3"/>
            <w:left w:val="single" w:sz="2" w:space="0" w:color="D9D9E3"/>
            <w:bottom w:val="single" w:sz="2" w:space="0" w:color="D9D9E3"/>
            <w:right w:val="single" w:sz="2" w:space="0" w:color="D9D9E3"/>
          </w:divBdr>
          <w:divsChild>
            <w:div w:id="824517278">
              <w:marLeft w:val="0"/>
              <w:marRight w:val="0"/>
              <w:marTop w:val="0"/>
              <w:marBottom w:val="0"/>
              <w:divBdr>
                <w:top w:val="single" w:sz="2" w:space="0" w:color="D9D9E3"/>
                <w:left w:val="single" w:sz="2" w:space="0" w:color="D9D9E3"/>
                <w:bottom w:val="single" w:sz="2" w:space="0" w:color="D9D9E3"/>
                <w:right w:val="single" w:sz="2" w:space="0" w:color="D9D9E3"/>
              </w:divBdr>
              <w:divsChild>
                <w:div w:id="1327317064">
                  <w:marLeft w:val="0"/>
                  <w:marRight w:val="0"/>
                  <w:marTop w:val="0"/>
                  <w:marBottom w:val="0"/>
                  <w:divBdr>
                    <w:top w:val="single" w:sz="2" w:space="0" w:color="D9D9E3"/>
                    <w:left w:val="single" w:sz="2" w:space="0" w:color="D9D9E3"/>
                    <w:bottom w:val="single" w:sz="2" w:space="0" w:color="D9D9E3"/>
                    <w:right w:val="single" w:sz="2" w:space="0" w:color="D9D9E3"/>
                  </w:divBdr>
                  <w:divsChild>
                    <w:div w:id="884829647">
                      <w:marLeft w:val="0"/>
                      <w:marRight w:val="0"/>
                      <w:marTop w:val="0"/>
                      <w:marBottom w:val="0"/>
                      <w:divBdr>
                        <w:top w:val="single" w:sz="2" w:space="0" w:color="D9D9E3"/>
                        <w:left w:val="single" w:sz="2" w:space="0" w:color="D9D9E3"/>
                        <w:bottom w:val="single" w:sz="2" w:space="0" w:color="D9D9E3"/>
                        <w:right w:val="single" w:sz="2" w:space="0" w:color="D9D9E3"/>
                      </w:divBdr>
                      <w:divsChild>
                        <w:div w:id="2007318904">
                          <w:marLeft w:val="0"/>
                          <w:marRight w:val="0"/>
                          <w:marTop w:val="0"/>
                          <w:marBottom w:val="0"/>
                          <w:divBdr>
                            <w:top w:val="single" w:sz="2" w:space="0" w:color="auto"/>
                            <w:left w:val="single" w:sz="2" w:space="0" w:color="auto"/>
                            <w:bottom w:val="single" w:sz="6" w:space="0" w:color="auto"/>
                            <w:right w:val="single" w:sz="2" w:space="0" w:color="auto"/>
                          </w:divBdr>
                          <w:divsChild>
                            <w:div w:id="597104925">
                              <w:marLeft w:val="0"/>
                              <w:marRight w:val="0"/>
                              <w:marTop w:val="100"/>
                              <w:marBottom w:val="100"/>
                              <w:divBdr>
                                <w:top w:val="single" w:sz="2" w:space="0" w:color="D9D9E3"/>
                                <w:left w:val="single" w:sz="2" w:space="0" w:color="D9D9E3"/>
                                <w:bottom w:val="single" w:sz="2" w:space="0" w:color="D9D9E3"/>
                                <w:right w:val="single" w:sz="2" w:space="0" w:color="D9D9E3"/>
                              </w:divBdr>
                              <w:divsChild>
                                <w:div w:id="1057317969">
                                  <w:marLeft w:val="0"/>
                                  <w:marRight w:val="0"/>
                                  <w:marTop w:val="0"/>
                                  <w:marBottom w:val="0"/>
                                  <w:divBdr>
                                    <w:top w:val="single" w:sz="2" w:space="0" w:color="D9D9E3"/>
                                    <w:left w:val="single" w:sz="2" w:space="0" w:color="D9D9E3"/>
                                    <w:bottom w:val="single" w:sz="2" w:space="0" w:color="D9D9E3"/>
                                    <w:right w:val="single" w:sz="2" w:space="0" w:color="D9D9E3"/>
                                  </w:divBdr>
                                  <w:divsChild>
                                    <w:div w:id="631981566">
                                      <w:marLeft w:val="0"/>
                                      <w:marRight w:val="0"/>
                                      <w:marTop w:val="0"/>
                                      <w:marBottom w:val="0"/>
                                      <w:divBdr>
                                        <w:top w:val="single" w:sz="2" w:space="0" w:color="D9D9E3"/>
                                        <w:left w:val="single" w:sz="2" w:space="0" w:color="D9D9E3"/>
                                        <w:bottom w:val="single" w:sz="2" w:space="0" w:color="D9D9E3"/>
                                        <w:right w:val="single" w:sz="2" w:space="0" w:color="D9D9E3"/>
                                      </w:divBdr>
                                      <w:divsChild>
                                        <w:div w:id="311099910">
                                          <w:marLeft w:val="0"/>
                                          <w:marRight w:val="0"/>
                                          <w:marTop w:val="0"/>
                                          <w:marBottom w:val="0"/>
                                          <w:divBdr>
                                            <w:top w:val="single" w:sz="2" w:space="0" w:color="D9D9E3"/>
                                            <w:left w:val="single" w:sz="2" w:space="0" w:color="D9D9E3"/>
                                            <w:bottom w:val="single" w:sz="2" w:space="0" w:color="D9D9E3"/>
                                            <w:right w:val="single" w:sz="2" w:space="0" w:color="D9D9E3"/>
                                          </w:divBdr>
                                          <w:divsChild>
                                            <w:div w:id="10457886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899409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8E5411-52FD-4F8C-BADF-64934A09369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5236</Words>
  <Characters>29851</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2023-08-29T11:30:00Z</dcterms:created>
  <dcterms:modified xsi:type="dcterms:W3CDTF">2023-08-29T11:38:00Z</dcterms:modified>
</cp:coreProperties>
</file>