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56ABDD">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 xml:space="preserve">Unit name: </w:t>
      </w:r>
      <w:r>
        <w:rPr>
          <w:rFonts w:hint="eastAsia" w:ascii="Arial" w:hAnsi="Arial" w:eastAsia="宋体" w:cs="Arial"/>
          <w:sz w:val="24"/>
          <w:szCs w:val="24"/>
          <w:lang w:val="en-US" w:eastAsia="zh-CN"/>
        </w:rPr>
        <w:t>Learning and Developing People</w:t>
      </w:r>
    </w:p>
    <w:p w14:paraId="107A9193">
      <w:pPr>
        <w:spacing w:line="480" w:lineRule="auto"/>
        <w:jc w:val="center"/>
        <w:outlineLvl w:val="0"/>
        <w:rPr>
          <w:rFonts w:hint="default" w:ascii="Arial" w:hAnsi="Arial" w:eastAsia="宋体" w:cs="Arial"/>
          <w:sz w:val="24"/>
          <w:szCs w:val="24"/>
          <w:lang w:val="en-US" w:eastAsia="zh-CN"/>
        </w:rPr>
      </w:pPr>
      <w:bookmarkStart w:id="0" w:name="_Toc8500"/>
      <w:bookmarkStart w:id="1" w:name="_Toc11271"/>
      <w:bookmarkStart w:id="2" w:name="_Toc23026"/>
      <w:bookmarkStart w:id="3" w:name="_Toc6980"/>
      <w:r>
        <w:rPr>
          <w:rFonts w:hint="default" w:ascii="Arial" w:hAnsi="Arial" w:cs="Arial"/>
          <w:sz w:val="24"/>
          <w:szCs w:val="24"/>
        </w:rPr>
        <w:t>Module code: BMBM60</w:t>
      </w:r>
      <w:bookmarkEnd w:id="0"/>
      <w:r>
        <w:rPr>
          <w:rFonts w:hint="eastAsia" w:ascii="Arial" w:hAnsi="Arial" w:eastAsia="宋体" w:cs="Arial"/>
          <w:sz w:val="24"/>
          <w:szCs w:val="24"/>
          <w:lang w:val="en-US" w:eastAsia="zh-CN"/>
        </w:rPr>
        <w:t>1</w:t>
      </w:r>
      <w:bookmarkEnd w:id="1"/>
      <w:r>
        <w:rPr>
          <w:rFonts w:hint="eastAsia" w:ascii="Arial" w:hAnsi="Arial" w:eastAsia="宋体" w:cs="Arial"/>
          <w:sz w:val="24"/>
          <w:szCs w:val="24"/>
          <w:lang w:val="en-US" w:eastAsia="zh-CN"/>
        </w:rPr>
        <w:t>6</w:t>
      </w:r>
      <w:bookmarkEnd w:id="2"/>
      <w:bookmarkEnd w:id="3"/>
    </w:p>
    <w:p w14:paraId="69DBD69C">
      <w:pPr>
        <w:spacing w:line="480" w:lineRule="auto"/>
        <w:jc w:val="center"/>
        <w:rPr>
          <w:rFonts w:hint="default" w:ascii="Arial" w:hAnsi="Arial" w:cs="Arial"/>
          <w:b w:val="0"/>
          <w:bCs w:val="0"/>
          <w:sz w:val="24"/>
          <w:szCs w:val="24"/>
        </w:rPr>
      </w:pPr>
      <w:r>
        <w:rPr>
          <w:rFonts w:hint="default" w:ascii="Arial" w:hAnsi="Arial" w:eastAsia="sans-serif" w:cs="Arial"/>
          <w:b w:val="0"/>
          <w:bCs w:val="0"/>
          <w:i w:val="0"/>
          <w:iCs w:val="0"/>
          <w:caps w:val="0"/>
          <w:color w:val="000000"/>
          <w:spacing w:val="0"/>
          <w:sz w:val="24"/>
          <w:szCs w:val="24"/>
          <w:bdr w:val="none" w:color="auto" w:sz="0" w:space="0"/>
          <w:shd w:val="clear" w:fill="FFFFFF"/>
          <w:lang w:val="en-US"/>
        </w:rPr>
        <w:t>Strategic Employee Development: A Critical Evaluation of its Role in Enhancing Effectiveness, Leadership, and Organisational Competitiveness</w:t>
      </w:r>
      <w:r>
        <w:rPr>
          <w:rFonts w:hint="default" w:ascii="Arial" w:hAnsi="Arial" w:eastAsia="sans-serif" w:cs="Arial"/>
          <w:b w:val="0"/>
          <w:bCs w:val="0"/>
          <w:i w:val="0"/>
          <w:iCs w:val="0"/>
          <w:caps w:val="0"/>
          <w:color w:val="000000"/>
          <w:spacing w:val="0"/>
          <w:sz w:val="24"/>
          <w:szCs w:val="24"/>
          <w:bdr w:val="none" w:color="auto" w:sz="0" w:space="0"/>
          <w:shd w:val="clear" w:fill="FFFFFF"/>
        </w:rPr>
        <w:t> </w:t>
      </w:r>
      <w:r>
        <w:rPr>
          <w:rFonts w:hint="default" w:ascii="Arial" w:hAnsi="Arial" w:cs="Arial"/>
          <w:b w:val="0"/>
          <w:bCs w:val="0"/>
          <w:sz w:val="24"/>
          <w:szCs w:val="24"/>
        </w:rPr>
        <w:t xml:space="preserve"> </w:t>
      </w:r>
    </w:p>
    <w:p w14:paraId="4532EA3C">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 xml:space="preserve">Prepared for: </w:t>
      </w:r>
      <w:r>
        <w:rPr>
          <w:rFonts w:hint="eastAsia" w:ascii="Arial" w:hAnsi="Arial" w:eastAsia="宋体" w:cs="Arial"/>
          <w:sz w:val="24"/>
          <w:szCs w:val="24"/>
          <w:lang w:val="en-US" w:eastAsia="zh-CN"/>
        </w:rPr>
        <w:t>Helen Evans</w:t>
      </w:r>
    </w:p>
    <w:p w14:paraId="7AE65E42">
      <w:pPr>
        <w:spacing w:line="480" w:lineRule="auto"/>
        <w:jc w:val="center"/>
        <w:rPr>
          <w:rFonts w:hint="default" w:ascii="Arial" w:hAnsi="Arial" w:cs="Arial"/>
          <w:sz w:val="24"/>
          <w:szCs w:val="24"/>
        </w:rPr>
      </w:pPr>
      <w:r>
        <w:rPr>
          <w:rFonts w:hint="default" w:ascii="Arial" w:hAnsi="Arial" w:cs="Arial"/>
          <w:sz w:val="24"/>
          <w:szCs w:val="24"/>
        </w:rPr>
        <w:t xml:space="preserve">Written by: </w:t>
      </w:r>
      <w:r>
        <w:rPr>
          <w:rFonts w:hint="default" w:ascii="Arial" w:hAnsi="Arial" w:eastAsia="宋体" w:cs="Arial"/>
          <w:sz w:val="24"/>
          <w:szCs w:val="24"/>
          <w:lang w:val="en-US" w:eastAsia="zh-CN"/>
        </w:rPr>
        <w:t>Runmin Gong</w:t>
      </w:r>
    </w:p>
    <w:p w14:paraId="5A08DB5B">
      <w:pPr>
        <w:spacing w:line="480" w:lineRule="auto"/>
        <w:jc w:val="center"/>
        <w:rPr>
          <w:rFonts w:hint="default" w:ascii="Arial" w:hAnsi="Arial" w:cs="Arial"/>
          <w:sz w:val="24"/>
          <w:szCs w:val="24"/>
        </w:rPr>
      </w:pPr>
      <w:r>
        <w:rPr>
          <w:rFonts w:hint="default" w:ascii="Arial" w:hAnsi="Arial" w:cs="Arial"/>
          <w:sz w:val="24"/>
          <w:szCs w:val="24"/>
        </w:rPr>
        <w:t xml:space="preserve">Student ID: </w:t>
      </w:r>
      <w:r>
        <w:rPr>
          <w:rFonts w:hint="default" w:ascii="Arial" w:hAnsi="Arial" w:eastAsia="宋体" w:cs="Arial"/>
          <w:sz w:val="24"/>
          <w:szCs w:val="24"/>
          <w:lang w:val="en-US" w:eastAsia="zh-CN"/>
        </w:rPr>
        <w:t>2400191</w:t>
      </w:r>
    </w:p>
    <w:p w14:paraId="658AF8FE">
      <w:pPr>
        <w:spacing w:line="480" w:lineRule="auto"/>
        <w:jc w:val="center"/>
        <w:rPr>
          <w:rFonts w:hint="eastAsia" w:ascii="Arial" w:hAnsi="Arial" w:eastAsia="宋体" w:cs="Arial"/>
          <w:sz w:val="24"/>
          <w:szCs w:val="24"/>
          <w:lang w:val="en-US" w:eastAsia="zh-CN"/>
        </w:rPr>
      </w:pPr>
      <w:r>
        <w:rPr>
          <w:rFonts w:hint="default" w:ascii="Arial" w:hAnsi="Arial" w:cs="Arial"/>
          <w:sz w:val="24"/>
          <w:szCs w:val="24"/>
        </w:rPr>
        <w:t xml:space="preserve">Date submitted: </w:t>
      </w:r>
      <w:r>
        <w:rPr>
          <w:rFonts w:hint="eastAsia" w:ascii="Arial" w:hAnsi="Arial" w:eastAsia="宋体" w:cs="Arial"/>
          <w:sz w:val="24"/>
          <w:szCs w:val="24"/>
          <w:lang w:val="en-US" w:eastAsia="zh-CN"/>
        </w:rPr>
        <w:t>May 25th</w:t>
      </w:r>
      <w:r>
        <w:rPr>
          <w:rFonts w:hint="default" w:ascii="Arial" w:hAnsi="Arial" w:cs="Arial"/>
          <w:sz w:val="24"/>
          <w:szCs w:val="24"/>
        </w:rPr>
        <w:t>,202</w:t>
      </w:r>
      <w:r>
        <w:rPr>
          <w:rFonts w:hint="eastAsia" w:ascii="Arial" w:hAnsi="Arial" w:eastAsia="宋体" w:cs="Arial"/>
          <w:sz w:val="24"/>
          <w:szCs w:val="24"/>
          <w:lang w:val="en-US" w:eastAsia="zh-CN"/>
        </w:rPr>
        <w:t>5</w:t>
      </w:r>
    </w:p>
    <w:p w14:paraId="3500E203">
      <w:pPr>
        <w:spacing w:before="100" w:beforeAutospacing="1" w:after="100" w:afterAutospacing="1" w:line="360" w:lineRule="auto"/>
        <w:jc w:val="center"/>
        <w:rPr>
          <w:rFonts w:ascii="Times New Roman" w:hAnsi="Times New Roman" w:cs="Times New Roman"/>
        </w:rPr>
      </w:pPr>
      <w:r>
        <w:rPr>
          <w:rFonts w:ascii="Times New Roman" w:hAnsi="Times New Roman" w:cs="Times New Roman"/>
        </w:rPr>
        <w:drawing>
          <wp:inline distT="0" distB="0" distL="114300" distR="114300">
            <wp:extent cx="2540635" cy="1123315"/>
            <wp:effectExtent l="0" t="0" r="12065" b="635"/>
            <wp:docPr id="1"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形用户界面, 文本, 应用程序&#10;&#10;描述已自动生成"/>
                    <pic:cNvPicPr>
                      <a:picLocks noChangeAspect="1"/>
                    </pic:cNvPicPr>
                  </pic:nvPicPr>
                  <pic:blipFill>
                    <a:blip r:embed="rId6"/>
                    <a:stretch>
                      <a:fillRect/>
                    </a:stretch>
                  </pic:blipFill>
                  <pic:spPr>
                    <a:xfrm>
                      <a:off x="0" y="0"/>
                      <a:ext cx="2540635" cy="1123315"/>
                    </a:xfrm>
                    <a:prstGeom prst="rect">
                      <a:avLst/>
                    </a:prstGeom>
                    <a:noFill/>
                    <a:ln>
                      <a:noFill/>
                    </a:ln>
                  </pic:spPr>
                </pic:pic>
              </a:graphicData>
            </a:graphic>
          </wp:inline>
        </w:drawing>
      </w:r>
    </w:p>
    <w:p w14:paraId="5C9C9C2B">
      <w:pPr>
        <w:spacing w:before="100" w:beforeAutospacing="1" w:after="100" w:afterAutospacing="1" w:line="360" w:lineRule="auto"/>
        <w:rPr>
          <w:rFonts w:ascii="Times New Roman" w:hAnsi="Times New Roman" w:cs="Times New Roman"/>
        </w:rPr>
      </w:pPr>
    </w:p>
    <w:p w14:paraId="100EA6DC">
      <w:pPr>
        <w:spacing w:before="100" w:beforeAutospacing="1" w:after="100" w:afterAutospacing="1" w:line="360" w:lineRule="auto"/>
        <w:rPr>
          <w:rFonts w:ascii="Times New Roman" w:hAnsi="Times New Roman" w:cs="Times New Roman"/>
        </w:rPr>
      </w:pPr>
    </w:p>
    <w:p w14:paraId="633B8681">
      <w:pPr>
        <w:spacing w:before="100" w:beforeAutospacing="1" w:after="100" w:afterAutospacing="1" w:line="360" w:lineRule="auto"/>
        <w:jc w:val="center"/>
        <w:rPr>
          <w:rFonts w:ascii="Times New Roman" w:hAnsi="Times New Roman" w:cs="Times New Roman"/>
        </w:rPr>
      </w:pPr>
    </w:p>
    <w:p w14:paraId="7A4F9B45">
      <w:pPr>
        <w:spacing w:before="100" w:beforeAutospacing="1" w:after="100" w:afterAutospacing="1" w:line="360" w:lineRule="auto"/>
        <w:jc w:val="center"/>
        <w:rPr>
          <w:rFonts w:ascii="Times New Roman" w:hAnsi="Times New Roman" w:cs="Times New Roman"/>
        </w:rPr>
      </w:pPr>
    </w:p>
    <w:p w14:paraId="6467FB05">
      <w:pPr>
        <w:spacing w:before="100" w:beforeAutospacing="1" w:after="100" w:afterAutospacing="1" w:line="360" w:lineRule="auto"/>
        <w:jc w:val="center"/>
        <w:rPr>
          <w:rFonts w:ascii="Times New Roman" w:hAnsi="Times New Roman" w:cs="Times New Roman"/>
        </w:rPr>
      </w:pPr>
    </w:p>
    <w:p w14:paraId="19AEE4D2">
      <w:pPr>
        <w:spacing w:before="100" w:beforeAutospacing="1" w:after="100" w:afterAutospacing="1" w:line="360" w:lineRule="auto"/>
        <w:jc w:val="center"/>
        <w:rPr>
          <w:rFonts w:ascii="Times New Roman" w:hAnsi="Times New Roman" w:cs="Times New Roman"/>
        </w:rPr>
      </w:pPr>
    </w:p>
    <w:p w14:paraId="331BA85A">
      <w:pPr>
        <w:jc w:val="both"/>
        <w:rPr>
          <w:rFonts w:hint="default" w:ascii="Arial" w:hAnsi="Arial" w:cs="Arial"/>
          <w:sz w:val="24"/>
          <w:szCs w:val="24"/>
        </w:rPr>
      </w:pPr>
      <w:r>
        <w:rPr>
          <w:rFonts w:hint="default" w:ascii="Arial" w:hAnsi="Arial" w:cs="Arial"/>
          <w:sz w:val="24"/>
          <w:szCs w:val="24"/>
        </w:rPr>
        <w:t>A 2</w:t>
      </w:r>
      <w:r>
        <w:rPr>
          <w:rFonts w:hint="eastAsia" w:ascii="Arial" w:hAnsi="Arial" w:eastAsia="宋体" w:cs="Arial"/>
          <w:sz w:val="24"/>
          <w:szCs w:val="24"/>
          <w:lang w:val="en-US" w:eastAsia="zh-CN"/>
        </w:rPr>
        <w:t>0</w:t>
      </w:r>
      <w:r>
        <w:rPr>
          <w:rFonts w:hint="default" w:ascii="Arial" w:hAnsi="Arial" w:cs="Arial"/>
          <w:sz w:val="24"/>
          <w:szCs w:val="24"/>
        </w:rPr>
        <w:t xml:space="preserve">00-word </w:t>
      </w:r>
      <w:r>
        <w:rPr>
          <w:rFonts w:hint="eastAsia" w:ascii="Arial" w:hAnsi="Arial" w:eastAsia="宋体" w:cs="Arial"/>
          <w:sz w:val="24"/>
          <w:szCs w:val="24"/>
          <w:lang w:val="en-US" w:eastAsia="zh-CN"/>
        </w:rPr>
        <w:t>essay</w:t>
      </w:r>
      <w:r>
        <w:rPr>
          <w:rFonts w:hint="default" w:ascii="Arial" w:hAnsi="Arial" w:cs="Arial"/>
          <w:sz w:val="24"/>
          <w:szCs w:val="24"/>
        </w:rPr>
        <w:t xml:space="preserve"> submitted in fulfilment of the requirements for Course BMBM60</w:t>
      </w:r>
      <w:r>
        <w:rPr>
          <w:rFonts w:hint="eastAsia" w:ascii="Arial" w:hAnsi="Arial" w:eastAsia="宋体" w:cs="Arial"/>
          <w:sz w:val="24"/>
          <w:szCs w:val="24"/>
          <w:lang w:val="en-US" w:eastAsia="zh-CN"/>
        </w:rPr>
        <w:t>23</w:t>
      </w:r>
      <w:r>
        <w:rPr>
          <w:rFonts w:hint="default" w:ascii="Arial" w:hAnsi="Arial" w:cs="Arial"/>
          <w:sz w:val="24"/>
          <w:szCs w:val="24"/>
        </w:rPr>
        <w:t>, University of Wales Trinity Saint David.</w:t>
      </w:r>
    </w:p>
    <w:p w14:paraId="5E56B3E5">
      <w:pPr>
        <w:pStyle w:val="2"/>
        <w:tabs>
          <w:tab w:val="right" w:leader="dot" w:pos="8306"/>
        </w:tabs>
      </w:pPr>
      <w:r>
        <w:rPr>
          <w:rFonts w:hint="default" w:ascii="Arial" w:hAnsi="Arial" w:eastAsia="sans-serif" w:cs="Arial"/>
          <w:b/>
          <w:bCs/>
          <w:i w:val="0"/>
          <w:iCs w:val="0"/>
          <w:caps w:val="0"/>
          <w:color w:val="000000"/>
          <w:spacing w:val="0"/>
          <w:sz w:val="28"/>
          <w:szCs w:val="28"/>
          <w:bdr w:val="none" w:color="auto" w:sz="0" w:space="0"/>
          <w:shd w:val="clear" w:fill="FFFFFF"/>
          <w:lang w:val="en-US"/>
        </w:rPr>
        <w:fldChar w:fldCharType="begin"/>
      </w:r>
      <w:r>
        <w:rPr>
          <w:rFonts w:hint="default" w:ascii="Arial" w:hAnsi="Arial" w:eastAsia="sans-serif" w:cs="Arial"/>
          <w:b/>
          <w:bCs/>
          <w:i w:val="0"/>
          <w:iCs w:val="0"/>
          <w:caps w:val="0"/>
          <w:color w:val="000000"/>
          <w:spacing w:val="0"/>
          <w:sz w:val="28"/>
          <w:szCs w:val="28"/>
          <w:bdr w:val="none" w:color="auto" w:sz="0" w:space="0"/>
          <w:shd w:val="clear" w:fill="FFFFFF"/>
          <w:lang w:val="en-US"/>
        </w:rPr>
        <w:instrText xml:space="preserve">TOC \o "1-3" \h \u </w:instrText>
      </w:r>
      <w:r>
        <w:rPr>
          <w:rFonts w:hint="default" w:ascii="Arial" w:hAnsi="Arial" w:eastAsia="sans-serif" w:cs="Arial"/>
          <w:b/>
          <w:bCs/>
          <w:i w:val="0"/>
          <w:iCs w:val="0"/>
          <w:caps w:val="0"/>
          <w:color w:val="000000"/>
          <w:spacing w:val="0"/>
          <w:sz w:val="28"/>
          <w:szCs w:val="28"/>
          <w:bdr w:val="none" w:color="auto" w:sz="0" w:space="0"/>
          <w:shd w:val="clear" w:fill="FFFFFF"/>
          <w:lang w:val="en-US"/>
        </w:rPr>
        <w:fldChar w:fldCharType="separate"/>
      </w: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_Toc25424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eastAsia" w:ascii="Arial" w:hAnsi="Arial" w:eastAsia="宋体" w:cs="Arial"/>
          <w:bCs/>
          <w:i w:val="0"/>
          <w:iCs w:val="0"/>
          <w:caps w:val="0"/>
          <w:spacing w:val="0"/>
          <w:szCs w:val="28"/>
          <w:shd w:val="clear" w:fill="FFFFFF"/>
          <w:lang w:val="en-US" w:eastAsia="zh-CN"/>
        </w:rPr>
        <w:t>1.</w:t>
      </w:r>
      <w:r>
        <w:rPr>
          <w:rFonts w:hint="default" w:ascii="Arial" w:hAnsi="Arial" w:eastAsia="sans-serif" w:cs="Arial"/>
          <w:bCs/>
          <w:i w:val="0"/>
          <w:iCs w:val="0"/>
          <w:caps w:val="0"/>
          <w:spacing w:val="0"/>
          <w:szCs w:val="28"/>
          <w:shd w:val="clear" w:fill="FFFFFF"/>
          <w:lang w:val="en-US"/>
        </w:rPr>
        <w:t>Introduction</w:t>
      </w:r>
      <w:r>
        <w:tab/>
      </w:r>
      <w:r>
        <w:fldChar w:fldCharType="begin"/>
      </w:r>
      <w:r>
        <w:instrText xml:space="preserve"> PAGEREF _Toc25424 \h </w:instrText>
      </w:r>
      <w:r>
        <w:fldChar w:fldCharType="separate"/>
      </w:r>
      <w:r>
        <w:t>3</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446C0F23">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_Toc17776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2. The Strategic Value of Employee Development</w:t>
      </w:r>
      <w:r>
        <w:tab/>
      </w:r>
      <w:r>
        <w:fldChar w:fldCharType="begin"/>
      </w:r>
      <w:r>
        <w:instrText xml:space="preserve"> PAGEREF _Toc17776 \h </w:instrText>
      </w:r>
      <w:r>
        <w:fldChar w:fldCharType="separate"/>
      </w:r>
      <w:r>
        <w:t>4</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7C14F779">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_Toc23477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2.1 Strategic Employee Development and Organisational Needs</w:t>
      </w:r>
      <w:r>
        <w:tab/>
      </w:r>
      <w:r>
        <w:fldChar w:fldCharType="begin"/>
      </w:r>
      <w:r>
        <w:instrText xml:space="preserve"> PAGEREF _Toc23477 \h </w:instrText>
      </w:r>
      <w:r>
        <w:fldChar w:fldCharType="separate"/>
      </w:r>
      <w:r>
        <w:t>4</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1BDF4914">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_Toc24747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2.2 Enhancing Employee and Leadership Effectiveness</w:t>
      </w:r>
      <w:r>
        <w:tab/>
      </w:r>
      <w:r>
        <w:fldChar w:fldCharType="begin"/>
      </w:r>
      <w:r>
        <w:instrText xml:space="preserve"> PAGEREF _Toc24747 \h </w:instrText>
      </w:r>
      <w:r>
        <w:fldChar w:fldCharType="separate"/>
      </w:r>
      <w:r>
        <w:t>5</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3E1E3A08">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_Toc16745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2.3 Gaining a Sustainable Competitive Advantage</w:t>
      </w:r>
      <w:r>
        <w:tab/>
      </w:r>
      <w:r>
        <w:fldChar w:fldCharType="begin"/>
      </w:r>
      <w:r>
        <w:instrText xml:space="preserve"> PAGEREF _Toc16745 \h </w:instrText>
      </w:r>
      <w:r>
        <w:fldChar w:fldCharType="separate"/>
      </w:r>
      <w:r>
        <w:t>5</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139AB356">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_Toc15229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3. Theoretical Foundations of Employee and Leadership Development</w:t>
      </w:r>
      <w:r>
        <w:tab/>
      </w:r>
      <w:r>
        <w:fldChar w:fldCharType="begin"/>
      </w:r>
      <w:r>
        <w:instrText xml:space="preserve"> PAGEREF _Toc15229 \h </w:instrText>
      </w:r>
      <w:r>
        <w:fldChar w:fldCharType="separate"/>
      </w:r>
      <w:r>
        <w:t>6</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4638F4A8">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_Toc30410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3.1 Adult Learning and Development Theories</w:t>
      </w:r>
      <w:r>
        <w:tab/>
      </w:r>
      <w:r>
        <w:fldChar w:fldCharType="begin"/>
      </w:r>
      <w:r>
        <w:instrText xml:space="preserve"> PAGEREF _Toc30410 \h </w:instrText>
      </w:r>
      <w:r>
        <w:fldChar w:fldCharType="separate"/>
      </w:r>
      <w:r>
        <w:t>6</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47A498A3">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_Toc3318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3.3 Strategic Human Resource Development (SHRD) Models</w:t>
      </w:r>
      <w:r>
        <w:tab/>
      </w:r>
      <w:r>
        <w:fldChar w:fldCharType="begin"/>
      </w:r>
      <w:r>
        <w:instrText xml:space="preserve"> PAGEREF _Toc3318 \h </w:instrText>
      </w:r>
      <w:r>
        <w:fldChar w:fldCharType="separate"/>
      </w:r>
      <w:r>
        <w:t>6</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00DAA08D">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_Toc25638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4. Benefits of Strategic Employee Development</w:t>
      </w:r>
      <w:r>
        <w:tab/>
      </w:r>
      <w:r>
        <w:fldChar w:fldCharType="begin"/>
      </w:r>
      <w:r>
        <w:instrText xml:space="preserve"> PAGEREF _Toc25638 \h </w:instrText>
      </w:r>
      <w:r>
        <w:fldChar w:fldCharType="separate"/>
      </w:r>
      <w:r>
        <w:t>7</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41CF9E8C">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_Toc31657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4.1 Organisational Benefits</w:t>
      </w:r>
      <w:r>
        <w:tab/>
      </w:r>
      <w:r>
        <w:fldChar w:fldCharType="begin"/>
      </w:r>
      <w:r>
        <w:instrText xml:space="preserve"> PAGEREF _Toc31657 \h </w:instrText>
      </w:r>
      <w:r>
        <w:fldChar w:fldCharType="separate"/>
      </w:r>
      <w:r>
        <w:t>7</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3EA8149F">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_Toc24411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4.2 Individual Benefits</w:t>
      </w:r>
      <w:r>
        <w:tab/>
      </w:r>
      <w:r>
        <w:fldChar w:fldCharType="begin"/>
      </w:r>
      <w:r>
        <w:instrText xml:space="preserve"> PAGEREF _Toc24411 \h </w:instrText>
      </w:r>
      <w:r>
        <w:fldChar w:fldCharType="separate"/>
      </w:r>
      <w:r>
        <w:t>7</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0D28767E">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_Toc28996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4.3 Leadership Benefits</w:t>
      </w:r>
      <w:r>
        <w:tab/>
      </w:r>
      <w:r>
        <w:fldChar w:fldCharType="begin"/>
      </w:r>
      <w:r>
        <w:instrText xml:space="preserve"> PAGEREF _Toc28996 \h </w:instrText>
      </w:r>
      <w:r>
        <w:fldChar w:fldCharType="separate"/>
      </w:r>
      <w:r>
        <w:t>7</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6FE14ABD">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_Toc4478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5. Challenges and Barriers to Implementation</w:t>
      </w:r>
      <w:r>
        <w:tab/>
      </w:r>
      <w:r>
        <w:fldChar w:fldCharType="begin"/>
      </w:r>
      <w:r>
        <w:instrText xml:space="preserve"> PAGEREF _Toc4478 \h </w:instrText>
      </w:r>
      <w:r>
        <w:fldChar w:fldCharType="separate"/>
      </w:r>
      <w:r>
        <w:t>8</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6B542277">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_Toc18467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5.1 Resource Constraints</w:t>
      </w:r>
      <w:r>
        <w:tab/>
      </w:r>
      <w:r>
        <w:fldChar w:fldCharType="begin"/>
      </w:r>
      <w:r>
        <w:instrText xml:space="preserve"> PAGEREF _Toc18467 \h </w:instrText>
      </w:r>
      <w:r>
        <w:fldChar w:fldCharType="separate"/>
      </w:r>
      <w:r>
        <w:t>8</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016DBCA5">
      <w:pPr>
        <w:pStyle w:val="3"/>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_Toc21163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sans-serif" w:cs="Arial"/>
          <w:bCs w:val="0"/>
          <w:i w:val="0"/>
          <w:iCs w:val="0"/>
          <w:caps w:val="0"/>
          <w:spacing w:val="0"/>
          <w:szCs w:val="24"/>
          <w:shd w:val="clear" w:fill="FFFFFF"/>
          <w:vertAlign w:val="baseline"/>
          <w:lang w:val="en-US"/>
        </w:rPr>
        <w:t>5.2 Resistance to Change</w:t>
      </w:r>
      <w:r>
        <w:tab/>
      </w:r>
      <w:r>
        <w:fldChar w:fldCharType="begin"/>
      </w:r>
      <w:r>
        <w:instrText xml:space="preserve"> PAGEREF _Toc21163 \h </w:instrText>
      </w:r>
      <w:r>
        <w:fldChar w:fldCharType="separate"/>
      </w:r>
      <w:r>
        <w:t>8</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73237AC4">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_Toc2648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eastAsia" w:ascii="Arial" w:hAnsi="Arial" w:eastAsia="宋体" w:cs="Arial"/>
          <w:bCs w:val="0"/>
          <w:i w:val="0"/>
          <w:iCs w:val="0"/>
          <w:caps w:val="0"/>
          <w:spacing w:val="0"/>
          <w:szCs w:val="24"/>
          <w:shd w:val="clear" w:fill="FFFFFF"/>
          <w:vertAlign w:val="baseline"/>
          <w:lang w:val="en-US" w:eastAsia="zh-CN"/>
        </w:rPr>
        <w:t xml:space="preserve">6. </w:t>
      </w:r>
      <w:r>
        <w:rPr>
          <w:rFonts w:hint="eastAsia" w:ascii="Arial" w:hAnsi="Arial" w:eastAsia="宋体" w:cs="Arial"/>
          <w:bCs w:val="0"/>
          <w:i w:val="0"/>
          <w:iCs w:val="0"/>
          <w:spacing w:val="0"/>
          <w:szCs w:val="24"/>
          <w:shd w:val="clear" w:fill="FFFFFF"/>
          <w:vertAlign w:val="baseline"/>
          <w:lang w:val="en-US" w:eastAsia="zh-CN"/>
        </w:rPr>
        <w:t>C</w:t>
      </w:r>
      <w:r>
        <w:rPr>
          <w:rFonts w:hint="eastAsia" w:ascii="Arial" w:hAnsi="Arial" w:eastAsia="宋体" w:cs="Arial"/>
          <w:bCs w:val="0"/>
          <w:i w:val="0"/>
          <w:iCs w:val="0"/>
          <w:caps w:val="0"/>
          <w:spacing w:val="0"/>
          <w:szCs w:val="24"/>
          <w:shd w:val="clear" w:fill="FFFFFF"/>
          <w:vertAlign w:val="baseline"/>
          <w:lang w:val="en-US" w:eastAsia="zh-CN"/>
        </w:rPr>
        <w:t>onclusion</w:t>
      </w:r>
      <w:r>
        <w:tab/>
      </w:r>
      <w:r>
        <w:fldChar w:fldCharType="begin"/>
      </w:r>
      <w:r>
        <w:instrText xml:space="preserve"> PAGEREF _Toc2648 \h </w:instrText>
      </w:r>
      <w:r>
        <w:fldChar w:fldCharType="separate"/>
      </w:r>
      <w:r>
        <w:t>8</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00437878">
      <w:pPr>
        <w:pStyle w:val="2"/>
        <w:tabs>
          <w:tab w:val="right" w:leader="dot" w:pos="8306"/>
        </w:tabs>
      </w:pPr>
      <w:r>
        <w:rPr>
          <w:rFonts w:hint="default" w:ascii="Arial" w:hAnsi="Arial" w:eastAsia="sans-serif" w:cs="Arial"/>
          <w:bCs/>
          <w:i w:val="0"/>
          <w:iCs w:val="0"/>
          <w:caps w:val="0"/>
          <w:color w:val="000000"/>
          <w:spacing w:val="0"/>
          <w:szCs w:val="28"/>
          <w:bdr w:val="none" w:color="auto" w:sz="0" w:space="0"/>
          <w:shd w:val="clear" w:fill="FFFFFF"/>
          <w:lang w:val="en-US"/>
        </w:rPr>
        <w:fldChar w:fldCharType="begin"/>
      </w:r>
      <w:r>
        <w:rPr>
          <w:rFonts w:hint="default" w:ascii="Arial" w:hAnsi="Arial" w:eastAsia="sans-serif" w:cs="Arial"/>
          <w:bCs/>
          <w:i w:val="0"/>
          <w:iCs w:val="0"/>
          <w:caps w:val="0"/>
          <w:spacing w:val="0"/>
          <w:szCs w:val="28"/>
          <w:bdr w:val="none" w:color="auto" w:sz="0" w:space="0"/>
          <w:shd w:val="clear" w:fill="FFFFFF"/>
          <w:lang w:val="en-US"/>
        </w:rPr>
        <w:instrText xml:space="preserve"> HYPERLINK \l _Toc30066 </w:instrText>
      </w:r>
      <w:r>
        <w:rPr>
          <w:rFonts w:hint="default" w:ascii="Arial" w:hAnsi="Arial" w:eastAsia="sans-serif" w:cs="Arial"/>
          <w:bCs/>
          <w:i w:val="0"/>
          <w:iCs w:val="0"/>
          <w:caps w:val="0"/>
          <w:spacing w:val="0"/>
          <w:szCs w:val="28"/>
          <w:bdr w:val="none" w:color="auto" w:sz="0" w:space="0"/>
          <w:shd w:val="clear" w:fill="FFFFFF"/>
          <w:lang w:val="en-US"/>
        </w:rPr>
        <w:fldChar w:fldCharType="separate"/>
      </w:r>
      <w:r>
        <w:rPr>
          <w:rFonts w:hint="default" w:ascii="Arial" w:hAnsi="Arial" w:eastAsia="宋体" w:cs="Arial"/>
          <w:sz w:val="24"/>
          <w:szCs w:val="24"/>
          <w:lang w:val="en-US" w:eastAsia="zh-CN"/>
        </w:rPr>
        <w:t>References</w:t>
      </w:r>
      <w:r>
        <w:tab/>
      </w:r>
      <w:r>
        <w:fldChar w:fldCharType="begin"/>
      </w:r>
      <w:r>
        <w:instrText xml:space="preserve"> PAGEREF _Toc30066 \h </w:instrText>
      </w:r>
      <w:r>
        <w:fldChar w:fldCharType="separate"/>
      </w:r>
      <w:r>
        <w:t>9</w:t>
      </w:r>
      <w:r>
        <w:fldChar w:fldCharType="end"/>
      </w: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47D1F7F5">
      <w:pPr>
        <w:numPr>
          <w:ilvl w:val="0"/>
          <w:numId w:val="0"/>
        </w:numPr>
        <w:rPr>
          <w:rFonts w:hint="default" w:ascii="Arial" w:hAnsi="Arial" w:eastAsia="sans-serif" w:cs="Arial"/>
          <w:b/>
          <w:bCs/>
          <w:i w:val="0"/>
          <w:iCs w:val="0"/>
          <w:caps w:val="0"/>
          <w:color w:val="000000"/>
          <w:spacing w:val="0"/>
          <w:sz w:val="28"/>
          <w:szCs w:val="28"/>
          <w:shd w:val="clear" w:fill="FFFFFF"/>
          <w:lang w:val="en-US"/>
        </w:rPr>
      </w:pPr>
      <w:r>
        <w:rPr>
          <w:rFonts w:hint="default" w:ascii="Arial" w:hAnsi="Arial" w:eastAsia="sans-serif" w:cs="Arial"/>
          <w:bCs/>
          <w:i w:val="0"/>
          <w:iCs w:val="0"/>
          <w:caps w:val="0"/>
          <w:color w:val="000000"/>
          <w:spacing w:val="0"/>
          <w:szCs w:val="28"/>
          <w:bdr w:val="none" w:color="auto" w:sz="0" w:space="0"/>
          <w:shd w:val="clear" w:fill="FFFFFF"/>
          <w:lang w:val="en-US"/>
        </w:rPr>
        <w:fldChar w:fldCharType="end"/>
      </w:r>
    </w:p>
    <w:p w14:paraId="3376DEA9">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47881A26">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0311972D">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13C214C2">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3C28DBBF">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48FE4F7E">
      <w:pPr>
        <w:numPr>
          <w:numId w:val="0"/>
        </w:numPr>
        <w:rPr>
          <w:rFonts w:hint="default" w:ascii="Arial" w:hAnsi="Arial" w:eastAsia="sans-serif" w:cs="Arial"/>
          <w:b/>
          <w:bCs/>
          <w:i w:val="0"/>
          <w:iCs w:val="0"/>
          <w:caps w:val="0"/>
          <w:color w:val="000000"/>
          <w:spacing w:val="0"/>
          <w:sz w:val="28"/>
          <w:szCs w:val="28"/>
          <w:bdr w:val="none" w:color="auto" w:sz="0" w:space="0"/>
          <w:shd w:val="clear" w:fill="FFFFFF"/>
          <w:lang w:val="en-US"/>
        </w:rPr>
      </w:pPr>
    </w:p>
    <w:p w14:paraId="30B30CDF">
      <w:pPr>
        <w:numPr>
          <w:numId w:val="0"/>
        </w:numPr>
        <w:spacing w:line="360" w:lineRule="auto"/>
        <w:outlineLvl w:val="0"/>
        <w:rPr>
          <w:rFonts w:hint="default" w:ascii="Arial" w:hAnsi="Arial" w:eastAsia="sans-serif" w:cs="Arial"/>
          <w:b/>
          <w:bCs/>
          <w:i w:val="0"/>
          <w:iCs w:val="0"/>
          <w:caps w:val="0"/>
          <w:color w:val="000000"/>
          <w:spacing w:val="0"/>
          <w:sz w:val="28"/>
          <w:szCs w:val="28"/>
          <w:bdr w:val="none" w:color="auto" w:sz="0" w:space="0"/>
          <w:shd w:val="clear" w:fill="FFFFFF"/>
          <w:lang w:val="en-US"/>
        </w:rPr>
      </w:pPr>
      <w:bookmarkStart w:id="4" w:name="_Toc25424"/>
      <w:r>
        <w:rPr>
          <w:rFonts w:hint="eastAsia" w:ascii="Arial" w:hAnsi="Arial" w:eastAsia="宋体" w:cs="Arial"/>
          <w:b/>
          <w:bCs/>
          <w:i w:val="0"/>
          <w:iCs w:val="0"/>
          <w:caps w:val="0"/>
          <w:color w:val="000000"/>
          <w:spacing w:val="0"/>
          <w:sz w:val="28"/>
          <w:szCs w:val="28"/>
          <w:bdr w:val="none" w:color="auto" w:sz="0" w:space="0"/>
          <w:shd w:val="clear" w:fill="FFFFFF"/>
          <w:lang w:val="en-US" w:eastAsia="zh-CN"/>
        </w:rPr>
        <w:t>1.</w:t>
      </w:r>
      <w:r>
        <w:rPr>
          <w:rFonts w:hint="default" w:ascii="Arial" w:hAnsi="Arial" w:eastAsia="sans-serif" w:cs="Arial"/>
          <w:b/>
          <w:bCs/>
          <w:i w:val="0"/>
          <w:iCs w:val="0"/>
          <w:caps w:val="0"/>
          <w:color w:val="000000"/>
          <w:spacing w:val="0"/>
          <w:sz w:val="28"/>
          <w:szCs w:val="28"/>
          <w:bdr w:val="none" w:color="auto" w:sz="0" w:space="0"/>
          <w:shd w:val="clear" w:fill="FFFFFF"/>
          <w:lang w:val="en-US"/>
        </w:rPr>
        <w:t>Introduction</w:t>
      </w:r>
      <w:bookmarkEnd w:id="4"/>
    </w:p>
    <w:p w14:paraId="2E8982F8">
      <w:pPr>
        <w:numPr>
          <w:numId w:val="0"/>
        </w:numPr>
        <w:spacing w:line="360" w:lineRule="auto"/>
        <w:jc w:val="both"/>
        <w:outlineLvl w:val="0"/>
        <w:rPr>
          <w:rFonts w:hint="default" w:ascii="Arial" w:hAnsi="Arial" w:cs="Arial"/>
          <w:b w:val="0"/>
          <w:bCs w:val="0"/>
        </w:rPr>
      </w:pPr>
      <w:r>
        <w:rPr>
          <w:rFonts w:hint="default" w:ascii="Arial" w:hAnsi="Arial" w:cs="Arial"/>
          <w:b w:val="0"/>
          <w:bCs w:val="0"/>
        </w:rPr>
        <w:t xml:space="preserve">In today’s rapidly evolving business environment, organisations must continuously adapt to shifting market dynamics, technological advancements, and global competition. At the heart of this adaptability lies the strategic development of human capital. </w:t>
      </w:r>
      <w:r>
        <w:rPr>
          <w:rStyle w:val="7"/>
          <w:rFonts w:hint="default" w:ascii="Arial" w:hAnsi="Arial" w:cs="Arial"/>
          <w:b w:val="0"/>
          <w:bCs w:val="0"/>
        </w:rPr>
        <w:t>Strategic Employee Development (SED)</w:t>
      </w:r>
      <w:r>
        <w:rPr>
          <w:rFonts w:hint="default" w:ascii="Arial" w:hAnsi="Arial" w:cs="Arial"/>
          <w:b w:val="0"/>
          <w:bCs w:val="0"/>
        </w:rPr>
        <w:t xml:space="preserve"> refers to the planned and systematic approach to improving employees’ skills, knowledge, and competencies in direct alignment with the organisation’s long-term strategic goals. More than a traditional training function, SED integrates learning and development with broader organisational priorities, enabling companies to build a future-ready, agile workforce. This essay critically evaluates the significance of strategic employee development in enhancing the effectiveness of both employees and leaders, while also examining its role in meeting organisational needs and fostering sustainable competitive advantage.</w:t>
      </w:r>
    </w:p>
    <w:p w14:paraId="43CB9B1E">
      <w:pPr>
        <w:pStyle w:val="4"/>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The discussion will explore key theoretical foundations such as adult learning theory and Strategic Human Resource Development (SHRD) models, as well as examine practical applications in global companies including Amazon, GE, Google, and IBM. Additionally, the essay will analyse the benefits and challenges of implementing SED programs, the role of technology, and the importance of leadership in promoting a development-focused culture. Through critical analysis and contemporary examples, this essay aims to demonstrate that strategic development is not optional but essential for long-term organisational success.</w:t>
      </w:r>
      <w:bookmarkStart w:id="5" w:name="_Toc17776"/>
    </w:p>
    <w:p w14:paraId="689F2D60">
      <w:pPr>
        <w:pStyle w:val="4"/>
        <w:keepNext w:val="0"/>
        <w:keepLines w:val="0"/>
        <w:widowControl/>
        <w:suppressLineNumbers w:val="0"/>
        <w:spacing w:before="0" w:beforeAutospacing="1" w:after="0" w:afterAutospacing="1" w:line="360" w:lineRule="auto"/>
        <w:ind w:left="0" w:right="0"/>
        <w:jc w:val="both"/>
        <w:rPr>
          <w:rFonts w:hint="default" w:ascii="Arial" w:hAnsi="Arial" w:cs="Arial"/>
          <w:b/>
          <w:bCs/>
          <w:i w:val="0"/>
          <w:iCs w:val="0"/>
          <w:color w:val="auto"/>
        </w:rPr>
      </w:pPr>
      <w:r>
        <w:rPr>
          <w:rFonts w:hint="default" w:ascii="Arial" w:hAnsi="Arial" w:eastAsia="sans-serif" w:cs="Arial"/>
          <w:b/>
          <w:bCs/>
          <w:i w:val="0"/>
          <w:iCs w:val="0"/>
          <w:caps w:val="0"/>
          <w:color w:val="auto"/>
          <w:spacing w:val="0"/>
          <w:sz w:val="24"/>
          <w:szCs w:val="24"/>
          <w:shd w:val="clear" w:fill="FFFFFF"/>
          <w:vertAlign w:val="baseline"/>
          <w:lang w:val="en-US"/>
        </w:rPr>
        <w:t>2. The Strategic Value of Employee Development</w:t>
      </w:r>
      <w:bookmarkEnd w:id="5"/>
    </w:p>
    <w:p w14:paraId="7C439B5A">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rPr>
      </w:pPr>
      <w:bookmarkStart w:id="6" w:name="_Toc23477"/>
      <w:r>
        <w:rPr>
          <w:rFonts w:hint="default" w:ascii="Arial" w:hAnsi="Arial" w:eastAsia="sans-serif" w:cs="Arial"/>
          <w:b/>
          <w:bCs/>
          <w:i w:val="0"/>
          <w:iCs w:val="0"/>
          <w:caps w:val="0"/>
          <w:color w:val="auto"/>
          <w:spacing w:val="0"/>
          <w:sz w:val="24"/>
          <w:szCs w:val="24"/>
          <w:shd w:val="clear" w:fill="FFFFFF"/>
          <w:vertAlign w:val="baseline"/>
          <w:lang w:val="en-US"/>
        </w:rPr>
        <w:t>2.1 Strategic Employee Development and Organisational Needs</w:t>
      </w:r>
      <w:bookmarkEnd w:id="6"/>
    </w:p>
    <w:p w14:paraId="2E15B439">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Strategic Employee Development (SED) is inherently linked to meeting organisational needs, as it aligns workforce capabilities with the long-term vision, mission, and strategic objectives of the organisation. This alignment ensures that employee growth is not just individual in nature, but contributes directly to business outcomes such as performance improvement, market competitiveness, and customer satisfaction.</w:t>
      </w:r>
    </w:p>
    <w:p w14:paraId="4DE9C313">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Organisational needs are dynamic and may include responding to digital transformation, entering new markets, enhancing customer experience, or addressing skill shortages. Strategic development initiatives proactively assess these needs—often through tools like skills gap analysis or strategic workforce planning—and design development pathways accordingly </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This ensures that organisations are cultivating the right talent at the right time.</w:t>
      </w:r>
    </w:p>
    <w:p w14:paraId="06638429">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By integrating learning and development with business planning, organisations create a feedback loop where strategic goals inform development priorities, and employee capabilities inform strategic possibilities.For example,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mazon’s Upskilling 2025 Initiative combine two targets. Amazon faced a growing demand for technologically skilled workers due to its rapid expansion in areas like cloud computing (AWS), automation, and AI. At the same time, many frontline and warehouse employees lacked the technical skills to fill these new roles internally. In response,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sans-serif" w:cs="Arial"/>
          <w:b w:val="0"/>
          <w:bCs w:val="0"/>
          <w:i w:val="0"/>
          <w:iCs w:val="0"/>
          <w:caps w:val="0"/>
          <w:color w:val="auto"/>
          <w:spacing w:val="0"/>
          <w:sz w:val="24"/>
          <w:szCs w:val="24"/>
          <w:shd w:val="clear" w:fill="FFFFFF"/>
          <w:vertAlign w:val="baseline"/>
          <w:lang w:val="en-US"/>
        </w:rPr>
        <w:t>mazon launched the Upskilling 2025 initiative—a $700 million investment to train 100,000 employees for in-demand jobs by 2025. This program strategically aligned employee development with future business needs.</w:t>
      </w:r>
    </w:p>
    <w:p w14:paraId="0D46DB50">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outlineLvl w:val="1"/>
        <w:rPr>
          <w:rFonts w:hint="default" w:ascii="Arial" w:hAnsi="Arial" w:cs="Arial"/>
          <w:b/>
          <w:bCs/>
          <w:i w:val="0"/>
          <w:iCs w:val="0"/>
          <w:color w:val="auto"/>
        </w:rPr>
      </w:pPr>
      <w:bookmarkStart w:id="7" w:name="_Toc24747"/>
      <w:r>
        <w:rPr>
          <w:rFonts w:hint="default" w:ascii="Arial" w:hAnsi="Arial" w:eastAsia="sans-serif" w:cs="Arial"/>
          <w:b/>
          <w:bCs/>
          <w:i w:val="0"/>
          <w:iCs w:val="0"/>
          <w:caps w:val="0"/>
          <w:color w:val="auto"/>
          <w:spacing w:val="0"/>
          <w:sz w:val="24"/>
          <w:szCs w:val="24"/>
          <w:shd w:val="clear" w:fill="FFFFFF"/>
          <w:vertAlign w:val="baseline"/>
          <w:lang w:val="en-US"/>
        </w:rPr>
        <w:t>2.2 Enhancing Employee and Leadership Effectiveness</w:t>
      </w:r>
      <w:bookmarkEnd w:id="7"/>
    </w:p>
    <w:p w14:paraId="11BC0666">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Strategic employee development is a critical enabler of effectiveness across all organisational levels.By aligning development initiatives with long-term business objectives, organisations not only improve individual competencies but also create a culture of high performance and continuous improvement.</w:t>
      </w:r>
      <w:r>
        <w:rPr>
          <w:rFonts w:hint="default" w:ascii="Arial" w:hAnsi="Arial" w:eastAsia="sans-serif" w:cs="Arial"/>
          <w:b w:val="0"/>
          <w:bCs w:val="0"/>
          <w:i w:val="0"/>
          <w:iCs w:val="0"/>
          <w:caps w:val="0"/>
          <w:color w:val="auto"/>
          <w:spacing w:val="0"/>
          <w:sz w:val="24"/>
          <w:szCs w:val="24"/>
          <w:shd w:val="clear" w:fill="FFFFFF"/>
          <w:vertAlign w:val="baseline"/>
        </w:rPr>
        <w:t> </w:t>
      </w:r>
    </w:p>
    <w:p w14:paraId="68B7681B">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240" w:beforeAutospacing="0" w:after="240" w:afterAutospacing="0" w:line="360" w:lineRule="auto"/>
        <w:ind w:left="0" w:right="0" w:firstLine="0"/>
        <w:jc w:val="both"/>
        <w:textAlignment w:val="baseline"/>
        <w:rPr>
          <w:rFonts w:hint="default" w:ascii="Arial" w:hAnsi="Arial" w:eastAsia="宋体" w:cs="Arial"/>
          <w:b w:val="0"/>
          <w:bCs w:val="0"/>
          <w:i w:val="0"/>
          <w:iCs w:val="0"/>
          <w:color w:val="auto"/>
          <w:lang w:val="en-US" w:eastAsia="zh-CN"/>
        </w:rPr>
      </w:pPr>
      <w:r>
        <w:rPr>
          <w:rFonts w:hint="default" w:ascii="Arial" w:hAnsi="Arial" w:eastAsia="sans-serif" w:cs="Arial"/>
          <w:b w:val="0"/>
          <w:bCs w:val="0"/>
          <w:i w:val="0"/>
          <w:iCs w:val="0"/>
          <w:caps w:val="0"/>
          <w:color w:val="auto"/>
          <w:spacing w:val="0"/>
          <w:sz w:val="24"/>
          <w:szCs w:val="24"/>
          <w:shd w:val="clear" w:fill="FFFFFF"/>
          <w:vertAlign w:val="baseline"/>
          <w:lang w:val="en-US"/>
        </w:rPr>
        <w:t>Strategic development initiatives improve employee effectiveness by equipping individuals with the capabilities required to meet current and future job demands. For instance, General Electric (GE), one of the world’s most enduring industrial and technology companies, has long recognised that strong leadership is critical to its success in highly competitive and innovation-driven markets. To ensure sustained performance and leadership excellence, GE embedded Strategic Employee Development into its core operations. GE’s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Strategic Development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pproach include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rotonville – GE’s Leadership Development Institute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 xml:space="preserve"> and i</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ntegrated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l</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earning for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ll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l</w:t>
      </w:r>
      <w:r>
        <w:rPr>
          <w:rFonts w:hint="default" w:ascii="Arial" w:hAnsi="Arial" w:eastAsia="sans-serif" w:cs="Arial"/>
          <w:b w:val="0"/>
          <w:bCs w:val="0"/>
          <w:i w:val="0"/>
          <w:iCs w:val="0"/>
          <w:caps w:val="0"/>
          <w:color w:val="auto"/>
          <w:spacing w:val="0"/>
          <w:sz w:val="24"/>
          <w:szCs w:val="24"/>
          <w:shd w:val="clear" w:fill="FFFFFF"/>
          <w:vertAlign w:val="baseline"/>
          <w:lang w:val="en-US"/>
        </w:rPr>
        <w:t>evels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GE’s strategic investment in employee and leadership development—especially through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rotonville—demonstrates how organisations can align learning with business strategy to develop effective leaders, build internal talent, and drive sustained organisational excellence.</w:t>
      </w:r>
      <w:r>
        <w:rPr>
          <w:rFonts w:hint="default" w:ascii="Arial" w:hAnsi="Arial" w:eastAsia="宋体" w:cs="Arial"/>
          <w:b w:val="0"/>
          <w:bCs w:val="0"/>
          <w:i w:val="0"/>
          <w:iCs w:val="0"/>
          <w:caps w:val="0"/>
          <w:color w:val="auto"/>
          <w:spacing w:val="0"/>
          <w:sz w:val="24"/>
          <w:szCs w:val="24"/>
          <w:shd w:val="clear" w:fill="FFFFFF"/>
          <w:vertAlign w:val="baseline"/>
          <w:lang w:val="en-US" w:eastAsia="zh-CN"/>
        </w:rPr>
        <w:t xml:space="preserve">As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r</w:t>
      </w:r>
      <w:r>
        <w:rPr>
          <w:rFonts w:hint="default" w:ascii="Arial" w:hAnsi="Arial" w:eastAsia="宋体" w:cs="Arial"/>
          <w:b w:val="0"/>
          <w:bCs w:val="0"/>
          <w:sz w:val="24"/>
          <w:szCs w:val="24"/>
        </w:rPr>
        <w:t>esults</w:t>
      </w:r>
      <w:r>
        <w:rPr>
          <w:rFonts w:hint="default" w:ascii="Arial" w:hAnsi="Arial" w:eastAsia="宋体" w:cs="Arial"/>
          <w:b w:val="0"/>
          <w:bCs w:val="0"/>
          <w:sz w:val="24"/>
          <w:szCs w:val="24"/>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GE</w:t>
      </w:r>
      <w:r>
        <w:rPr>
          <w:rFonts w:hint="default" w:ascii="Arial" w:hAnsi="Arial" w:eastAsia="宋体" w:cs="Arial"/>
          <w:b w:val="0"/>
          <w:bCs w:val="0"/>
          <w:i w:val="0"/>
          <w:iCs w:val="0"/>
          <w:caps w:val="0"/>
          <w:color w:val="auto"/>
          <w:spacing w:val="0"/>
          <w:sz w:val="24"/>
          <w:szCs w:val="24"/>
          <w:shd w:val="clear" w:fill="FFFFFF"/>
          <w:vertAlign w:val="baseline"/>
          <w:lang w:val="en-US" w:eastAsia="zh-CN"/>
        </w:rPr>
        <w:t xml:space="preserv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w:t>
      </w:r>
      <w:r>
        <w:rPr>
          <w:rFonts w:hint="default" w:ascii="Arial" w:hAnsi="Arial" w:eastAsia="宋体" w:cs="Arial"/>
          <w:b w:val="0"/>
          <w:bCs w:val="0"/>
          <w:sz w:val="24"/>
          <w:szCs w:val="24"/>
        </w:rPr>
        <w:t xml:space="preserve">nhanced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 xml:space="preserve">eadership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ffectiveness</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mployee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ngagement and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evelopment</w:t>
      </w:r>
      <w:r>
        <w:rPr>
          <w:rFonts w:hint="default" w:ascii="Arial" w:hAnsi="Arial" w:eastAsia="宋体" w:cs="Arial"/>
          <w:b w:val="0"/>
          <w:bCs w:val="0"/>
          <w:sz w:val="24"/>
          <w:szCs w:val="24"/>
          <w:lang w:val="en-US" w:eastAsia="zh-CN"/>
        </w:rPr>
        <w:t xml:space="preserve"> and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usiness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erformance</w:t>
      </w:r>
      <w:r>
        <w:rPr>
          <w:rFonts w:hint="default" w:ascii="Arial" w:hAnsi="Arial" w:eastAsia="宋体" w:cs="Arial"/>
          <w:b w:val="0"/>
          <w:bCs w:val="0"/>
          <w:sz w:val="24"/>
          <w:szCs w:val="24"/>
          <w:lang w:val="en-US" w:eastAsia="zh-CN"/>
        </w:rPr>
        <w:t>.</w:t>
      </w:r>
    </w:p>
    <w:p w14:paraId="3C515BF7">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lang w:eastAsia="zh-CN"/>
        </w:rPr>
      </w:pPr>
      <w:bookmarkStart w:id="8" w:name="_Toc16745"/>
      <w:r>
        <w:rPr>
          <w:rFonts w:hint="default" w:ascii="Arial" w:hAnsi="Arial" w:eastAsia="sans-serif" w:cs="Arial"/>
          <w:b/>
          <w:bCs/>
          <w:i w:val="0"/>
          <w:iCs w:val="0"/>
          <w:caps w:val="0"/>
          <w:color w:val="auto"/>
          <w:spacing w:val="0"/>
          <w:sz w:val="24"/>
          <w:szCs w:val="24"/>
          <w:shd w:val="clear" w:fill="FFFFFF"/>
          <w:vertAlign w:val="baseline"/>
          <w:lang w:val="en-US"/>
        </w:rPr>
        <w:t>2.3 Gaining a Sustainable Competitive Advantage</w:t>
      </w:r>
      <w:bookmarkEnd w:id="8"/>
    </w:p>
    <w:p w14:paraId="58A6F942">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eastAsia="sans-serif" w:cs="Arial"/>
          <w:b w:val="0"/>
          <w:bCs w:val="0"/>
          <w:i w:val="0"/>
          <w:iCs w:val="0"/>
          <w:caps w:val="0"/>
          <w:color w:val="auto"/>
          <w:spacing w:val="0"/>
          <w:sz w:val="24"/>
          <w:szCs w:val="24"/>
          <w:shd w:val="clear" w:fill="FFFFFF"/>
          <w:vertAlign w:val="baseline"/>
          <w:lang w:eastAsia="zh-CN"/>
        </w:rPr>
      </w:pP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Strategic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mployee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D</w:t>
      </w:r>
      <w:r>
        <w:rPr>
          <w:rFonts w:hint="default" w:ascii="Arial" w:hAnsi="Arial" w:eastAsia="sans-serif" w:cs="Arial"/>
          <w:b w:val="0"/>
          <w:bCs w:val="0"/>
          <w:i w:val="0"/>
          <w:iCs w:val="0"/>
          <w:caps w:val="0"/>
          <w:color w:val="auto"/>
          <w:spacing w:val="0"/>
          <w:sz w:val="24"/>
          <w:szCs w:val="24"/>
          <w:shd w:val="clear" w:fill="FFFFFF"/>
          <w:vertAlign w:val="baseline"/>
          <w:lang w:val="en-US"/>
        </w:rPr>
        <w:t>evelopment (SED) plays a vital role in helping organisations achieve a sustainable competitive advantage by building a workforce that is uniquely skilled, continuously improving, and aligned with long-term organisational goals.</w:t>
      </w:r>
      <w:r>
        <w:rPr>
          <w:rFonts w:hint="default" w:ascii="Arial" w:hAnsi="Arial" w:eastAsia="Segoe UI"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Strategic employee development ensures that human capital meets all these criteria. When organisations invest in tailored learning, leadership pipelines, and innovative upskilling initiatives, they create talent that is both highly effective and difficult for competitors to imitate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p>
    <w:p w14:paraId="2809533E">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eastAsia="宋体" w:cs="Arial"/>
          <w:b w:val="0"/>
          <w:bCs w:val="0"/>
          <w:i w:val="0"/>
          <w:iCs w:val="0"/>
          <w:caps w:val="0"/>
          <w:color w:val="auto"/>
          <w:spacing w:val="0"/>
          <w:sz w:val="24"/>
          <w:szCs w:val="24"/>
          <w:shd w:val="clear" w:fill="FFFFFF"/>
          <w:vertAlign w:val="baseline"/>
          <w:lang w:val="en-US" w:eastAsia="zh-CN"/>
        </w:rPr>
      </w:pPr>
      <w:r>
        <w:rPr>
          <w:rFonts w:hint="default" w:ascii="Arial" w:hAnsi="Arial" w:eastAsia="sans-serif" w:cs="Arial"/>
          <w:b w:val="0"/>
          <w:bCs w:val="0"/>
          <w:i w:val="0"/>
          <w:iCs w:val="0"/>
          <w:caps w:val="0"/>
          <w:color w:val="auto"/>
          <w:spacing w:val="0"/>
          <w:sz w:val="24"/>
          <w:szCs w:val="24"/>
          <w:shd w:val="clear" w:fill="FFFFFF"/>
          <w:vertAlign w:val="baseline"/>
          <w:lang w:val="en-US" w:eastAsia="zh-CN"/>
        </w:rPr>
        <w:t>For instance,</w:t>
      </w:r>
      <w:r>
        <w:rPr>
          <w:rFonts w:hint="eastAsia" w:ascii="Arial" w:hAnsi="Arial" w:eastAsia="sans-serif" w:cs="Arial"/>
          <w:b w:val="0"/>
          <w:bCs w:val="0"/>
          <w:i w:val="0"/>
          <w:iCs w:val="0"/>
          <w:caps w:val="0"/>
          <w:color w:val="auto"/>
          <w:spacing w:val="0"/>
          <w:sz w:val="24"/>
          <w:szCs w:val="24"/>
          <w:shd w:val="clear" w:fill="FFFFFF"/>
          <w:vertAlign w:val="baseline"/>
          <w:lang w:val="en-US" w:eastAsia="zh-CN"/>
        </w:rPr>
        <w:t>t</w:t>
      </w:r>
      <w:r>
        <w:rPr>
          <w:rFonts w:hint="default" w:ascii="Arial" w:hAnsi="Arial" w:eastAsia="宋体" w:cs="Arial"/>
          <w:b w:val="0"/>
          <w:bCs w:val="0"/>
          <w:sz w:val="24"/>
          <w:szCs w:val="24"/>
        </w:rPr>
        <w:t xml:space="preserve">hrough a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 xml:space="preserve">earning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ulture</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G</w:t>
      </w:r>
      <w:r>
        <w:rPr>
          <w:rFonts w:hint="default" w:ascii="Arial" w:hAnsi="Arial" w:eastAsia="宋体" w:cs="Arial"/>
          <w:b w:val="0"/>
          <w:bCs w:val="0"/>
          <w:sz w:val="24"/>
          <w:szCs w:val="24"/>
        </w:rPr>
        <w:t>oogle</w:t>
      </w:r>
      <w:r>
        <w:rPr>
          <w:rFonts w:hint="default" w:ascii="Arial" w:hAnsi="Arial" w:eastAsia="宋体" w:cs="Arial"/>
          <w:b w:val="0"/>
          <w:bCs w:val="0"/>
          <w:sz w:val="24"/>
          <w:szCs w:val="24"/>
          <w:lang w:val="en-US" w:eastAsia="zh-CN"/>
        </w:rPr>
        <w:t xml:space="preserve">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uild</w:t>
      </w:r>
      <w:r>
        <w:rPr>
          <w:rFonts w:hint="default" w:ascii="Arial" w:hAnsi="Arial" w:eastAsia="宋体" w:cs="Arial"/>
          <w:b w:val="0"/>
          <w:bCs w:val="0"/>
          <w:sz w:val="24"/>
          <w:szCs w:val="24"/>
          <w:lang w:val="en-US" w:eastAsia="zh-CN"/>
        </w:rPr>
        <w:t xml:space="preserve">s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ompetitive </w:t>
      </w:r>
      <w:r>
        <w:rPr>
          <w:rFonts w:hint="eastAsia" w:ascii="Arial" w:hAnsi="Arial" w:eastAsia="宋体" w:cs="Arial"/>
          <w:b w:val="0"/>
          <w:bCs w:val="0"/>
          <w:sz w:val="24"/>
          <w:szCs w:val="24"/>
          <w:lang w:val="en-US" w:eastAsia="zh-CN"/>
        </w:rPr>
        <w:t>a</w:t>
      </w:r>
      <w:r>
        <w:rPr>
          <w:rFonts w:hint="default" w:ascii="Arial" w:hAnsi="Arial" w:eastAsia="宋体" w:cs="Arial"/>
          <w:b w:val="0"/>
          <w:bCs w:val="0"/>
          <w:sz w:val="24"/>
          <w:szCs w:val="24"/>
        </w:rPr>
        <w:t>dvantage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To maintain its dominance in the highly dynamic tech sector, </w:t>
      </w:r>
      <w:r>
        <w:rPr>
          <w:rFonts w:hint="eastAsia" w:ascii="Arial" w:hAnsi="Arial" w:eastAsia="宋体" w:cs="Arial"/>
          <w:b w:val="0"/>
          <w:bCs w:val="0"/>
          <w:sz w:val="24"/>
          <w:szCs w:val="24"/>
          <w:lang w:val="en-US" w:eastAsia="zh-CN"/>
        </w:rPr>
        <w:t>g</w:t>
      </w:r>
      <w:r>
        <w:rPr>
          <w:rFonts w:hint="default" w:ascii="Arial" w:hAnsi="Arial" w:eastAsia="宋体" w:cs="Arial"/>
          <w:b w:val="0"/>
          <w:bCs w:val="0"/>
          <w:sz w:val="24"/>
          <w:szCs w:val="24"/>
        </w:rPr>
        <w:t xml:space="preserve">oogle needed to continuously </w:t>
      </w:r>
      <w:r>
        <w:rPr>
          <w:rStyle w:val="7"/>
          <w:rFonts w:hint="default" w:ascii="Arial" w:hAnsi="Arial" w:eastAsia="宋体" w:cs="Arial"/>
          <w:b w:val="0"/>
          <w:bCs w:val="0"/>
          <w:sz w:val="24"/>
          <w:szCs w:val="24"/>
        </w:rPr>
        <w:t>innovate</w:t>
      </w:r>
      <w:r>
        <w:rPr>
          <w:rFonts w:hint="default" w:ascii="Arial" w:hAnsi="Arial" w:eastAsia="宋体" w:cs="Arial"/>
          <w:b w:val="0"/>
          <w:bCs w:val="0"/>
          <w:sz w:val="24"/>
          <w:szCs w:val="24"/>
        </w:rPr>
        <w:t>, attract top talent, and retain employees who could adapt to fast-changing technologies.Google</w:t>
      </w:r>
      <w:r>
        <w:rPr>
          <w:rFonts w:hint="default" w:ascii="Arial" w:hAnsi="Arial" w:eastAsia="sans-serif" w:cs="Arial"/>
          <w:b w:val="0"/>
          <w:bCs w:val="0"/>
          <w:i w:val="0"/>
          <w:iCs w:val="0"/>
          <w:caps w:val="0"/>
          <w:color w:val="auto"/>
          <w:spacing w:val="0"/>
          <w:sz w:val="24"/>
          <w:szCs w:val="24"/>
          <w:shd w:val="clear" w:fill="FFFFFF"/>
          <w:vertAlign w:val="baseline"/>
          <w:lang w:val="en-US"/>
        </w:rPr>
        <w:t>’s</w:t>
      </w:r>
      <w:r>
        <w:rPr>
          <w:rFonts w:hint="default" w:ascii="Arial" w:hAnsi="Arial" w:eastAsia="宋体" w:cs="Arial"/>
          <w:b w:val="0"/>
          <w:bCs w:val="0"/>
          <w:i w:val="0"/>
          <w:iCs w:val="0"/>
          <w:caps w:val="0"/>
          <w:color w:val="auto"/>
          <w:spacing w:val="0"/>
          <w:sz w:val="24"/>
          <w:szCs w:val="24"/>
          <w:shd w:val="clear" w:fill="FFFFFF"/>
          <w:vertAlign w:val="baseline"/>
          <w:lang w:val="en-US" w:eastAsia="zh-CN"/>
        </w:rPr>
        <w:t xml:space="preserv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宋体" w:cs="Arial"/>
          <w:b w:val="0"/>
          <w:bCs w:val="0"/>
          <w:sz w:val="24"/>
          <w:szCs w:val="24"/>
        </w:rPr>
        <w:t>pproach</w:t>
      </w:r>
      <w:r>
        <w:rPr>
          <w:rFonts w:hint="default" w:ascii="Arial" w:hAnsi="Arial" w:eastAsia="宋体" w:cs="Arial"/>
          <w:b w:val="0"/>
          <w:bCs w:val="0"/>
          <w:sz w:val="24"/>
          <w:szCs w:val="24"/>
          <w:lang w:val="en-US" w:eastAsia="zh-CN"/>
        </w:rPr>
        <w:t xml:space="preserve"> include</w:t>
      </w:r>
      <w:r>
        <w:rPr>
          <w:rFonts w:hint="eastAsia" w:ascii="Arial" w:hAnsi="Arial" w:eastAsia="宋体" w:cs="Arial"/>
          <w:b w:val="0"/>
          <w:bCs w:val="0"/>
          <w:sz w:val="24"/>
          <w:szCs w:val="24"/>
          <w:lang w:val="en-US" w:eastAsia="zh-CN"/>
        </w:rPr>
        <w:t xml:space="preserve"> the c</w:t>
      </w:r>
      <w:r>
        <w:rPr>
          <w:rFonts w:hint="default" w:ascii="Arial" w:hAnsi="Arial" w:eastAsia="宋体" w:cs="Arial"/>
          <w:b w:val="0"/>
          <w:bCs w:val="0"/>
          <w:sz w:val="24"/>
          <w:szCs w:val="24"/>
        </w:rPr>
        <w:t xml:space="preserve">ulture of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ontinuous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earning</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g2g (Googler-to-Googler) Program</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trategic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 xml:space="preserve">eadership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evelopment</w:t>
      </w:r>
      <w:r>
        <w:rPr>
          <w:rFonts w:hint="default" w:ascii="Arial" w:hAnsi="Arial" w:eastAsia="宋体" w:cs="Arial"/>
          <w:b w:val="0"/>
          <w:bCs w:val="0"/>
          <w:sz w:val="24"/>
          <w:szCs w:val="24"/>
          <w:lang w:val="en-US" w:eastAsia="zh-CN"/>
        </w:rPr>
        <w:t xml:space="preserve"> and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ata-</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 xml:space="preserve">riven </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evelopment (Project Oxygen)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By embedding Strategic Employee Development into its core business model, </w:t>
      </w:r>
      <w:r>
        <w:rPr>
          <w:rFonts w:hint="eastAsia" w:ascii="Arial" w:hAnsi="Arial" w:eastAsia="宋体" w:cs="Arial"/>
          <w:b w:val="0"/>
          <w:bCs w:val="0"/>
          <w:sz w:val="24"/>
          <w:szCs w:val="24"/>
          <w:lang w:val="en-US" w:eastAsia="zh-CN"/>
        </w:rPr>
        <w:t>G</w:t>
      </w:r>
      <w:r>
        <w:rPr>
          <w:rFonts w:hint="default" w:ascii="Arial" w:hAnsi="Arial" w:eastAsia="宋体" w:cs="Arial"/>
          <w:b w:val="0"/>
          <w:bCs w:val="0"/>
          <w:sz w:val="24"/>
          <w:szCs w:val="24"/>
        </w:rPr>
        <w:t xml:space="preserve">oogle has gained a </w:t>
      </w:r>
      <w:r>
        <w:rPr>
          <w:rStyle w:val="7"/>
          <w:rFonts w:hint="default" w:ascii="Arial" w:hAnsi="Arial" w:eastAsia="宋体" w:cs="Arial"/>
          <w:b w:val="0"/>
          <w:bCs w:val="0"/>
          <w:sz w:val="24"/>
          <w:szCs w:val="24"/>
        </w:rPr>
        <w:t>sustainable competitive advantage</w:t>
      </w:r>
      <w:r>
        <w:rPr>
          <w:rFonts w:hint="default" w:ascii="Arial" w:hAnsi="Arial" w:eastAsia="宋体" w:cs="Arial"/>
          <w:b w:val="0"/>
          <w:bCs w:val="0"/>
          <w:sz w:val="24"/>
          <w:szCs w:val="24"/>
        </w:rPr>
        <w:t xml:space="preserve"> through</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future-ready</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agile workforce</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i</w:t>
      </w:r>
      <w:r>
        <w:rPr>
          <w:rFonts w:hint="default" w:ascii="Arial" w:hAnsi="Arial" w:eastAsia="宋体" w:cs="Arial"/>
          <w:b w:val="0"/>
          <w:bCs w:val="0"/>
          <w:sz w:val="24"/>
          <w:szCs w:val="24"/>
        </w:rPr>
        <w:t>ndustry-leading innovation capacity</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xceptional leadership pipelines</w:t>
      </w:r>
      <w:r>
        <w:rPr>
          <w:rFonts w:hint="default" w:ascii="Arial" w:hAnsi="Arial" w:eastAsia="宋体" w:cs="Arial"/>
          <w:b w:val="0"/>
          <w:bCs w:val="0"/>
          <w:sz w:val="24"/>
          <w:szCs w:val="24"/>
          <w:lang w:val="en-US" w:eastAsia="zh-CN"/>
        </w:rPr>
        <w:t xml:space="preserve"> and </w:t>
      </w:r>
      <w:r>
        <w:rPr>
          <w:rFonts w:hint="eastAsia" w:ascii="Arial" w:hAnsi="Arial" w:eastAsia="宋体" w:cs="Arial"/>
          <w:b w:val="0"/>
          <w:bCs w:val="0"/>
          <w:sz w:val="24"/>
          <w:szCs w:val="24"/>
          <w:lang w:val="en-US" w:eastAsia="zh-CN"/>
        </w:rPr>
        <w:t>a</w:t>
      </w:r>
      <w:r>
        <w:rPr>
          <w:rFonts w:hint="default" w:ascii="Arial" w:hAnsi="Arial" w:eastAsia="宋体" w:cs="Arial"/>
          <w:b w:val="0"/>
          <w:bCs w:val="0"/>
          <w:sz w:val="24"/>
          <w:szCs w:val="24"/>
        </w:rPr>
        <w:t xml:space="preserve"> strong employer brand</w:t>
      </w:r>
      <w:r>
        <w:rPr>
          <w:rFonts w:hint="default" w:ascii="Arial" w:hAnsi="Arial" w:eastAsia="宋体" w:cs="Arial"/>
          <w:b w:val="0"/>
          <w:bCs w:val="0"/>
          <w:sz w:val="24"/>
          <w:szCs w:val="24"/>
          <w:lang w:val="en-US" w:eastAsia="zh-CN"/>
        </w:rPr>
        <w:t>.</w:t>
      </w:r>
    </w:p>
    <w:p w14:paraId="24BC58F6">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0"/>
        <w:rPr>
          <w:rFonts w:hint="default" w:ascii="Arial" w:hAnsi="Arial" w:cs="Arial"/>
          <w:b/>
          <w:bCs/>
          <w:i w:val="0"/>
          <w:iCs w:val="0"/>
          <w:color w:val="auto"/>
          <w:sz w:val="28"/>
          <w:szCs w:val="28"/>
        </w:rPr>
      </w:pPr>
      <w:bookmarkStart w:id="9" w:name="_Toc15229"/>
      <w:r>
        <w:rPr>
          <w:rFonts w:hint="default" w:ascii="Arial" w:hAnsi="Arial" w:eastAsia="sans-serif" w:cs="Arial"/>
          <w:b/>
          <w:bCs/>
          <w:i w:val="0"/>
          <w:iCs w:val="0"/>
          <w:caps w:val="0"/>
          <w:color w:val="auto"/>
          <w:spacing w:val="0"/>
          <w:sz w:val="28"/>
          <w:szCs w:val="28"/>
          <w:shd w:val="clear" w:fill="FFFFFF"/>
          <w:vertAlign w:val="baseline"/>
          <w:lang w:val="en-US"/>
        </w:rPr>
        <w:t>3. Theoretical Foundations of Employee and Leadership Development</w:t>
      </w:r>
      <w:bookmarkEnd w:id="9"/>
    </w:p>
    <w:p w14:paraId="33168FE0">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rPr>
      </w:pPr>
      <w:bookmarkStart w:id="10" w:name="_Toc30410"/>
      <w:r>
        <w:rPr>
          <w:rFonts w:hint="default" w:ascii="Arial" w:hAnsi="Arial" w:eastAsia="sans-serif" w:cs="Arial"/>
          <w:b/>
          <w:bCs/>
          <w:i w:val="0"/>
          <w:iCs w:val="0"/>
          <w:caps w:val="0"/>
          <w:color w:val="auto"/>
          <w:spacing w:val="0"/>
          <w:sz w:val="24"/>
          <w:szCs w:val="24"/>
          <w:shd w:val="clear" w:fill="FFFFFF"/>
          <w:vertAlign w:val="baseline"/>
          <w:lang w:val="en-US"/>
        </w:rPr>
        <w:t>3.1 Adult Learning and Development Theories</w:t>
      </w:r>
      <w:bookmarkEnd w:id="10"/>
    </w:p>
    <w:p w14:paraId="4CE83DE7">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eastAsia="sans-serif" w:cs="Arial"/>
          <w:b w:val="0"/>
          <w:bCs w:val="0"/>
          <w:i w:val="0"/>
          <w:iCs w:val="0"/>
          <w:caps w:val="0"/>
          <w:color w:val="auto"/>
          <w:spacing w:val="0"/>
          <w:sz w:val="24"/>
          <w:szCs w:val="24"/>
          <w:shd w:val="clear" w:fill="FFFFFF"/>
          <w:vertAlign w:val="baseline"/>
          <w:lang w:val="en-US"/>
        </w:rPr>
      </w:pPr>
      <w:r>
        <w:rPr>
          <w:rFonts w:hint="default" w:ascii="Arial" w:hAnsi="Arial" w:eastAsia="sans-serif" w:cs="Arial"/>
          <w:b w:val="0"/>
          <w:bCs w:val="0"/>
          <w:i w:val="0"/>
          <w:iCs w:val="0"/>
          <w:caps w:val="0"/>
          <w:color w:val="auto"/>
          <w:spacing w:val="0"/>
          <w:sz w:val="24"/>
          <w:szCs w:val="24"/>
          <w:shd w:val="clear" w:fill="FFFFFF"/>
          <w:vertAlign w:val="baseline"/>
          <w:lang w:val="en-US"/>
        </w:rPr>
        <w:t>Andragogy is the theory and practice of adult learning introduced by Malcolm Knowles, who argued that adults learn differently from children. His model identifies six core assumptions about adult learners: Need to know</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Adults want to understand why they need to learn something</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Self-concept</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egoe UI"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Adults see themselves as responsible for their own decisions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Prior experience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Learning is built on a rich foundation of past experiences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Readiness to learn</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Learning is often tied to life roles (e.g., job development)</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Orientation to learning</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Adults prefer problem-centered learning over content-centered</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Motivation</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Internal factors (e.g., job satisfaction, self-esteem) are powerful motivators.</w:t>
      </w:r>
    </w:p>
    <w:p w14:paraId="4DDC44E2">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eastAsia="宋体" w:cs="Arial"/>
          <w:b w:val="0"/>
          <w:bCs w:val="0"/>
          <w:i w:val="0"/>
          <w:iCs w:val="0"/>
          <w:caps w:val="0"/>
          <w:color w:val="auto"/>
          <w:spacing w:val="0"/>
          <w:sz w:val="24"/>
          <w:szCs w:val="24"/>
          <w:shd w:val="clear" w:fill="FFFFFF"/>
          <w:vertAlign w:val="baseline"/>
          <w:lang w:val="en-US" w:eastAsia="zh-CN"/>
        </w:rPr>
      </w:pPr>
      <w:r>
        <w:rPr>
          <w:rFonts w:hint="default" w:ascii="Arial" w:hAnsi="Arial" w:eastAsia="宋体" w:cs="Arial"/>
          <w:b w:val="0"/>
          <w:bCs w:val="0"/>
          <w:i w:val="0"/>
          <w:iCs w:val="0"/>
          <w:caps w:val="0"/>
          <w:color w:val="auto"/>
          <w:spacing w:val="0"/>
          <w:sz w:val="24"/>
          <w:szCs w:val="24"/>
          <w:shd w:val="clear" w:fill="FFFFFF"/>
          <w:vertAlign w:val="baseline"/>
          <w:lang w:val="en-US" w:eastAsia="zh-CN"/>
        </w:rPr>
        <w:t>For example,</w:t>
      </w:r>
      <w:r>
        <w:rPr>
          <w:rFonts w:hint="default" w:ascii="Arial" w:hAnsi="Arial" w:eastAsia="宋体" w:cs="Arial"/>
          <w:b w:val="0"/>
          <w:bCs w:val="0"/>
          <w:sz w:val="24"/>
          <w:szCs w:val="24"/>
        </w:rPr>
        <w:t>IBM</w:t>
      </w:r>
      <w:r>
        <w:rPr>
          <w:rFonts w:hint="default" w:ascii="Arial" w:hAnsi="Arial" w:eastAsia="宋体" w:cs="Arial"/>
          <w:b w:val="0"/>
          <w:bCs w:val="0"/>
          <w:sz w:val="24"/>
          <w:szCs w:val="24"/>
          <w:lang w:val="en-US" w:eastAsia="zh-CN"/>
        </w:rPr>
        <w:t xml:space="preserve"> applies </w:t>
      </w:r>
      <w:r>
        <w:rPr>
          <w:rFonts w:hint="eastAsia" w:ascii="Arial" w:hAnsi="Arial" w:eastAsia="宋体" w:cs="Arial"/>
          <w:b w:val="0"/>
          <w:bCs w:val="0"/>
          <w:sz w:val="24"/>
          <w:szCs w:val="24"/>
          <w:lang w:val="en-US" w:eastAsia="zh-CN"/>
        </w:rPr>
        <w:t>a</w:t>
      </w:r>
      <w:r>
        <w:rPr>
          <w:rFonts w:hint="default" w:ascii="Arial" w:hAnsi="Arial" w:eastAsia="宋体" w:cs="Arial"/>
          <w:b w:val="0"/>
          <w:bCs w:val="0"/>
          <w:sz w:val="24"/>
          <w:szCs w:val="24"/>
        </w:rPr>
        <w:t xml:space="preserve">ndragogy in </w:t>
      </w:r>
      <w:r>
        <w:rPr>
          <w:rFonts w:hint="eastAsia" w:ascii="Arial" w:hAnsi="Arial" w:eastAsia="宋体" w:cs="Arial"/>
          <w:b w:val="0"/>
          <w:bCs w:val="0"/>
          <w:sz w:val="24"/>
          <w:szCs w:val="24"/>
          <w:lang w:val="en-US" w:eastAsia="zh-CN"/>
        </w:rPr>
        <w:t>w</w:t>
      </w:r>
      <w:r>
        <w:rPr>
          <w:rFonts w:hint="default" w:ascii="Arial" w:hAnsi="Arial" w:eastAsia="宋体" w:cs="Arial"/>
          <w:b w:val="0"/>
          <w:bCs w:val="0"/>
          <w:sz w:val="24"/>
          <w:szCs w:val="24"/>
        </w:rPr>
        <w:t xml:space="preserve">orkforce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earning</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As a global leader in technology and consulting, IBM faced ongoing challenges to keep its workforce updated with cutting-edge skills in </w:t>
      </w:r>
      <w:r>
        <w:rPr>
          <w:rStyle w:val="7"/>
          <w:rFonts w:hint="default" w:ascii="Arial" w:hAnsi="Arial" w:eastAsia="宋体" w:cs="Arial"/>
          <w:b w:val="0"/>
          <w:bCs w:val="0"/>
          <w:sz w:val="24"/>
          <w:szCs w:val="24"/>
        </w:rPr>
        <w:t>AI, cloud computing, cybersecurity</w:t>
      </w:r>
      <w:r>
        <w:rPr>
          <w:rFonts w:hint="default" w:ascii="Arial" w:hAnsi="Arial" w:eastAsia="宋体" w:cs="Arial"/>
          <w:b w:val="0"/>
          <w:bCs w:val="0"/>
          <w:sz w:val="24"/>
          <w:szCs w:val="24"/>
        </w:rPr>
        <w:t xml:space="preserve">, and </w:t>
      </w:r>
      <w:r>
        <w:rPr>
          <w:rStyle w:val="7"/>
          <w:rFonts w:hint="default" w:ascii="Arial" w:hAnsi="Arial" w:eastAsia="宋体" w:cs="Arial"/>
          <w:b w:val="0"/>
          <w:bCs w:val="0"/>
          <w:sz w:val="24"/>
          <w:szCs w:val="24"/>
        </w:rPr>
        <w:t>data science</w:t>
      </w:r>
      <w:r>
        <w:rPr>
          <w:rFonts w:hint="default" w:ascii="Arial" w:hAnsi="Arial" w:eastAsia="宋体" w:cs="Arial"/>
          <w:b w:val="0"/>
          <w:bCs w:val="0"/>
          <w:sz w:val="24"/>
          <w:szCs w:val="24"/>
        </w:rPr>
        <w:t xml:space="preserve">. To do this effectively, IBM recognized that adult learners require a different approach than traditional training.They turned to </w:t>
      </w:r>
      <w:r>
        <w:rPr>
          <w:rFonts w:hint="eastAsia" w:ascii="Arial" w:hAnsi="Arial" w:eastAsia="宋体" w:cs="Arial"/>
          <w:b w:val="0"/>
          <w:bCs w:val="0"/>
          <w:sz w:val="24"/>
          <w:szCs w:val="24"/>
          <w:lang w:val="en-US" w:eastAsia="zh-CN"/>
        </w:rPr>
        <w:t>a</w:t>
      </w:r>
      <w:r>
        <w:rPr>
          <w:rStyle w:val="7"/>
          <w:rFonts w:hint="default" w:ascii="Arial" w:hAnsi="Arial" w:eastAsia="宋体" w:cs="Arial"/>
          <w:b w:val="0"/>
          <w:bCs w:val="0"/>
          <w:sz w:val="24"/>
          <w:szCs w:val="24"/>
        </w:rPr>
        <w:t>ndragogy principles</w:t>
      </w:r>
      <w:r>
        <w:rPr>
          <w:rFonts w:hint="default" w:ascii="Arial" w:hAnsi="Arial" w:eastAsia="宋体" w:cs="Arial"/>
          <w:b w:val="0"/>
          <w:bCs w:val="0"/>
          <w:sz w:val="24"/>
          <w:szCs w:val="24"/>
        </w:rPr>
        <w:t xml:space="preserve"> to reshape their learning ecosystem, focusing on how adults learn best</w:t>
      </w:r>
      <w:r>
        <w:rPr>
          <w:rFonts w:hint="default" w:ascii="Arial" w:hAnsi="Arial" w:eastAsia="宋体" w:cs="Arial"/>
          <w:b w:val="0"/>
          <w:bCs w:val="0"/>
          <w:sz w:val="24"/>
          <w:szCs w:val="24"/>
          <w:lang w:val="en-US" w:eastAsia="zh-CN"/>
        </w:rPr>
        <w:t xml:space="preserve">,which include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elf-</w:t>
      </w:r>
      <w:r>
        <w:rPr>
          <w:rFonts w:hint="eastAsia" w:ascii="Arial" w:hAnsi="Arial" w:eastAsia="宋体" w:cs="Arial"/>
          <w:b w:val="0"/>
          <w:bCs w:val="0"/>
          <w:sz w:val="24"/>
          <w:szCs w:val="24"/>
          <w:lang w:val="en-US" w:eastAsia="zh-CN"/>
        </w:rPr>
        <w:t>d</w:t>
      </w:r>
      <w:r>
        <w:rPr>
          <w:rFonts w:hint="default" w:ascii="Arial" w:hAnsi="Arial" w:eastAsia="宋体" w:cs="Arial"/>
          <w:b w:val="0"/>
          <w:bCs w:val="0"/>
          <w:sz w:val="24"/>
          <w:szCs w:val="24"/>
        </w:rPr>
        <w:t xml:space="preserve">irected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earning</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 xml:space="preserve">everaging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rior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xperience</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roblem-</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entered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earning</w:t>
      </w:r>
      <w:r>
        <w:rPr>
          <w:rFonts w:hint="default" w:ascii="Arial" w:hAnsi="Arial" w:eastAsia="宋体" w:cs="Arial"/>
          <w:b w:val="0"/>
          <w:bCs w:val="0"/>
          <w:sz w:val="24"/>
          <w:szCs w:val="24"/>
          <w:lang w:val="en-US" w:eastAsia="zh-CN"/>
        </w:rPr>
        <w:t xml:space="preserve"> and </w:t>
      </w:r>
      <w:r>
        <w:rPr>
          <w:rFonts w:hint="default" w:ascii="Arial" w:hAnsi="Arial" w:eastAsia="宋体" w:cs="Arial"/>
          <w:b w:val="0"/>
          <w:bCs w:val="0"/>
          <w:sz w:val="24"/>
          <w:szCs w:val="24"/>
        </w:rPr>
        <w:t xml:space="preserve">Internal </w:t>
      </w:r>
      <w:r>
        <w:rPr>
          <w:rFonts w:hint="eastAsia" w:ascii="Arial" w:hAnsi="Arial" w:eastAsia="宋体" w:cs="Arial"/>
          <w:b w:val="0"/>
          <w:bCs w:val="0"/>
          <w:sz w:val="24"/>
          <w:szCs w:val="24"/>
          <w:lang w:val="en-US" w:eastAsia="zh-CN"/>
        </w:rPr>
        <w:t>,m</w:t>
      </w:r>
      <w:r>
        <w:rPr>
          <w:rFonts w:hint="default" w:ascii="Arial" w:hAnsi="Arial" w:eastAsia="宋体" w:cs="Arial"/>
          <w:b w:val="0"/>
          <w:bCs w:val="0"/>
          <w:sz w:val="24"/>
          <w:szCs w:val="24"/>
        </w:rPr>
        <w:t>otivation</w:t>
      </w:r>
      <w:r>
        <w:rPr>
          <w:rFonts w:hint="default" w:ascii="Arial" w:hAnsi="Arial" w:eastAsia="宋体" w:cs="Arial"/>
          <w:b w:val="0"/>
          <w:bCs w:val="0"/>
          <w:sz w:val="24"/>
          <w:szCs w:val="24"/>
          <w:lang w:val="en-US" w:eastAsia="zh-CN"/>
        </w:rPr>
        <w:t>.</w:t>
      </w:r>
    </w:p>
    <w:p w14:paraId="1B40A025">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rPr>
      </w:pPr>
      <w:bookmarkStart w:id="11" w:name="_Toc3318"/>
      <w:r>
        <w:rPr>
          <w:rFonts w:hint="default" w:ascii="Arial" w:hAnsi="Arial" w:eastAsia="sans-serif" w:cs="Arial"/>
          <w:b/>
          <w:bCs/>
          <w:i w:val="0"/>
          <w:iCs w:val="0"/>
          <w:caps w:val="0"/>
          <w:color w:val="auto"/>
          <w:spacing w:val="0"/>
          <w:sz w:val="24"/>
          <w:szCs w:val="24"/>
          <w:shd w:val="clear" w:fill="FFFFFF"/>
          <w:vertAlign w:val="baseline"/>
          <w:lang w:val="en-US"/>
        </w:rPr>
        <w:t>3.3 Strategic Human Resource Development (SHRD) Models</w:t>
      </w:r>
      <w:bookmarkEnd w:id="11"/>
    </w:p>
    <w:p w14:paraId="26BD9E86">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Strategic Human Resource Development (SHRD) refers to the proactive, planned, and goal-oriented approach to developing employees’ capabilities in alignment with organisational strategy.</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Garavan’s SHRD Model</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helps explain how SHRD can be effectively designed and implemented.</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Garavan’s framework defines SHRD as development that is</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Strategically aligned with business goals</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Integrated with other HR functions (e.g., recruitment, performance)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Learner-centred and participative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Supportive of innovation and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f</w:t>
      </w:r>
      <w:r>
        <w:rPr>
          <w:rFonts w:hint="default" w:ascii="Arial" w:hAnsi="Arial" w:eastAsia="sans-serif" w:cs="Arial"/>
          <w:b w:val="0"/>
          <w:bCs w:val="0"/>
          <w:i w:val="0"/>
          <w:iCs w:val="0"/>
          <w:caps w:val="0"/>
          <w:color w:val="auto"/>
          <w:spacing w:val="0"/>
          <w:sz w:val="24"/>
          <w:szCs w:val="24"/>
          <w:shd w:val="clear" w:fill="FFFFFF"/>
          <w:vertAlign w:val="baseline"/>
          <w:lang w:val="en-US"/>
        </w:rPr>
        <w:t>ocused on long-term capabilities rather than short-term fixes</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Key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omponents of</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Garavan’s framework include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:I</w:t>
      </w:r>
      <w:r>
        <w:rPr>
          <w:rFonts w:hint="default" w:ascii="Arial" w:hAnsi="Arial" w:eastAsia="sans-serif" w:cs="Arial"/>
          <w:b w:val="0"/>
          <w:bCs w:val="0"/>
          <w:i w:val="0"/>
          <w:iCs w:val="0"/>
          <w:caps w:val="0"/>
          <w:color w:val="auto"/>
          <w:spacing w:val="0"/>
          <w:sz w:val="24"/>
          <w:szCs w:val="24"/>
          <w:shd w:val="clear" w:fill="FFFFFF"/>
          <w:vertAlign w:val="baseline"/>
          <w:lang w:val="en-US"/>
        </w:rPr>
        <w:t>ntegration with corporate strategy</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Line management commitment</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Learning-focused organisational culture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Employee involvement in development decisions and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w:t>
      </w:r>
      <w:r>
        <w:rPr>
          <w:rFonts w:hint="default" w:ascii="Arial" w:hAnsi="Arial" w:eastAsia="sans-serif" w:cs="Arial"/>
          <w:b w:val="0"/>
          <w:bCs w:val="0"/>
          <w:i w:val="0"/>
          <w:iCs w:val="0"/>
          <w:caps w:val="0"/>
          <w:color w:val="auto"/>
          <w:spacing w:val="0"/>
          <w:sz w:val="24"/>
          <w:szCs w:val="24"/>
          <w:shd w:val="clear" w:fill="FFFFFF"/>
          <w:vertAlign w:val="baseline"/>
          <w:lang w:val="en-US"/>
        </w:rPr>
        <w:t>valuation of development impact</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This model underlines that SHRD must be embedded in the strategic infrastructure of the organisation, with senior management and line managers actively championing it. It’s commonly reflected in organisations like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U</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nilever and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S</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iemens, where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Learning and Developing(</w:t>
      </w:r>
      <w:r>
        <w:rPr>
          <w:rFonts w:hint="default" w:ascii="Arial" w:hAnsi="Arial" w:eastAsia="sans-serif" w:cs="Arial"/>
          <w:b w:val="0"/>
          <w:bCs w:val="0"/>
          <w:i w:val="0"/>
          <w:iCs w:val="0"/>
          <w:caps w:val="0"/>
          <w:color w:val="auto"/>
          <w:spacing w:val="0"/>
          <w:sz w:val="24"/>
          <w:szCs w:val="24"/>
          <w:shd w:val="clear" w:fill="FFFFFF"/>
          <w:vertAlign w:val="baseline"/>
          <w:lang w:val="en-US"/>
        </w:rPr>
        <w:t>L&amp;D</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is tied directly to business transformation goals.</w:t>
      </w:r>
    </w:p>
    <w:p w14:paraId="0CA75D77">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left"/>
        <w:textAlignment w:val="baseline"/>
        <w:outlineLvl w:val="0"/>
        <w:rPr>
          <w:rFonts w:hint="default" w:ascii="Arial" w:hAnsi="Arial" w:cs="Arial"/>
          <w:b w:val="0"/>
          <w:bCs w:val="0"/>
          <w:i w:val="0"/>
          <w:iCs w:val="0"/>
          <w:color w:val="auto"/>
        </w:rPr>
      </w:pPr>
      <w:bookmarkStart w:id="12" w:name="_Toc25638"/>
      <w:r>
        <w:rPr>
          <w:rFonts w:hint="default" w:ascii="Arial" w:hAnsi="Arial" w:eastAsia="sans-serif" w:cs="Arial"/>
          <w:b w:val="0"/>
          <w:bCs w:val="0"/>
          <w:i w:val="0"/>
          <w:iCs w:val="0"/>
          <w:caps w:val="0"/>
          <w:color w:val="auto"/>
          <w:spacing w:val="0"/>
          <w:sz w:val="24"/>
          <w:szCs w:val="24"/>
          <w:shd w:val="clear" w:fill="FFFFFF"/>
          <w:vertAlign w:val="baseline"/>
          <w:lang w:val="en-US"/>
        </w:rPr>
        <w:t>4. Benefits of Strategic Employee Development</w:t>
      </w:r>
      <w:bookmarkEnd w:id="12"/>
    </w:p>
    <w:p w14:paraId="5FF38C15">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left"/>
        <w:textAlignment w:val="baseline"/>
        <w:outlineLvl w:val="1"/>
        <w:rPr>
          <w:rFonts w:hint="default" w:ascii="Arial" w:hAnsi="Arial" w:cs="Arial"/>
          <w:b w:val="0"/>
          <w:bCs w:val="0"/>
          <w:i w:val="0"/>
          <w:iCs w:val="0"/>
          <w:color w:val="auto"/>
        </w:rPr>
      </w:pPr>
      <w:bookmarkStart w:id="13" w:name="_Toc31657"/>
      <w:r>
        <w:rPr>
          <w:rFonts w:hint="default" w:ascii="Arial" w:hAnsi="Arial" w:eastAsia="sans-serif" w:cs="Arial"/>
          <w:b w:val="0"/>
          <w:bCs w:val="0"/>
          <w:i w:val="0"/>
          <w:iCs w:val="0"/>
          <w:caps w:val="0"/>
          <w:color w:val="auto"/>
          <w:spacing w:val="0"/>
          <w:sz w:val="24"/>
          <w:szCs w:val="24"/>
          <w:shd w:val="clear" w:fill="FFFFFF"/>
          <w:vertAlign w:val="baseline"/>
          <w:lang w:val="en-US"/>
        </w:rPr>
        <w:t>4.1 Organisational Benefits</w:t>
      </w:r>
      <w:bookmarkEnd w:id="13"/>
    </w:p>
    <w:p w14:paraId="625B053F">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Strategic Employee Development (SED) delivers significant advantages not only at the individual level but also at the organisational level, enhancing overall efficiency, innovation capacity, and market competitiveness. By embedding development into business strategy, organisations create systems that are resilient, future-ready, and capable of sustained high performance.</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For example,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ompanies like Amazon use workforce planning and development strategies to upskill employees in cloud computing and data analytics to support their evolving service offerings.</w:t>
      </w:r>
    </w:p>
    <w:p w14:paraId="407CD986">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rPr>
      </w:pPr>
      <w:bookmarkStart w:id="14" w:name="_Toc24411"/>
      <w:r>
        <w:rPr>
          <w:rFonts w:hint="default" w:ascii="Arial" w:hAnsi="Arial" w:eastAsia="sans-serif" w:cs="Arial"/>
          <w:b/>
          <w:bCs/>
          <w:i w:val="0"/>
          <w:iCs w:val="0"/>
          <w:caps w:val="0"/>
          <w:color w:val="auto"/>
          <w:spacing w:val="0"/>
          <w:sz w:val="24"/>
          <w:szCs w:val="24"/>
          <w:shd w:val="clear" w:fill="FFFFFF"/>
          <w:vertAlign w:val="baseline"/>
          <w:lang w:val="en-US"/>
        </w:rPr>
        <w:t>4.2 Individual Benefits</w:t>
      </w:r>
      <w:bookmarkEnd w:id="14"/>
    </w:p>
    <w:p w14:paraId="5C1BC8CA">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While Strategic Employee Development (SED) provides clear organisational advantages, it is equally transformative at the individual level. When development initiatives are aligned with employees’ career goals, job roles, and learning styles, they foster professional growth, psychological engagement, and long-term career satisfaction. Strategic development enables employees to acquire targeted, job-relevant skills that improve their effectiveness and adaptability.</w:t>
      </w:r>
      <w:r>
        <w:rPr>
          <w:rFonts w:hint="default" w:ascii="Arial" w:hAnsi="Arial" w:eastAsia="Segoe UI" w:cs="Arial"/>
          <w:b w:val="0"/>
          <w:bCs w:val="0"/>
          <w:i w:val="0"/>
          <w:iCs w:val="0"/>
          <w:caps w:val="0"/>
          <w:color w:val="auto"/>
          <w:spacing w:val="0"/>
          <w:sz w:val="24"/>
          <w:szCs w:val="24"/>
          <w:shd w:val="clear" w:fill="FFFFFF"/>
          <w:vertAlign w:val="baseline"/>
          <w:lang w:val="en-US"/>
        </w:rPr>
        <w:t xml:space="preserve"> For instance,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t</w:t>
      </w:r>
      <w:r>
        <w:rPr>
          <w:rFonts w:hint="default" w:ascii="Arial" w:hAnsi="Arial" w:eastAsia="sans-serif" w:cs="Arial"/>
          <w:b w:val="0"/>
          <w:bCs w:val="0"/>
          <w:i w:val="0"/>
          <w:iCs w:val="0"/>
          <w:caps w:val="0"/>
          <w:color w:val="auto"/>
          <w:spacing w:val="0"/>
          <w:sz w:val="24"/>
          <w:szCs w:val="24"/>
          <w:shd w:val="clear" w:fill="FFFFFF"/>
          <w:vertAlign w:val="baseline"/>
          <w:lang w:val="en-US"/>
        </w:rPr>
        <w:t>ech companies like IBM use AI-driven learning platforms to personalise development paths for employees, improving both learning speed and outcomes.</w:t>
      </w:r>
    </w:p>
    <w:p w14:paraId="2AACF08B">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ind w:left="0" w:right="0" w:firstLine="0"/>
        <w:jc w:val="left"/>
        <w:textAlignment w:val="baseline"/>
        <w:outlineLvl w:val="1"/>
        <w:rPr>
          <w:rFonts w:hint="default" w:ascii="Arial" w:hAnsi="Arial" w:cs="Arial"/>
          <w:b/>
          <w:bCs/>
          <w:i w:val="0"/>
          <w:iCs w:val="0"/>
          <w:color w:val="auto"/>
        </w:rPr>
      </w:pPr>
      <w:bookmarkStart w:id="15" w:name="_Toc28996"/>
      <w:r>
        <w:rPr>
          <w:rFonts w:hint="default" w:ascii="Arial" w:hAnsi="Arial" w:eastAsia="sans-serif" w:cs="Arial"/>
          <w:b/>
          <w:bCs/>
          <w:i w:val="0"/>
          <w:iCs w:val="0"/>
          <w:caps w:val="0"/>
          <w:color w:val="auto"/>
          <w:spacing w:val="0"/>
          <w:sz w:val="24"/>
          <w:szCs w:val="24"/>
          <w:shd w:val="clear" w:fill="FFFFFF"/>
          <w:vertAlign w:val="baseline"/>
          <w:lang w:val="en-US"/>
        </w:rPr>
        <w:t>4.3 Leadership Benefits</w:t>
      </w:r>
      <w:bookmarkEnd w:id="15"/>
    </w:p>
    <w:p w14:paraId="644E3968">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Strategic Employee Development (SED) is instrumental not only in nurturing employee potential but also in cultivating strong, effective leadership. By embedding leadership development into broader organisational learning strategies, businesses build leadership capacity that aligns with strategic goals, enhances organisational performance, and ensures continuity in times of change. SED enables leaders to acquire and refine essential leadership competencies include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s</w:t>
      </w:r>
      <w:r>
        <w:rPr>
          <w:rFonts w:hint="default" w:ascii="Arial" w:hAnsi="Arial" w:eastAsia="sans-serif" w:cs="Arial"/>
          <w:b w:val="0"/>
          <w:bCs w:val="0"/>
          <w:i w:val="0"/>
          <w:iCs w:val="0"/>
          <w:caps w:val="0"/>
          <w:color w:val="auto"/>
          <w:spacing w:val="0"/>
          <w:sz w:val="24"/>
          <w:szCs w:val="24"/>
          <w:shd w:val="clear" w:fill="FFFFFF"/>
          <w:vertAlign w:val="baseline"/>
          <w:lang w:val="en-US"/>
        </w:rPr>
        <w:t>trategic thinking</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w:t>
      </w:r>
      <w:r>
        <w:rPr>
          <w:rFonts w:hint="default" w:ascii="Arial" w:hAnsi="Arial" w:eastAsia="sans-serif" w:cs="Arial"/>
          <w:b w:val="0"/>
          <w:bCs w:val="0"/>
          <w:i w:val="0"/>
          <w:iCs w:val="0"/>
          <w:caps w:val="0"/>
          <w:color w:val="auto"/>
          <w:spacing w:val="0"/>
          <w:sz w:val="24"/>
          <w:szCs w:val="24"/>
          <w:shd w:val="clear" w:fill="FFFFFF"/>
          <w:vertAlign w:val="baseline"/>
          <w:lang w:val="en-US"/>
        </w:rPr>
        <w:t>motional intelligence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,d</w:t>
      </w:r>
      <w:r>
        <w:rPr>
          <w:rFonts w:hint="default" w:ascii="Arial" w:hAnsi="Arial" w:eastAsia="sans-serif" w:cs="Arial"/>
          <w:b w:val="0"/>
          <w:bCs w:val="0"/>
          <w:i w:val="0"/>
          <w:iCs w:val="0"/>
          <w:caps w:val="0"/>
          <w:color w:val="auto"/>
          <w:spacing w:val="0"/>
          <w:sz w:val="24"/>
          <w:szCs w:val="24"/>
          <w:shd w:val="clear" w:fill="FFFFFF"/>
          <w:vertAlign w:val="baseline"/>
          <w:lang w:val="en-US"/>
        </w:rPr>
        <w:t>ecision-making</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ommunication and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hange management</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For example,</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ompanies like Procter &amp; Gamble and Microsoft run competency-based leadership academies to systematically develop these skills across leadership levels.</w:t>
      </w:r>
    </w:p>
    <w:p w14:paraId="659A7417">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0"/>
        <w:rPr>
          <w:rFonts w:hint="default" w:ascii="Arial" w:hAnsi="Arial" w:cs="Arial"/>
          <w:b/>
          <w:bCs/>
          <w:i w:val="0"/>
          <w:iCs w:val="0"/>
          <w:color w:val="auto"/>
          <w:sz w:val="28"/>
          <w:szCs w:val="28"/>
        </w:rPr>
      </w:pPr>
      <w:bookmarkStart w:id="16" w:name="_Toc4478"/>
      <w:r>
        <w:rPr>
          <w:rFonts w:hint="default" w:ascii="Arial" w:hAnsi="Arial" w:eastAsia="sans-serif" w:cs="Arial"/>
          <w:b/>
          <w:bCs/>
          <w:i w:val="0"/>
          <w:iCs w:val="0"/>
          <w:caps w:val="0"/>
          <w:color w:val="auto"/>
          <w:spacing w:val="0"/>
          <w:sz w:val="28"/>
          <w:szCs w:val="28"/>
          <w:shd w:val="clear" w:fill="FFFFFF"/>
          <w:vertAlign w:val="baseline"/>
          <w:lang w:val="en-US"/>
        </w:rPr>
        <w:t>5. Challenges and Barriers to Implementation</w:t>
      </w:r>
      <w:bookmarkEnd w:id="16"/>
    </w:p>
    <w:p w14:paraId="444D4C98">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sz w:val="24"/>
          <w:szCs w:val="24"/>
        </w:rPr>
      </w:pPr>
      <w:bookmarkStart w:id="17" w:name="_Toc18467"/>
      <w:r>
        <w:rPr>
          <w:rFonts w:hint="default" w:ascii="Arial" w:hAnsi="Arial" w:eastAsia="sans-serif" w:cs="Arial"/>
          <w:b/>
          <w:bCs/>
          <w:i w:val="0"/>
          <w:iCs w:val="0"/>
          <w:caps w:val="0"/>
          <w:color w:val="auto"/>
          <w:spacing w:val="0"/>
          <w:sz w:val="24"/>
          <w:szCs w:val="24"/>
          <w:shd w:val="clear" w:fill="FFFFFF"/>
          <w:vertAlign w:val="baseline"/>
          <w:lang w:val="en-US"/>
        </w:rPr>
        <w:t>5.1 Resource Constraints</w:t>
      </w:r>
      <w:bookmarkEnd w:id="17"/>
    </w:p>
    <w:p w14:paraId="14F093BA">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While Strategic Employee Development (SED) offers numerous benefits, organisations often face significant resource-related constraints that hinder its successful implementation. These limitations can affect the scalability, consistency, and long-term impact of development initiatives.</w:t>
      </w:r>
    </w:p>
    <w:p w14:paraId="108A8408">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For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f</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inancial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onstraints </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eastAsia" w:ascii="Arial" w:hAnsi="Arial" w:eastAsia="sans-serif" w:cs="Arial"/>
          <w:b w:val="0"/>
          <w:bCs w:val="0"/>
          <w:i w:val="0"/>
          <w:iCs w:val="0"/>
          <w:caps w:val="0"/>
          <w:color w:val="auto"/>
          <w:spacing w:val="0"/>
          <w:sz w:val="24"/>
          <w:szCs w:val="24"/>
          <w:shd w:val="clear" w:fill="FFFFFF"/>
          <w:vertAlign w:val="baseline"/>
          <w:lang w:val="en-US" w:eastAsia="zh-CN"/>
        </w:rPr>
        <w:t>o</w:t>
      </w:r>
      <w:r>
        <w:rPr>
          <w:rFonts w:hint="default" w:ascii="Arial" w:hAnsi="Arial" w:eastAsia="sans-serif" w:cs="Arial"/>
          <w:b w:val="0"/>
          <w:bCs w:val="0"/>
          <w:i w:val="0"/>
          <w:iCs w:val="0"/>
          <w:caps w:val="0"/>
          <w:color w:val="auto"/>
          <w:spacing w:val="0"/>
          <w:sz w:val="24"/>
          <w:szCs w:val="24"/>
          <w:shd w:val="clear" w:fill="FFFFFF"/>
          <w:vertAlign w:val="baseline"/>
          <w:lang w:val="en-US"/>
        </w:rPr>
        <w:t>ne of the most pressing barriers is the cost associated with designing, delivering, and maintaining high-quality development programs. Training budgets may be limited, especially in small and medium-sized enterprises (SMEs). Executive coaching, leadership academies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and digital learning platforms can require substantial investment.</w:t>
      </w:r>
      <w:r>
        <w:rPr>
          <w:rFonts w:hint="default" w:ascii="Arial" w:hAnsi="Arial" w:eastAsia="Segoe UI" w:cs="Arial"/>
          <w:b w:val="0"/>
          <w:bCs w:val="0"/>
          <w:i w:val="0"/>
          <w:iCs w:val="0"/>
          <w:caps w:val="0"/>
          <w:color w:val="auto"/>
          <w:spacing w:val="0"/>
          <w:sz w:val="24"/>
          <w:szCs w:val="24"/>
          <w:shd w:val="clear" w:fill="FFFFFF"/>
          <w:vertAlign w:val="baseline"/>
          <w:lang w:val="en-US"/>
        </w:rPr>
        <w:t xml:space="preserve"> Economic downturns or shifting business priorities may lead to cuts in R&amp;D funding.</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default" w:ascii="Arial" w:hAnsi="Arial" w:eastAsia="Segoe UI" w:cs="Arial"/>
          <w:b w:val="0"/>
          <w:bCs w:val="0"/>
          <w:i w:val="0"/>
          <w:iCs w:val="0"/>
          <w:caps w:val="0"/>
          <w:color w:val="auto"/>
          <w:spacing w:val="0"/>
          <w:sz w:val="24"/>
          <w:szCs w:val="24"/>
          <w:shd w:val="clear" w:fill="FFFFFF"/>
          <w:vertAlign w:val="baseline"/>
          <w:lang w:val="en-US"/>
        </w:rPr>
        <w:t>Without consistent funding, development programs may become fragmented, reactive, or unsustainable.</w:t>
      </w:r>
    </w:p>
    <w:p w14:paraId="21978214">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cs="Arial"/>
          <w:b w:val="0"/>
          <w:bCs w:val="0"/>
          <w:i w:val="0"/>
          <w:iCs w:val="0"/>
          <w:color w:val="auto"/>
        </w:rPr>
      </w:pPr>
      <w:r>
        <w:rPr>
          <w:rFonts w:hint="default" w:ascii="Arial" w:hAnsi="Arial" w:eastAsia="sans-serif" w:cs="Arial"/>
          <w:b w:val="0"/>
          <w:bCs w:val="0"/>
          <w:i w:val="0"/>
          <w:iCs w:val="0"/>
          <w:caps w:val="0"/>
          <w:color w:val="auto"/>
          <w:spacing w:val="0"/>
          <w:sz w:val="24"/>
          <w:szCs w:val="24"/>
          <w:shd w:val="clear" w:fill="FFFFFF"/>
          <w:vertAlign w:val="baseline"/>
          <w:lang w:val="en-US"/>
        </w:rPr>
        <w:t>For</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eastAsia" w:ascii="Arial" w:hAnsi="Arial" w:eastAsia="sans-serif" w:cs="Arial"/>
          <w:b w:val="0"/>
          <w:bCs w:val="0"/>
          <w:i w:val="0"/>
          <w:iCs w:val="0"/>
          <w:caps w:val="0"/>
          <w:color w:val="auto"/>
          <w:spacing w:val="0"/>
          <w:sz w:val="24"/>
          <w:szCs w:val="24"/>
          <w:shd w:val="clear" w:fill="FFFFFF"/>
          <w:vertAlign w:val="baseline"/>
          <w:lang w:val="en-US" w:eastAsia="zh-CN"/>
        </w:rPr>
        <w:t>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ime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c</w:t>
      </w:r>
      <w:r>
        <w:rPr>
          <w:rFonts w:hint="default" w:ascii="Arial" w:hAnsi="Arial" w:eastAsia="sans-serif" w:cs="Arial"/>
          <w:b w:val="0"/>
          <w:bCs w:val="0"/>
          <w:i w:val="0"/>
          <w:iCs w:val="0"/>
          <w:caps w:val="0"/>
          <w:color w:val="auto"/>
          <w:spacing w:val="0"/>
          <w:sz w:val="24"/>
          <w:szCs w:val="24"/>
          <w:shd w:val="clear" w:fill="FFFFFF"/>
          <w:vertAlign w:val="baseline"/>
          <w:lang w:val="en-US"/>
        </w:rPr>
        <w:t>onstraints</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egoe UI" w:cs="Arial"/>
          <w:b w:val="0"/>
          <w:bCs w:val="0"/>
          <w:i w:val="0"/>
          <w:iCs w:val="0"/>
          <w:caps w:val="0"/>
          <w:color w:val="auto"/>
          <w:spacing w:val="0"/>
          <w:sz w:val="24"/>
          <w:szCs w:val="24"/>
          <w:shd w:val="clear" w:fill="FFFFFF"/>
          <w:vertAlign w:val="baseline"/>
          <w:lang w:val="en-US"/>
        </w:rPr>
        <w:t xml:space="preserv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a</w:t>
      </w:r>
      <w:r>
        <w:rPr>
          <w:rFonts w:hint="default" w:ascii="Arial" w:hAnsi="Arial" w:eastAsia="sans-serif" w:cs="Arial"/>
          <w:b w:val="0"/>
          <w:bCs w:val="0"/>
          <w:i w:val="0"/>
          <w:iCs w:val="0"/>
          <w:caps w:val="0"/>
          <w:color w:val="auto"/>
          <w:spacing w:val="0"/>
          <w:sz w:val="24"/>
          <w:szCs w:val="24"/>
          <w:shd w:val="clear" w:fill="FFFFFF"/>
          <w:vertAlign w:val="baseline"/>
          <w:lang w:val="en-US"/>
        </w:rPr>
        <w:t>llocat</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es</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time for employee learning is often difficult in fast-paced, high-demand environments. Managers may be reluctant to release employees for training due to productivity concerns. Employees may struggle to balance development with daily responsibilities. Leadership development, in particular, requires time for reflection and practice, which is often deprioritised. Learning is rushed, inconsistent, or deprioritised—undermining its effectiveness.</w:t>
      </w:r>
    </w:p>
    <w:p w14:paraId="75839405">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left"/>
        <w:textAlignment w:val="baseline"/>
        <w:outlineLvl w:val="1"/>
        <w:rPr>
          <w:rFonts w:hint="default" w:ascii="Arial" w:hAnsi="Arial" w:cs="Arial"/>
          <w:b/>
          <w:bCs/>
          <w:i w:val="0"/>
          <w:iCs w:val="0"/>
          <w:color w:val="auto"/>
        </w:rPr>
      </w:pPr>
      <w:bookmarkStart w:id="18" w:name="_Toc21163"/>
      <w:r>
        <w:rPr>
          <w:rFonts w:hint="default" w:ascii="Arial" w:hAnsi="Arial" w:eastAsia="sans-serif" w:cs="Arial"/>
          <w:b/>
          <w:bCs/>
          <w:i w:val="0"/>
          <w:iCs w:val="0"/>
          <w:caps w:val="0"/>
          <w:color w:val="auto"/>
          <w:spacing w:val="0"/>
          <w:sz w:val="24"/>
          <w:szCs w:val="24"/>
          <w:shd w:val="clear" w:fill="FFFFFF"/>
          <w:vertAlign w:val="baseline"/>
          <w:lang w:val="en-US"/>
        </w:rPr>
        <w:t>5.2 Resistance to Change</w:t>
      </w:r>
      <w:bookmarkEnd w:id="18"/>
    </w:p>
    <w:p w14:paraId="3B4B3CBE">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60" w:afterAutospacing="0" w:line="360" w:lineRule="auto"/>
        <w:ind w:left="0" w:right="0" w:firstLine="0"/>
        <w:jc w:val="both"/>
        <w:textAlignment w:val="baseline"/>
        <w:rPr>
          <w:rFonts w:hint="default" w:ascii="Arial" w:hAnsi="Arial" w:eastAsia="sans-serif" w:cs="Arial"/>
          <w:b w:val="0"/>
          <w:bCs w:val="0"/>
          <w:i w:val="0"/>
          <w:iCs w:val="0"/>
          <w:caps w:val="0"/>
          <w:color w:val="auto"/>
          <w:spacing w:val="0"/>
          <w:sz w:val="24"/>
          <w:szCs w:val="24"/>
          <w:shd w:val="clear" w:fill="FFFFFF"/>
          <w:vertAlign w:val="baseline"/>
          <w:lang w:val="en-US"/>
        </w:rPr>
      </w:pPr>
      <w:r>
        <w:rPr>
          <w:rFonts w:hint="default" w:ascii="Arial" w:hAnsi="Arial" w:eastAsia="sans-serif" w:cs="Arial"/>
          <w:b w:val="0"/>
          <w:bCs w:val="0"/>
          <w:i w:val="0"/>
          <w:iCs w:val="0"/>
          <w:caps w:val="0"/>
          <w:color w:val="auto"/>
          <w:spacing w:val="0"/>
          <w:sz w:val="24"/>
          <w:szCs w:val="24"/>
          <w:shd w:val="clear" w:fill="FFFFFF"/>
          <w:vertAlign w:val="baseline"/>
          <w:lang w:val="en-US"/>
        </w:rPr>
        <w:t>Implementing Strategic Employee Development (SED) often requires significant cultural, behavioural, and structural shifts within an organisation. However, such initiatives frequently face resistance to change—a natural but critical barrier that can undermine success. This resistance may emerge at multiple levels, from individual employees to leadership, and must be effectively managed to ensure long-term impact and integration of development strategies.For</w:t>
      </w:r>
      <w:r>
        <w:rPr>
          <w:rFonts w:hint="eastAsia" w:ascii="Arial" w:hAnsi="Arial" w:eastAsia="宋体" w:cs="Arial"/>
          <w:b w:val="0"/>
          <w:bCs w:val="0"/>
          <w:i w:val="0"/>
          <w:iCs w:val="0"/>
          <w:caps w:val="0"/>
          <w:color w:val="auto"/>
          <w:spacing w:val="0"/>
          <w:sz w:val="24"/>
          <w:szCs w:val="24"/>
          <w:shd w:val="clear" w:fill="FFFFFF"/>
          <w:vertAlign w:val="baseline"/>
          <w:lang w:val="en-US" w:eastAsia="zh-CN"/>
        </w:rPr>
        <w:t xml:space="preserve"> </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instance, </w:t>
      </w:r>
      <w:r>
        <w:rPr>
          <w:rFonts w:hint="eastAsia" w:ascii="Arial" w:hAnsi="Arial" w:eastAsia="宋体" w:cs="Arial"/>
          <w:b w:val="0"/>
          <w:bCs w:val="0"/>
          <w:i w:val="0"/>
          <w:iCs w:val="0"/>
          <w:caps w:val="0"/>
          <w:color w:val="auto"/>
          <w:spacing w:val="0"/>
          <w:sz w:val="24"/>
          <w:szCs w:val="24"/>
          <w:shd w:val="clear" w:fill="FFFFFF"/>
          <w:vertAlign w:val="baseline"/>
          <w:lang w:val="en-US" w:eastAsia="zh-CN"/>
        </w:rPr>
        <w:t>e</w:t>
      </w:r>
      <w:r>
        <w:rPr>
          <w:rFonts w:hint="default" w:ascii="Arial" w:hAnsi="Arial" w:eastAsia="sans-serif" w:cs="Arial"/>
          <w:b w:val="0"/>
          <w:bCs w:val="0"/>
          <w:i w:val="0"/>
          <w:iCs w:val="0"/>
          <w:caps w:val="0"/>
          <w:color w:val="auto"/>
          <w:spacing w:val="0"/>
          <w:sz w:val="24"/>
          <w:szCs w:val="24"/>
          <w:shd w:val="clear" w:fill="FFFFFF"/>
          <w:vertAlign w:val="baseline"/>
          <w:lang w:val="en-US"/>
        </w:rPr>
        <w:t>mployees may perceive development initiatives as disruptive, threatening, or unnecessary.These feelings include</w:t>
      </w:r>
      <w:r>
        <w:rPr>
          <w:rFonts w:hint="default" w:ascii="Arial" w:hAnsi="Arial" w:eastAsia="sans-serif" w:cs="Arial"/>
          <w:b w:val="0"/>
          <w:bCs w:val="0"/>
          <w:i w:val="0"/>
          <w:iCs w:val="0"/>
          <w:caps w:val="0"/>
          <w:color w:val="auto"/>
          <w:spacing w:val="0"/>
          <w:sz w:val="24"/>
          <w:szCs w:val="24"/>
          <w:shd w:val="clear" w:fill="FFFFFF"/>
          <w:vertAlign w:val="baseline"/>
          <w:lang w:eastAsia="zh-CN"/>
        </w:rPr>
        <w:t xml:space="preserve"> </w:t>
      </w:r>
      <w:r>
        <w:rPr>
          <w:rFonts w:hint="eastAsia" w:ascii="Arial" w:hAnsi="Arial" w:eastAsia="sans-serif" w:cs="Arial"/>
          <w:b w:val="0"/>
          <w:bCs w:val="0"/>
          <w:i w:val="0"/>
          <w:iCs w:val="0"/>
          <w:caps w:val="0"/>
          <w:color w:val="auto"/>
          <w:spacing w:val="0"/>
          <w:sz w:val="24"/>
          <w:szCs w:val="24"/>
          <w:shd w:val="clear" w:fill="FFFFFF"/>
          <w:vertAlign w:val="baseline"/>
          <w:lang w:val="en-US" w:eastAsia="zh-CN"/>
        </w:rPr>
        <w:t>f</w:t>
      </w:r>
      <w:r>
        <w:rPr>
          <w:rFonts w:hint="default" w:ascii="Arial" w:hAnsi="Arial" w:eastAsia="sans-serif" w:cs="Arial"/>
          <w:b w:val="0"/>
          <w:bCs w:val="0"/>
          <w:i w:val="0"/>
          <w:iCs w:val="0"/>
          <w:caps w:val="0"/>
          <w:color w:val="auto"/>
          <w:spacing w:val="0"/>
          <w:sz w:val="24"/>
          <w:szCs w:val="24"/>
          <w:shd w:val="clear" w:fill="FFFFFF"/>
          <w:vertAlign w:val="baseline"/>
          <w:lang w:val="en-US"/>
        </w:rPr>
        <w:t>ear</w:t>
      </w:r>
      <w:r>
        <w:rPr>
          <w:rFonts w:hint="eastAsia" w:ascii="Arial" w:hAnsi="Arial" w:eastAsia="宋体" w:cs="Arial"/>
          <w:b w:val="0"/>
          <w:bCs w:val="0"/>
          <w:i w:val="0"/>
          <w:iCs w:val="0"/>
          <w:caps w:val="0"/>
          <w:color w:val="auto"/>
          <w:spacing w:val="0"/>
          <w:sz w:val="24"/>
          <w:szCs w:val="24"/>
          <w:shd w:val="clear" w:fill="FFFFFF"/>
          <w:vertAlign w:val="baseline"/>
          <w:lang w:val="en-US" w:eastAsia="zh-CN"/>
        </w:rPr>
        <w:t>ing</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of failure or inadequacy</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New training may expose skill gaps or performance issues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Comfort</w:t>
      </w:r>
      <w:r>
        <w:rPr>
          <w:rFonts w:hint="eastAsia" w:ascii="Arial" w:hAnsi="Arial" w:eastAsia="宋体" w:cs="Arial"/>
          <w:b w:val="0"/>
          <w:bCs w:val="0"/>
          <w:i w:val="0"/>
          <w:iCs w:val="0"/>
          <w:caps w:val="0"/>
          <w:color w:val="auto"/>
          <w:spacing w:val="0"/>
          <w:sz w:val="24"/>
          <w:szCs w:val="24"/>
          <w:shd w:val="clear" w:fill="FFFFFF"/>
          <w:vertAlign w:val="baseline"/>
          <w:lang w:val="en-US" w:eastAsia="zh-CN"/>
        </w:rPr>
        <w:t>ing</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with the status quo</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Individuals may prefer familiar routines over new expectations or learning demands</w:t>
      </w:r>
      <w:r>
        <w:rPr>
          <w:rFonts w:hint="eastAsia" w:ascii="Arial" w:hAnsi="Arial" w:eastAsia="宋体" w:cs="Arial"/>
          <w:b w:val="0"/>
          <w:bCs w:val="0"/>
          <w:i w:val="0"/>
          <w:iCs w:val="0"/>
          <w:caps w:val="0"/>
          <w:color w:val="auto"/>
          <w:spacing w:val="0"/>
          <w:sz w:val="24"/>
          <w:szCs w:val="24"/>
          <w:shd w:val="clear" w:fill="FFFFFF"/>
          <w:vertAlign w:val="baseline"/>
          <w:lang w:val="en-US"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Chang</w:t>
      </w:r>
      <w:r>
        <w:rPr>
          <w:rFonts w:hint="eastAsia" w:ascii="Arial" w:hAnsi="Arial" w:eastAsia="宋体" w:cs="Arial"/>
          <w:b w:val="0"/>
          <w:bCs w:val="0"/>
          <w:i w:val="0"/>
          <w:iCs w:val="0"/>
          <w:caps w:val="0"/>
          <w:color w:val="auto"/>
          <w:spacing w:val="0"/>
          <w:sz w:val="24"/>
          <w:szCs w:val="24"/>
          <w:shd w:val="clear" w:fill="FFFFFF"/>
          <w:vertAlign w:val="baseline"/>
          <w:lang w:val="en-US" w:eastAsia="zh-CN"/>
        </w:rPr>
        <w:t>ing</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fatigue</w:t>
      </w:r>
      <w:r>
        <w:rPr>
          <w:rFonts w:hint="default" w:ascii="Arial" w:hAnsi="Arial" w:eastAsia="sans-serif" w:cs="Arial"/>
          <w:b w:val="0"/>
          <w:bCs w:val="0"/>
          <w:i w:val="0"/>
          <w:iCs w:val="0"/>
          <w:caps w:val="0"/>
          <w:color w:val="auto"/>
          <w:spacing w:val="0"/>
          <w:sz w:val="24"/>
          <w:szCs w:val="24"/>
          <w:shd w:val="clear" w:fill="FFFFFF"/>
          <w:vertAlign w:val="baseline"/>
          <w:lang w:eastAsia="zh-CN"/>
        </w:rPr>
        <w:t>-</w:t>
      </w:r>
      <w:r>
        <w:rPr>
          <w:rFonts w:hint="default" w:ascii="Arial" w:hAnsi="Arial" w:eastAsia="sans-serif" w:cs="Arial"/>
          <w:b w:val="0"/>
          <w:bCs w:val="0"/>
          <w:i w:val="0"/>
          <w:iCs w:val="0"/>
          <w:caps w:val="0"/>
          <w:color w:val="auto"/>
          <w:spacing w:val="0"/>
          <w:sz w:val="24"/>
          <w:szCs w:val="24"/>
          <w:shd w:val="clear" w:fill="FFFFFF"/>
          <w:vertAlign w:val="baseline"/>
          <w:lang w:val="en-US"/>
        </w:rPr>
        <w:t xml:space="preserve"> In fast-paced environments, employees may be overwhelmed by constant shifts and new initiatives.</w:t>
      </w:r>
    </w:p>
    <w:p w14:paraId="7ABFC22D">
      <w:pPr>
        <w:pStyle w:val="4"/>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160" w:afterAutospacing="0"/>
        <w:ind w:leftChars="0" w:right="0" w:rightChars="0"/>
        <w:jc w:val="left"/>
        <w:textAlignment w:val="baseline"/>
        <w:outlineLvl w:val="0"/>
        <w:rPr>
          <w:rFonts w:hint="eastAsia" w:ascii="Arial" w:hAnsi="Arial" w:eastAsia="宋体" w:cs="Arial"/>
          <w:b/>
          <w:bCs/>
          <w:i w:val="0"/>
          <w:iCs w:val="0"/>
          <w:caps w:val="0"/>
          <w:color w:val="auto"/>
          <w:spacing w:val="0"/>
          <w:sz w:val="28"/>
          <w:szCs w:val="28"/>
          <w:shd w:val="clear" w:fill="FFFFFF"/>
          <w:vertAlign w:val="baseline"/>
          <w:lang w:val="en-US" w:eastAsia="zh-CN"/>
        </w:rPr>
      </w:pPr>
      <w:bookmarkStart w:id="19" w:name="_Toc2648"/>
      <w:r>
        <w:rPr>
          <w:rFonts w:hint="eastAsia" w:ascii="Arial" w:hAnsi="Arial" w:eastAsia="宋体" w:cs="Arial"/>
          <w:b/>
          <w:bCs/>
          <w:i w:val="0"/>
          <w:iCs w:val="0"/>
          <w:color w:val="auto"/>
          <w:spacing w:val="0"/>
          <w:sz w:val="28"/>
          <w:szCs w:val="28"/>
          <w:shd w:val="clear" w:fill="FFFFFF"/>
          <w:vertAlign w:val="baseline"/>
          <w:lang w:val="en-US" w:eastAsia="zh-CN"/>
        </w:rPr>
        <w:t>6.C</w:t>
      </w:r>
      <w:r>
        <w:rPr>
          <w:rFonts w:hint="eastAsia" w:ascii="Arial" w:hAnsi="Arial" w:eastAsia="宋体" w:cs="Arial"/>
          <w:b/>
          <w:bCs/>
          <w:i w:val="0"/>
          <w:iCs w:val="0"/>
          <w:caps w:val="0"/>
          <w:color w:val="auto"/>
          <w:spacing w:val="0"/>
          <w:sz w:val="28"/>
          <w:szCs w:val="28"/>
          <w:shd w:val="clear" w:fill="FFFFFF"/>
          <w:vertAlign w:val="baseline"/>
          <w:lang w:val="en-US" w:eastAsia="zh-CN"/>
        </w:rPr>
        <w:t>onclusion</w:t>
      </w:r>
      <w:bookmarkEnd w:id="19"/>
    </w:p>
    <w:p w14:paraId="19F59799">
      <w:pPr>
        <w:pStyle w:val="4"/>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 xml:space="preserve">In conclusion, </w:t>
      </w:r>
      <w:r>
        <w:rPr>
          <w:rStyle w:val="7"/>
          <w:rFonts w:hint="default" w:ascii="Arial" w:hAnsi="Arial" w:cs="Arial"/>
          <w:b w:val="0"/>
          <w:bCs w:val="0"/>
        </w:rPr>
        <w:t>Strategic Employee Development (SED)</w:t>
      </w:r>
      <w:r>
        <w:rPr>
          <w:rFonts w:hint="default" w:ascii="Arial" w:hAnsi="Arial" w:cs="Arial"/>
          <w:b w:val="0"/>
          <w:bCs w:val="0"/>
        </w:rPr>
        <w:t xml:space="preserve"> emerges as a vital enabler of both individual and organisational effectiveness in the modern business landscape. By aligning development initiatives with strategic goals, organisations not only enhance employee skills and leadership capabilities but also ensure resilience, innovation, and long-term competitiveness. The integration of adult learning theories, such as andragogy, and SHRD models into development programs strengthens their relevance and impact, particularly when applied in practical, business-oriented contexts.</w:t>
      </w:r>
    </w:p>
    <w:p w14:paraId="4E27B7A7">
      <w:pPr>
        <w:pStyle w:val="4"/>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Real-world examples from companies like Amazon, GE, Google, and IBM illustrate the powerful outcomes of embedding SED into the organisational fabric—ranging from improved leadership pipelines and talent retention to measurable business performance. However, the journey to effective SED is not without its challenges. Financial and time constraints, resistance to change, and the complexity of measuring ROI require thoughtful planning, leadership commitment, and adaptive strategies.</w:t>
      </w:r>
    </w:p>
    <w:p w14:paraId="5C39ACBE">
      <w:pPr>
        <w:pStyle w:val="4"/>
        <w:keepNext w:val="0"/>
        <w:keepLines w:val="0"/>
        <w:widowControl/>
        <w:suppressLineNumbers w:val="0"/>
        <w:spacing w:before="0" w:beforeAutospacing="1" w:after="0" w:afterAutospacing="1" w:line="360" w:lineRule="auto"/>
        <w:ind w:left="0" w:right="0"/>
        <w:jc w:val="both"/>
        <w:rPr>
          <w:rFonts w:hint="default" w:ascii="Arial" w:hAnsi="Arial" w:cs="Arial"/>
          <w:b w:val="0"/>
          <w:bCs w:val="0"/>
        </w:rPr>
      </w:pPr>
      <w:r>
        <w:rPr>
          <w:rFonts w:hint="default" w:ascii="Arial" w:hAnsi="Arial" w:cs="Arial"/>
          <w:b w:val="0"/>
          <w:bCs w:val="0"/>
        </w:rPr>
        <w:t>Ultimately, strategic employee development is not merely a tool for operational improvement but a transformative mechanism for building a future-ready workforce. As organisations continue to face uncertainty and disruption, those that invest in their people strategically will be best positioned to lead, innovate, and thrive. SED, therefore, stands as a cornerstone of sustainable organisational success.</w:t>
      </w:r>
    </w:p>
    <w:p w14:paraId="7AFF94CE">
      <w:pPr>
        <w:pStyle w:val="4"/>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160" w:afterAutospacing="0"/>
        <w:ind w:leftChars="0" w:right="0" w:rightChars="0"/>
        <w:jc w:val="left"/>
        <w:textAlignment w:val="baseline"/>
        <w:rPr>
          <w:rFonts w:hint="default" w:ascii="Arial" w:hAnsi="Arial" w:eastAsia="宋体" w:cs="Arial"/>
          <w:b w:val="0"/>
          <w:bCs w:val="0"/>
          <w:i w:val="0"/>
          <w:iCs w:val="0"/>
          <w:caps w:val="0"/>
          <w:color w:val="auto"/>
          <w:spacing w:val="0"/>
          <w:sz w:val="24"/>
          <w:szCs w:val="24"/>
          <w:shd w:val="clear" w:fill="FFFFFF"/>
          <w:vertAlign w:val="baseline"/>
          <w:lang w:val="en-US" w:eastAsia="zh-CN"/>
        </w:rPr>
      </w:pPr>
    </w:p>
    <w:p w14:paraId="08FCDE78">
      <w:pPr>
        <w:numPr>
          <w:numId w:val="0"/>
        </w:numPr>
        <w:rPr>
          <w:rFonts w:hint="default" w:ascii="sans-serif" w:hAnsi="sans-serif" w:eastAsia="sans-serif" w:cs="sans-serif"/>
          <w:i w:val="0"/>
          <w:iCs w:val="0"/>
          <w:caps w:val="0"/>
          <w:color w:val="000000"/>
          <w:spacing w:val="0"/>
          <w:sz w:val="24"/>
          <w:szCs w:val="24"/>
          <w:bdr w:val="none" w:color="auto" w:sz="0" w:space="0"/>
          <w:shd w:val="clear" w:fill="FFFFFF"/>
          <w:lang w:val="en-US"/>
        </w:rPr>
      </w:pPr>
    </w:p>
    <w:p w14:paraId="2844C0B3">
      <w:pPr>
        <w:outlineLvl w:val="0"/>
        <w:rPr>
          <w:rFonts w:hint="eastAsia" w:eastAsia="宋体"/>
          <w:lang w:val="en-US" w:eastAsia="zh-CN"/>
        </w:rPr>
      </w:pPr>
      <w:bookmarkStart w:id="20" w:name="_Toc30066"/>
    </w:p>
    <w:p w14:paraId="40748FF2">
      <w:pPr>
        <w:outlineLvl w:val="0"/>
        <w:rPr>
          <w:rFonts w:hint="eastAsia" w:eastAsia="宋体"/>
          <w:lang w:val="en-US" w:eastAsia="zh-CN"/>
        </w:rPr>
      </w:pPr>
    </w:p>
    <w:p w14:paraId="17F5C280">
      <w:pPr>
        <w:outlineLvl w:val="0"/>
        <w:rPr>
          <w:rFonts w:hint="eastAsia" w:eastAsia="宋体"/>
          <w:lang w:val="en-US" w:eastAsia="zh-CN"/>
        </w:rPr>
      </w:pPr>
    </w:p>
    <w:p w14:paraId="36794FAF">
      <w:pPr>
        <w:outlineLvl w:val="0"/>
        <w:rPr>
          <w:rFonts w:hint="eastAsia" w:eastAsia="宋体"/>
          <w:lang w:val="en-US" w:eastAsia="zh-CN"/>
        </w:rPr>
      </w:pPr>
    </w:p>
    <w:p w14:paraId="1DC3C1EF">
      <w:pPr>
        <w:outlineLvl w:val="0"/>
        <w:rPr>
          <w:rFonts w:hint="eastAsia" w:eastAsia="宋体"/>
          <w:lang w:val="en-US" w:eastAsia="zh-CN"/>
        </w:rPr>
      </w:pPr>
    </w:p>
    <w:p w14:paraId="15C3B078">
      <w:pPr>
        <w:outlineLvl w:val="0"/>
        <w:rPr>
          <w:rFonts w:hint="eastAsia" w:eastAsia="宋体"/>
          <w:lang w:val="en-US" w:eastAsia="zh-CN"/>
        </w:rPr>
      </w:pPr>
    </w:p>
    <w:p w14:paraId="7C3A5CC9">
      <w:pPr>
        <w:spacing w:line="360" w:lineRule="auto"/>
        <w:outlineLvl w:val="0"/>
        <w:rPr>
          <w:rFonts w:hint="default" w:ascii="Arial" w:hAnsi="Arial" w:eastAsia="宋体" w:cs="Arial"/>
          <w:b/>
          <w:bCs/>
          <w:sz w:val="28"/>
          <w:szCs w:val="28"/>
          <w:lang w:val="en-US" w:eastAsia="zh-CN"/>
        </w:rPr>
      </w:pPr>
      <w:r>
        <w:rPr>
          <w:rFonts w:hint="default" w:ascii="Arial" w:hAnsi="Arial" w:eastAsia="宋体" w:cs="Arial"/>
          <w:b/>
          <w:bCs/>
          <w:sz w:val="28"/>
          <w:szCs w:val="28"/>
          <w:lang w:val="en-US" w:eastAsia="zh-CN"/>
        </w:rPr>
        <w:t>References</w:t>
      </w:r>
      <w:bookmarkEnd w:id="20"/>
      <w:bookmarkStart w:id="21" w:name="_GoBack"/>
      <w:bookmarkEnd w:id="21"/>
    </w:p>
    <w:p w14:paraId="3F9EF21F">
      <w:pPr>
        <w:rPr>
          <w:rFonts w:hint="default" w:eastAsia="宋体"/>
          <w:lang w:val="en-US" w:eastAsia="zh-CN"/>
        </w:rPr>
      </w:pPr>
    </w:p>
    <w:p w14:paraId="3EBCF035"/>
    <w:p w14:paraId="0E0762FD"/>
    <w:p w14:paraId="678664C0"/>
    <w:p w14:paraId="6B77856B"/>
    <w:p w14:paraId="7213E153"/>
    <w:p w14:paraId="64A83B5C"/>
    <w:p w14:paraId="4B06A210"/>
    <w:p w14:paraId="251C2E30"/>
    <w:p w14:paraId="0FBED5B6"/>
    <w:p w14:paraId="391FA2E7"/>
    <w:p w14:paraId="44E22A1A"/>
    <w:p w14:paraId="7284BF22"/>
    <w:p w14:paraId="7F92A621"/>
    <w:p w14:paraId="2C8B3979"/>
    <w:p w14:paraId="1E0C80B6"/>
    <w:p w14:paraId="061923DB"/>
    <w:p w14:paraId="434E698C"/>
    <w:p w14:paraId="47012F95"/>
    <w:p w14:paraId="28D5085A"/>
    <w:p w14:paraId="2EAC1F4C"/>
    <w:p w14:paraId="50C96339"/>
    <w:p w14:paraId="65A52816"/>
    <w:p w14:paraId="13A421B3"/>
    <w:p w14:paraId="75E0920B"/>
    <w:p w14:paraId="774B23BD"/>
    <w:p w14:paraId="66CBD09D"/>
    <w:p w14:paraId="1C9D899F"/>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A70322"/>
    <w:rsid w:val="07A703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Arial"/>
      <w:sz w:val="22"/>
      <w:szCs w:val="22"/>
      <w:lang w:val="en-GB" w:eastAsia="en-US"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toc 1"/>
    <w:basedOn w:val="1"/>
    <w:next w:val="1"/>
    <w:uiPriority w:val="0"/>
  </w:style>
  <w:style w:type="paragraph" w:styleId="3">
    <w:name w:val="toc 2"/>
    <w:basedOn w:val="1"/>
    <w:next w:val="1"/>
    <w:uiPriority w:val="0"/>
    <w:pPr>
      <w:ind w:left="420" w:leftChars="200"/>
    </w:pPr>
  </w:style>
  <w:style w:type="paragraph" w:styleId="4">
    <w:name w:val="Normal (Web)"/>
    <w:basedOn w:val="1"/>
    <w:uiPriority w:val="0"/>
    <w:rPr>
      <w:sz w:val="24"/>
    </w:rPr>
  </w:style>
  <w:style w:type="character" w:styleId="7">
    <w:name w:val="Strong"/>
    <w:basedOn w:val="6"/>
    <w:qFormat/>
    <w:uiPriority w:val="0"/>
    <w:rPr>
      <w: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119</TotalTime>
  <ScaleCrop>false</ScaleCrop>
  <LinksUpToDate>false</LinksUpToDate>
  <CharactersWithSpaces>0</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2025-04-24T17:25:00Z</dcterms:created>
  <dc:creator>阳光男孩</dc:creator>
  <cp:lastModifiedBy>阳光男孩</cp:lastModifiedBy>
  <dcterms:modified xsi:type="dcterms:W3CDTF">2025-04-24T19:46:51Z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C3359A647A554CF6B424412D65BCC9E7_11</vt:lpwstr>
  </property>
  <property fmtid="{D5CDD505-2E9C-101B-9397-08002B2CF9AE}" pid="4" name="KSOTemplateDocerSaveRecord">
    <vt:lpwstr>eyJoZGlkIjoiZGM2YmNiZDkyODM2NDYyN2U5ZTZiZGI1OGFhMDQ1NjMiLCJ1c2VySWQiOiI4NjQ2MTIwNjAifQ==</vt:lpwstr>
  </property>
</Properties>
</file>